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56F37">
      <w:pPr>
        <w:pStyle w:val="2"/>
        <w:jc w:val="center"/>
      </w:pPr>
      <w:bookmarkStart w:id="0" w:name="_GoBack"/>
      <w:bookmarkEnd w:id="0"/>
      <w:r>
        <w:rPr>
          <w:rFonts w:hint="eastAsia"/>
        </w:rPr>
        <w:t>管理评审计划</w:t>
      </w:r>
    </w:p>
    <w:p w14:paraId="7B3E24F1">
      <w:pPr>
        <w:jc w:val="right"/>
        <w:rPr>
          <w:color w:val="FF0000"/>
        </w:rPr>
      </w:pPr>
      <w:r>
        <w:rPr>
          <w:rFonts w:hint="eastAsia"/>
        </w:rPr>
        <w:t>文件编号：</w:t>
      </w:r>
      <w:r>
        <w:rPr>
          <w:rFonts w:hint="eastAsia"/>
          <w:color w:val="FF0000"/>
        </w:rPr>
        <w:t>{填写文件编号}</w:t>
      </w:r>
      <w:r>
        <w:rPr>
          <w:rFonts w:hint="eastAsia"/>
        </w:rPr>
        <w:t xml:space="preserve">   V</w:t>
      </w:r>
      <w:r>
        <w:rPr>
          <w:rFonts w:hint="eastAsia"/>
          <w:color w:val="FF0000"/>
        </w:rPr>
        <w:t xml:space="preserve">{填写文件版本号} </w:t>
      </w:r>
      <w:r>
        <w:rPr>
          <w:rFonts w:hint="eastAsia"/>
        </w:rPr>
        <w:t xml:space="preserve">  NO.:</w:t>
      </w:r>
      <w:r>
        <w:rPr>
          <w:rFonts w:hint="eastAsia"/>
          <w:color w:val="FF0000"/>
        </w:rPr>
        <w:t>{填写记录编号}</w:t>
      </w:r>
    </w:p>
    <w:p w14:paraId="06A9D16D">
      <w:pPr>
        <w:jc w:val="right"/>
        <w:rPr>
          <w:color w:val="FF0000"/>
        </w:rPr>
      </w:pPr>
    </w:p>
    <w:tbl>
      <w:tblPr>
        <w:tblStyle w:val="10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326"/>
        <w:gridCol w:w="1304"/>
        <w:gridCol w:w="1630"/>
        <w:gridCol w:w="1630"/>
        <w:gridCol w:w="1630"/>
        <w:gridCol w:w="1631"/>
      </w:tblGrid>
      <w:tr w14:paraId="3B2A30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7"/>
          </w:tcPr>
          <w:p w14:paraId="6651A149">
            <w:r>
              <w:rPr>
                <w:rFonts w:hint="eastAsia"/>
              </w:rPr>
              <w:t>评审目的</w:t>
            </w:r>
          </w:p>
          <w:p w14:paraId="511A1CF9"/>
        </w:tc>
      </w:tr>
      <w:tr w14:paraId="6FE356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7"/>
          </w:tcPr>
          <w:p w14:paraId="75209AC7">
            <w:r>
              <w:rPr>
                <w:rFonts w:hint="eastAsia"/>
              </w:rPr>
              <w:t>评审依据：</w:t>
            </w:r>
          </w:p>
          <w:p w14:paraId="11E167D4"/>
          <w:p w14:paraId="72BF22E6"/>
        </w:tc>
      </w:tr>
      <w:tr w14:paraId="757CC3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7"/>
          </w:tcPr>
          <w:p w14:paraId="3A09F06F">
            <w:r>
              <w:rPr>
                <w:rFonts w:hint="eastAsia"/>
              </w:rPr>
              <w:t>评审内容：</w:t>
            </w:r>
          </w:p>
          <w:p w14:paraId="396CB547"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质量管理体系审核结果(包括内部，顾客的，认证机构的审核结果)。</w:t>
            </w:r>
          </w:p>
          <w:p w14:paraId="162B71FD"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顾客投诉的处理，顾客的满意度测量结果及反馈的重要信息。</w:t>
            </w:r>
          </w:p>
          <w:p w14:paraId="49F82461"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过程的业绩和产品的符合性，</w:t>
            </w:r>
            <w:r>
              <w:rPr>
                <w:rFonts w:hAnsi="宋体"/>
              </w:rPr>
              <w:t>包括过程、产品的监视和测量的结果</w:t>
            </w:r>
            <w:r>
              <w:rPr>
                <w:rFonts w:hint="eastAsia" w:hAnsi="宋体"/>
              </w:rPr>
              <w:t xml:space="preserve">。 </w:t>
            </w:r>
          </w:p>
          <w:p w14:paraId="16D38CFE"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质量方针的持续适宜性、质量目标的达成情况。</w:t>
            </w:r>
          </w:p>
          <w:p w14:paraId="23EDEC8E"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纠正预防措施的实施的情况。</w:t>
            </w:r>
          </w:p>
          <w:p w14:paraId="40608157"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以前管理评审所确定的跟踪措施的执行情况。</w:t>
            </w:r>
          </w:p>
          <w:p w14:paraId="6F21688C"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可能影响质量管理体系的变化(如公司的组织结构，产品结构发生的重大改变与调整等)。</w:t>
            </w:r>
          </w:p>
          <w:p w14:paraId="0B2EBAE9"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重大质量事故的处理或改进的建议。</w:t>
            </w:r>
          </w:p>
          <w:p w14:paraId="6E45CF00"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  <w:color w:val="FF0000"/>
              </w:rPr>
            </w:pPr>
            <w:r>
              <w:rPr>
                <w:rFonts w:hint="eastAsia" w:hAnsi="宋体"/>
              </w:rPr>
              <w:t>对法规符合性的评价。</w:t>
            </w:r>
          </w:p>
        </w:tc>
      </w:tr>
      <w:tr w14:paraId="2CC52E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7"/>
            <w:vAlign w:val="center"/>
          </w:tcPr>
          <w:p w14:paraId="5E1F0CD0">
            <w:r>
              <w:rPr>
                <w:rFonts w:hint="eastAsia"/>
              </w:rPr>
              <w:t>计划参加评审的人员</w:t>
            </w:r>
          </w:p>
        </w:tc>
      </w:tr>
      <w:tr w14:paraId="096DF9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 w14:paraId="0B8F2921"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630" w:type="dxa"/>
            <w:gridSpan w:val="2"/>
          </w:tcPr>
          <w:p w14:paraId="73303D9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30" w:type="dxa"/>
          </w:tcPr>
          <w:p w14:paraId="324B79FB"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630" w:type="dxa"/>
          </w:tcPr>
          <w:p w14:paraId="55277FC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30" w:type="dxa"/>
          </w:tcPr>
          <w:p w14:paraId="0F8BF615"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631" w:type="dxa"/>
          </w:tcPr>
          <w:p w14:paraId="0702849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</w:tr>
      <w:tr w14:paraId="2BE396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 w14:paraId="2DE4DDD6">
            <w:pPr>
              <w:jc w:val="center"/>
              <w:rPr>
                <w:b/>
              </w:rPr>
            </w:pPr>
          </w:p>
        </w:tc>
        <w:tc>
          <w:tcPr>
            <w:tcW w:w="1630" w:type="dxa"/>
            <w:gridSpan w:val="2"/>
          </w:tcPr>
          <w:p w14:paraId="029C7380">
            <w:pPr>
              <w:jc w:val="center"/>
              <w:rPr>
                <w:b/>
              </w:rPr>
            </w:pPr>
          </w:p>
        </w:tc>
        <w:tc>
          <w:tcPr>
            <w:tcW w:w="1630" w:type="dxa"/>
          </w:tcPr>
          <w:p w14:paraId="2B87B7ED">
            <w:pPr>
              <w:jc w:val="center"/>
              <w:rPr>
                <w:b/>
              </w:rPr>
            </w:pPr>
          </w:p>
        </w:tc>
        <w:tc>
          <w:tcPr>
            <w:tcW w:w="1630" w:type="dxa"/>
          </w:tcPr>
          <w:p w14:paraId="2D1B7C2A">
            <w:pPr>
              <w:jc w:val="center"/>
              <w:rPr>
                <w:b/>
              </w:rPr>
            </w:pPr>
          </w:p>
        </w:tc>
        <w:tc>
          <w:tcPr>
            <w:tcW w:w="1630" w:type="dxa"/>
          </w:tcPr>
          <w:p w14:paraId="334A5332">
            <w:pPr>
              <w:jc w:val="center"/>
              <w:rPr>
                <w:b/>
              </w:rPr>
            </w:pPr>
          </w:p>
        </w:tc>
        <w:tc>
          <w:tcPr>
            <w:tcW w:w="1631" w:type="dxa"/>
          </w:tcPr>
          <w:p w14:paraId="46AF1EB2">
            <w:pPr>
              <w:jc w:val="center"/>
              <w:rPr>
                <w:b/>
              </w:rPr>
            </w:pPr>
          </w:p>
        </w:tc>
      </w:tr>
      <w:tr w14:paraId="0A5798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 w14:paraId="209DF189">
            <w:pPr>
              <w:jc w:val="center"/>
            </w:pPr>
          </w:p>
        </w:tc>
        <w:tc>
          <w:tcPr>
            <w:tcW w:w="1630" w:type="dxa"/>
            <w:gridSpan w:val="2"/>
          </w:tcPr>
          <w:p w14:paraId="36C03044">
            <w:pPr>
              <w:jc w:val="center"/>
            </w:pPr>
          </w:p>
        </w:tc>
        <w:tc>
          <w:tcPr>
            <w:tcW w:w="1630" w:type="dxa"/>
          </w:tcPr>
          <w:p w14:paraId="55A0D66D">
            <w:pPr>
              <w:jc w:val="center"/>
            </w:pPr>
          </w:p>
        </w:tc>
        <w:tc>
          <w:tcPr>
            <w:tcW w:w="1630" w:type="dxa"/>
          </w:tcPr>
          <w:p w14:paraId="6CC20FA8">
            <w:pPr>
              <w:jc w:val="center"/>
            </w:pPr>
          </w:p>
        </w:tc>
        <w:tc>
          <w:tcPr>
            <w:tcW w:w="1630" w:type="dxa"/>
          </w:tcPr>
          <w:p w14:paraId="4A90697E">
            <w:pPr>
              <w:jc w:val="center"/>
            </w:pPr>
          </w:p>
        </w:tc>
        <w:tc>
          <w:tcPr>
            <w:tcW w:w="1631" w:type="dxa"/>
          </w:tcPr>
          <w:p w14:paraId="0B57451C">
            <w:pPr>
              <w:jc w:val="center"/>
            </w:pPr>
          </w:p>
        </w:tc>
      </w:tr>
      <w:tr w14:paraId="338D10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 w14:paraId="2674E8D5">
            <w:pPr>
              <w:jc w:val="center"/>
            </w:pPr>
          </w:p>
        </w:tc>
        <w:tc>
          <w:tcPr>
            <w:tcW w:w="1630" w:type="dxa"/>
            <w:gridSpan w:val="2"/>
          </w:tcPr>
          <w:p w14:paraId="1FCE0CFC">
            <w:pPr>
              <w:jc w:val="center"/>
            </w:pPr>
          </w:p>
        </w:tc>
        <w:tc>
          <w:tcPr>
            <w:tcW w:w="1630" w:type="dxa"/>
          </w:tcPr>
          <w:p w14:paraId="436715D6">
            <w:pPr>
              <w:jc w:val="center"/>
            </w:pPr>
          </w:p>
        </w:tc>
        <w:tc>
          <w:tcPr>
            <w:tcW w:w="1630" w:type="dxa"/>
          </w:tcPr>
          <w:p w14:paraId="6F1FEA69">
            <w:pPr>
              <w:jc w:val="center"/>
            </w:pPr>
          </w:p>
        </w:tc>
        <w:tc>
          <w:tcPr>
            <w:tcW w:w="1630" w:type="dxa"/>
          </w:tcPr>
          <w:p w14:paraId="1306A030">
            <w:pPr>
              <w:jc w:val="center"/>
            </w:pPr>
          </w:p>
        </w:tc>
        <w:tc>
          <w:tcPr>
            <w:tcW w:w="1631" w:type="dxa"/>
          </w:tcPr>
          <w:p w14:paraId="1567AA62">
            <w:pPr>
              <w:jc w:val="center"/>
            </w:pPr>
          </w:p>
        </w:tc>
      </w:tr>
      <w:tr w14:paraId="7F7DFD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7"/>
            <w:vAlign w:val="center"/>
          </w:tcPr>
          <w:p w14:paraId="0880C6D0">
            <w:r>
              <w:rPr>
                <w:rFonts w:hint="eastAsia"/>
              </w:rPr>
              <w:t>各部门评审的准备工作要求：</w:t>
            </w:r>
          </w:p>
          <w:p w14:paraId="47EAFA2D"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质量管理体系审核结果(包括内部，顾客的，认证机构的审核结果)：管理者代表</w:t>
            </w:r>
          </w:p>
          <w:p w14:paraId="7F6FDF36"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顾客投诉的处理，顾客的满意度测量结果及反馈的重要信息：销售部</w:t>
            </w:r>
          </w:p>
          <w:p w14:paraId="034AE45F"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过程的业绩和产品的符合性，</w:t>
            </w:r>
            <w:r>
              <w:rPr>
                <w:rFonts w:hAnsi="宋体"/>
              </w:rPr>
              <w:t>包括过程、产品的监视和测量的结果</w:t>
            </w:r>
            <w:r>
              <w:rPr>
                <w:rFonts w:hint="eastAsia" w:hAnsi="宋体"/>
              </w:rPr>
              <w:t>：各部门</w:t>
            </w:r>
          </w:p>
          <w:p w14:paraId="1C01EE55"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质量方针的持续适宜性、质量目标的达成情况：管理者代表</w:t>
            </w:r>
          </w:p>
          <w:p w14:paraId="14D2BD98"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纠正预防措施的实施的情况：管理者代表</w:t>
            </w:r>
          </w:p>
          <w:p w14:paraId="0EA95469"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以前管理评审所确定的跟踪措施的执行情况：管理者代表</w:t>
            </w:r>
          </w:p>
          <w:p w14:paraId="036EDEFC"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可能影响质量管理体系的变化(如公司的组织结构，产品结构发生的重大改变与调整等)：管理者代表</w:t>
            </w:r>
          </w:p>
          <w:p w14:paraId="2BD74978"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重大质量事故的处理或改进的建议：管理者代表及与会人员</w:t>
            </w:r>
          </w:p>
          <w:p w14:paraId="7E240115"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</w:pPr>
            <w:r>
              <w:rPr>
                <w:rFonts w:hint="eastAsia" w:hAnsi="宋体"/>
              </w:rPr>
              <w:t>对法规符合性的评价：管理者代表</w:t>
            </w:r>
          </w:p>
        </w:tc>
      </w:tr>
      <w:tr w14:paraId="6E6D6E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7"/>
            <w:vAlign w:val="center"/>
          </w:tcPr>
          <w:p w14:paraId="58959EC5">
            <w:pPr>
              <w:jc w:val="left"/>
            </w:pPr>
            <w:r>
              <w:rPr>
                <w:rFonts w:hint="eastAsia"/>
              </w:rPr>
              <w:t>计划评审的时间地点：</w:t>
            </w:r>
          </w:p>
        </w:tc>
      </w:tr>
      <w:tr w14:paraId="06B92C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6" w:type="dxa"/>
            <w:gridSpan w:val="2"/>
            <w:vAlign w:val="center"/>
          </w:tcPr>
          <w:p w14:paraId="7BE2D2F7">
            <w:pPr>
              <w:jc w:val="center"/>
            </w:pPr>
            <w:r>
              <w:rPr>
                <w:rFonts w:hint="eastAsia"/>
              </w:rPr>
              <w:t>评审时间：</w:t>
            </w:r>
          </w:p>
        </w:tc>
        <w:tc>
          <w:tcPr>
            <w:tcW w:w="7825" w:type="dxa"/>
            <w:gridSpan w:val="5"/>
            <w:vAlign w:val="center"/>
          </w:tcPr>
          <w:p w14:paraId="7EEC7894">
            <w:pPr>
              <w:jc w:val="center"/>
            </w:pPr>
          </w:p>
        </w:tc>
      </w:tr>
      <w:tr w14:paraId="352C01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6" w:type="dxa"/>
            <w:gridSpan w:val="2"/>
            <w:vAlign w:val="center"/>
          </w:tcPr>
          <w:p w14:paraId="4FE8FCEC">
            <w:pPr>
              <w:jc w:val="center"/>
            </w:pPr>
            <w:r>
              <w:rPr>
                <w:rFonts w:hint="eastAsia"/>
              </w:rPr>
              <w:t>评审地点：</w:t>
            </w:r>
          </w:p>
        </w:tc>
        <w:tc>
          <w:tcPr>
            <w:tcW w:w="7825" w:type="dxa"/>
            <w:gridSpan w:val="5"/>
            <w:vAlign w:val="center"/>
          </w:tcPr>
          <w:p w14:paraId="133E6F4C">
            <w:pPr>
              <w:jc w:val="center"/>
            </w:pPr>
          </w:p>
        </w:tc>
      </w:tr>
      <w:tr w14:paraId="4134D2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7"/>
            <w:vAlign w:val="center"/>
          </w:tcPr>
          <w:p w14:paraId="3CECEDCA">
            <w:r>
              <w:rPr>
                <w:rFonts w:hint="eastAsia"/>
              </w:rPr>
              <w:t>其他说明：</w:t>
            </w:r>
          </w:p>
          <w:p w14:paraId="01C3D042"/>
          <w:p w14:paraId="6D802B40"/>
          <w:p w14:paraId="274951DD"/>
        </w:tc>
      </w:tr>
    </w:tbl>
    <w:p w14:paraId="25DB4AA1"/>
    <w:p w14:paraId="5470ED83">
      <w:pPr>
        <w:ind w:firstLine="5880" w:firstLineChars="2800"/>
      </w:pPr>
      <w:r>
        <w:rPr>
          <w:rFonts w:hint="eastAsia"/>
        </w:rPr>
        <w:t>编制人：          编制日期：</w:t>
      </w:r>
    </w:p>
    <w:p w14:paraId="19B5DDED">
      <w:pPr>
        <w:ind w:firstLine="5880" w:firstLineChars="2800"/>
      </w:pPr>
      <w:r>
        <w:rPr>
          <w:rFonts w:hint="eastAsia"/>
        </w:rPr>
        <w:t>审核人：          审核日期：</w:t>
      </w:r>
    </w:p>
    <w:p w14:paraId="4CB57BE7">
      <w:pPr>
        <w:ind w:firstLine="5880" w:firstLineChars="2800"/>
      </w:pPr>
      <w:r>
        <w:rPr>
          <w:rFonts w:hint="eastAsia"/>
        </w:rPr>
        <w:t>批准人：          批准日期：</w:t>
      </w:r>
    </w:p>
    <w:p w14:paraId="23D49CED"/>
    <w:p w14:paraId="2FB5DFD0">
      <w:pPr>
        <w:pStyle w:val="2"/>
        <w:jc w:val="center"/>
        <w:rPr>
          <w:rFonts w:hint="eastAsia" w:eastAsia="宋体"/>
          <w:lang w:eastAsia="zh-CN"/>
        </w:rPr>
      </w:pPr>
    </w:p>
    <w:p w14:paraId="1C291FBD">
      <w:pPr>
        <w:jc w:val="center"/>
        <w:rPr>
          <w:rFonts w:hint="eastAsia"/>
          <w:lang w:eastAsia="zh-CN"/>
        </w:rPr>
      </w:pPr>
    </w:p>
    <w:p w14:paraId="674DD8FE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9EB3F">
    <w:pPr>
      <w:pStyle w:val="6"/>
      <w:jc w:val="center"/>
      <w:rPr>
        <w:b/>
      </w:rPr>
    </w:pPr>
    <w:r>
      <w:pict>
        <v:shape id="_x0000_s4097" o:spid="_x0000_s4097" o:spt="202" type="#_x0000_t202" style="position:absolute;left:0pt;margin-left:197.6pt;margin-top:-0.0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EA4F2D6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BD62E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079D2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F62F6">
    <w:pPr>
      <w:pStyle w:val="7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70907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DB753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6C705C"/>
    <w:multiLevelType w:val="multilevel"/>
    <w:tmpl w:val="0A6C705C"/>
    <w:lvl w:ilvl="0" w:tentative="0">
      <w:start w:val="1"/>
      <w:numFmt w:val="lowerLetter"/>
      <w:lvlText w:val="%1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ED95938"/>
    <w:multiLevelType w:val="multilevel"/>
    <w:tmpl w:val="6ED95938"/>
    <w:lvl w:ilvl="0" w:tentative="0">
      <w:start w:val="1"/>
      <w:numFmt w:val="lowerLetter"/>
      <w:lvlText w:val="%1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614E1"/>
    <w:rsid w:val="00267543"/>
    <w:rsid w:val="002B1710"/>
    <w:rsid w:val="00321D79"/>
    <w:rsid w:val="00330AC1"/>
    <w:rsid w:val="00482120"/>
    <w:rsid w:val="004F76C6"/>
    <w:rsid w:val="0054552A"/>
    <w:rsid w:val="006062BF"/>
    <w:rsid w:val="00606719"/>
    <w:rsid w:val="006A62F7"/>
    <w:rsid w:val="00715D33"/>
    <w:rsid w:val="0075586D"/>
    <w:rsid w:val="009E2ECC"/>
    <w:rsid w:val="00D14544"/>
    <w:rsid w:val="00D2206B"/>
    <w:rsid w:val="00E84D0E"/>
    <w:rsid w:val="34F75D9D"/>
    <w:rsid w:val="7B1D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4">
    <w:name w:val="Plain Text"/>
    <w:basedOn w:val="1"/>
    <w:link w:val="15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纯文本 Char"/>
    <w:basedOn w:val="11"/>
    <w:link w:val="4"/>
    <w:qFormat/>
    <w:uiPriority w:val="0"/>
    <w:rPr>
      <w:rFonts w:ascii="宋体" w:hAnsi="Courier New" w:cs="Courier New"/>
      <w:szCs w:val="21"/>
    </w:rPr>
  </w:style>
  <w:style w:type="character" w:customStyle="1" w:styleId="16">
    <w:name w:val="纯文本 Char1"/>
    <w:basedOn w:val="1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批注文字 Char"/>
    <w:basedOn w:val="11"/>
    <w:link w:val="3"/>
    <w:semiHidden/>
    <w:qFormat/>
    <w:uiPriority w:val="99"/>
  </w:style>
  <w:style w:type="character" w:customStyle="1" w:styleId="18">
    <w:name w:val="批注主题 Char"/>
    <w:basedOn w:val="17"/>
    <w:link w:val="8"/>
    <w:semiHidden/>
    <w:qFormat/>
    <w:uiPriority w:val="99"/>
    <w:rPr>
      <w:b/>
      <w:bCs/>
    </w:rPr>
  </w:style>
  <w:style w:type="character" w:customStyle="1" w:styleId="19">
    <w:name w:val="批注框文本 Char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598</Words>
  <Characters>639</Characters>
  <Lines>5</Lines>
  <Paragraphs>1</Paragraphs>
  <TotalTime>0</TotalTime>
  <ScaleCrop>false</ScaleCrop>
  <LinksUpToDate>false</LinksUpToDate>
  <CharactersWithSpaces>676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太极箫客</cp:lastModifiedBy>
  <dcterms:modified xsi:type="dcterms:W3CDTF">2025-08-14T06:24:12Z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1DAA929BB67B4DCCB84065C49A6B2EA2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