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9CF4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080A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5D92561C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5F4CC5CF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7DC2E77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2F96C5D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4BDC93A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53AE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349B560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4F0BE19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24C536AC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13B898E6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1BF239EE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79D4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135F3E1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59CB174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4D0CB4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00CD0BB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3C72AC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746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6843B0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E7413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3D2EDAF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5156833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07BE257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7DF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C36D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BE97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271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6A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6B7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966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FD172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08F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0F3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306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75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3A0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B859D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AA5B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66E1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F4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AF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EDE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492CB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F1C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213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7B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B49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B70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C6A2F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BF30E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A679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F9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5C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A6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440A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5FF1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C344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F4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52D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B56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191BA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6F2C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4CEF2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5F9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A0E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2F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BF96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68B3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F4B5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89D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93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607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F369F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7E42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33CE5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7B6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E02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E8B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DE2C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92AD2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54C9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DFC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EE5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51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36A8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48CC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AB031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7C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A75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57E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2F15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FF3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AD967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985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A88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78A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80542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13DA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428DC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0C6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D47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00C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33F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C0B0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ADB4D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14D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8F7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9B9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2B00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1DF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AA6D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07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D2A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D9D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88C12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AE366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3E3DA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143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D983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2C1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7690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3DAF1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17EA5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EF9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220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70B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FCC6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AC10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DBF4A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41D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33BB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5A7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81C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A71B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0FA1115D">
      <w:pPr>
        <w:spacing w:line="360" w:lineRule="auto"/>
        <w:rPr>
          <w:rFonts w:ascii="Arial" w:hAnsi="Arial" w:cs="Arial"/>
          <w:sz w:val="22"/>
          <w:szCs w:val="22"/>
        </w:rPr>
      </w:pPr>
    </w:p>
    <w:p w14:paraId="0496B1C2">
      <w:pPr>
        <w:spacing w:line="360" w:lineRule="auto"/>
        <w:rPr>
          <w:rFonts w:ascii="Arial" w:hAnsi="Arial" w:cs="Arial"/>
          <w:sz w:val="22"/>
          <w:szCs w:val="22"/>
        </w:rPr>
      </w:pPr>
    </w:p>
    <w:p w14:paraId="0B0C54FA">
      <w:pPr>
        <w:spacing w:line="360" w:lineRule="auto"/>
        <w:rPr>
          <w:rFonts w:ascii="Arial" w:hAnsi="Arial" w:cs="Arial"/>
          <w:sz w:val="22"/>
          <w:szCs w:val="22"/>
        </w:rPr>
      </w:pPr>
    </w:p>
    <w:p w14:paraId="495BE99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目的</w:t>
      </w:r>
    </w:p>
    <w:p w14:paraId="2924D2F6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建立检验用试剂贮存、使用、报废管理规程，保证检验工作质量。</w:t>
      </w:r>
    </w:p>
    <w:p w14:paraId="20E9DD9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范围</w:t>
      </w:r>
    </w:p>
    <w:p w14:paraId="39A94FC6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 xml:space="preserve">检验用试剂的贮存、使用（包括配制）及报废。  </w:t>
      </w:r>
    </w:p>
    <w:p w14:paraId="439A351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责任人</w:t>
      </w:r>
    </w:p>
    <w:p w14:paraId="1B924DC2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质管部</w:t>
      </w:r>
    </w:p>
    <w:p w14:paraId="48D6040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>内容</w:t>
      </w:r>
    </w:p>
    <w:p w14:paraId="52025699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试剂的贮存</w:t>
      </w:r>
    </w:p>
    <w:p w14:paraId="7B34B4A7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试剂贮存由具备一定专业知识,并具有高度责任心的专人负责保管,试剂要按规定的要求贮存。</w:t>
      </w:r>
    </w:p>
    <w:p w14:paraId="1284ECB0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检验用试剂由专人负责建立台帐，内容包括:试剂名称、生产厂家、批号、数量、收到日期、储存条件等。</w:t>
      </w:r>
    </w:p>
    <w:p w14:paraId="1F174C63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实验室操作区内橱柜、试剂架及冰箱内只允许存放已配制的试液及需要低温保存的试剂，原则上不允许贮存其他试剂，多余的或不常用应贮存在试剂柜中。</w:t>
      </w:r>
    </w:p>
    <w:p w14:paraId="3F574C27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检验用试剂种类繁多，使用人多，所有试剂应分类摆放整齐。分类按照如下原则：</w:t>
      </w:r>
    </w:p>
    <w:p w14:paraId="047C33E5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按贮存条件分类: 室温保存、低温保存。</w:t>
      </w:r>
    </w:p>
    <w:p w14:paraId="1D778AB3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按其性质分类: 剧毒、易燃、易爆、强腐蚀性、易挥发、麻醉、一般试剂等。</w:t>
      </w:r>
    </w:p>
    <w:p w14:paraId="3B8BCAF9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一般试剂按液体、固体分类，每一类又按无机、有机分类。无机类又按盐类分类。</w:t>
      </w:r>
    </w:p>
    <w:p w14:paraId="3852542E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试剂贮存时应注意的事项：</w:t>
      </w:r>
    </w:p>
    <w:p w14:paraId="375C2C39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易潮解吸湿变质、易失水风化、易挥发、易氧化、易吸收二氧化碳的试剂，须用封口胶或蜡封保存。</w:t>
      </w:r>
    </w:p>
    <w:p w14:paraId="42327496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见光易分解、氧化等变质的试剂,须用避光纸包裹保存。</w:t>
      </w:r>
    </w:p>
    <w:p w14:paraId="5EED04D0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剧毒、易燃、易爆、强腐蚀性的试剂,须在外包装上有明显的标志,并单独存放。 每件试剂标签应完整(若原标签受损的应另外补贴标签)，贮存条件明确，在标签的左上方贴有类别标志及注意事项等。</w:t>
      </w:r>
    </w:p>
    <w:p w14:paraId="6908B687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试剂的使用：</w:t>
      </w:r>
    </w:p>
    <w:p w14:paraId="5D46825B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使用者应事先了解其性质后才可使用。使用前首先通过瓶签确认名称、浓度、纯度、有效期或使用期等,若有不清楚时不得使用该试剂。</w:t>
      </w:r>
    </w:p>
    <w:p w14:paraId="4D5C202F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用前应观察试剂是否变质,变质试剂不得使用。</w:t>
      </w:r>
    </w:p>
    <w:p w14:paraId="7EE15BF9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用剩余的试剂绝不允许再倒回原试剂瓶,应少量多次称取至所需量。</w:t>
      </w:r>
    </w:p>
    <w:p w14:paraId="5B5447DF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使用时应避免所用器具(吸管、药勺等)及瓶盖的污染造成试剂污染。使用时瓶口不要开太久,特别是易挥发、易吸潮、易氧化的试剂，一方面防止灰尘及脏物落入,另一方面防止试剂变质。</w:t>
      </w:r>
    </w:p>
    <w:p w14:paraId="528BB042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低温保存的试剂使用后应立即放回原冰箱。</w:t>
      </w:r>
    </w:p>
    <w:p w14:paraId="17BBCAFD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使用时应保护好标签,若标签受损应立即补贴瓶签、分类签等后才可放回原位。</w:t>
      </w:r>
    </w:p>
    <w:p w14:paraId="02D3506D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试剂使用后应按照试剂贮存注意事项的要求，经过密封、避光等处理后才可放回原位。</w:t>
      </w:r>
    </w:p>
    <w:p w14:paraId="61029F53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在使用或保管过程中，一旦出现异常情况应及时上报部门主管。</w:t>
      </w:r>
    </w:p>
    <w:p w14:paraId="2081DF54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责任：若因试剂保存不当、使用过程中污染或配制不当而影响检查结果，根据情节追究当事人的责任。</w:t>
      </w:r>
    </w:p>
    <w:p w14:paraId="6CE041BA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试剂的有效期：</w:t>
      </w:r>
    </w:p>
    <w:p w14:paraId="47D61C85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无明确有效期的试剂使用期限按以下规定：</w:t>
      </w:r>
    </w:p>
    <w:p w14:paraId="273DAC96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未开瓶的固体试剂有效期为5年，液体试剂有效期为3年；</w:t>
      </w:r>
    </w:p>
    <w:p w14:paraId="6539DEF8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已开瓶的固体试剂有效期为3年，液体试剂有效期为2年；</w:t>
      </w:r>
    </w:p>
    <w:p w14:paraId="055DE0EE">
      <w:pPr>
        <w:numPr>
          <w:ilvl w:val="3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特殊的、稳定性相对差的以及基准试剂有效期规定为1～2年；</w:t>
      </w:r>
    </w:p>
    <w:p w14:paraId="5EB32370">
      <w:pPr>
        <w:numPr>
          <w:ilvl w:val="2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有明确有效期的试剂，按标识的有效期执行。</w:t>
      </w:r>
    </w:p>
    <w:p w14:paraId="51E028B1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报废：检验用试剂应在规定的有效期内使用，以保证其可靠性。到期试剂应及时由试剂保管员负责登记和报废。试剂报废时，应按其性质作适当的处理，同时由质量主管进行复核。一般的试剂可采用稀释排放法报废，有毒、有害化学试剂的报废应参照《实验室废弃物的处理方法》进行。</w:t>
      </w:r>
    </w:p>
    <w:p w14:paraId="7C864D0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 xml:space="preserve">记录 </w:t>
      </w:r>
    </w:p>
    <w:p w14:paraId="47F7A19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Q</w:t>
      </w:r>
      <w:r>
        <w:rPr>
          <w:rFonts w:ascii="Arial" w:hAnsi="Arial" w:cs="Arial"/>
          <w:bCs/>
          <w:sz w:val="22"/>
          <w:szCs w:val="22"/>
        </w:rPr>
        <w:t>A-FM-055</w:t>
      </w:r>
      <w:r>
        <w:rPr>
          <w:rFonts w:hint="eastAsia" w:ascii="Arial" w:hAnsi="Arial" w:cs="Arial"/>
          <w:bCs/>
          <w:sz w:val="22"/>
          <w:szCs w:val="22"/>
        </w:rPr>
        <w:t>《检验用试剂台帐》</w:t>
      </w:r>
    </w:p>
    <w:p w14:paraId="4572ACF5">
      <w:pPr>
        <w:pStyle w:val="15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QA-FM-056</w:t>
      </w:r>
      <w:r>
        <w:rPr>
          <w:rFonts w:hint="eastAsia" w:ascii="Arial" w:hAnsi="Arial" w:cs="Arial"/>
          <w:bCs/>
          <w:sz w:val="22"/>
          <w:szCs w:val="22"/>
        </w:rPr>
        <w:t>《试剂报废及处理记录》</w:t>
      </w:r>
    </w:p>
    <w:p w14:paraId="4BC6279F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49A8162D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17F5719E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E6ECEEB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012E6C2A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47A35507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63467ACD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01D8B9F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49758E9B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40CBA962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检验用试剂管理规程</w:t>
          </w:r>
        </w:p>
      </w:tc>
      <w:tc>
        <w:tcPr>
          <w:tcW w:w="1418" w:type="dxa"/>
          <w:vAlign w:val="center"/>
        </w:tcPr>
        <w:p w14:paraId="274087E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37634B81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9</w:t>
          </w:r>
        </w:p>
      </w:tc>
    </w:tr>
    <w:tr w14:paraId="5E4C7B7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51B357E7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6C2AC38">
          <w:pPr>
            <w:jc w:val="center"/>
          </w:pPr>
        </w:p>
      </w:tc>
      <w:tc>
        <w:tcPr>
          <w:tcW w:w="1418" w:type="dxa"/>
          <w:vAlign w:val="center"/>
        </w:tcPr>
        <w:p w14:paraId="51B70BE0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05C02D12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0D84658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52EEEEB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7DD77B1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1A8C05E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5D225DCD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3693C9D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D42338F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844C1BA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E5C745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4EE1E3AC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681E7312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4BF15F1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52848076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2133BFA8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检验用试剂管理规程</w:t>
          </w:r>
        </w:p>
      </w:tc>
      <w:tc>
        <w:tcPr>
          <w:tcW w:w="1415" w:type="dxa"/>
          <w:vAlign w:val="center"/>
        </w:tcPr>
        <w:p w14:paraId="2CCD8E7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2D21DE27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9</w:t>
          </w:r>
        </w:p>
      </w:tc>
    </w:tr>
    <w:tr w14:paraId="432ECE7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6732B901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68CF4CB3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42142276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5D613BAB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47571EBA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660DE098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21C4903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414AD314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19F95C4A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7E97E20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3F7B04B0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16994E0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7E8000A4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210EF932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220E1AB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4904D95F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3885BFC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3193686A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F64DD80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5A633F87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3BB55AD0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0754BF6A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109B4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D7E6B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51C8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2E66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3DEE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5483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0DE3"/>
    <w:rsid w:val="00A05E34"/>
    <w:rsid w:val="00A13E2B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13DB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3016A"/>
    <w:rsid w:val="00E336AC"/>
    <w:rsid w:val="00E34118"/>
    <w:rsid w:val="00E43D41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137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8059-CD33-4DFF-899C-DCC14E6E28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1193</Words>
  <Characters>1383</Characters>
  <Lines>9</Lines>
  <Paragraphs>2</Paragraphs>
  <TotalTime>0</TotalTime>
  <ScaleCrop>false</ScaleCrop>
  <LinksUpToDate>false</LinksUpToDate>
  <CharactersWithSpaces>1389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2020-02-18T14:50:00Z</dcterms:created>
  <dc:creator>cslau</dc:creator>
  <cp:lastModifiedBy>太极箫客</cp:lastModifiedBy>
  <cp:lastPrinted>2017-10-23T03:47:00Z</cp:lastPrinted>
  <dcterms:modified xsi:type="dcterms:W3CDTF">2025-08-14T06:23:39Z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2116E166BEED4F8A83D6202E3EDB1173_12</vt:lpwstr>
  </property>
</Properties>
</file>