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6E122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489617946"/>
      <w:bookmarkStart w:id="5" w:name="_GoBack"/>
      <w:bookmarkEnd w:id="5"/>
      <w:r>
        <w:rPr>
          <w:rFonts w:ascii="Arial" w:hAnsi="宋体" w:cs="Arial"/>
          <w:b/>
          <w:bCs/>
          <w:sz w:val="22"/>
          <w:szCs w:val="22"/>
        </w:rPr>
        <w:t>更改历史</w:t>
      </w:r>
      <w:bookmarkEnd w:id="0"/>
    </w:p>
    <w:tbl>
      <w:tblPr>
        <w:tblStyle w:val="9"/>
        <w:tblW w:w="1059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575"/>
        <w:gridCol w:w="3183"/>
        <w:gridCol w:w="1672"/>
        <w:gridCol w:w="2590"/>
      </w:tblGrid>
      <w:tr w14:paraId="1020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77" w:type="dxa"/>
            <w:shd w:val="clear" w:color="auto" w:fill="auto"/>
          </w:tcPr>
          <w:p w14:paraId="2C85DB56">
            <w:pPr>
              <w:spacing w:line="360" w:lineRule="auto"/>
              <w:rPr>
                <w:rFonts w:ascii="Arial" w:hAnsi="Arial" w:cs="Arial"/>
                <w:szCs w:val="22"/>
              </w:rPr>
            </w:pPr>
            <w:bookmarkStart w:id="1" w:name="_Hlk489617917"/>
            <w:r>
              <w:rPr>
                <w:rFonts w:ascii="Arial" w:hAnsi="宋体" w:cs="Arial"/>
                <w:b/>
                <w:sz w:val="22"/>
                <w:szCs w:val="22"/>
              </w:rPr>
              <w:t>版本号</w:t>
            </w:r>
          </w:p>
        </w:tc>
        <w:tc>
          <w:tcPr>
            <w:tcW w:w="1575" w:type="dxa"/>
            <w:shd w:val="clear" w:color="auto" w:fill="auto"/>
          </w:tcPr>
          <w:p w14:paraId="601BEACA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b/>
                <w:sz w:val="22"/>
                <w:szCs w:val="22"/>
              </w:rPr>
              <w:t>文件更改号</w:t>
            </w:r>
          </w:p>
        </w:tc>
        <w:tc>
          <w:tcPr>
            <w:tcW w:w="3183" w:type="dxa"/>
            <w:shd w:val="clear" w:color="auto" w:fill="auto"/>
          </w:tcPr>
          <w:p w14:paraId="1377F8FF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b/>
                <w:bCs/>
                <w:sz w:val="22"/>
                <w:szCs w:val="22"/>
              </w:rPr>
              <w:t>更改概要</w:t>
            </w:r>
          </w:p>
        </w:tc>
        <w:tc>
          <w:tcPr>
            <w:tcW w:w="1672" w:type="dxa"/>
          </w:tcPr>
          <w:p w14:paraId="4816EB3E">
            <w:pPr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宋体" w:cs="Arial"/>
                <w:b/>
                <w:bCs/>
                <w:sz w:val="22"/>
                <w:szCs w:val="22"/>
              </w:rPr>
              <w:t>修改人</w:t>
            </w:r>
          </w:p>
        </w:tc>
        <w:tc>
          <w:tcPr>
            <w:tcW w:w="2590" w:type="dxa"/>
          </w:tcPr>
          <w:p w14:paraId="6D08B649">
            <w:pPr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宋体" w:cs="Arial"/>
                <w:b/>
                <w:bCs/>
                <w:sz w:val="22"/>
                <w:szCs w:val="22"/>
              </w:rPr>
              <w:t>批准人</w:t>
            </w:r>
          </w:p>
        </w:tc>
      </w:tr>
      <w:tr w14:paraId="540B9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77" w:type="dxa"/>
            <w:shd w:val="clear" w:color="auto" w:fill="auto"/>
          </w:tcPr>
          <w:p w14:paraId="07015E6E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</w:tcPr>
          <w:p w14:paraId="4F7E2CA4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首发行</w:t>
            </w:r>
          </w:p>
        </w:tc>
        <w:tc>
          <w:tcPr>
            <w:tcW w:w="3183" w:type="dxa"/>
            <w:shd w:val="clear" w:color="auto" w:fill="auto"/>
          </w:tcPr>
          <w:p w14:paraId="5E547379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1672" w:type="dxa"/>
          </w:tcPr>
          <w:p w14:paraId="2468EF9D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/</w:t>
            </w:r>
          </w:p>
        </w:tc>
        <w:tc>
          <w:tcPr>
            <w:tcW w:w="2590" w:type="dxa"/>
          </w:tcPr>
          <w:p w14:paraId="6D477ADB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/</w:t>
            </w:r>
          </w:p>
        </w:tc>
      </w:tr>
      <w:tr w14:paraId="01B3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shd w:val="clear" w:color="auto" w:fill="auto"/>
          </w:tcPr>
          <w:p w14:paraId="1987A0E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14:paraId="225E74D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shd w:val="clear" w:color="auto" w:fill="auto"/>
          </w:tcPr>
          <w:p w14:paraId="015F8E5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</w:tcPr>
          <w:p w14:paraId="697F65E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</w:tcPr>
          <w:p w14:paraId="72C91A6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97D5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shd w:val="clear" w:color="auto" w:fill="auto"/>
          </w:tcPr>
          <w:p w14:paraId="046DF66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14:paraId="76EAAC7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shd w:val="clear" w:color="auto" w:fill="auto"/>
          </w:tcPr>
          <w:p w14:paraId="57B22DD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</w:tcPr>
          <w:p w14:paraId="37CC0FF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</w:tcPr>
          <w:p w14:paraId="7559026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D349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CBA92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1532C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FC657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9447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AB95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B393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E8C3C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7EA28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6F7F8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6A32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27B5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72C2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9113E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BC47C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D8AFB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3756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DC5F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13FC1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10A0B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BD2F5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0F673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EF01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8EDD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6B03E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9ED1E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61D31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936F4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7A23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BED6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6F4DD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F1285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41316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084AC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22ED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B97E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41D99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86EFC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06737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323A1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218C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6E5F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05724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D15D2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5FD28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E92E8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16ED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7E1F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4101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1E3B5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6738B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83324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00E5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C102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EA03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8AFA7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AF096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14F68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45B5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2139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27B5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18DD2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D79EA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CC61C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72F3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2871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56D0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99F0C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71ED7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93E8B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1235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2E87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1E1DD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92D70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6BA57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50914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8A2C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61C5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03A6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84D9B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21BD9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D53B5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C909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E8FD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24415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70374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7F48C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1BB19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9FB9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A0DC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73588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0C4FC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13D1C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03028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7161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AB42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6986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98956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37192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6F60B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946A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3A8B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1913D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A24D0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92AAE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E57E2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C426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8E10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6093B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A89D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发放范围</w:t>
            </w:r>
          </w:p>
        </w:tc>
        <w:tc>
          <w:tcPr>
            <w:tcW w:w="9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986B3">
            <w:pPr>
              <w:jc w:val="left"/>
              <w:rPr>
                <w:rFonts w:ascii="Arial" w:hAnsi="Arial" w:cs="Arial"/>
                <w:szCs w:val="22"/>
              </w:rPr>
            </w:pPr>
          </w:p>
        </w:tc>
      </w:tr>
      <w:bookmarkEnd w:id="1"/>
    </w:tbl>
    <w:p w14:paraId="5D68656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654F37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85E7A99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Arial" w:hAnsi="Arial" w:cs="Arial"/>
          <w:b/>
          <w:bCs/>
          <w:sz w:val="22"/>
          <w:szCs w:val="22"/>
        </w:rPr>
      </w:pPr>
      <w:bookmarkStart w:id="2" w:name="_Hlk489618160"/>
      <w:r>
        <w:rPr>
          <w:rFonts w:ascii="Arial" w:hAnsi="宋体" w:cs="Arial"/>
          <w:b/>
          <w:bCs/>
          <w:sz w:val="22"/>
          <w:szCs w:val="22"/>
        </w:rPr>
        <w:t>目的</w:t>
      </w:r>
      <w:bookmarkEnd w:id="2"/>
    </w:p>
    <w:p w14:paraId="6BEF2AFA">
      <w:pPr>
        <w:tabs>
          <w:tab w:val="left" w:pos="709"/>
        </w:tabs>
        <w:spacing w:line="360" w:lineRule="auto"/>
        <w:ind w:left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宋体" w:cs="Arial"/>
        </w:rPr>
        <w:t>为建立符合《医疗器械监督管理条例》、《医疗器械生产质量管理规范》等规范性文件，明确本公司质量管理的总体质量方针和质量目标，特制定本制度。</w:t>
      </w:r>
    </w:p>
    <w:p w14:paraId="5C7D120E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宋体" w:cs="Arial"/>
          <w:b/>
          <w:bCs/>
          <w:sz w:val="22"/>
          <w:szCs w:val="22"/>
        </w:rPr>
        <w:t>依据</w:t>
      </w:r>
    </w:p>
    <w:p w14:paraId="46FF71A9">
      <w:pPr>
        <w:tabs>
          <w:tab w:val="left" w:pos="709"/>
        </w:tabs>
        <w:spacing w:line="360" w:lineRule="auto"/>
        <w:ind w:left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宋体" w:cs="Arial"/>
          <w:sz w:val="24"/>
        </w:rPr>
        <w:t>《</w:t>
      </w:r>
      <w:r>
        <w:rPr>
          <w:rFonts w:ascii="Arial" w:hAnsi="宋体" w:cs="Arial"/>
        </w:rPr>
        <w:t>医疗器械生产质量管理规范》</w:t>
      </w:r>
      <w:r>
        <w:rPr>
          <w:rFonts w:hint="eastAsia" w:ascii="Arial" w:hAnsi="宋体" w:cs="Arial"/>
        </w:rPr>
        <w:t>及其附录</w:t>
      </w:r>
    </w:p>
    <w:p w14:paraId="607C4D5D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宋体" w:cs="Arial"/>
          <w:b/>
          <w:bCs/>
          <w:sz w:val="22"/>
          <w:szCs w:val="22"/>
        </w:rPr>
        <w:t>范围</w:t>
      </w:r>
    </w:p>
    <w:p w14:paraId="2C471A3E">
      <w:pPr>
        <w:tabs>
          <w:tab w:val="left" w:pos="709"/>
        </w:tabs>
        <w:spacing w:line="360" w:lineRule="auto"/>
        <w:ind w:left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宋体" w:cs="Arial"/>
        </w:rPr>
        <w:t>适用于公司质量方针的确定和年度质量目标的制定，以及对质量方针和目标的管理、实施。</w:t>
      </w:r>
    </w:p>
    <w:p w14:paraId="7B1EED0F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Arial" w:hAnsi="Arial" w:cs="Arial"/>
          <w:b/>
          <w:bCs/>
          <w:sz w:val="22"/>
          <w:szCs w:val="22"/>
        </w:rPr>
      </w:pPr>
      <w:bookmarkStart w:id="3" w:name="_Hlk486929426"/>
      <w:r>
        <w:rPr>
          <w:rFonts w:ascii="Arial" w:hAnsi="宋体" w:cs="Arial"/>
          <w:b/>
          <w:bCs/>
          <w:sz w:val="22"/>
          <w:szCs w:val="22"/>
        </w:rPr>
        <w:t>规定内容</w:t>
      </w:r>
      <w:r>
        <w:rPr>
          <w:rFonts w:ascii="Arial" w:hAnsi="Arial" w:cs="Arial"/>
          <w:b/>
          <w:bCs/>
          <w:sz w:val="22"/>
          <w:szCs w:val="22"/>
        </w:rPr>
        <w:t>:</w:t>
      </w:r>
      <w:bookmarkEnd w:id="3"/>
    </w:p>
    <w:p w14:paraId="6BB1F7D3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Arial" w:hAnsi="Arial" w:cs="Arial"/>
        </w:rPr>
      </w:pPr>
      <w:r>
        <w:rPr>
          <w:rFonts w:ascii="Arial" w:hAnsi="宋体" w:cs="Arial"/>
        </w:rPr>
        <w:t>质量方针是由企业负责人</w:t>
      </w:r>
      <w:r>
        <w:rPr>
          <w:rFonts w:hint="eastAsia" w:ascii="Arial" w:hAnsi="宋体" w:cs="Arial"/>
        </w:rPr>
        <w:t>正式</w:t>
      </w:r>
      <w:r>
        <w:rPr>
          <w:rFonts w:ascii="Arial" w:hAnsi="宋体" w:cs="Arial"/>
        </w:rPr>
        <w:t>发布的本企业总的质量宗旨和方向。</w:t>
      </w:r>
    </w:p>
    <w:p w14:paraId="70F9D1F6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质量目标是企业一定时期在质量方面所追求的目</w:t>
      </w:r>
      <w:r>
        <w:rPr>
          <w:rFonts w:hint="eastAsia" w:ascii="Arial" w:hAnsi="宋体" w:cs="Arial"/>
        </w:rPr>
        <w:t>的</w:t>
      </w:r>
      <w:r>
        <w:rPr>
          <w:rFonts w:ascii="Arial" w:hAnsi="宋体" w:cs="Arial"/>
        </w:rPr>
        <w:t>，应与质量方针保持一致。</w:t>
      </w:r>
    </w:p>
    <w:p w14:paraId="5CF6238F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质量目标是可测量的。公司必须在各个相关部门将质量目标逐级分解和展开，以确保最终能得以落实和实现。</w:t>
      </w:r>
    </w:p>
    <w:p w14:paraId="49DACAF9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企业负责人每年年底组织管理者代表和各部门负责人，重新审核质量方针、修订公司的质量总目标，并由企业负责人批准发布。</w:t>
      </w:r>
    </w:p>
    <w:p w14:paraId="62911B60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质量方针和目标的管理程序分为计划、执行、检查、总结改进四个阶段：</w:t>
      </w:r>
    </w:p>
    <w:p w14:paraId="536FC28D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宋体" w:cs="Arial"/>
        </w:rPr>
        <w:t>计划阶段</w:t>
      </w:r>
    </w:p>
    <w:p w14:paraId="4DC64797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宋体" w:cs="Arial"/>
          <w:sz w:val="22"/>
          <w:szCs w:val="22"/>
        </w:rPr>
        <w:t>每年度末，根据企业外部形势，结合本企业的质量工作实际情况，由企业负责人、管理者代表和各部门负责人召开企业质量方针研讨会，提出下年度的质量工作方针和目标</w:t>
      </w:r>
    </w:p>
    <w:p w14:paraId="3CEA737C">
      <w:pPr>
        <w:pStyle w:val="15"/>
        <w:numPr>
          <w:ilvl w:val="2"/>
          <w:numId w:val="1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宋体" w:cs="Arial"/>
          <w:sz w:val="22"/>
          <w:szCs w:val="22"/>
        </w:rPr>
        <w:t>将方针目标的草案进行广泛讨论征求意见，经各部门负责人讨论通过后确定，并予以发布。</w:t>
      </w:r>
    </w:p>
    <w:p w14:paraId="715977AF">
      <w:pPr>
        <w:pStyle w:val="15"/>
        <w:numPr>
          <w:ilvl w:val="2"/>
          <w:numId w:val="1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宋体" w:cs="Arial"/>
          <w:sz w:val="22"/>
          <w:szCs w:val="22"/>
        </w:rPr>
        <w:t>根据企业的方针目标，各部门再进行分解，确定自己的工作目标，并落实实施目标的措施。</w:t>
      </w:r>
    </w:p>
    <w:p w14:paraId="198EA279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Arial" w:hAnsi="Arial" w:cs="Arial"/>
        </w:rPr>
      </w:pPr>
      <w:r>
        <w:rPr>
          <w:rFonts w:ascii="Arial" w:hAnsi="宋体" w:cs="Arial"/>
        </w:rPr>
        <w:t>执行阶段</w:t>
      </w:r>
    </w:p>
    <w:p w14:paraId="3AFCF214">
      <w:pPr>
        <w:pStyle w:val="15"/>
        <w:numPr>
          <w:ilvl w:val="2"/>
          <w:numId w:val="1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宋体" w:cs="Arial"/>
          <w:sz w:val="22"/>
          <w:szCs w:val="22"/>
        </w:rPr>
        <w:t>公司规定各项目标措施开始与完成时间。</w:t>
      </w:r>
    </w:p>
    <w:p w14:paraId="68A90539">
      <w:pPr>
        <w:pStyle w:val="15"/>
        <w:numPr>
          <w:ilvl w:val="2"/>
          <w:numId w:val="1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宋体" w:cs="Arial"/>
          <w:sz w:val="22"/>
          <w:szCs w:val="22"/>
        </w:rPr>
        <w:t>各部门围绕公司下达的目标，制定相应的工作计划和方案。</w:t>
      </w:r>
    </w:p>
    <w:p w14:paraId="36496ABE">
      <w:pPr>
        <w:pStyle w:val="15"/>
        <w:numPr>
          <w:ilvl w:val="2"/>
          <w:numId w:val="1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宋体" w:cs="Arial"/>
          <w:sz w:val="22"/>
          <w:szCs w:val="22"/>
        </w:rPr>
        <w:t>每年末，各部门将目标执行情况上报质量部，对实施过程中的困难和问题采取有效措施，确保各项目标措施按规定完成。</w:t>
      </w:r>
    </w:p>
    <w:p w14:paraId="6239477E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Arial" w:hAnsi="Arial" w:cs="Arial"/>
        </w:rPr>
      </w:pPr>
      <w:r>
        <w:rPr>
          <w:rFonts w:ascii="Arial" w:hAnsi="宋体" w:cs="Arial"/>
        </w:rPr>
        <w:t>检查阶段</w:t>
      </w:r>
    </w:p>
    <w:p w14:paraId="4DBA1CD0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宋体" w:cs="Arial"/>
          <w:sz w:val="22"/>
          <w:szCs w:val="22"/>
        </w:rPr>
        <w:t>质量部负责企业质量方针目标实施情况的日常检查和督促。</w:t>
      </w:r>
    </w:p>
    <w:p w14:paraId="05FDA9C2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宋体" w:cs="Arial"/>
          <w:sz w:val="22"/>
          <w:szCs w:val="22"/>
        </w:rPr>
        <w:t>每年年底，质量部按照《医疗器械监督管理条例》及公司内审制度要求对质量目标和方针内容进行审核</w:t>
      </w:r>
    </w:p>
    <w:p w14:paraId="1A5A4D9B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Arial" w:hAnsi="Arial" w:cs="Arial"/>
        </w:rPr>
      </w:pPr>
      <w:r>
        <w:rPr>
          <w:rFonts w:ascii="Arial" w:hAnsi="宋体" w:cs="Arial"/>
        </w:rPr>
        <w:t>总结改进阶段</w:t>
      </w:r>
    </w:p>
    <w:p w14:paraId="318E60B5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宋体" w:cs="Arial"/>
          <w:sz w:val="22"/>
          <w:szCs w:val="22"/>
        </w:rPr>
        <w:t>公司质量部负责对本年度质量方针目标的实施情况进行总结，认真分析执行过程中存在的问题，对未完成的项目进行分析，找出主观、客观原因。经企业负责人、管理者代表和各部门负责人会议讨论，提出修改意见，作出撤销或结转到下一年的决定。</w:t>
      </w:r>
    </w:p>
    <w:p w14:paraId="1BEDCEA7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宋体" w:cs="Arial"/>
          <w:sz w:val="22"/>
          <w:szCs w:val="22"/>
        </w:rPr>
        <w:t>公司内外环境发生重大变化时，质量部应根据实际情况，提出必要的质量方针改进意见。</w:t>
      </w:r>
    </w:p>
    <w:p w14:paraId="17EC66A2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Arial" w:hAnsi="Arial" w:cs="Arial"/>
        </w:rPr>
      </w:pPr>
      <w:r>
        <w:rPr>
          <w:rFonts w:ascii="Arial" w:hAnsi="宋体" w:cs="Arial"/>
        </w:rPr>
        <w:t>我公司的质量方针：</w:t>
      </w:r>
    </w:p>
    <w:p w14:paraId="0A7D2E15">
      <w:pPr>
        <w:tabs>
          <w:tab w:val="left" w:pos="0"/>
          <w:tab w:val="left" w:pos="1418"/>
        </w:tabs>
        <w:spacing w:line="360" w:lineRule="auto"/>
        <w:ind w:left="1418"/>
        <w:rPr>
          <w:rFonts w:ascii="Arial" w:hAnsi="Arial" w:cs="Arial"/>
        </w:rPr>
      </w:pPr>
      <w:r>
        <w:rPr>
          <w:rFonts w:hint="eastAsia" w:ascii="宋体" w:hAnsi="宋体"/>
          <w:sz w:val="24"/>
          <w:highlight w:val="yellow"/>
        </w:rPr>
        <w:t>“诚信守法 科学严谨 优质高效 追求卓越”</w:t>
      </w:r>
    </w:p>
    <w:p w14:paraId="40AA6EB1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Arial" w:hAnsi="Arial" w:cs="Arial"/>
          <w:sz w:val="22"/>
        </w:rPr>
      </w:pPr>
      <w:r>
        <w:rPr>
          <w:rFonts w:ascii="Arial" w:hAnsi="宋体" w:cs="Arial"/>
          <w:sz w:val="22"/>
        </w:rPr>
        <w:t>我公司的质量目标：</w:t>
      </w:r>
    </w:p>
    <w:p w14:paraId="16F95091">
      <w:pPr>
        <w:tabs>
          <w:tab w:val="left" w:pos="0"/>
          <w:tab w:val="left" w:pos="1418"/>
        </w:tabs>
        <w:spacing w:line="360" w:lineRule="auto"/>
        <w:ind w:left="1418"/>
        <w:rPr>
          <w:rFonts w:ascii="Arial" w:hAnsi="Arial" w:cs="Arial"/>
          <w:sz w:val="22"/>
          <w:highlight w:val="yellow"/>
        </w:rPr>
      </w:pPr>
      <w:r>
        <w:rPr>
          <w:rFonts w:hint="eastAsia" w:ascii="Arial" w:hAnsi="Arial" w:cs="Arial"/>
          <w:sz w:val="22"/>
          <w:highlight w:val="yellow"/>
        </w:rPr>
        <w:t xml:space="preserve">成品交验合格率达到 98％；      </w:t>
      </w:r>
    </w:p>
    <w:p w14:paraId="4B3FCE3B">
      <w:pPr>
        <w:tabs>
          <w:tab w:val="left" w:pos="0"/>
          <w:tab w:val="left" w:pos="1418"/>
        </w:tabs>
        <w:spacing w:line="360" w:lineRule="auto"/>
        <w:ind w:left="1418"/>
        <w:rPr>
          <w:rFonts w:ascii="Arial" w:hAnsi="Arial" w:cs="Arial"/>
          <w:sz w:val="22"/>
        </w:rPr>
      </w:pPr>
      <w:r>
        <w:rPr>
          <w:rFonts w:hint="eastAsia" w:ascii="Arial" w:hAnsi="Arial" w:cs="Arial"/>
          <w:sz w:val="22"/>
          <w:highlight w:val="yellow"/>
        </w:rPr>
        <w:t>顾客满意度达到9</w:t>
      </w:r>
      <w:r>
        <w:rPr>
          <w:rFonts w:ascii="Arial" w:hAnsi="Arial" w:cs="Arial"/>
          <w:sz w:val="22"/>
          <w:highlight w:val="yellow"/>
        </w:rPr>
        <w:t>5</w:t>
      </w:r>
      <w:r>
        <w:rPr>
          <w:rFonts w:hint="eastAsia" w:ascii="Arial" w:hAnsi="Arial" w:cs="Arial"/>
          <w:sz w:val="22"/>
          <w:highlight w:val="yellow"/>
        </w:rPr>
        <w:t>％；</w:t>
      </w:r>
    </w:p>
    <w:p w14:paraId="7042B4FB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宋体" w:cs="Arial"/>
          <w:b/>
          <w:bCs/>
          <w:sz w:val="22"/>
          <w:szCs w:val="22"/>
        </w:rPr>
        <w:t>相关文件</w:t>
      </w:r>
    </w:p>
    <w:p w14:paraId="3BF74734">
      <w:pPr>
        <w:tabs>
          <w:tab w:val="left" w:pos="709"/>
        </w:tabs>
        <w:spacing w:line="360" w:lineRule="auto"/>
        <w:ind w:left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宋体" w:cs="Arial"/>
          <w:b/>
          <w:bCs/>
          <w:sz w:val="22"/>
          <w:szCs w:val="22"/>
        </w:rPr>
        <w:t>无</w:t>
      </w:r>
    </w:p>
    <w:p w14:paraId="724E4E1C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宋体" w:cs="Arial"/>
          <w:b/>
          <w:bCs/>
          <w:sz w:val="22"/>
          <w:szCs w:val="22"/>
        </w:rPr>
        <w:t>相关记录</w:t>
      </w:r>
    </w:p>
    <w:p w14:paraId="249EEAAE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QA-FM-037  </w:t>
      </w:r>
      <w:r>
        <w:rPr>
          <w:rFonts w:ascii="Arial" w:hAnsi="宋体" w:cs="Arial"/>
        </w:rPr>
        <w:t>《质量目标分解表》</w:t>
      </w:r>
    </w:p>
    <w:p w14:paraId="6593D610">
      <w:pPr>
        <w:tabs>
          <w:tab w:val="left" w:pos="0"/>
          <w:tab w:val="left" w:pos="1418"/>
        </w:tabs>
        <w:spacing w:line="360" w:lineRule="auto"/>
        <w:ind w:left="1418"/>
        <w:rPr>
          <w:rFonts w:ascii="Arial" w:hAnsi="Arial" w:cs="Arial"/>
        </w:rPr>
      </w:pPr>
    </w:p>
    <w:p w14:paraId="24400E05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2F9A298A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20884F87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0" w:h="15840"/>
      <w:pgMar w:top="1440" w:right="1440" w:bottom="1440" w:left="1440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624F7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FC011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pPr w:leftFromText="180" w:rightFromText="180" w:vertAnchor="text" w:horzAnchor="page" w:tblpXSpec="center" w:tblpY="125"/>
      <w:tblW w:w="9242" w:type="dxa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42"/>
    </w:tblGrid>
    <w:tr w14:paraId="51CA7D16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242" w:type="dxa"/>
          <w:shd w:val="clear" w:color="auto" w:fill="auto"/>
        </w:tcPr>
        <w:p w14:paraId="12724A52">
          <w:pPr>
            <w:tabs>
              <w:tab w:val="left" w:pos="709"/>
            </w:tabs>
            <w:rPr>
              <w:rFonts w:ascii="Cambria" w:hAnsi="Cambria"/>
              <w:sz w:val="20"/>
            </w:rPr>
          </w:pPr>
        </w:p>
      </w:tc>
    </w:tr>
  </w:tbl>
  <w:p w14:paraId="7625CF34">
    <w:pPr>
      <w:pStyle w:val="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498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62"/>
      <w:gridCol w:w="5379"/>
      <w:gridCol w:w="1418"/>
      <w:gridCol w:w="2139"/>
    </w:tblGrid>
    <w:tr w14:paraId="18F506BC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50" w:hRule="atLeast"/>
        <w:jc w:val="center"/>
      </w:trPr>
      <w:tc>
        <w:tcPr>
          <w:tcW w:w="1562" w:type="dxa"/>
          <w:vMerge w:val="restart"/>
          <w:tcBorders>
            <w:right w:val="single" w:color="auto" w:sz="4" w:space="0"/>
          </w:tcBorders>
          <w:vAlign w:val="center"/>
        </w:tcPr>
        <w:p w14:paraId="22337FB9">
          <w:pPr>
            <w:tabs>
              <w:tab w:val="left" w:pos="461"/>
            </w:tabs>
            <w:jc w:val="center"/>
            <w:rPr>
              <w:b/>
              <w:lang w:val="zh-CN"/>
            </w:rPr>
          </w:pPr>
        </w:p>
      </w:tc>
      <w:tc>
        <w:tcPr>
          <w:tcW w:w="5379" w:type="dxa"/>
          <w:vMerge w:val="restart"/>
          <w:tcBorders>
            <w:left w:val="single" w:color="auto" w:sz="4" w:space="0"/>
          </w:tcBorders>
          <w:vAlign w:val="center"/>
        </w:tcPr>
        <w:p w14:paraId="512C2288">
          <w:pPr>
            <w:widowControl/>
            <w:tabs>
              <w:tab w:val="left" w:pos="1920"/>
            </w:tabs>
            <w:spacing w:line="460" w:lineRule="exact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医疗器械质量方针和质量目标管理制度</w:t>
          </w:r>
        </w:p>
      </w:tc>
      <w:tc>
        <w:tcPr>
          <w:tcW w:w="1418" w:type="dxa"/>
          <w:vAlign w:val="center"/>
        </w:tcPr>
        <w:p w14:paraId="7EA343C4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:</w:t>
          </w:r>
        </w:p>
      </w:tc>
      <w:tc>
        <w:tcPr>
          <w:tcW w:w="2139" w:type="dxa"/>
          <w:vAlign w:val="center"/>
        </w:tcPr>
        <w:p w14:paraId="1A60C6FE">
          <w:pPr>
            <w:jc w:val="center"/>
            <w:rPr>
              <w:sz w:val="20"/>
            </w:rPr>
          </w:pPr>
          <w:r>
            <w:rPr>
              <w:sz w:val="20"/>
            </w:rPr>
            <w:t>QA-RG-0</w:t>
          </w:r>
          <w:r>
            <w:rPr>
              <w:rFonts w:hint="eastAsia"/>
              <w:sz w:val="20"/>
            </w:rPr>
            <w:t>0</w:t>
          </w:r>
          <w:r>
            <w:rPr>
              <w:sz w:val="20"/>
            </w:rPr>
            <w:t>1</w:t>
          </w:r>
        </w:p>
      </w:tc>
    </w:tr>
    <w:tr w14:paraId="2A2F21F9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05951818">
          <w:pPr>
            <w:jc w:val="center"/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19F40605">
          <w:pPr>
            <w:jc w:val="center"/>
          </w:pPr>
        </w:p>
      </w:tc>
      <w:tc>
        <w:tcPr>
          <w:tcW w:w="1418" w:type="dxa"/>
          <w:vAlign w:val="center"/>
        </w:tcPr>
        <w:p w14:paraId="6D35E554">
          <w:pPr>
            <w:pStyle w:val="2"/>
            <w:jc w:val="center"/>
            <w:rPr>
              <w:rFonts w:ascii="Times New Roman" w:hAnsi="Times New Roman" w:eastAsiaTheme="minorEastAsia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</w:t>
          </w:r>
        </w:p>
      </w:tc>
      <w:tc>
        <w:tcPr>
          <w:tcW w:w="2139" w:type="dxa"/>
          <w:vAlign w:val="center"/>
        </w:tcPr>
        <w:p w14:paraId="391D091F">
          <w:pPr>
            <w:jc w:val="center"/>
            <w:rPr>
              <w:sz w:val="20"/>
            </w:rPr>
          </w:pPr>
          <w:r>
            <w:rPr>
              <w:sz w:val="20"/>
            </w:rPr>
            <w:t>01</w:t>
          </w:r>
        </w:p>
      </w:tc>
    </w:tr>
    <w:tr w14:paraId="1B69885E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086F64CA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47D6AF08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1418" w:type="dxa"/>
          <w:vAlign w:val="center"/>
        </w:tcPr>
        <w:p w14:paraId="79039BD3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9" w:type="dxa"/>
          <w:vAlign w:val="center"/>
        </w:tcPr>
        <w:p w14:paraId="06AB4429">
          <w:pPr>
            <w:jc w:val="center"/>
          </w:pPr>
          <w:r>
            <w:rPr>
              <w:rFonts w:hint="eastAsia"/>
            </w:rPr>
            <w:t>2020年02月01日</w:t>
          </w:r>
        </w:p>
      </w:tc>
    </w:tr>
    <w:tr w14:paraId="3E8A6A09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8" w:hRule="atLeast"/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69FD321B">
          <w:pPr>
            <w:jc w:val="center"/>
            <w:rPr>
              <w:b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1F6E3C94">
          <w:pPr>
            <w:jc w:val="center"/>
            <w:rPr>
              <w:b/>
            </w:rPr>
          </w:pPr>
        </w:p>
      </w:tc>
      <w:tc>
        <w:tcPr>
          <w:tcW w:w="1418" w:type="dxa"/>
          <w:vAlign w:val="center"/>
        </w:tcPr>
        <w:p w14:paraId="7C19AC78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39" w:type="dxa"/>
          <w:vAlign w:val="center"/>
        </w:tcPr>
        <w:p w14:paraId="1CC44385">
          <w:pPr>
            <w:jc w:val="center"/>
            <w:rPr>
              <w:sz w:val="20"/>
            </w:rPr>
          </w:pPr>
          <w:r>
            <w:rPr>
              <w:sz w:val="22"/>
              <w:szCs w:val="22"/>
            </w:rPr>
            <w:t>第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Arabic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</w:tbl>
  <w:p w14:paraId="304510C4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D817C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486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58"/>
      <w:gridCol w:w="5377"/>
      <w:gridCol w:w="1415"/>
      <w:gridCol w:w="555"/>
      <w:gridCol w:w="1170"/>
      <w:gridCol w:w="411"/>
    </w:tblGrid>
    <w:tr w14:paraId="2CF6679F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03" w:hRule="atLeast"/>
        <w:jc w:val="center"/>
      </w:trPr>
      <w:tc>
        <w:tcPr>
          <w:tcW w:w="1558" w:type="dxa"/>
          <w:vMerge w:val="restart"/>
          <w:tcBorders>
            <w:right w:val="single" w:color="auto" w:sz="4" w:space="0"/>
          </w:tcBorders>
          <w:vAlign w:val="center"/>
        </w:tcPr>
        <w:p w14:paraId="25522D33">
          <w:pPr>
            <w:jc w:val="center"/>
          </w:pPr>
          <w:bookmarkStart w:id="4" w:name="_Hlk489625929"/>
        </w:p>
      </w:tc>
      <w:tc>
        <w:tcPr>
          <w:tcW w:w="5377" w:type="dxa"/>
          <w:vMerge w:val="restart"/>
          <w:tcBorders>
            <w:left w:val="single" w:color="auto" w:sz="4" w:space="0"/>
          </w:tcBorders>
          <w:vAlign w:val="center"/>
        </w:tcPr>
        <w:p w14:paraId="6ACC3082">
          <w:pPr>
            <w:widowControl/>
            <w:tabs>
              <w:tab w:val="left" w:pos="1920"/>
            </w:tabs>
            <w:spacing w:line="460" w:lineRule="exact"/>
            <w:jc w:val="center"/>
            <w:rPr>
              <w:rFonts w:eastAsiaTheme="minorEastAsia"/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医疗器械质量方针和质量目标</w:t>
          </w:r>
        </w:p>
        <w:p w14:paraId="2108BC99">
          <w:pPr>
            <w:widowControl/>
            <w:tabs>
              <w:tab w:val="left" w:pos="1920"/>
            </w:tabs>
            <w:spacing w:line="460" w:lineRule="exact"/>
            <w:jc w:val="center"/>
            <w:rPr>
              <w:sz w:val="28"/>
              <w:szCs w:val="28"/>
            </w:rPr>
          </w:pPr>
          <w:r>
            <w:rPr>
              <w:b/>
              <w:sz w:val="32"/>
              <w:szCs w:val="32"/>
            </w:rPr>
            <w:t>管理制度</w:t>
          </w:r>
        </w:p>
      </w:tc>
      <w:tc>
        <w:tcPr>
          <w:tcW w:w="1415" w:type="dxa"/>
          <w:vAlign w:val="center"/>
        </w:tcPr>
        <w:p w14:paraId="2F842FCC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</w:p>
      </w:tc>
      <w:tc>
        <w:tcPr>
          <w:tcW w:w="2136" w:type="dxa"/>
          <w:gridSpan w:val="3"/>
          <w:vAlign w:val="center"/>
        </w:tcPr>
        <w:p w14:paraId="42889C7A">
          <w:pPr>
            <w:jc w:val="center"/>
            <w:rPr>
              <w:sz w:val="20"/>
            </w:rPr>
          </w:pPr>
          <w:r>
            <w:rPr>
              <w:sz w:val="20"/>
            </w:rPr>
            <w:t>QA-RG-0</w:t>
          </w:r>
          <w:r>
            <w:rPr>
              <w:rFonts w:hint="eastAsia"/>
              <w:sz w:val="20"/>
            </w:rPr>
            <w:t>0</w:t>
          </w:r>
          <w:r>
            <w:rPr>
              <w:sz w:val="20"/>
            </w:rPr>
            <w:t>1</w:t>
          </w:r>
        </w:p>
      </w:tc>
    </w:tr>
    <w:tr w14:paraId="0521A203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  <w:jc w:val="center"/>
      </w:trPr>
      <w:tc>
        <w:tcPr>
          <w:tcW w:w="1558" w:type="dxa"/>
          <w:vMerge w:val="continue"/>
          <w:tcBorders>
            <w:right w:val="single" w:color="auto" w:sz="4" w:space="0"/>
          </w:tcBorders>
          <w:vAlign w:val="center"/>
        </w:tcPr>
        <w:p w14:paraId="5C7162C5">
          <w:pPr>
            <w:jc w:val="center"/>
            <w:rPr>
              <w:b/>
            </w:rPr>
          </w:pPr>
        </w:p>
      </w:tc>
      <w:tc>
        <w:tcPr>
          <w:tcW w:w="5377" w:type="dxa"/>
          <w:vMerge w:val="continue"/>
          <w:tcBorders>
            <w:left w:val="single" w:color="auto" w:sz="4" w:space="0"/>
          </w:tcBorders>
          <w:vAlign w:val="center"/>
        </w:tcPr>
        <w:p w14:paraId="68B77921">
          <w:pPr>
            <w:jc w:val="center"/>
            <w:rPr>
              <w:b/>
            </w:rPr>
          </w:pPr>
        </w:p>
      </w:tc>
      <w:tc>
        <w:tcPr>
          <w:tcW w:w="1415" w:type="dxa"/>
          <w:vAlign w:val="center"/>
        </w:tcPr>
        <w:p w14:paraId="01D2524A">
          <w:pPr>
            <w:pStyle w:val="2"/>
            <w:jc w:val="center"/>
            <w:rPr>
              <w:rFonts w:ascii="Times New Roman" w:hAnsi="Times New Roman" w:eastAsiaTheme="minorEastAsia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</w:t>
          </w:r>
        </w:p>
      </w:tc>
      <w:tc>
        <w:tcPr>
          <w:tcW w:w="555" w:type="dxa"/>
          <w:vAlign w:val="center"/>
        </w:tcPr>
        <w:p w14:paraId="26C68F9E">
          <w:pPr>
            <w:jc w:val="center"/>
            <w:rPr>
              <w:sz w:val="20"/>
            </w:rPr>
          </w:pPr>
          <w:r>
            <w:rPr>
              <w:sz w:val="20"/>
            </w:rPr>
            <w:t>01</w:t>
          </w:r>
        </w:p>
      </w:tc>
      <w:tc>
        <w:tcPr>
          <w:tcW w:w="1170" w:type="dxa"/>
          <w:vAlign w:val="center"/>
        </w:tcPr>
        <w:p w14:paraId="7FA5730A">
          <w:pPr>
            <w:jc w:val="center"/>
            <w:rPr>
              <w:rFonts w:ascii="宋体" w:hAnsi="宋体"/>
            </w:rPr>
          </w:pPr>
          <w:r>
            <w:rPr>
              <w:rFonts w:hint="eastAsia" w:ascii="宋体" w:hAnsi="宋体"/>
              <w:sz w:val="22"/>
            </w:rPr>
            <w:t>修改次数</w:t>
          </w:r>
        </w:p>
      </w:tc>
      <w:tc>
        <w:tcPr>
          <w:tcW w:w="411" w:type="dxa"/>
          <w:vAlign w:val="center"/>
        </w:tcPr>
        <w:p w14:paraId="561D4C70">
          <w:pPr>
            <w:jc w:val="center"/>
            <w:rPr>
              <w:rFonts w:ascii="宋体" w:hAnsi="宋体"/>
              <w:sz w:val="20"/>
            </w:rPr>
          </w:pPr>
          <w:r>
            <w:rPr>
              <w:rFonts w:ascii="宋体" w:hAnsi="宋体"/>
              <w:sz w:val="20"/>
            </w:rPr>
            <w:t>0</w:t>
          </w:r>
        </w:p>
      </w:tc>
    </w:tr>
    <w:tr w14:paraId="455DA8F1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5" w:hRule="atLeast"/>
        <w:jc w:val="center"/>
      </w:trPr>
      <w:tc>
        <w:tcPr>
          <w:tcW w:w="1558" w:type="dxa"/>
          <w:tcBorders>
            <w:right w:val="single" w:color="auto" w:sz="4" w:space="0"/>
          </w:tcBorders>
          <w:vAlign w:val="center"/>
        </w:tcPr>
        <w:p w14:paraId="4D3BF5D6">
          <w:pPr>
            <w:jc w:val="left"/>
            <w:rPr>
              <w:lang w:eastAsia="zh-HK"/>
            </w:rPr>
          </w:pPr>
          <w:r>
            <w:rPr>
              <w:sz w:val="22"/>
              <w:szCs w:val="22"/>
            </w:rPr>
            <w:t>编制/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tcBorders>
            <w:bottom w:val="single" w:color="auto" w:sz="4" w:space="0"/>
          </w:tcBorders>
          <w:vAlign w:val="center"/>
        </w:tcPr>
        <w:p w14:paraId="63528EC7">
          <w:pPr>
            <w:jc w:val="left"/>
          </w:pPr>
        </w:p>
      </w:tc>
      <w:tc>
        <w:tcPr>
          <w:tcW w:w="1415" w:type="dxa"/>
          <w:tcBorders>
            <w:bottom w:val="single" w:color="auto" w:sz="4" w:space="0"/>
          </w:tcBorders>
          <w:vAlign w:val="center"/>
        </w:tcPr>
        <w:p w14:paraId="4207BB7E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6" w:type="dxa"/>
          <w:gridSpan w:val="3"/>
          <w:tcBorders>
            <w:bottom w:val="single" w:color="auto" w:sz="4" w:space="0"/>
          </w:tcBorders>
          <w:vAlign w:val="center"/>
        </w:tcPr>
        <w:p w14:paraId="6B6E5659">
          <w:pPr>
            <w:jc w:val="center"/>
            <w:rPr>
              <w:sz w:val="20"/>
            </w:rPr>
          </w:pPr>
          <w:r>
            <w:rPr>
              <w:rFonts w:hint="eastAsia"/>
            </w:rPr>
            <w:t>20</w:t>
          </w:r>
          <w:r>
            <w:t>20</w:t>
          </w:r>
          <w:r>
            <w:rPr>
              <w:rFonts w:hint="eastAsia"/>
            </w:rPr>
            <w:t>年</w:t>
          </w:r>
          <w:r>
            <w:rPr>
              <w:rFonts w:eastAsiaTheme="minorEastAsia"/>
            </w:rPr>
            <w:t>02</w:t>
          </w:r>
          <w:r>
            <w:rPr>
              <w:rFonts w:hint="eastAsia" w:eastAsiaTheme="minorEastAsia"/>
            </w:rPr>
            <w:t>月1</w:t>
          </w:r>
          <w:r>
            <w:rPr>
              <w:rFonts w:eastAsiaTheme="minorEastAsia"/>
            </w:rPr>
            <w:t>9</w:t>
          </w:r>
          <w:r>
            <w:rPr>
              <w:rFonts w:hint="eastAsia" w:eastAsiaTheme="minorEastAsia"/>
            </w:rPr>
            <w:t>日</w:t>
          </w:r>
        </w:p>
      </w:tc>
    </w:tr>
    <w:tr w14:paraId="7E29A77E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9" w:hRule="atLeast"/>
        <w:jc w:val="center"/>
      </w:trPr>
      <w:tc>
        <w:tcPr>
          <w:tcW w:w="1558" w:type="dxa"/>
          <w:vAlign w:val="center"/>
        </w:tcPr>
        <w:p w14:paraId="1D843AC2">
          <w:pPr>
            <w:jc w:val="left"/>
          </w:pPr>
          <w:r>
            <w:rPr>
              <w:sz w:val="22"/>
              <w:szCs w:val="22"/>
            </w:rPr>
            <w:t>审核/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vAlign w:val="center"/>
        </w:tcPr>
        <w:p w14:paraId="7CD10743">
          <w:pPr>
            <w:jc w:val="left"/>
          </w:pPr>
        </w:p>
      </w:tc>
      <w:tc>
        <w:tcPr>
          <w:tcW w:w="1415" w:type="dxa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65E40918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36" w:type="dxa"/>
          <w:gridSpan w:val="3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2735993F">
          <w:pPr>
            <w:jc w:val="center"/>
            <w:rPr>
              <w:sz w:val="20"/>
            </w:rPr>
          </w:pPr>
          <w:r>
            <w:rPr>
              <w:sz w:val="22"/>
              <w:szCs w:val="22"/>
            </w:rPr>
            <w:t>第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Arabic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  <w:tr w14:paraId="1CE5F27A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3" w:hRule="atLeast"/>
        <w:jc w:val="center"/>
      </w:trPr>
      <w:tc>
        <w:tcPr>
          <w:tcW w:w="1558" w:type="dxa"/>
          <w:vAlign w:val="center"/>
        </w:tcPr>
        <w:p w14:paraId="4BDD1F62">
          <w:pPr>
            <w:jc w:val="left"/>
            <w:rPr>
              <w:lang w:eastAsia="zh-HK"/>
            </w:rPr>
          </w:pPr>
          <w:r>
            <w:rPr>
              <w:sz w:val="22"/>
              <w:szCs w:val="22"/>
            </w:rPr>
            <w:t>批准/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vAlign w:val="center"/>
        </w:tcPr>
        <w:p w14:paraId="15B74818">
          <w:pPr>
            <w:jc w:val="left"/>
          </w:pPr>
        </w:p>
      </w:tc>
      <w:tc>
        <w:tcPr>
          <w:tcW w:w="1415" w:type="dxa"/>
          <w:tcBorders>
            <w:top w:val="single" w:color="auto" w:sz="4" w:space="0"/>
          </w:tcBorders>
          <w:vAlign w:val="center"/>
        </w:tcPr>
        <w:p w14:paraId="5DF94911">
          <w:pPr>
            <w:jc w:val="center"/>
          </w:pPr>
          <w:r>
            <w:rPr>
              <w:sz w:val="22"/>
              <w:szCs w:val="22"/>
            </w:rPr>
            <w:t>受控状态</w:t>
          </w:r>
        </w:p>
      </w:tc>
      <w:tc>
        <w:tcPr>
          <w:tcW w:w="2136" w:type="dxa"/>
          <w:gridSpan w:val="3"/>
          <w:tcBorders>
            <w:top w:val="single" w:color="auto" w:sz="4" w:space="0"/>
          </w:tcBorders>
          <w:vAlign w:val="center"/>
        </w:tcPr>
        <w:p w14:paraId="59DF6B07">
          <w:pPr>
            <w:jc w:val="center"/>
          </w:pPr>
          <w:r>
            <w:rPr>
              <w:szCs w:val="22"/>
            </w:rPr>
            <w:t>受控</w:t>
          </w:r>
        </w:p>
      </w:tc>
    </w:tr>
    <w:bookmarkEnd w:id="4"/>
  </w:tbl>
  <w:p w14:paraId="048F714D">
    <w:pPr>
      <w:pStyle w:val="7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C550F"/>
    <w:multiLevelType w:val="multilevel"/>
    <w:tmpl w:val="377C550F"/>
    <w:lvl w:ilvl="0" w:tentative="0">
      <w:start w:val="1"/>
      <w:numFmt w:val="decimal"/>
      <w:lvlText w:val="%1.0"/>
      <w:lvlJc w:val="left"/>
      <w:pPr>
        <w:ind w:left="1789" w:hanging="360"/>
      </w:pPr>
      <w:rPr>
        <w:rFonts w:hint="default" w:ascii="宋体" w:hAnsi="宋体" w:eastAsia="宋体"/>
        <w:b/>
        <w:sz w:val="22"/>
        <w:lang w:val="en-GB"/>
      </w:rPr>
    </w:lvl>
    <w:lvl w:ilvl="1" w:tentative="0">
      <w:start w:val="1"/>
      <w:numFmt w:val="decimal"/>
      <w:lvlText w:val="%1.%2"/>
      <w:lvlJc w:val="left"/>
      <w:pPr>
        <w:ind w:left="2209" w:hanging="360"/>
      </w:pPr>
      <w:rPr>
        <w:rFonts w:hint="default" w:ascii="宋体" w:hAnsi="宋体" w:eastAsia="宋体"/>
        <w:b w:val="0"/>
        <w:sz w:val="22"/>
        <w:szCs w:val="22"/>
      </w:rPr>
    </w:lvl>
    <w:lvl w:ilvl="2" w:tentative="0">
      <w:start w:val="1"/>
      <w:numFmt w:val="decimal"/>
      <w:lvlText w:val="%1.%2.%3"/>
      <w:lvlJc w:val="left"/>
      <w:pPr>
        <w:ind w:left="1980" w:hanging="720"/>
      </w:pPr>
      <w:rPr>
        <w:rFonts w:hint="default" w:ascii="宋体" w:hAnsi="宋体" w:eastAsia="宋体" w:cs="Arial"/>
        <w:b w:val="0"/>
        <w:sz w:val="22"/>
      </w:rPr>
    </w:lvl>
    <w:lvl w:ilvl="3" w:tentative="0">
      <w:start w:val="1"/>
      <w:numFmt w:val="decimal"/>
      <w:lvlText w:val="%1.%2.%3.%4."/>
      <w:lvlJc w:val="left"/>
      <w:pPr>
        <w:ind w:left="3769" w:hanging="1080"/>
      </w:pPr>
      <w:rPr>
        <w:rFonts w:hint="default" w:ascii="宋体" w:hAnsi="宋体" w:eastAsia="宋体" w:cs="Arial"/>
      </w:rPr>
    </w:lvl>
    <w:lvl w:ilvl="4" w:tentative="0">
      <w:start w:val="1"/>
      <w:numFmt w:val="lowerLetter"/>
      <w:lvlText w:val="%5."/>
      <w:lvlJc w:val="left"/>
      <w:pPr>
        <w:ind w:left="4189" w:hanging="1080"/>
      </w:pPr>
      <w:rPr>
        <w:rFonts w:hint="default" w:ascii="Arial" w:hAnsi="Arial" w:eastAsia="PMingLiU" w:cs="Arial"/>
      </w:rPr>
    </w:lvl>
    <w:lvl w:ilvl="5" w:tentative="0">
      <w:start w:val="1"/>
      <w:numFmt w:val="decimal"/>
      <w:lvlText w:val="%1.%2.%3.%4.%5.%6"/>
      <w:lvlJc w:val="left"/>
      <w:pPr>
        <w:ind w:left="4969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5389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6169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65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12707"/>
    <w:rsid w:val="00005EB8"/>
    <w:rsid w:val="00011509"/>
    <w:rsid w:val="00033F9E"/>
    <w:rsid w:val="00037C71"/>
    <w:rsid w:val="000437F5"/>
    <w:rsid w:val="000508A1"/>
    <w:rsid w:val="000546B6"/>
    <w:rsid w:val="000566AC"/>
    <w:rsid w:val="000622BC"/>
    <w:rsid w:val="0006596D"/>
    <w:rsid w:val="0007577B"/>
    <w:rsid w:val="000901DF"/>
    <w:rsid w:val="00093A75"/>
    <w:rsid w:val="00095DE9"/>
    <w:rsid w:val="000A0AFC"/>
    <w:rsid w:val="000C2C7E"/>
    <w:rsid w:val="000C3E3B"/>
    <w:rsid w:val="000C6787"/>
    <w:rsid w:val="000F5249"/>
    <w:rsid w:val="000F7932"/>
    <w:rsid w:val="000F7A88"/>
    <w:rsid w:val="000F7FEC"/>
    <w:rsid w:val="00121066"/>
    <w:rsid w:val="00131552"/>
    <w:rsid w:val="00133477"/>
    <w:rsid w:val="00153CBD"/>
    <w:rsid w:val="001849B4"/>
    <w:rsid w:val="00196840"/>
    <w:rsid w:val="001A03E9"/>
    <w:rsid w:val="001A111B"/>
    <w:rsid w:val="001B054E"/>
    <w:rsid w:val="001B1494"/>
    <w:rsid w:val="001B2DA0"/>
    <w:rsid w:val="001D03FE"/>
    <w:rsid w:val="001D22E3"/>
    <w:rsid w:val="001D75F1"/>
    <w:rsid w:val="001E6B14"/>
    <w:rsid w:val="001F21AF"/>
    <w:rsid w:val="001F68C6"/>
    <w:rsid w:val="00205D30"/>
    <w:rsid w:val="00214FC3"/>
    <w:rsid w:val="002200D3"/>
    <w:rsid w:val="002403C0"/>
    <w:rsid w:val="00240898"/>
    <w:rsid w:val="00244DDA"/>
    <w:rsid w:val="00245ED1"/>
    <w:rsid w:val="002515CA"/>
    <w:rsid w:val="00251F12"/>
    <w:rsid w:val="00255F32"/>
    <w:rsid w:val="002653C0"/>
    <w:rsid w:val="00266C76"/>
    <w:rsid w:val="0027440C"/>
    <w:rsid w:val="00280AC4"/>
    <w:rsid w:val="00284EC9"/>
    <w:rsid w:val="00286F70"/>
    <w:rsid w:val="002875EB"/>
    <w:rsid w:val="00297513"/>
    <w:rsid w:val="002B6F67"/>
    <w:rsid w:val="002C0FC6"/>
    <w:rsid w:val="002C1478"/>
    <w:rsid w:val="002F2FC0"/>
    <w:rsid w:val="00303F87"/>
    <w:rsid w:val="00313BCC"/>
    <w:rsid w:val="00332C36"/>
    <w:rsid w:val="00334298"/>
    <w:rsid w:val="00347BD9"/>
    <w:rsid w:val="00361C94"/>
    <w:rsid w:val="0036433E"/>
    <w:rsid w:val="0038751A"/>
    <w:rsid w:val="003927BC"/>
    <w:rsid w:val="003C752B"/>
    <w:rsid w:val="003D384C"/>
    <w:rsid w:val="003D555D"/>
    <w:rsid w:val="003E273A"/>
    <w:rsid w:val="0040686F"/>
    <w:rsid w:val="00412719"/>
    <w:rsid w:val="00414551"/>
    <w:rsid w:val="00416532"/>
    <w:rsid w:val="00416B11"/>
    <w:rsid w:val="004214BE"/>
    <w:rsid w:val="00423F19"/>
    <w:rsid w:val="00431F7A"/>
    <w:rsid w:val="00447ECD"/>
    <w:rsid w:val="004841EE"/>
    <w:rsid w:val="0048621C"/>
    <w:rsid w:val="00497C2C"/>
    <w:rsid w:val="004A218D"/>
    <w:rsid w:val="004C3C1F"/>
    <w:rsid w:val="004C6221"/>
    <w:rsid w:val="004C6D60"/>
    <w:rsid w:val="004C70E4"/>
    <w:rsid w:val="004D6624"/>
    <w:rsid w:val="004F228A"/>
    <w:rsid w:val="004F2CD9"/>
    <w:rsid w:val="004F35F6"/>
    <w:rsid w:val="004F44E1"/>
    <w:rsid w:val="004F5BF5"/>
    <w:rsid w:val="00507256"/>
    <w:rsid w:val="005072DD"/>
    <w:rsid w:val="005172E4"/>
    <w:rsid w:val="00532A6F"/>
    <w:rsid w:val="00534135"/>
    <w:rsid w:val="0053448C"/>
    <w:rsid w:val="005427AF"/>
    <w:rsid w:val="00554A69"/>
    <w:rsid w:val="00556451"/>
    <w:rsid w:val="00556DF7"/>
    <w:rsid w:val="00560CB9"/>
    <w:rsid w:val="00576701"/>
    <w:rsid w:val="005802B2"/>
    <w:rsid w:val="00587298"/>
    <w:rsid w:val="005A105B"/>
    <w:rsid w:val="005A34DD"/>
    <w:rsid w:val="005A72EA"/>
    <w:rsid w:val="005B3CC2"/>
    <w:rsid w:val="005B58C7"/>
    <w:rsid w:val="005D3DDA"/>
    <w:rsid w:val="005D4FC6"/>
    <w:rsid w:val="005E4724"/>
    <w:rsid w:val="005F6765"/>
    <w:rsid w:val="005F76E9"/>
    <w:rsid w:val="006004CE"/>
    <w:rsid w:val="006076EA"/>
    <w:rsid w:val="006118D1"/>
    <w:rsid w:val="006123F7"/>
    <w:rsid w:val="006136C0"/>
    <w:rsid w:val="0061490E"/>
    <w:rsid w:val="00615CF6"/>
    <w:rsid w:val="006307CE"/>
    <w:rsid w:val="006334EF"/>
    <w:rsid w:val="00633DC0"/>
    <w:rsid w:val="0065667F"/>
    <w:rsid w:val="00660700"/>
    <w:rsid w:val="00661863"/>
    <w:rsid w:val="00664881"/>
    <w:rsid w:val="00666262"/>
    <w:rsid w:val="006707BA"/>
    <w:rsid w:val="006709E2"/>
    <w:rsid w:val="00677BB1"/>
    <w:rsid w:val="0068156C"/>
    <w:rsid w:val="006849FC"/>
    <w:rsid w:val="006A2A6F"/>
    <w:rsid w:val="006B0E20"/>
    <w:rsid w:val="006C500C"/>
    <w:rsid w:val="006E4313"/>
    <w:rsid w:val="007152D5"/>
    <w:rsid w:val="00715EA3"/>
    <w:rsid w:val="00744415"/>
    <w:rsid w:val="007476D8"/>
    <w:rsid w:val="007722F0"/>
    <w:rsid w:val="007829FF"/>
    <w:rsid w:val="00785BE2"/>
    <w:rsid w:val="007877BC"/>
    <w:rsid w:val="00793B92"/>
    <w:rsid w:val="00795997"/>
    <w:rsid w:val="0079736C"/>
    <w:rsid w:val="007B211D"/>
    <w:rsid w:val="007B5C07"/>
    <w:rsid w:val="007B6DE9"/>
    <w:rsid w:val="007C29E7"/>
    <w:rsid w:val="007D105F"/>
    <w:rsid w:val="007E1B4C"/>
    <w:rsid w:val="007E608D"/>
    <w:rsid w:val="007F20CC"/>
    <w:rsid w:val="007F3BF7"/>
    <w:rsid w:val="00802148"/>
    <w:rsid w:val="00803259"/>
    <w:rsid w:val="00825130"/>
    <w:rsid w:val="00830618"/>
    <w:rsid w:val="00833520"/>
    <w:rsid w:val="00842628"/>
    <w:rsid w:val="00860223"/>
    <w:rsid w:val="0086139E"/>
    <w:rsid w:val="00862D06"/>
    <w:rsid w:val="008743CB"/>
    <w:rsid w:val="0088239F"/>
    <w:rsid w:val="00884D81"/>
    <w:rsid w:val="008975EF"/>
    <w:rsid w:val="008A0137"/>
    <w:rsid w:val="008A472F"/>
    <w:rsid w:val="008B4A01"/>
    <w:rsid w:val="008C19BF"/>
    <w:rsid w:val="008D2FC7"/>
    <w:rsid w:val="008D76CA"/>
    <w:rsid w:val="008E77FC"/>
    <w:rsid w:val="008E7FB2"/>
    <w:rsid w:val="009006D5"/>
    <w:rsid w:val="009203E3"/>
    <w:rsid w:val="009432A6"/>
    <w:rsid w:val="00943388"/>
    <w:rsid w:val="009513FC"/>
    <w:rsid w:val="00955B42"/>
    <w:rsid w:val="00956605"/>
    <w:rsid w:val="0096233B"/>
    <w:rsid w:val="0097035E"/>
    <w:rsid w:val="00973017"/>
    <w:rsid w:val="009764E8"/>
    <w:rsid w:val="00984FD4"/>
    <w:rsid w:val="00996157"/>
    <w:rsid w:val="009C4077"/>
    <w:rsid w:val="009C6A71"/>
    <w:rsid w:val="009E2C62"/>
    <w:rsid w:val="009E34F2"/>
    <w:rsid w:val="009F13E4"/>
    <w:rsid w:val="009F23A2"/>
    <w:rsid w:val="00A05E34"/>
    <w:rsid w:val="00A13E2B"/>
    <w:rsid w:val="00A451B8"/>
    <w:rsid w:val="00A53D80"/>
    <w:rsid w:val="00A73346"/>
    <w:rsid w:val="00A73790"/>
    <w:rsid w:val="00A91035"/>
    <w:rsid w:val="00A92CE7"/>
    <w:rsid w:val="00A941EE"/>
    <w:rsid w:val="00AD22E7"/>
    <w:rsid w:val="00AD3CF3"/>
    <w:rsid w:val="00AD6DCA"/>
    <w:rsid w:val="00AE3177"/>
    <w:rsid w:val="00AE5066"/>
    <w:rsid w:val="00B01318"/>
    <w:rsid w:val="00B07A94"/>
    <w:rsid w:val="00B1191C"/>
    <w:rsid w:val="00B23254"/>
    <w:rsid w:val="00B263C0"/>
    <w:rsid w:val="00B4049A"/>
    <w:rsid w:val="00B42140"/>
    <w:rsid w:val="00B50CC3"/>
    <w:rsid w:val="00B553E2"/>
    <w:rsid w:val="00B56E5C"/>
    <w:rsid w:val="00B77D84"/>
    <w:rsid w:val="00B8253A"/>
    <w:rsid w:val="00B91B69"/>
    <w:rsid w:val="00BA3637"/>
    <w:rsid w:val="00BA4135"/>
    <w:rsid w:val="00BB0A40"/>
    <w:rsid w:val="00BC439F"/>
    <w:rsid w:val="00BC50F6"/>
    <w:rsid w:val="00BD094F"/>
    <w:rsid w:val="00BD63D5"/>
    <w:rsid w:val="00BE78BB"/>
    <w:rsid w:val="00BF261B"/>
    <w:rsid w:val="00BF57E1"/>
    <w:rsid w:val="00C023E1"/>
    <w:rsid w:val="00C10857"/>
    <w:rsid w:val="00C30A2C"/>
    <w:rsid w:val="00C5498A"/>
    <w:rsid w:val="00C80ADC"/>
    <w:rsid w:val="00C8340F"/>
    <w:rsid w:val="00C8464D"/>
    <w:rsid w:val="00C852B8"/>
    <w:rsid w:val="00C963C1"/>
    <w:rsid w:val="00CB7F06"/>
    <w:rsid w:val="00CC1794"/>
    <w:rsid w:val="00CF1042"/>
    <w:rsid w:val="00CF4928"/>
    <w:rsid w:val="00D17336"/>
    <w:rsid w:val="00D35C91"/>
    <w:rsid w:val="00D3765F"/>
    <w:rsid w:val="00D4201C"/>
    <w:rsid w:val="00D5421E"/>
    <w:rsid w:val="00D61F9C"/>
    <w:rsid w:val="00D6726B"/>
    <w:rsid w:val="00D67D05"/>
    <w:rsid w:val="00D803C6"/>
    <w:rsid w:val="00D92162"/>
    <w:rsid w:val="00DF0978"/>
    <w:rsid w:val="00DF4776"/>
    <w:rsid w:val="00E005C9"/>
    <w:rsid w:val="00E1250F"/>
    <w:rsid w:val="00E26CF8"/>
    <w:rsid w:val="00E3016A"/>
    <w:rsid w:val="00E336AC"/>
    <w:rsid w:val="00E34118"/>
    <w:rsid w:val="00E43D41"/>
    <w:rsid w:val="00E76CDA"/>
    <w:rsid w:val="00EB272E"/>
    <w:rsid w:val="00EB512C"/>
    <w:rsid w:val="00EB6962"/>
    <w:rsid w:val="00EB7F2A"/>
    <w:rsid w:val="00EE7D19"/>
    <w:rsid w:val="00EF2779"/>
    <w:rsid w:val="00EF43BF"/>
    <w:rsid w:val="00F0486F"/>
    <w:rsid w:val="00F12707"/>
    <w:rsid w:val="00F129C7"/>
    <w:rsid w:val="00F43E3F"/>
    <w:rsid w:val="00F45155"/>
    <w:rsid w:val="00F51A0A"/>
    <w:rsid w:val="00F51B24"/>
    <w:rsid w:val="00F57173"/>
    <w:rsid w:val="00F725A4"/>
    <w:rsid w:val="00F75561"/>
    <w:rsid w:val="00FA4DFA"/>
    <w:rsid w:val="00FB5F13"/>
    <w:rsid w:val="00FB6D29"/>
    <w:rsid w:val="00FF5C4C"/>
    <w:rsid w:val="01AD0F25"/>
    <w:rsid w:val="1037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unhideWhenUsed/>
    <w:qFormat/>
    <w:uiPriority w:val="9"/>
    <w:pPr>
      <w:keepNext/>
      <w:keepLines/>
      <w:adjustRightInd w:val="0"/>
      <w:spacing w:before="40"/>
      <w:jc w:val="left"/>
      <w:textAlignment w:val="baseline"/>
      <w:outlineLvl w:val="2"/>
    </w:pPr>
    <w:rPr>
      <w:rFonts w:ascii="Calibri Light" w:hAnsi="Calibri Light" w:eastAsia="Yu Gothic Light"/>
      <w:color w:val="1F3763"/>
      <w:kern w:val="0"/>
      <w:sz w:val="24"/>
      <w:lang w:eastAsia="zh-TW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0"/>
    <w:pPr>
      <w:spacing w:line="240" w:lineRule="atLeast"/>
      <w:ind w:firstLine="640" w:firstLineChars="200"/>
    </w:pPr>
    <w:rPr>
      <w:sz w:val="32"/>
    </w:rPr>
  </w:style>
  <w:style w:type="paragraph" w:styleId="4">
    <w:name w:val="Plain Text"/>
    <w:basedOn w:val="1"/>
    <w:link w:val="18"/>
    <w:qFormat/>
    <w:uiPriority w:val="0"/>
    <w:rPr>
      <w:rFonts w:ascii="宋体" w:hAnsi="Courier New"/>
      <w:sz w:val="24"/>
      <w:szCs w:val="20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lang w:eastAsia="zh-TW"/>
    </w:rPr>
  </w:style>
  <w:style w:type="character" w:customStyle="1" w:styleId="11">
    <w:name w:val="页眉 字符"/>
    <w:basedOn w:val="10"/>
    <w:link w:val="7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2">
    <w:name w:val="页脚 字符"/>
    <w:basedOn w:val="10"/>
    <w:link w:val="6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3">
    <w:name w:val="标题 3 字符"/>
    <w:basedOn w:val="10"/>
    <w:link w:val="2"/>
    <w:qFormat/>
    <w:uiPriority w:val="9"/>
    <w:rPr>
      <w:rFonts w:ascii="Calibri Light" w:hAnsi="Calibri Light" w:eastAsia="Yu Gothic Light" w:cs="Times New Roman"/>
      <w:color w:val="1F3763"/>
      <w:sz w:val="24"/>
      <w:szCs w:val="24"/>
    </w:rPr>
  </w:style>
  <w:style w:type="paragraph" w:customStyle="1" w:styleId="14">
    <w:name w:val="Level 1 - bullet"/>
    <w:basedOn w:val="1"/>
    <w:qFormat/>
    <w:uiPriority w:val="0"/>
    <w:pPr>
      <w:adjustRightInd w:val="0"/>
      <w:snapToGrid w:val="0"/>
      <w:spacing w:before="120" w:line="280" w:lineRule="atLeast"/>
      <w:jc w:val="left"/>
      <w:textAlignment w:val="baseline"/>
    </w:pPr>
    <w:rPr>
      <w:rFonts w:eastAsia="PMingLiU"/>
      <w:kern w:val="0"/>
      <w:sz w:val="22"/>
      <w:szCs w:val="20"/>
      <w:lang w:val="en-GB" w:eastAsia="zh-TW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正文文本缩进 字符"/>
    <w:basedOn w:val="10"/>
    <w:link w:val="3"/>
    <w:qFormat/>
    <w:uiPriority w:val="0"/>
    <w:rPr>
      <w:rFonts w:ascii="Times New Roman" w:hAnsi="Times New Roman" w:eastAsia="宋体" w:cs="Times New Roman"/>
      <w:kern w:val="2"/>
      <w:sz w:val="32"/>
      <w:szCs w:val="24"/>
      <w:lang w:eastAsia="zh-CN"/>
    </w:rPr>
  </w:style>
  <w:style w:type="character" w:customStyle="1" w:styleId="17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character" w:customStyle="1" w:styleId="18">
    <w:name w:val="纯文本 字符"/>
    <w:basedOn w:val="10"/>
    <w:link w:val="4"/>
    <w:qFormat/>
    <w:uiPriority w:val="0"/>
    <w:rPr>
      <w:rFonts w:ascii="宋体" w:hAnsi="Courier New" w:eastAsia="宋体" w:cs="Times New Roman"/>
      <w:kern w:val="2"/>
      <w:sz w:val="24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86DBB-9B0F-4621-B9E2-947C7D264A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936</Words>
  <Characters>1053</Characters>
  <Lines>8</Lines>
  <Paragraphs>2</Paragraphs>
  <TotalTime>250</TotalTime>
  <ScaleCrop>false</ScaleCrop>
  <LinksUpToDate>false</LinksUpToDate>
  <CharactersWithSpaces>1070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2017-08-04T10:15:00Z</dcterms:created>
  <dc:creator>cslau</dc:creator>
  <cp:lastModifiedBy>太极箫客</cp:lastModifiedBy>
  <cp:lastPrinted>2017-10-23T03:47:00Z</cp:lastPrinted>
  <dcterms:modified xsi:type="dcterms:W3CDTF">2025-08-14T06:23:33Z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B6C16983174340C197FB9D981AF8E97B_12</vt:lpwstr>
  </property>
</Properties>
</file>