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D4CF7">
      <w:pPr>
        <w:tabs>
          <w:tab w:val="left" w:pos="709"/>
        </w:tabs>
        <w:spacing w:line="360" w:lineRule="auto"/>
        <w:jc w:val="center"/>
        <w:rPr>
          <w:rFonts w:ascii="宋体" w:hAnsi="宋体"/>
          <w:b/>
          <w:bCs/>
          <w:sz w:val="24"/>
        </w:rPr>
      </w:pPr>
      <w:bookmarkStart w:id="3" w:name="_GoBack"/>
      <w:bookmarkEnd w:id="3"/>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087E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ED4E541">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77C89458">
            <w:pPr>
              <w:jc w:val="center"/>
              <w:rPr>
                <w:rFonts w:ascii="宋体" w:hAnsi="宋体"/>
              </w:rPr>
            </w:pPr>
            <w:r>
              <w:rPr>
                <w:rFonts w:ascii="宋体" w:hAnsi="宋体"/>
                <w:b/>
                <w:sz w:val="22"/>
                <w:szCs w:val="22"/>
              </w:rPr>
              <w:t>文件更改号</w:t>
            </w:r>
          </w:p>
        </w:tc>
        <w:tc>
          <w:tcPr>
            <w:tcW w:w="4739" w:type="dxa"/>
            <w:shd w:val="clear" w:color="auto" w:fill="auto"/>
            <w:vAlign w:val="center"/>
          </w:tcPr>
          <w:p w14:paraId="2D7E4CBE">
            <w:pPr>
              <w:jc w:val="center"/>
              <w:rPr>
                <w:rFonts w:ascii="宋体" w:hAnsi="宋体"/>
              </w:rPr>
            </w:pPr>
            <w:r>
              <w:rPr>
                <w:rFonts w:ascii="宋体" w:hAnsi="宋体"/>
                <w:b/>
                <w:bCs/>
                <w:sz w:val="22"/>
                <w:szCs w:val="22"/>
              </w:rPr>
              <w:t>更改概要</w:t>
            </w:r>
          </w:p>
        </w:tc>
        <w:tc>
          <w:tcPr>
            <w:tcW w:w="1738" w:type="dxa"/>
            <w:vAlign w:val="center"/>
          </w:tcPr>
          <w:p w14:paraId="17233E2B">
            <w:pPr>
              <w:jc w:val="center"/>
              <w:rPr>
                <w:rFonts w:ascii="宋体" w:hAnsi="宋体"/>
                <w:b/>
                <w:bCs/>
              </w:rPr>
            </w:pPr>
            <w:r>
              <w:rPr>
                <w:rFonts w:ascii="宋体" w:hAnsi="宋体"/>
                <w:b/>
                <w:bCs/>
                <w:sz w:val="22"/>
                <w:szCs w:val="22"/>
              </w:rPr>
              <w:t>修改人</w:t>
            </w:r>
          </w:p>
        </w:tc>
        <w:tc>
          <w:tcPr>
            <w:tcW w:w="1736" w:type="dxa"/>
            <w:vAlign w:val="center"/>
          </w:tcPr>
          <w:p w14:paraId="09A6A690">
            <w:pPr>
              <w:jc w:val="center"/>
              <w:rPr>
                <w:rFonts w:ascii="宋体" w:hAnsi="宋体"/>
                <w:b/>
                <w:bCs/>
              </w:rPr>
            </w:pPr>
            <w:r>
              <w:rPr>
                <w:rFonts w:ascii="宋体" w:hAnsi="宋体"/>
                <w:b/>
                <w:bCs/>
                <w:sz w:val="22"/>
                <w:szCs w:val="22"/>
              </w:rPr>
              <w:t>批准人</w:t>
            </w:r>
          </w:p>
        </w:tc>
      </w:tr>
      <w:tr w14:paraId="7FD9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00EF700">
            <w:pPr>
              <w:jc w:val="center"/>
              <w:rPr>
                <w:rFonts w:ascii="宋体" w:hAnsi="宋体"/>
              </w:rPr>
            </w:pPr>
            <w:r>
              <w:rPr>
                <w:rFonts w:ascii="宋体" w:hAnsi="宋体"/>
                <w:sz w:val="22"/>
                <w:szCs w:val="22"/>
              </w:rPr>
              <w:t>01</w:t>
            </w:r>
          </w:p>
        </w:tc>
        <w:tc>
          <w:tcPr>
            <w:tcW w:w="1401" w:type="dxa"/>
            <w:shd w:val="clear" w:color="auto" w:fill="auto"/>
            <w:vAlign w:val="center"/>
          </w:tcPr>
          <w:p w14:paraId="6E888405">
            <w:pPr>
              <w:jc w:val="center"/>
              <w:rPr>
                <w:rFonts w:ascii="宋体" w:hAnsi="宋体"/>
              </w:rPr>
            </w:pPr>
            <w:r>
              <w:rPr>
                <w:rFonts w:ascii="宋体" w:hAnsi="宋体"/>
                <w:sz w:val="22"/>
                <w:szCs w:val="22"/>
              </w:rPr>
              <w:t>首发行</w:t>
            </w:r>
          </w:p>
        </w:tc>
        <w:tc>
          <w:tcPr>
            <w:tcW w:w="4739" w:type="dxa"/>
            <w:shd w:val="clear" w:color="auto" w:fill="auto"/>
            <w:vAlign w:val="center"/>
          </w:tcPr>
          <w:p w14:paraId="41D84AEC">
            <w:pPr>
              <w:jc w:val="center"/>
              <w:rPr>
                <w:rFonts w:ascii="宋体" w:hAnsi="宋体"/>
                <w:lang w:eastAsia="zh-TW"/>
              </w:rPr>
            </w:pPr>
            <w:r>
              <w:rPr>
                <w:rFonts w:hint="eastAsia" w:ascii="宋体" w:hAnsi="宋体"/>
                <w:sz w:val="22"/>
                <w:szCs w:val="22"/>
                <w:lang w:eastAsia="zh-TW"/>
              </w:rPr>
              <w:t>/</w:t>
            </w:r>
          </w:p>
        </w:tc>
        <w:tc>
          <w:tcPr>
            <w:tcW w:w="1738" w:type="dxa"/>
            <w:vAlign w:val="center"/>
          </w:tcPr>
          <w:p w14:paraId="648A64D0">
            <w:pPr>
              <w:jc w:val="center"/>
              <w:rPr>
                <w:rFonts w:ascii="宋体" w:hAnsi="宋体"/>
              </w:rPr>
            </w:pPr>
            <w:r>
              <w:rPr>
                <w:rFonts w:ascii="宋体" w:hAnsi="宋体"/>
              </w:rPr>
              <w:t>/</w:t>
            </w:r>
          </w:p>
        </w:tc>
        <w:tc>
          <w:tcPr>
            <w:tcW w:w="1736" w:type="dxa"/>
            <w:vAlign w:val="center"/>
          </w:tcPr>
          <w:p w14:paraId="25FA4F32">
            <w:pPr>
              <w:jc w:val="center"/>
              <w:rPr>
                <w:rFonts w:ascii="宋体" w:hAnsi="宋体"/>
              </w:rPr>
            </w:pPr>
            <w:r>
              <w:rPr>
                <w:rFonts w:ascii="宋体" w:hAnsi="宋体"/>
              </w:rPr>
              <w:t>/</w:t>
            </w:r>
          </w:p>
        </w:tc>
      </w:tr>
      <w:tr w14:paraId="6F3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BD7B12F">
            <w:pPr>
              <w:jc w:val="center"/>
              <w:rPr>
                <w:rFonts w:ascii="宋体" w:hAnsi="宋体"/>
              </w:rPr>
            </w:pPr>
          </w:p>
        </w:tc>
        <w:tc>
          <w:tcPr>
            <w:tcW w:w="1401" w:type="dxa"/>
            <w:shd w:val="clear" w:color="auto" w:fill="auto"/>
            <w:vAlign w:val="center"/>
          </w:tcPr>
          <w:p w14:paraId="28AA78D7">
            <w:pPr>
              <w:jc w:val="center"/>
              <w:rPr>
                <w:rFonts w:ascii="宋体" w:hAnsi="宋体"/>
              </w:rPr>
            </w:pPr>
          </w:p>
        </w:tc>
        <w:tc>
          <w:tcPr>
            <w:tcW w:w="4739" w:type="dxa"/>
            <w:shd w:val="clear" w:color="auto" w:fill="auto"/>
            <w:vAlign w:val="center"/>
          </w:tcPr>
          <w:p w14:paraId="16C8DEF3">
            <w:pPr>
              <w:jc w:val="center"/>
              <w:rPr>
                <w:rFonts w:ascii="宋体" w:hAnsi="宋体"/>
              </w:rPr>
            </w:pPr>
          </w:p>
        </w:tc>
        <w:tc>
          <w:tcPr>
            <w:tcW w:w="1738" w:type="dxa"/>
            <w:vAlign w:val="center"/>
          </w:tcPr>
          <w:p w14:paraId="2F431DD3">
            <w:pPr>
              <w:jc w:val="center"/>
              <w:rPr>
                <w:rFonts w:ascii="宋体" w:hAnsi="宋体"/>
              </w:rPr>
            </w:pPr>
          </w:p>
        </w:tc>
        <w:tc>
          <w:tcPr>
            <w:tcW w:w="1736" w:type="dxa"/>
            <w:vAlign w:val="center"/>
          </w:tcPr>
          <w:p w14:paraId="3F91E44A">
            <w:pPr>
              <w:jc w:val="center"/>
              <w:rPr>
                <w:rFonts w:ascii="宋体" w:hAnsi="宋体"/>
              </w:rPr>
            </w:pPr>
          </w:p>
        </w:tc>
      </w:tr>
      <w:tr w14:paraId="5761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BDE32DF">
            <w:pPr>
              <w:jc w:val="center"/>
              <w:rPr>
                <w:rFonts w:ascii="宋体" w:hAnsi="宋体"/>
              </w:rPr>
            </w:pPr>
          </w:p>
        </w:tc>
        <w:tc>
          <w:tcPr>
            <w:tcW w:w="1401" w:type="dxa"/>
            <w:shd w:val="clear" w:color="auto" w:fill="auto"/>
            <w:vAlign w:val="center"/>
          </w:tcPr>
          <w:p w14:paraId="09F002F0">
            <w:pPr>
              <w:jc w:val="center"/>
              <w:rPr>
                <w:rFonts w:ascii="宋体" w:hAnsi="宋体"/>
              </w:rPr>
            </w:pPr>
          </w:p>
        </w:tc>
        <w:tc>
          <w:tcPr>
            <w:tcW w:w="4739" w:type="dxa"/>
            <w:shd w:val="clear" w:color="auto" w:fill="auto"/>
            <w:vAlign w:val="center"/>
          </w:tcPr>
          <w:p w14:paraId="45D0EBA4">
            <w:pPr>
              <w:jc w:val="center"/>
              <w:rPr>
                <w:rFonts w:ascii="宋体" w:hAnsi="宋体"/>
              </w:rPr>
            </w:pPr>
          </w:p>
        </w:tc>
        <w:tc>
          <w:tcPr>
            <w:tcW w:w="1738" w:type="dxa"/>
            <w:vAlign w:val="center"/>
          </w:tcPr>
          <w:p w14:paraId="6D3678F4">
            <w:pPr>
              <w:jc w:val="center"/>
              <w:rPr>
                <w:rFonts w:ascii="宋体" w:hAnsi="宋体"/>
              </w:rPr>
            </w:pPr>
          </w:p>
        </w:tc>
        <w:tc>
          <w:tcPr>
            <w:tcW w:w="1736" w:type="dxa"/>
            <w:vAlign w:val="center"/>
          </w:tcPr>
          <w:p w14:paraId="2E159930">
            <w:pPr>
              <w:jc w:val="center"/>
              <w:rPr>
                <w:rFonts w:ascii="宋体" w:hAnsi="宋体"/>
              </w:rPr>
            </w:pPr>
          </w:p>
        </w:tc>
      </w:tr>
      <w:tr w14:paraId="37E2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C4D1D9C">
            <w:pPr>
              <w:jc w:val="center"/>
              <w:rPr>
                <w:rFonts w:ascii="宋体" w:hAnsi="宋体"/>
              </w:rPr>
            </w:pPr>
          </w:p>
        </w:tc>
        <w:tc>
          <w:tcPr>
            <w:tcW w:w="1401" w:type="dxa"/>
            <w:shd w:val="clear" w:color="auto" w:fill="auto"/>
            <w:vAlign w:val="center"/>
          </w:tcPr>
          <w:p w14:paraId="61658A0D">
            <w:pPr>
              <w:jc w:val="center"/>
              <w:rPr>
                <w:rFonts w:ascii="宋体" w:hAnsi="宋体"/>
              </w:rPr>
            </w:pPr>
          </w:p>
        </w:tc>
        <w:tc>
          <w:tcPr>
            <w:tcW w:w="4739" w:type="dxa"/>
            <w:shd w:val="clear" w:color="auto" w:fill="auto"/>
            <w:vAlign w:val="center"/>
          </w:tcPr>
          <w:p w14:paraId="6B482182">
            <w:pPr>
              <w:jc w:val="center"/>
              <w:rPr>
                <w:rFonts w:ascii="宋体" w:hAnsi="宋体"/>
              </w:rPr>
            </w:pPr>
          </w:p>
        </w:tc>
        <w:tc>
          <w:tcPr>
            <w:tcW w:w="1738" w:type="dxa"/>
            <w:vAlign w:val="center"/>
          </w:tcPr>
          <w:p w14:paraId="6C19825D">
            <w:pPr>
              <w:jc w:val="center"/>
              <w:rPr>
                <w:rFonts w:ascii="宋体" w:hAnsi="宋体"/>
              </w:rPr>
            </w:pPr>
          </w:p>
        </w:tc>
        <w:tc>
          <w:tcPr>
            <w:tcW w:w="1736" w:type="dxa"/>
            <w:vAlign w:val="center"/>
          </w:tcPr>
          <w:p w14:paraId="342FD417">
            <w:pPr>
              <w:jc w:val="center"/>
              <w:rPr>
                <w:rFonts w:ascii="宋体" w:hAnsi="宋体"/>
              </w:rPr>
            </w:pPr>
          </w:p>
        </w:tc>
      </w:tr>
      <w:tr w14:paraId="5373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E6AA88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E0A770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ADDD5A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7DCB3A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339A853">
            <w:pPr>
              <w:jc w:val="center"/>
              <w:rPr>
                <w:rFonts w:ascii="宋体" w:hAnsi="宋体"/>
              </w:rPr>
            </w:pPr>
          </w:p>
        </w:tc>
      </w:tr>
      <w:tr w14:paraId="4FE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1903B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05116C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8BB0DE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FABF10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1CFD7F">
            <w:pPr>
              <w:jc w:val="center"/>
              <w:rPr>
                <w:rFonts w:ascii="宋体" w:hAnsi="宋体"/>
              </w:rPr>
            </w:pPr>
          </w:p>
        </w:tc>
      </w:tr>
      <w:tr w14:paraId="7C7E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974008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59A25D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202B1B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F1E3CE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FBA7FF9">
            <w:pPr>
              <w:jc w:val="center"/>
              <w:rPr>
                <w:rFonts w:ascii="宋体" w:hAnsi="宋体"/>
              </w:rPr>
            </w:pPr>
          </w:p>
        </w:tc>
      </w:tr>
      <w:tr w14:paraId="129A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33D1FC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17E97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53264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AD834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435F8EF">
            <w:pPr>
              <w:jc w:val="center"/>
              <w:rPr>
                <w:rFonts w:ascii="宋体" w:hAnsi="宋体"/>
              </w:rPr>
            </w:pPr>
          </w:p>
        </w:tc>
      </w:tr>
      <w:tr w14:paraId="4F16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DD9895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C8BC8B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E09F8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250254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C19FCF8">
            <w:pPr>
              <w:jc w:val="center"/>
              <w:rPr>
                <w:rFonts w:ascii="宋体" w:hAnsi="宋体"/>
              </w:rPr>
            </w:pPr>
          </w:p>
        </w:tc>
      </w:tr>
      <w:tr w14:paraId="629E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5A4EC5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725C17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9A2459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F96A33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9A285DA">
            <w:pPr>
              <w:jc w:val="center"/>
              <w:rPr>
                <w:rFonts w:ascii="宋体" w:hAnsi="宋体"/>
              </w:rPr>
            </w:pPr>
          </w:p>
        </w:tc>
      </w:tr>
      <w:tr w14:paraId="7650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E355CA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72A85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A14A94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D7A419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688574D">
            <w:pPr>
              <w:jc w:val="center"/>
              <w:rPr>
                <w:rFonts w:ascii="宋体" w:hAnsi="宋体"/>
              </w:rPr>
            </w:pPr>
          </w:p>
        </w:tc>
      </w:tr>
      <w:tr w14:paraId="2D38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E95A16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D6F0ED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3E56A9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ED3770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918B42E">
            <w:pPr>
              <w:jc w:val="center"/>
              <w:rPr>
                <w:rFonts w:ascii="宋体" w:hAnsi="宋体"/>
              </w:rPr>
            </w:pPr>
          </w:p>
        </w:tc>
      </w:tr>
      <w:tr w14:paraId="4A91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E0A225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8E8518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881200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2372EC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B4F1053">
            <w:pPr>
              <w:jc w:val="center"/>
              <w:rPr>
                <w:rFonts w:ascii="宋体" w:hAnsi="宋体"/>
              </w:rPr>
            </w:pPr>
          </w:p>
        </w:tc>
      </w:tr>
      <w:tr w14:paraId="6736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04EC54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203CC3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E90B34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18184B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2BF68DB">
            <w:pPr>
              <w:jc w:val="center"/>
              <w:rPr>
                <w:rFonts w:ascii="宋体" w:hAnsi="宋体"/>
              </w:rPr>
            </w:pPr>
          </w:p>
        </w:tc>
      </w:tr>
      <w:tr w14:paraId="1938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65870F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8AFE18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F87CB8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643042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AB2D16B">
            <w:pPr>
              <w:jc w:val="center"/>
              <w:rPr>
                <w:rFonts w:ascii="宋体" w:hAnsi="宋体"/>
              </w:rPr>
            </w:pPr>
          </w:p>
        </w:tc>
      </w:tr>
      <w:tr w14:paraId="0D9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29B91B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267FC6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6EA6B2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8BF512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B0F6950">
            <w:pPr>
              <w:jc w:val="center"/>
              <w:rPr>
                <w:rFonts w:ascii="宋体" w:hAnsi="宋体"/>
              </w:rPr>
            </w:pPr>
          </w:p>
        </w:tc>
      </w:tr>
      <w:tr w14:paraId="0B55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756F2A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E66CD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B91BB3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87F61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E19FBB8">
            <w:pPr>
              <w:jc w:val="center"/>
              <w:rPr>
                <w:rFonts w:ascii="宋体" w:hAnsi="宋体"/>
              </w:rPr>
            </w:pPr>
          </w:p>
        </w:tc>
      </w:tr>
      <w:tr w14:paraId="2DBC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DB9CB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45AA2E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5FACE6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833FC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525B182">
            <w:pPr>
              <w:jc w:val="center"/>
              <w:rPr>
                <w:rFonts w:ascii="宋体" w:hAnsi="宋体"/>
              </w:rPr>
            </w:pPr>
          </w:p>
        </w:tc>
      </w:tr>
      <w:tr w14:paraId="320B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DB78C1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AF79A2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B8BD1E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721FC9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83BEA2A">
            <w:pPr>
              <w:jc w:val="center"/>
              <w:rPr>
                <w:rFonts w:ascii="宋体" w:hAnsi="宋体"/>
              </w:rPr>
            </w:pPr>
          </w:p>
        </w:tc>
      </w:tr>
      <w:tr w14:paraId="6A8F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70A097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EA3056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EEE250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EEE767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D4454E">
            <w:pPr>
              <w:jc w:val="center"/>
              <w:rPr>
                <w:rFonts w:ascii="宋体" w:hAnsi="宋体"/>
              </w:rPr>
            </w:pPr>
          </w:p>
        </w:tc>
      </w:tr>
      <w:tr w14:paraId="63CB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F5A786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9E9366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E4F5C3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1A832E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C0DF821">
            <w:pPr>
              <w:jc w:val="center"/>
              <w:rPr>
                <w:rFonts w:ascii="宋体" w:hAnsi="宋体"/>
              </w:rPr>
            </w:pPr>
          </w:p>
        </w:tc>
      </w:tr>
      <w:tr w14:paraId="695F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E5F27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49037D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33D272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8512AF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653EF4D">
            <w:pPr>
              <w:jc w:val="center"/>
              <w:rPr>
                <w:rFonts w:ascii="宋体" w:hAnsi="宋体"/>
              </w:rPr>
            </w:pPr>
          </w:p>
        </w:tc>
      </w:tr>
      <w:tr w14:paraId="798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152AC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CE9193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B16892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7C0D2F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49443B6">
            <w:pPr>
              <w:jc w:val="center"/>
              <w:rPr>
                <w:rFonts w:ascii="宋体" w:hAnsi="宋体"/>
              </w:rPr>
            </w:pPr>
          </w:p>
        </w:tc>
      </w:tr>
      <w:tr w14:paraId="201C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353AFEC">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DD444B">
            <w:pPr>
              <w:ind w:left="16"/>
              <w:jc w:val="left"/>
              <w:rPr>
                <w:rFonts w:ascii="宋体" w:hAnsi="宋体"/>
                <w:sz w:val="20"/>
                <w:szCs w:val="21"/>
              </w:rPr>
            </w:pPr>
          </w:p>
          <w:p w14:paraId="62DFE11A">
            <w:pPr>
              <w:ind w:left="16"/>
              <w:jc w:val="left"/>
              <w:rPr>
                <w:rFonts w:ascii="宋体" w:hAnsi="宋体"/>
                <w:sz w:val="20"/>
                <w:szCs w:val="21"/>
              </w:rPr>
            </w:pPr>
            <w:r>
              <w:rPr>
                <w:rFonts w:ascii="宋体" w:hAnsi="宋体"/>
                <w:sz w:val="20"/>
                <w:szCs w:val="21"/>
                <w:lang w:eastAsia="zh-TW"/>
              </w:rPr>
              <w:t xml:space="preserve"> </w:t>
            </w:r>
            <w:r>
              <w:rPr>
                <w:rFonts w:hint="eastAsia" w:ascii="宋体" w:hAnsi="宋体"/>
                <w:sz w:val="20"/>
                <w:szCs w:val="21"/>
                <w:lang w:eastAsia="zh-TW"/>
              </w:rPr>
              <w:t xml:space="preserve">   </w:t>
            </w:r>
            <w:r>
              <w:rPr>
                <w:rFonts w:ascii="宋体" w:hAnsi="宋体"/>
                <w:sz w:val="20"/>
                <w:szCs w:val="21"/>
              </w:rPr>
              <w:t xml:space="preserve"> </w:t>
            </w:r>
          </w:p>
        </w:tc>
      </w:tr>
      <w:bookmarkEnd w:id="1"/>
    </w:tbl>
    <w:p w14:paraId="23904572">
      <w:pPr>
        <w:spacing w:line="360" w:lineRule="auto"/>
        <w:rPr>
          <w:rFonts w:hAnsi="宋体" w:asciiTheme="minorEastAsia" w:eastAsiaTheme="minorEastAsia"/>
          <w:b/>
          <w:sz w:val="24"/>
        </w:rPr>
      </w:pPr>
    </w:p>
    <w:p w14:paraId="5DCAA7D4">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7466B7AE">
      <w:pPr>
        <w:tabs>
          <w:tab w:val="left" w:pos="709"/>
        </w:tabs>
        <w:spacing w:line="360" w:lineRule="auto"/>
        <w:ind w:left="709"/>
        <w:rPr>
          <w:rFonts w:ascii="宋体" w:hAnsi="宋体"/>
          <w:b/>
          <w:bCs/>
          <w:sz w:val="24"/>
        </w:rPr>
      </w:pPr>
      <w:r>
        <w:rPr>
          <w:rFonts w:hint="eastAsia" w:ascii="宋体" w:hAnsi="宋体"/>
          <w:sz w:val="24"/>
        </w:rPr>
        <w:t>采取有效的纠正和预防措施，不断改进本公司产品和服务的质量，实现质量管理体系的持续改进，特制定本程序。</w:t>
      </w:r>
    </w:p>
    <w:p w14:paraId="3B07C340">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78D85392">
      <w:pPr>
        <w:tabs>
          <w:tab w:val="left" w:pos="709"/>
        </w:tabs>
        <w:spacing w:line="360" w:lineRule="auto"/>
        <w:ind w:left="709"/>
        <w:rPr>
          <w:rFonts w:ascii="宋体" w:hAnsi="宋体"/>
          <w:b/>
          <w:bCs/>
          <w:sz w:val="24"/>
        </w:rPr>
      </w:pPr>
      <w:r>
        <w:rPr>
          <w:rFonts w:hint="eastAsia" w:ascii="宋体" w:hAnsi="宋体"/>
          <w:sz w:val="24"/>
        </w:rPr>
        <w:t>适用于公司纠正和预防措施的制定、实施和跟踪验证。</w:t>
      </w:r>
    </w:p>
    <w:p w14:paraId="77562562">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6697A7A3">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质管部负责在出现质量问题时发出相应《纠正和预防措施处理单》，组织制定相应的纠正和预防措施，并跟踪验证其实施效果</w:t>
      </w:r>
      <w:r>
        <w:rPr>
          <w:rFonts w:hint="eastAsia" w:ascii="宋体" w:hAnsi="宋体" w:eastAsiaTheme="minorEastAsia"/>
          <w:sz w:val="24"/>
        </w:rPr>
        <w:t>。</w:t>
      </w:r>
      <w:r>
        <w:rPr>
          <w:rFonts w:hint="eastAsia" w:ascii="宋体" w:hAnsi="宋体"/>
          <w:sz w:val="24"/>
        </w:rPr>
        <w:t>负责对管理评审中出现的不合格项开具《纠正和预防措施处理单》，组织责任部门制定相应的纠正和预防措施，并进行跟踪验证。</w:t>
      </w:r>
    </w:p>
    <w:p w14:paraId="5ABF56CF">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审核员负责对内审不符合项开具</w:t>
      </w:r>
      <w:r>
        <w:rPr>
          <w:rFonts w:hint="eastAsia" w:ascii="宋体" w:hAnsi="宋体" w:eastAsiaTheme="minorEastAsia"/>
          <w:sz w:val="24"/>
        </w:rPr>
        <w:t>《</w:t>
      </w:r>
      <w:r>
        <w:rPr>
          <w:rFonts w:hint="eastAsia" w:ascii="宋体" w:hAnsi="宋体"/>
          <w:sz w:val="24"/>
        </w:rPr>
        <w:t>不合格报告》，并对其实施效果进行跟踪检查。</w:t>
      </w:r>
    </w:p>
    <w:p w14:paraId="25060413">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各部门负责实施相应的纠正和预防措施，对问题进行改进。</w:t>
      </w:r>
    </w:p>
    <w:p w14:paraId="149CB4FB">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管理者代表负责监督并协调纠正和预防措施的落实。</w:t>
      </w:r>
    </w:p>
    <w:p w14:paraId="5D888F0C">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772A02A2">
      <w:pPr>
        <w:numPr>
          <w:ilvl w:val="1"/>
          <w:numId w:val="1"/>
        </w:numPr>
        <w:tabs>
          <w:tab w:val="left" w:pos="0"/>
          <w:tab w:val="left" w:pos="1418"/>
        </w:tabs>
        <w:spacing w:line="360" w:lineRule="auto"/>
        <w:ind w:left="1418" w:hanging="709"/>
        <w:rPr>
          <w:rFonts w:ascii="宋体" w:hAnsi="宋体"/>
          <w:sz w:val="24"/>
        </w:rPr>
      </w:pPr>
      <w:r>
        <w:rPr>
          <w:rFonts w:hint="eastAsia" w:ascii="宋体" w:hAnsi="宋体"/>
          <w:color w:val="000000"/>
          <w:sz w:val="24"/>
        </w:rPr>
        <w:t>持续改进的策划</w:t>
      </w:r>
      <w:r>
        <w:rPr>
          <w:rFonts w:hint="eastAsia" w:ascii="宋体" w:hAnsi="宋体"/>
          <w:color w:val="000000"/>
          <w:sz w:val="24"/>
        </w:rPr>
        <w:tab/>
      </w:r>
    </w:p>
    <w:p w14:paraId="6C1F4B2F">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为了不断提高本公司质量管理体系的持续有效性和效率，应对实现质量方针和质量目标的各个过程和活动的持续改进进行策划。</w:t>
      </w:r>
    </w:p>
    <w:p w14:paraId="4139E22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持续改进的策划应重点考虑：改进项目的目标和总体要求、分析现有过程的状况以合理确定改进方案、实施有效的改进并对改进的效果进行评价。</w:t>
      </w:r>
    </w:p>
    <w:p w14:paraId="5DC755DF">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纠正预防措施启动原则</w:t>
      </w:r>
    </w:p>
    <w:p w14:paraId="00352CF5">
      <w:pPr>
        <w:tabs>
          <w:tab w:val="left" w:pos="0"/>
          <w:tab w:val="left" w:pos="1418"/>
        </w:tabs>
        <w:spacing w:line="360" w:lineRule="auto"/>
        <w:ind w:left="1418"/>
        <w:rPr>
          <w:rFonts w:ascii="宋体" w:hAnsi="宋体"/>
          <w:sz w:val="24"/>
        </w:rPr>
      </w:pPr>
      <w:r>
        <w:rPr>
          <w:rFonts w:hint="eastAsia" w:ascii="宋体" w:hAnsi="宋体"/>
          <w:sz w:val="24"/>
        </w:rPr>
        <w:t>当发生以下情况时，应考虑采取相应的纠正和预防措施实施改进：</w:t>
      </w:r>
    </w:p>
    <w:p w14:paraId="68132A70">
      <w:pPr>
        <w:pStyle w:val="17"/>
        <w:numPr>
          <w:ilvl w:val="0"/>
          <w:numId w:val="2"/>
        </w:numPr>
        <w:tabs>
          <w:tab w:val="left" w:pos="0"/>
          <w:tab w:val="left" w:pos="1418"/>
        </w:tabs>
        <w:spacing w:line="360" w:lineRule="auto"/>
        <w:rPr>
          <w:rFonts w:ascii="宋体" w:hAnsi="宋体"/>
          <w:sz w:val="24"/>
        </w:rPr>
      </w:pPr>
      <w:r>
        <w:rPr>
          <w:rFonts w:hint="eastAsia" w:ascii="宋体" w:hAnsi="宋体"/>
          <w:sz w:val="24"/>
        </w:rPr>
        <w:t>产品质量方面</w:t>
      </w:r>
    </w:p>
    <w:p w14:paraId="5FB03ED7">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导致或可能导致死亡或严重伤害的；</w:t>
      </w:r>
    </w:p>
    <w:p w14:paraId="2C43B444">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影响或潜在影响人身安全、产品安全的问题，法律法规政策变化受到影响，产品风险程度不可接受；</w:t>
      </w:r>
    </w:p>
    <w:p w14:paraId="3739984C">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产品或过程中经常出现重复性失效，且造成明显的不良后果，或经统计相关数据表现为严重不利于质量控制的趋势；</w:t>
      </w:r>
    </w:p>
    <w:p w14:paraId="516C9DCD">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以及其他原因造成明显不良后果或具有潜在严重不良情形的；</w:t>
      </w:r>
    </w:p>
    <w:p w14:paraId="2BB28104">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质管部评估符合以上条件或其他严重情形需启动纠正和预防措施的事件；</w:t>
      </w:r>
    </w:p>
    <w:p w14:paraId="18292A9A">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客户反馈/投诉经评估后，有严重情形的需要启动纠正预防措施的事件；</w:t>
      </w:r>
    </w:p>
    <w:p w14:paraId="43E5FEB5">
      <w:pPr>
        <w:pStyle w:val="17"/>
        <w:numPr>
          <w:ilvl w:val="0"/>
          <w:numId w:val="3"/>
        </w:numPr>
        <w:tabs>
          <w:tab w:val="left" w:pos="0"/>
          <w:tab w:val="left" w:pos="1560"/>
        </w:tabs>
        <w:spacing w:line="360" w:lineRule="auto"/>
        <w:ind w:left="1843" w:hanging="425"/>
        <w:rPr>
          <w:rFonts w:ascii="宋体" w:hAnsi="宋体"/>
          <w:sz w:val="24"/>
        </w:rPr>
      </w:pPr>
      <w:r>
        <w:rPr>
          <w:rFonts w:hint="eastAsia" w:ascii="宋体" w:hAnsi="宋体"/>
          <w:sz w:val="24"/>
        </w:rPr>
        <w:t>管理评审会议评估，质量目标未达到时考虑是否需要启动纠正预防措施的事件，以及其他需要启动纠正预防措施的事件；</w:t>
      </w:r>
    </w:p>
    <w:p w14:paraId="0A6896F6">
      <w:pPr>
        <w:pStyle w:val="17"/>
        <w:numPr>
          <w:ilvl w:val="0"/>
          <w:numId w:val="2"/>
        </w:numPr>
        <w:tabs>
          <w:tab w:val="left" w:pos="0"/>
          <w:tab w:val="left" w:pos="1418"/>
        </w:tabs>
        <w:spacing w:line="360" w:lineRule="auto"/>
        <w:rPr>
          <w:rFonts w:ascii="宋体" w:hAnsi="宋体"/>
          <w:sz w:val="24"/>
        </w:rPr>
      </w:pPr>
      <w:r>
        <w:rPr>
          <w:rFonts w:hint="eastAsia" w:ascii="宋体" w:hAnsi="宋体"/>
          <w:sz w:val="24"/>
        </w:rPr>
        <w:t>依据《内部质量体系审核程序》，内审总结会议决定需要启动纠正预防措施的事宜或体系运行出现不符合质量方针、质量目标或体系文件的情况时；</w:t>
      </w:r>
    </w:p>
    <w:p w14:paraId="364F8BA9">
      <w:pPr>
        <w:pStyle w:val="17"/>
        <w:numPr>
          <w:ilvl w:val="0"/>
          <w:numId w:val="2"/>
        </w:numPr>
        <w:tabs>
          <w:tab w:val="left" w:pos="0"/>
          <w:tab w:val="left" w:pos="1418"/>
        </w:tabs>
        <w:spacing w:line="360" w:lineRule="auto"/>
        <w:rPr>
          <w:rFonts w:ascii="宋体" w:hAnsi="宋体"/>
          <w:sz w:val="24"/>
        </w:rPr>
      </w:pPr>
      <w:r>
        <w:rPr>
          <w:rFonts w:hint="eastAsia" w:ascii="宋体" w:hAnsi="宋体"/>
          <w:sz w:val="24"/>
        </w:rPr>
        <w:t>第三方或第二方审核的不合格报告，经过质管部会议决定需要启动纠正预防措施的事宜。</w:t>
      </w:r>
    </w:p>
    <w:p w14:paraId="0031A6F9">
      <w:pPr>
        <w:pStyle w:val="17"/>
        <w:numPr>
          <w:ilvl w:val="0"/>
          <w:numId w:val="2"/>
        </w:numPr>
        <w:tabs>
          <w:tab w:val="left" w:pos="0"/>
          <w:tab w:val="left" w:pos="1418"/>
        </w:tabs>
        <w:spacing w:line="360" w:lineRule="auto"/>
        <w:rPr>
          <w:rFonts w:ascii="宋体" w:hAnsi="宋体"/>
          <w:sz w:val="24"/>
        </w:rPr>
      </w:pPr>
      <w:r>
        <w:rPr>
          <w:rFonts w:hint="eastAsia" w:ascii="宋体" w:hAnsi="宋体"/>
          <w:sz w:val="24"/>
        </w:rPr>
        <w:t>环境方面发现的异常，如：</w:t>
      </w:r>
    </w:p>
    <w:p w14:paraId="5CC3F830">
      <w:pPr>
        <w:pStyle w:val="17"/>
        <w:numPr>
          <w:ilvl w:val="0"/>
          <w:numId w:val="4"/>
        </w:numPr>
        <w:tabs>
          <w:tab w:val="left" w:pos="0"/>
          <w:tab w:val="left" w:pos="1418"/>
        </w:tabs>
        <w:spacing w:line="360" w:lineRule="auto"/>
        <w:rPr>
          <w:rFonts w:ascii="宋体" w:hAnsi="宋体"/>
          <w:sz w:val="24"/>
        </w:rPr>
      </w:pPr>
      <w:r>
        <w:rPr>
          <w:rFonts w:hint="eastAsia" w:ascii="宋体" w:hAnsi="宋体"/>
          <w:sz w:val="24"/>
        </w:rPr>
        <w:t>水、电、原材料等出现严重浪费；</w:t>
      </w:r>
    </w:p>
    <w:p w14:paraId="567F4447">
      <w:pPr>
        <w:pStyle w:val="17"/>
        <w:numPr>
          <w:ilvl w:val="0"/>
          <w:numId w:val="4"/>
        </w:numPr>
        <w:tabs>
          <w:tab w:val="left" w:pos="0"/>
          <w:tab w:val="left" w:pos="1418"/>
        </w:tabs>
        <w:spacing w:line="360" w:lineRule="auto"/>
        <w:rPr>
          <w:rFonts w:ascii="宋体" w:hAnsi="宋体"/>
          <w:sz w:val="24"/>
        </w:rPr>
      </w:pPr>
      <w:r>
        <w:rPr>
          <w:rFonts w:hint="eastAsia" w:ascii="宋体" w:hAnsi="宋体"/>
          <w:sz w:val="24"/>
        </w:rPr>
        <w:t>环境监测后出现的不符合项等。</w:t>
      </w:r>
    </w:p>
    <w:p w14:paraId="498D94EA">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采取纠正和预防措施实施改进的主要方式：</w:t>
      </w:r>
    </w:p>
    <w:p w14:paraId="30648ADC">
      <w:pPr>
        <w:tabs>
          <w:tab w:val="left" w:pos="0"/>
          <w:tab w:val="left" w:pos="1418"/>
        </w:tabs>
        <w:spacing w:line="360" w:lineRule="auto"/>
        <w:ind w:left="1418"/>
        <w:rPr>
          <w:rFonts w:ascii="宋体" w:hAnsi="宋体"/>
          <w:sz w:val="24"/>
        </w:rPr>
      </w:pPr>
      <w:r>
        <w:rPr>
          <w:rFonts w:hint="eastAsia" w:ascii="宋体" w:hAnsi="宋体"/>
          <w:sz w:val="24"/>
        </w:rPr>
        <w:t>技术改造、工艺优化、调整资源配置、增强员工质量意识和能力、强化内部管理制度、加强测量和监视力度等。</w:t>
      </w:r>
    </w:p>
    <w:p w14:paraId="668F548D">
      <w:pPr>
        <w:numPr>
          <w:ilvl w:val="1"/>
          <w:numId w:val="1"/>
        </w:numPr>
        <w:tabs>
          <w:tab w:val="left" w:pos="0"/>
          <w:tab w:val="left" w:pos="1418"/>
        </w:tabs>
        <w:spacing w:line="360" w:lineRule="auto"/>
        <w:ind w:left="1418" w:hanging="709"/>
        <w:rPr>
          <w:rFonts w:ascii="宋体" w:hAnsi="宋体"/>
          <w:b/>
          <w:sz w:val="24"/>
        </w:rPr>
      </w:pPr>
      <w:r>
        <w:rPr>
          <w:rFonts w:hint="eastAsia" w:ascii="宋体" w:hAnsi="宋体"/>
          <w:color w:val="000000"/>
          <w:sz w:val="24"/>
        </w:rPr>
        <w:t>纠正措施的制定和实施</w:t>
      </w:r>
    </w:p>
    <w:p w14:paraId="6CB78270">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当过程和产品质量出现重大问题时，应采取任何必要的纠正措施，无不当拖延，由质管部开具《纠正和预防措施处理单》，确定责任部门并下发，责任部门的相关人员进行原因分析并制定相应的纠正和预防措施加以改进，责任部门落实后由质管部进行跟踪验证。</w:t>
      </w:r>
    </w:p>
    <w:p w14:paraId="4896FA10">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于顾客的投诉，由销售部填写《客户投诉∕反馈报告》，转至质管部，质管部确定责任部门并下发，责任部门分析原因并制定相应的纠正和预防措施加以改进，责任部门落实后由质管部进行跟踪验证，并将改进效果及时反馈给销售部，由销售部转顾客直至其满意。若对顾客投诉没有采取纠正措施的应记录其理由。</w:t>
      </w:r>
    </w:p>
    <w:p w14:paraId="66759D64">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对于内审中发现的不符合项，应由内审员向责任部门开具《不合格报告</w:t>
      </w:r>
      <w:r>
        <w:rPr>
          <w:rFonts w:hint="eastAsia" w:ascii="宋体" w:hAnsi="宋体" w:eastAsiaTheme="minorEastAsia"/>
          <w:sz w:val="24"/>
        </w:rPr>
        <w:t>》</w:t>
      </w:r>
      <w:r>
        <w:rPr>
          <w:rFonts w:hint="eastAsia" w:ascii="宋体" w:hAnsi="宋体"/>
          <w:sz w:val="24"/>
        </w:rPr>
        <w:t>，具体按《内部质量管理体系审核控制程序》的相关要求执行。</w:t>
      </w:r>
    </w:p>
    <w:p w14:paraId="7916A817">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color w:val="000000"/>
          <w:sz w:val="24"/>
        </w:rPr>
        <w:t>预防措施的制定和实施</w:t>
      </w:r>
    </w:p>
    <w:p w14:paraId="09832A0E">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应重点分析供方，来料检验合格率统计、产品质量统计、合同统计表、顾客满意度调查表，以及以往的质量体系内部审核报告、管理评审报告、纠正和预防措施处理单等，以便及时了解体系运行的有效性，过程和产品的趋势，并且在日常对体系运行的检查和监督过程中，及时收集和分析从各方面反馈的质量信息。</w:t>
      </w:r>
    </w:p>
    <w:p w14:paraId="130B79C5">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一旦发现有潜在不符合的事实，通知质管部，质管部评估后需要召集相关部门分析原因，确定预防措施及其责任部门的，由质管部开具《纠正和预防措施处理单》，经责任部门确认后予以实施质管部负责检查、验证实施的效果。</w:t>
      </w:r>
    </w:p>
    <w:p w14:paraId="429EFEDE">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color w:val="000000"/>
          <w:sz w:val="24"/>
        </w:rPr>
        <w:t>纠正和预防措施应注意以下几点：</w:t>
      </w:r>
    </w:p>
    <w:p w14:paraId="79F37E4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公司所采取的纠正和预防措施应当与问题的严重程度和实际动作能力相适配。</w:t>
      </w:r>
    </w:p>
    <w:p w14:paraId="6A7DB153">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可从人、机、料、法、环等方面分析不符合的原因并采取相应的措施。</w:t>
      </w:r>
    </w:p>
    <w:p w14:paraId="4FF3346F">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由纠正和预防措施所引起的对体系文件的任何更改，要按《文件控制程序》的有关要求严格执行并记录。</w:t>
      </w:r>
    </w:p>
    <w:p w14:paraId="3F4A1FB7">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所有纠正和预防措施的相关记录都应妥善保管，并提交管理评审作为重要的评审依据。</w:t>
      </w:r>
    </w:p>
    <w:p w14:paraId="08CDAD94">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纠正和预防措施的有效性验证</w:t>
      </w:r>
    </w:p>
    <w:p w14:paraId="7611140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《纠正预防措施处理单》内的所有步骤已经完成，质管部应评审所有客观证据以核实所实现的纠正/预防行动的有效性。</w:t>
      </w:r>
    </w:p>
    <w:p w14:paraId="20A6188F">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验证效果达到预期目的后，验证人员在《纠正预防措施处理单》中填写验证意见并签名，提交《纠正预防措施处理单》给质管部负责人审批。</w:t>
      </w:r>
    </w:p>
    <w:p w14:paraId="5301289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如果验证纠正预防措施是无效的，此《纠正预防措施处理单》需要告知总经理并采取进一步行动计划。</w:t>
      </w:r>
    </w:p>
    <w:p w14:paraId="0AAA62F9">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当不合格或者潜在不合格因素经责任部门采取纠正预防措施且验证有效后再次发生时，不合格自动升级，需原措施制定部门负责重新制定纠正措施，最终由管理者代表组织验证。</w:t>
      </w:r>
    </w:p>
    <w:p w14:paraId="11BB9FB6">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对该纠正预防措施进行跟踪确认后，确定其有效性、合理性后，方可关闭。</w:t>
      </w:r>
    </w:p>
    <w:p w14:paraId="7EE62AA8">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所有的纠正预防措施需要列入《纠正预防措施清单》里。</w:t>
      </w:r>
    </w:p>
    <w:p w14:paraId="32D4E2A8">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对满足适用的法规要求的能力和对医疗器械的安全和性能无不良影响的有效验证。</w:t>
      </w:r>
    </w:p>
    <w:p w14:paraId="18380E41">
      <w:pPr>
        <w:numPr>
          <w:ilvl w:val="1"/>
          <w:numId w:val="1"/>
        </w:numPr>
        <w:tabs>
          <w:tab w:val="left" w:pos="0"/>
          <w:tab w:val="left" w:pos="1418"/>
        </w:tabs>
        <w:spacing w:line="360" w:lineRule="auto"/>
        <w:ind w:left="709" w:hanging="709"/>
        <w:rPr>
          <w:rFonts w:ascii="宋体" w:hAnsi="宋体"/>
          <w:sz w:val="24"/>
        </w:rPr>
      </w:pPr>
      <w:r>
        <w:rPr>
          <w:rFonts w:hint="eastAsia" w:ascii="宋体" w:hAnsi="宋体"/>
          <w:sz w:val="24"/>
        </w:rPr>
        <w:t xml:space="preserve">纠正和预防措施应保留任何调查结果记录，采取措施记录以及验证结果记录，便于追溯和必要时可作为管理评审的输入资料。    </w:t>
      </w:r>
    </w:p>
    <w:p w14:paraId="0AC0490F">
      <w:pPr>
        <w:numPr>
          <w:ilvl w:val="0"/>
          <w:numId w:val="1"/>
        </w:numPr>
        <w:tabs>
          <w:tab w:val="left" w:pos="709"/>
        </w:tabs>
        <w:spacing w:line="360" w:lineRule="auto"/>
        <w:ind w:left="709" w:hanging="709"/>
        <w:rPr>
          <w:rFonts w:ascii="宋体" w:hAnsi="宋体"/>
          <w:b/>
          <w:color w:val="000000"/>
          <w:sz w:val="24"/>
        </w:rPr>
      </w:pPr>
      <w:r>
        <w:rPr>
          <w:rFonts w:hint="eastAsia" w:ascii="宋体" w:hAnsi="宋体"/>
          <w:b/>
          <w:bCs/>
          <w:sz w:val="24"/>
        </w:rPr>
        <w:t>相关文件</w:t>
      </w:r>
    </w:p>
    <w:p w14:paraId="7ABDE4FB">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QA-OP-001</w:t>
      </w:r>
      <w:r>
        <w:rPr>
          <w:rFonts w:hint="eastAsia" w:ascii="宋体" w:hAnsi="宋体"/>
          <w:sz w:val="24"/>
        </w:rPr>
        <w:t>《文件控制程序》</w:t>
      </w:r>
    </w:p>
    <w:p w14:paraId="2CAEF8A2">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QA-OP-006</w:t>
      </w:r>
      <w:r>
        <w:rPr>
          <w:rFonts w:hint="eastAsia" w:ascii="宋体" w:hAnsi="宋体"/>
          <w:sz w:val="24"/>
        </w:rPr>
        <w:t xml:space="preserve"> 《内部质量管理体系审核程序》</w:t>
      </w:r>
    </w:p>
    <w:p w14:paraId="602F70DB">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QA-OP-003</w:t>
      </w:r>
      <w:r>
        <w:rPr>
          <w:rFonts w:hint="eastAsia" w:ascii="宋体" w:hAnsi="宋体"/>
          <w:sz w:val="24"/>
        </w:rPr>
        <w:t xml:space="preserve"> 《管理评审控制程序》</w:t>
      </w:r>
    </w:p>
    <w:p w14:paraId="3B45E9FB">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QA-OP-00</w:t>
      </w:r>
      <w:r>
        <w:rPr>
          <w:rFonts w:hint="eastAsia" w:ascii="宋体" w:hAnsi="宋体"/>
          <w:sz w:val="24"/>
        </w:rPr>
        <w:t>2《记录控制程序》</w:t>
      </w:r>
    </w:p>
    <w:p w14:paraId="4428DF03">
      <w:pPr>
        <w:numPr>
          <w:ilvl w:val="0"/>
          <w:numId w:val="1"/>
        </w:numPr>
        <w:tabs>
          <w:tab w:val="left" w:pos="709"/>
        </w:tabs>
        <w:spacing w:line="360" w:lineRule="auto"/>
        <w:ind w:left="709" w:hanging="709"/>
        <w:rPr>
          <w:rFonts w:ascii="宋体" w:hAnsi="宋体"/>
          <w:b/>
          <w:color w:val="000000"/>
          <w:sz w:val="24"/>
        </w:rPr>
      </w:pPr>
      <w:r>
        <w:rPr>
          <w:rFonts w:hint="eastAsia" w:ascii="宋体" w:hAnsi="宋体"/>
          <w:b/>
          <w:bCs/>
          <w:sz w:val="24"/>
        </w:rPr>
        <w:t>相关记录表单</w:t>
      </w:r>
    </w:p>
    <w:p w14:paraId="19D13B92">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QA-FM-029</w:t>
      </w:r>
      <w:r>
        <w:rPr>
          <w:rFonts w:hint="eastAsia" w:ascii="宋体" w:hAnsi="宋体"/>
          <w:sz w:val="24"/>
        </w:rPr>
        <w:t>《纠正和预防措施处理单》</w:t>
      </w:r>
    </w:p>
    <w:p w14:paraId="0845F63C">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QA-FM-026</w:t>
      </w:r>
      <w:r>
        <w:rPr>
          <w:rFonts w:hint="eastAsia" w:ascii="宋体" w:hAnsi="宋体"/>
          <w:sz w:val="24"/>
        </w:rPr>
        <w:t>《不合格报告》</w:t>
      </w:r>
    </w:p>
    <w:p w14:paraId="759011B5">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QA-FM-030</w:t>
      </w:r>
      <w:r>
        <w:rPr>
          <w:rFonts w:hint="eastAsia" w:ascii="宋体" w:hAnsi="宋体"/>
          <w:sz w:val="24"/>
        </w:rPr>
        <w:t>《纠正预防措施清单》</w:t>
      </w:r>
    </w:p>
    <w:p w14:paraId="4D96A67D">
      <w:pPr>
        <w:tabs>
          <w:tab w:val="left" w:pos="709"/>
        </w:tabs>
        <w:spacing w:line="360" w:lineRule="auto"/>
        <w:jc w:val="center"/>
        <w:rPr>
          <w:rFonts w:hint="eastAsia" w:eastAsia="等线"/>
          <w:lang w:eastAsia="zh-CN"/>
        </w:rPr>
      </w:pPr>
    </w:p>
    <w:p w14:paraId="73E2EB48">
      <w:pPr>
        <w:tabs>
          <w:tab w:val="left" w:pos="709"/>
        </w:tabs>
        <w:spacing w:line="360" w:lineRule="auto"/>
        <w:jc w:val="center"/>
        <w:rPr>
          <w:rFonts w:hint="eastAsia" w:eastAsia="等线"/>
          <w:lang w:eastAsia="zh-CN"/>
        </w:rPr>
      </w:pPr>
    </w:p>
    <w:p w14:paraId="0F1541AF">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669" w:tblpY="1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8F116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729DFE6">
          <w:pPr>
            <w:tabs>
              <w:tab w:val="left" w:pos="709"/>
            </w:tabs>
            <w:rPr>
              <w:rFonts w:ascii="Cambria" w:hAnsi="Cambria"/>
              <w:sz w:val="20"/>
            </w:rPr>
          </w:pPr>
        </w:p>
      </w:tc>
    </w:tr>
  </w:tbl>
  <w:p w14:paraId="45A4039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138">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4B3E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7B3C81AE">
          <w:pPr>
            <w:tabs>
              <w:tab w:val="left" w:pos="461"/>
            </w:tabs>
            <w:jc w:val="center"/>
            <w:rPr>
              <w:b/>
              <w:lang w:val="zh-CN"/>
            </w:rPr>
          </w:pPr>
        </w:p>
      </w:tc>
      <w:tc>
        <w:tcPr>
          <w:tcW w:w="5645" w:type="dxa"/>
          <w:vMerge w:val="restart"/>
          <w:tcBorders>
            <w:left w:val="single" w:color="auto" w:sz="4" w:space="0"/>
          </w:tcBorders>
          <w:vAlign w:val="center"/>
        </w:tcPr>
        <w:p w14:paraId="4603E6CE">
          <w:pPr>
            <w:tabs>
              <w:tab w:val="left" w:pos="461"/>
            </w:tabs>
            <w:jc w:val="center"/>
            <w:rPr>
              <w:b/>
              <w:lang w:val="zh-CN"/>
            </w:rPr>
          </w:pPr>
          <w:r>
            <w:rPr>
              <w:rFonts w:hint="eastAsia"/>
              <w:b/>
              <w:sz w:val="32"/>
              <w:szCs w:val="32"/>
            </w:rPr>
            <w:t>纠正措施和预防措施控制程序</w:t>
          </w:r>
        </w:p>
      </w:tc>
      <w:tc>
        <w:tcPr>
          <w:tcW w:w="1487" w:type="dxa"/>
          <w:vAlign w:val="center"/>
        </w:tcPr>
        <w:p w14:paraId="7C726938">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322E3B86">
          <w:pPr>
            <w:jc w:val="center"/>
          </w:pPr>
          <w:r>
            <w:rPr>
              <w:sz w:val="22"/>
              <w:szCs w:val="22"/>
            </w:rPr>
            <w:t>QA-OP-009</w:t>
          </w:r>
        </w:p>
      </w:tc>
    </w:tr>
    <w:tr w14:paraId="76E4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543935DA">
          <w:pPr>
            <w:jc w:val="center"/>
          </w:pPr>
        </w:p>
      </w:tc>
      <w:tc>
        <w:tcPr>
          <w:tcW w:w="5645" w:type="dxa"/>
          <w:vMerge w:val="continue"/>
          <w:tcBorders>
            <w:left w:val="single" w:color="auto" w:sz="4" w:space="0"/>
          </w:tcBorders>
          <w:vAlign w:val="center"/>
        </w:tcPr>
        <w:p w14:paraId="2B508A5C">
          <w:pPr>
            <w:jc w:val="center"/>
          </w:pPr>
        </w:p>
      </w:tc>
      <w:tc>
        <w:tcPr>
          <w:tcW w:w="1487" w:type="dxa"/>
          <w:vAlign w:val="center"/>
        </w:tcPr>
        <w:p w14:paraId="2368F3A8">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322A91D7">
          <w:pPr>
            <w:jc w:val="center"/>
          </w:pPr>
          <w:r>
            <w:rPr>
              <w:sz w:val="22"/>
              <w:szCs w:val="22"/>
            </w:rPr>
            <w:t>01</w:t>
          </w:r>
        </w:p>
      </w:tc>
    </w:tr>
    <w:tr w14:paraId="38A2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4C445B0D">
          <w:pPr>
            <w:jc w:val="center"/>
            <w:rPr>
              <w:b/>
              <w:sz w:val="32"/>
              <w:lang w:val="zh-CN"/>
            </w:rPr>
          </w:pPr>
        </w:p>
      </w:tc>
      <w:tc>
        <w:tcPr>
          <w:tcW w:w="5645" w:type="dxa"/>
          <w:vMerge w:val="continue"/>
          <w:tcBorders>
            <w:left w:val="single" w:color="auto" w:sz="4" w:space="0"/>
          </w:tcBorders>
          <w:vAlign w:val="center"/>
        </w:tcPr>
        <w:p w14:paraId="2BBF07B3">
          <w:pPr>
            <w:jc w:val="center"/>
            <w:rPr>
              <w:b/>
              <w:sz w:val="32"/>
              <w:lang w:val="zh-CN"/>
            </w:rPr>
          </w:pPr>
        </w:p>
      </w:tc>
      <w:tc>
        <w:tcPr>
          <w:tcW w:w="1487" w:type="dxa"/>
          <w:vAlign w:val="center"/>
        </w:tcPr>
        <w:p w14:paraId="66657078">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2002DC65">
          <w:pPr>
            <w:jc w:val="center"/>
          </w:pPr>
          <w:r>
            <w:rPr>
              <w:sz w:val="22"/>
              <w:szCs w:val="22"/>
              <w:lang w:eastAsia="zh-TW"/>
            </w:rPr>
            <w:t>2020年02月01日</w:t>
          </w:r>
        </w:p>
      </w:tc>
    </w:tr>
    <w:tr w14:paraId="417BF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67168162">
          <w:pPr>
            <w:jc w:val="center"/>
            <w:rPr>
              <w:b/>
            </w:rPr>
          </w:pPr>
        </w:p>
      </w:tc>
      <w:tc>
        <w:tcPr>
          <w:tcW w:w="5645" w:type="dxa"/>
          <w:vMerge w:val="continue"/>
          <w:tcBorders>
            <w:left w:val="single" w:color="auto" w:sz="4" w:space="0"/>
          </w:tcBorders>
          <w:vAlign w:val="center"/>
        </w:tcPr>
        <w:p w14:paraId="30EF8762">
          <w:pPr>
            <w:jc w:val="center"/>
            <w:rPr>
              <w:b/>
            </w:rPr>
          </w:pPr>
        </w:p>
      </w:tc>
      <w:tc>
        <w:tcPr>
          <w:tcW w:w="1487" w:type="dxa"/>
          <w:vAlign w:val="center"/>
        </w:tcPr>
        <w:p w14:paraId="2FE7976B">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5102239F">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3</w:t>
          </w:r>
          <w:r>
            <w:rPr>
              <w:sz w:val="22"/>
              <w:szCs w:val="22"/>
            </w:rPr>
            <w:fldChar w:fldCharType="end"/>
          </w:r>
          <w:r>
            <w:rPr>
              <w:sz w:val="22"/>
              <w:szCs w:val="22"/>
            </w:rPr>
            <w:t>页，共</w:t>
          </w:r>
          <w:r>
            <w:fldChar w:fldCharType="begin"/>
          </w:r>
          <w:r>
            <w:instrText xml:space="preserve"> NUMPAGES  \* Arabic  \* MERGEFORMAT </w:instrText>
          </w:r>
          <w:r>
            <w:fldChar w:fldCharType="separate"/>
          </w:r>
          <w:r>
            <w:t>5</w:t>
          </w:r>
          <w:r>
            <w:fldChar w:fldCharType="end"/>
          </w:r>
          <w:r>
            <w:rPr>
              <w:sz w:val="22"/>
              <w:szCs w:val="22"/>
            </w:rPr>
            <w:t>页</w:t>
          </w:r>
        </w:p>
      </w:tc>
    </w:tr>
  </w:tbl>
  <w:p w14:paraId="25796D1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0A2E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617E7010">
          <w:pPr>
            <w:jc w:val="center"/>
          </w:pPr>
        </w:p>
      </w:tc>
      <w:tc>
        <w:tcPr>
          <w:tcW w:w="5620" w:type="dxa"/>
          <w:vMerge w:val="restart"/>
          <w:tcBorders>
            <w:left w:val="single" w:color="auto" w:sz="4" w:space="0"/>
          </w:tcBorders>
          <w:vAlign w:val="center"/>
        </w:tcPr>
        <w:p w14:paraId="1352AC18">
          <w:pPr>
            <w:jc w:val="center"/>
            <w:rPr>
              <w:rFonts w:ascii="宋体" w:hAnsi="宋体"/>
            </w:rPr>
          </w:pPr>
          <w:r>
            <w:rPr>
              <w:rFonts w:hint="eastAsia"/>
              <w:b/>
              <w:sz w:val="32"/>
              <w:szCs w:val="32"/>
            </w:rPr>
            <w:t>纠正措施和预防措施控制程序</w:t>
          </w:r>
        </w:p>
      </w:tc>
      <w:tc>
        <w:tcPr>
          <w:tcW w:w="1459" w:type="dxa"/>
          <w:vAlign w:val="center"/>
        </w:tcPr>
        <w:p w14:paraId="2FAB397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607EB5C0">
          <w:pPr>
            <w:jc w:val="center"/>
          </w:pPr>
          <w:r>
            <w:rPr>
              <w:sz w:val="22"/>
              <w:szCs w:val="22"/>
            </w:rPr>
            <w:t>QA-OP-009</w:t>
          </w:r>
        </w:p>
      </w:tc>
    </w:tr>
    <w:tr w14:paraId="0962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5466EB77">
          <w:pPr>
            <w:jc w:val="center"/>
            <w:rPr>
              <w:b/>
            </w:rPr>
          </w:pPr>
        </w:p>
      </w:tc>
      <w:tc>
        <w:tcPr>
          <w:tcW w:w="5620" w:type="dxa"/>
          <w:vMerge w:val="continue"/>
          <w:tcBorders>
            <w:left w:val="single" w:color="auto" w:sz="4" w:space="0"/>
          </w:tcBorders>
          <w:vAlign w:val="center"/>
        </w:tcPr>
        <w:p w14:paraId="228AF9D8">
          <w:pPr>
            <w:jc w:val="center"/>
            <w:rPr>
              <w:b/>
            </w:rPr>
          </w:pPr>
        </w:p>
      </w:tc>
      <w:tc>
        <w:tcPr>
          <w:tcW w:w="1459" w:type="dxa"/>
          <w:vAlign w:val="center"/>
        </w:tcPr>
        <w:p w14:paraId="70B9E890">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555" w:type="dxa"/>
          <w:vAlign w:val="center"/>
        </w:tcPr>
        <w:p w14:paraId="028E1D5B">
          <w:pPr>
            <w:jc w:val="center"/>
          </w:pPr>
          <w:r>
            <w:rPr>
              <w:sz w:val="22"/>
              <w:szCs w:val="22"/>
            </w:rPr>
            <w:t>01</w:t>
          </w:r>
        </w:p>
      </w:tc>
      <w:tc>
        <w:tcPr>
          <w:tcW w:w="1201" w:type="dxa"/>
          <w:vAlign w:val="center"/>
        </w:tcPr>
        <w:p w14:paraId="7FDF87E7">
          <w:pPr>
            <w:jc w:val="center"/>
          </w:pPr>
          <w:r>
            <w:rPr>
              <w:sz w:val="22"/>
              <w:szCs w:val="22"/>
            </w:rPr>
            <w:t>修改次数</w:t>
          </w:r>
        </w:p>
      </w:tc>
      <w:tc>
        <w:tcPr>
          <w:tcW w:w="401" w:type="dxa"/>
          <w:vAlign w:val="center"/>
        </w:tcPr>
        <w:p w14:paraId="0EA24DD2">
          <w:pPr>
            <w:jc w:val="center"/>
            <w:rPr>
              <w:rFonts w:ascii="宋体" w:hAnsi="宋体"/>
            </w:rPr>
          </w:pPr>
          <w:r>
            <w:rPr>
              <w:rFonts w:ascii="宋体" w:hAnsi="宋体"/>
            </w:rPr>
            <w:t>0</w:t>
          </w:r>
        </w:p>
      </w:tc>
    </w:tr>
    <w:tr w14:paraId="0032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01B9C829">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0393EB20">
          <w:pPr>
            <w:jc w:val="left"/>
          </w:pPr>
        </w:p>
      </w:tc>
      <w:tc>
        <w:tcPr>
          <w:tcW w:w="1459" w:type="dxa"/>
          <w:tcBorders>
            <w:bottom w:val="single" w:color="auto" w:sz="4" w:space="0"/>
          </w:tcBorders>
          <w:vAlign w:val="center"/>
        </w:tcPr>
        <w:p w14:paraId="780A02E8">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2E3354C1">
          <w:pPr>
            <w:jc w:val="center"/>
          </w:pPr>
          <w:r>
            <w:rPr>
              <w:sz w:val="22"/>
              <w:szCs w:val="22"/>
            </w:rPr>
            <w:t>2020年02月01日</w:t>
          </w:r>
        </w:p>
      </w:tc>
    </w:tr>
    <w:tr w14:paraId="0A24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6A53BA55">
          <w:pPr>
            <w:jc w:val="center"/>
          </w:pPr>
          <w:r>
            <w:rPr>
              <w:sz w:val="22"/>
              <w:szCs w:val="22"/>
            </w:rPr>
            <w:t>审核/</w:t>
          </w:r>
          <w:r>
            <w:rPr>
              <w:sz w:val="22"/>
              <w:szCs w:val="22"/>
              <w:lang w:eastAsia="zh-HK"/>
            </w:rPr>
            <w:t>日期</w:t>
          </w:r>
        </w:p>
      </w:tc>
      <w:tc>
        <w:tcPr>
          <w:tcW w:w="5620" w:type="dxa"/>
          <w:vAlign w:val="center"/>
        </w:tcPr>
        <w:p w14:paraId="5686FBDF">
          <w:pPr>
            <w:jc w:val="left"/>
          </w:pPr>
        </w:p>
      </w:tc>
      <w:tc>
        <w:tcPr>
          <w:tcW w:w="1459" w:type="dxa"/>
          <w:tcBorders>
            <w:top w:val="single" w:color="auto" w:sz="4" w:space="0"/>
            <w:bottom w:val="single" w:color="auto" w:sz="4" w:space="0"/>
          </w:tcBorders>
          <w:vAlign w:val="center"/>
        </w:tcPr>
        <w:p w14:paraId="472EBD72">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30F2E557">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5</w:t>
          </w:r>
          <w:r>
            <w:fldChar w:fldCharType="end"/>
          </w:r>
          <w:r>
            <w:rPr>
              <w:sz w:val="22"/>
              <w:szCs w:val="22"/>
            </w:rPr>
            <w:t>页</w:t>
          </w:r>
        </w:p>
      </w:tc>
    </w:tr>
    <w:tr w14:paraId="006D7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2C3655E2">
          <w:pPr>
            <w:jc w:val="center"/>
            <w:rPr>
              <w:lang w:eastAsia="zh-HK"/>
            </w:rPr>
          </w:pPr>
          <w:r>
            <w:rPr>
              <w:sz w:val="22"/>
              <w:szCs w:val="22"/>
            </w:rPr>
            <w:t>批准/</w:t>
          </w:r>
          <w:r>
            <w:rPr>
              <w:sz w:val="22"/>
              <w:szCs w:val="22"/>
              <w:lang w:eastAsia="zh-HK"/>
            </w:rPr>
            <w:t>日期</w:t>
          </w:r>
        </w:p>
      </w:tc>
      <w:tc>
        <w:tcPr>
          <w:tcW w:w="5620" w:type="dxa"/>
          <w:vAlign w:val="center"/>
        </w:tcPr>
        <w:p w14:paraId="73644003">
          <w:pPr>
            <w:jc w:val="left"/>
          </w:pPr>
        </w:p>
      </w:tc>
      <w:tc>
        <w:tcPr>
          <w:tcW w:w="1459" w:type="dxa"/>
          <w:tcBorders>
            <w:top w:val="single" w:color="auto" w:sz="4" w:space="0"/>
          </w:tcBorders>
          <w:vAlign w:val="center"/>
        </w:tcPr>
        <w:p w14:paraId="31E1C067">
          <w:pPr>
            <w:jc w:val="center"/>
          </w:pPr>
          <w:r>
            <w:rPr>
              <w:sz w:val="22"/>
              <w:szCs w:val="22"/>
            </w:rPr>
            <w:t>受控状态</w:t>
          </w:r>
        </w:p>
      </w:tc>
      <w:tc>
        <w:tcPr>
          <w:tcW w:w="2157" w:type="dxa"/>
          <w:gridSpan w:val="3"/>
          <w:tcBorders>
            <w:top w:val="single" w:color="auto" w:sz="4" w:space="0"/>
          </w:tcBorders>
          <w:vAlign w:val="center"/>
        </w:tcPr>
        <w:p w14:paraId="2B241949">
          <w:pPr>
            <w:jc w:val="center"/>
          </w:pPr>
          <w:r>
            <w:rPr>
              <w:sz w:val="22"/>
              <w:szCs w:val="22"/>
            </w:rPr>
            <w:t>受控</w:t>
          </w:r>
        </w:p>
      </w:tc>
    </w:tr>
  </w:tbl>
  <w:p w14:paraId="30580854">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0210A"/>
    <w:multiLevelType w:val="multilevel"/>
    <w:tmpl w:val="2900210A"/>
    <w:lvl w:ilvl="0" w:tentative="0">
      <w:start w:val="1"/>
      <w:numFmt w:val="bullet"/>
      <w:lvlText w:val=""/>
      <w:lvlJc w:val="left"/>
      <w:pPr>
        <w:ind w:left="1838" w:hanging="420"/>
      </w:pPr>
      <w:rPr>
        <w:rFonts w:hint="default" w:ascii="Wingdings" w:hAnsi="Wingdings"/>
      </w:rPr>
    </w:lvl>
    <w:lvl w:ilvl="1" w:tentative="0">
      <w:start w:val="1"/>
      <w:numFmt w:val="bullet"/>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1">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
    <w:nsid w:val="5CED3491"/>
    <w:multiLevelType w:val="multilevel"/>
    <w:tmpl w:val="5CED3491"/>
    <w:lvl w:ilvl="0" w:tentative="0">
      <w:start w:val="1"/>
      <w:numFmt w:val="bullet"/>
      <w:lvlText w:val=""/>
      <w:lvlJc w:val="left"/>
      <w:pPr>
        <w:ind w:left="2258" w:hanging="420"/>
      </w:pPr>
      <w:rPr>
        <w:rFonts w:hint="default" w:ascii="Wingdings" w:hAnsi="Wingdings"/>
      </w:rPr>
    </w:lvl>
    <w:lvl w:ilvl="1" w:tentative="0">
      <w:start w:val="1"/>
      <w:numFmt w:val="bullet"/>
      <w:lvlText w:val=""/>
      <w:lvlJc w:val="left"/>
      <w:pPr>
        <w:ind w:left="2678" w:hanging="420"/>
      </w:pPr>
      <w:rPr>
        <w:rFonts w:hint="default" w:ascii="Wingdings" w:hAnsi="Wingdings"/>
      </w:rPr>
    </w:lvl>
    <w:lvl w:ilvl="2" w:tentative="0">
      <w:start w:val="1"/>
      <w:numFmt w:val="bullet"/>
      <w:lvlText w:val=""/>
      <w:lvlJc w:val="left"/>
      <w:pPr>
        <w:ind w:left="3098" w:hanging="420"/>
      </w:pPr>
      <w:rPr>
        <w:rFonts w:hint="default" w:ascii="Wingdings" w:hAnsi="Wingdings"/>
      </w:rPr>
    </w:lvl>
    <w:lvl w:ilvl="3" w:tentative="0">
      <w:start w:val="1"/>
      <w:numFmt w:val="bullet"/>
      <w:lvlText w:val=""/>
      <w:lvlJc w:val="left"/>
      <w:pPr>
        <w:ind w:left="3518" w:hanging="420"/>
      </w:pPr>
      <w:rPr>
        <w:rFonts w:hint="default" w:ascii="Wingdings" w:hAnsi="Wingdings"/>
      </w:rPr>
    </w:lvl>
    <w:lvl w:ilvl="4" w:tentative="0">
      <w:start w:val="1"/>
      <w:numFmt w:val="bullet"/>
      <w:lvlText w:val=""/>
      <w:lvlJc w:val="left"/>
      <w:pPr>
        <w:ind w:left="3938" w:hanging="420"/>
      </w:pPr>
      <w:rPr>
        <w:rFonts w:hint="default" w:ascii="Wingdings" w:hAnsi="Wingdings"/>
      </w:rPr>
    </w:lvl>
    <w:lvl w:ilvl="5" w:tentative="0">
      <w:start w:val="1"/>
      <w:numFmt w:val="bullet"/>
      <w:lvlText w:val=""/>
      <w:lvlJc w:val="left"/>
      <w:pPr>
        <w:ind w:left="4358" w:hanging="420"/>
      </w:pPr>
      <w:rPr>
        <w:rFonts w:hint="default" w:ascii="Wingdings" w:hAnsi="Wingdings"/>
      </w:rPr>
    </w:lvl>
    <w:lvl w:ilvl="6" w:tentative="0">
      <w:start w:val="1"/>
      <w:numFmt w:val="bullet"/>
      <w:lvlText w:val=""/>
      <w:lvlJc w:val="left"/>
      <w:pPr>
        <w:ind w:left="4778" w:hanging="420"/>
      </w:pPr>
      <w:rPr>
        <w:rFonts w:hint="default" w:ascii="Wingdings" w:hAnsi="Wingdings"/>
      </w:rPr>
    </w:lvl>
    <w:lvl w:ilvl="7" w:tentative="0">
      <w:start w:val="1"/>
      <w:numFmt w:val="bullet"/>
      <w:lvlText w:val=""/>
      <w:lvlJc w:val="left"/>
      <w:pPr>
        <w:ind w:left="5198" w:hanging="420"/>
      </w:pPr>
      <w:rPr>
        <w:rFonts w:hint="default" w:ascii="Wingdings" w:hAnsi="Wingdings"/>
      </w:rPr>
    </w:lvl>
    <w:lvl w:ilvl="8" w:tentative="0">
      <w:start w:val="1"/>
      <w:numFmt w:val="bullet"/>
      <w:lvlText w:val=""/>
      <w:lvlJc w:val="left"/>
      <w:pPr>
        <w:ind w:left="5618" w:hanging="420"/>
      </w:pPr>
      <w:rPr>
        <w:rFonts w:hint="default" w:ascii="Wingdings" w:hAnsi="Wingdings"/>
      </w:rPr>
    </w:lvl>
  </w:abstractNum>
  <w:abstractNum w:abstractNumId="3">
    <w:nsid w:val="60100C95"/>
    <w:multiLevelType w:val="multilevel"/>
    <w:tmpl w:val="60100C95"/>
    <w:lvl w:ilvl="0" w:tentative="0">
      <w:start w:val="1"/>
      <w:numFmt w:val="bullet"/>
      <w:lvlText w:val=""/>
      <w:lvlJc w:val="left"/>
      <w:pPr>
        <w:ind w:left="2258" w:hanging="420"/>
      </w:pPr>
      <w:rPr>
        <w:rFonts w:hint="default" w:ascii="Wingdings" w:hAnsi="Wingdings"/>
      </w:rPr>
    </w:lvl>
    <w:lvl w:ilvl="1" w:tentative="0">
      <w:start w:val="1"/>
      <w:numFmt w:val="bullet"/>
      <w:lvlText w:val=""/>
      <w:lvlJc w:val="left"/>
      <w:pPr>
        <w:ind w:left="2678" w:hanging="420"/>
      </w:pPr>
      <w:rPr>
        <w:rFonts w:hint="default" w:ascii="Wingdings" w:hAnsi="Wingdings"/>
      </w:rPr>
    </w:lvl>
    <w:lvl w:ilvl="2" w:tentative="0">
      <w:start w:val="1"/>
      <w:numFmt w:val="bullet"/>
      <w:lvlText w:val=""/>
      <w:lvlJc w:val="left"/>
      <w:pPr>
        <w:ind w:left="3098" w:hanging="420"/>
      </w:pPr>
      <w:rPr>
        <w:rFonts w:hint="default" w:ascii="Wingdings" w:hAnsi="Wingdings"/>
      </w:rPr>
    </w:lvl>
    <w:lvl w:ilvl="3" w:tentative="0">
      <w:start w:val="1"/>
      <w:numFmt w:val="bullet"/>
      <w:lvlText w:val=""/>
      <w:lvlJc w:val="left"/>
      <w:pPr>
        <w:ind w:left="3518" w:hanging="420"/>
      </w:pPr>
      <w:rPr>
        <w:rFonts w:hint="default" w:ascii="Wingdings" w:hAnsi="Wingdings"/>
      </w:rPr>
    </w:lvl>
    <w:lvl w:ilvl="4" w:tentative="0">
      <w:start w:val="1"/>
      <w:numFmt w:val="bullet"/>
      <w:lvlText w:val=""/>
      <w:lvlJc w:val="left"/>
      <w:pPr>
        <w:ind w:left="3938" w:hanging="420"/>
      </w:pPr>
      <w:rPr>
        <w:rFonts w:hint="default" w:ascii="Wingdings" w:hAnsi="Wingdings"/>
      </w:rPr>
    </w:lvl>
    <w:lvl w:ilvl="5" w:tentative="0">
      <w:start w:val="1"/>
      <w:numFmt w:val="bullet"/>
      <w:lvlText w:val=""/>
      <w:lvlJc w:val="left"/>
      <w:pPr>
        <w:ind w:left="4358" w:hanging="420"/>
      </w:pPr>
      <w:rPr>
        <w:rFonts w:hint="default" w:ascii="Wingdings" w:hAnsi="Wingdings"/>
      </w:rPr>
    </w:lvl>
    <w:lvl w:ilvl="6" w:tentative="0">
      <w:start w:val="1"/>
      <w:numFmt w:val="bullet"/>
      <w:lvlText w:val=""/>
      <w:lvlJc w:val="left"/>
      <w:pPr>
        <w:ind w:left="4778" w:hanging="420"/>
      </w:pPr>
      <w:rPr>
        <w:rFonts w:hint="default" w:ascii="Wingdings" w:hAnsi="Wingdings"/>
      </w:rPr>
    </w:lvl>
    <w:lvl w:ilvl="7" w:tentative="0">
      <w:start w:val="1"/>
      <w:numFmt w:val="bullet"/>
      <w:lvlText w:val=""/>
      <w:lvlJc w:val="left"/>
      <w:pPr>
        <w:ind w:left="5198" w:hanging="420"/>
      </w:pPr>
      <w:rPr>
        <w:rFonts w:hint="default" w:ascii="Wingdings" w:hAnsi="Wingdings"/>
      </w:rPr>
    </w:lvl>
    <w:lvl w:ilvl="8" w:tentative="0">
      <w:start w:val="1"/>
      <w:numFmt w:val="bullet"/>
      <w:lvlText w:val=""/>
      <w:lvlJc w:val="left"/>
      <w:pPr>
        <w:ind w:left="5618"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275B"/>
    <w:rsid w:val="00033F9E"/>
    <w:rsid w:val="00037C71"/>
    <w:rsid w:val="000437F5"/>
    <w:rsid w:val="000508A1"/>
    <w:rsid w:val="000546B6"/>
    <w:rsid w:val="000566AC"/>
    <w:rsid w:val="000622BC"/>
    <w:rsid w:val="0006596D"/>
    <w:rsid w:val="0007577B"/>
    <w:rsid w:val="000901DF"/>
    <w:rsid w:val="00093A75"/>
    <w:rsid w:val="00094AB6"/>
    <w:rsid w:val="000C2C7E"/>
    <w:rsid w:val="000C3E3B"/>
    <w:rsid w:val="000E2A2A"/>
    <w:rsid w:val="000E7D90"/>
    <w:rsid w:val="000F5249"/>
    <w:rsid w:val="000F7932"/>
    <w:rsid w:val="000F7A88"/>
    <w:rsid w:val="00131552"/>
    <w:rsid w:val="00153CBD"/>
    <w:rsid w:val="001839D8"/>
    <w:rsid w:val="001849B4"/>
    <w:rsid w:val="001A03E9"/>
    <w:rsid w:val="001B054E"/>
    <w:rsid w:val="001B1456"/>
    <w:rsid w:val="001B1494"/>
    <w:rsid w:val="001D03FE"/>
    <w:rsid w:val="001D22E3"/>
    <w:rsid w:val="001D75F1"/>
    <w:rsid w:val="001E07BF"/>
    <w:rsid w:val="001E6B14"/>
    <w:rsid w:val="001F02A7"/>
    <w:rsid w:val="001F68C6"/>
    <w:rsid w:val="00201B89"/>
    <w:rsid w:val="00205CC7"/>
    <w:rsid w:val="00205D30"/>
    <w:rsid w:val="00214FC3"/>
    <w:rsid w:val="002200D3"/>
    <w:rsid w:val="00223EA2"/>
    <w:rsid w:val="002403C0"/>
    <w:rsid w:val="00240898"/>
    <w:rsid w:val="00244DDA"/>
    <w:rsid w:val="002515CA"/>
    <w:rsid w:val="00251F12"/>
    <w:rsid w:val="00255F32"/>
    <w:rsid w:val="002653C0"/>
    <w:rsid w:val="00266C76"/>
    <w:rsid w:val="0027440C"/>
    <w:rsid w:val="002773D6"/>
    <w:rsid w:val="00280AC4"/>
    <w:rsid w:val="00284EC9"/>
    <w:rsid w:val="00286F70"/>
    <w:rsid w:val="002875EB"/>
    <w:rsid w:val="00297513"/>
    <w:rsid w:val="002C0FC6"/>
    <w:rsid w:val="002C69CC"/>
    <w:rsid w:val="002F2FC0"/>
    <w:rsid w:val="00303F87"/>
    <w:rsid w:val="00313BCC"/>
    <w:rsid w:val="00313EA6"/>
    <w:rsid w:val="00327F06"/>
    <w:rsid w:val="00331C87"/>
    <w:rsid w:val="00332C36"/>
    <w:rsid w:val="00347BD9"/>
    <w:rsid w:val="00361C94"/>
    <w:rsid w:val="0036433E"/>
    <w:rsid w:val="0038751A"/>
    <w:rsid w:val="00394205"/>
    <w:rsid w:val="003A40BB"/>
    <w:rsid w:val="003B046A"/>
    <w:rsid w:val="003C752B"/>
    <w:rsid w:val="003D384C"/>
    <w:rsid w:val="00412719"/>
    <w:rsid w:val="00414551"/>
    <w:rsid w:val="00416532"/>
    <w:rsid w:val="004214BE"/>
    <w:rsid w:val="00423F19"/>
    <w:rsid w:val="00430083"/>
    <w:rsid w:val="00431F7A"/>
    <w:rsid w:val="00443855"/>
    <w:rsid w:val="00447ECD"/>
    <w:rsid w:val="00467D50"/>
    <w:rsid w:val="004841EE"/>
    <w:rsid w:val="0048621C"/>
    <w:rsid w:val="00497C2C"/>
    <w:rsid w:val="004A218D"/>
    <w:rsid w:val="004C3C1F"/>
    <w:rsid w:val="004C6221"/>
    <w:rsid w:val="004C6D60"/>
    <w:rsid w:val="004C70E4"/>
    <w:rsid w:val="004F228A"/>
    <w:rsid w:val="004F2CD9"/>
    <w:rsid w:val="004F35F6"/>
    <w:rsid w:val="004F44E1"/>
    <w:rsid w:val="004F5BF5"/>
    <w:rsid w:val="00505379"/>
    <w:rsid w:val="00507256"/>
    <w:rsid w:val="005072DD"/>
    <w:rsid w:val="005172E4"/>
    <w:rsid w:val="00532A6F"/>
    <w:rsid w:val="00534135"/>
    <w:rsid w:val="0053448C"/>
    <w:rsid w:val="005427AF"/>
    <w:rsid w:val="00545C21"/>
    <w:rsid w:val="00554A69"/>
    <w:rsid w:val="00556451"/>
    <w:rsid w:val="00556DF7"/>
    <w:rsid w:val="00560CB9"/>
    <w:rsid w:val="00560D80"/>
    <w:rsid w:val="00576701"/>
    <w:rsid w:val="005802B2"/>
    <w:rsid w:val="005A72EA"/>
    <w:rsid w:val="005B0D81"/>
    <w:rsid w:val="005B3CC2"/>
    <w:rsid w:val="005B58C7"/>
    <w:rsid w:val="005E4724"/>
    <w:rsid w:val="005F6765"/>
    <w:rsid w:val="005F76E9"/>
    <w:rsid w:val="00600029"/>
    <w:rsid w:val="006004CE"/>
    <w:rsid w:val="006076EA"/>
    <w:rsid w:val="006118D1"/>
    <w:rsid w:val="006123F7"/>
    <w:rsid w:val="006136C0"/>
    <w:rsid w:val="0061490E"/>
    <w:rsid w:val="00615CF6"/>
    <w:rsid w:val="0062760B"/>
    <w:rsid w:val="006307CE"/>
    <w:rsid w:val="00633DC0"/>
    <w:rsid w:val="0065667F"/>
    <w:rsid w:val="00660700"/>
    <w:rsid w:val="00661863"/>
    <w:rsid w:val="00664881"/>
    <w:rsid w:val="00666262"/>
    <w:rsid w:val="006707BA"/>
    <w:rsid w:val="006709E2"/>
    <w:rsid w:val="00677BB1"/>
    <w:rsid w:val="0068156C"/>
    <w:rsid w:val="006849FC"/>
    <w:rsid w:val="006A2A6F"/>
    <w:rsid w:val="006B0E20"/>
    <w:rsid w:val="006C750E"/>
    <w:rsid w:val="006E4313"/>
    <w:rsid w:val="007003EC"/>
    <w:rsid w:val="0071227C"/>
    <w:rsid w:val="00715EA3"/>
    <w:rsid w:val="00744415"/>
    <w:rsid w:val="00753F88"/>
    <w:rsid w:val="007722F0"/>
    <w:rsid w:val="00783EFC"/>
    <w:rsid w:val="00785BE2"/>
    <w:rsid w:val="00793B92"/>
    <w:rsid w:val="0079736C"/>
    <w:rsid w:val="007A01CE"/>
    <w:rsid w:val="007A7FB5"/>
    <w:rsid w:val="007B5C07"/>
    <w:rsid w:val="007B6DE9"/>
    <w:rsid w:val="007C29E7"/>
    <w:rsid w:val="007D105F"/>
    <w:rsid w:val="007D6B32"/>
    <w:rsid w:val="007E1B4C"/>
    <w:rsid w:val="007E608D"/>
    <w:rsid w:val="007F20CC"/>
    <w:rsid w:val="00802148"/>
    <w:rsid w:val="00803259"/>
    <w:rsid w:val="00805836"/>
    <w:rsid w:val="00825130"/>
    <w:rsid w:val="008265F1"/>
    <w:rsid w:val="00833520"/>
    <w:rsid w:val="008439B9"/>
    <w:rsid w:val="00862D06"/>
    <w:rsid w:val="008743CB"/>
    <w:rsid w:val="0088239F"/>
    <w:rsid w:val="008975EF"/>
    <w:rsid w:val="008A472F"/>
    <w:rsid w:val="008C19BF"/>
    <w:rsid w:val="008D76CA"/>
    <w:rsid w:val="008E7FB2"/>
    <w:rsid w:val="009006D5"/>
    <w:rsid w:val="0092217D"/>
    <w:rsid w:val="00925617"/>
    <w:rsid w:val="009432A6"/>
    <w:rsid w:val="00943388"/>
    <w:rsid w:val="009456C3"/>
    <w:rsid w:val="009513FC"/>
    <w:rsid w:val="00955B42"/>
    <w:rsid w:val="009560BE"/>
    <w:rsid w:val="00956605"/>
    <w:rsid w:val="0097035E"/>
    <w:rsid w:val="00973017"/>
    <w:rsid w:val="00984FD4"/>
    <w:rsid w:val="00995ACB"/>
    <w:rsid w:val="00996157"/>
    <w:rsid w:val="009B1809"/>
    <w:rsid w:val="009B35EF"/>
    <w:rsid w:val="009C4077"/>
    <w:rsid w:val="009E2C62"/>
    <w:rsid w:val="009E34F2"/>
    <w:rsid w:val="009E630E"/>
    <w:rsid w:val="009F13E4"/>
    <w:rsid w:val="009F23A2"/>
    <w:rsid w:val="00A05E34"/>
    <w:rsid w:val="00A465C2"/>
    <w:rsid w:val="00A53D80"/>
    <w:rsid w:val="00A73790"/>
    <w:rsid w:val="00A82481"/>
    <w:rsid w:val="00A91035"/>
    <w:rsid w:val="00A920F0"/>
    <w:rsid w:val="00A941EE"/>
    <w:rsid w:val="00AD22E7"/>
    <w:rsid w:val="00AD6DCA"/>
    <w:rsid w:val="00AF35C5"/>
    <w:rsid w:val="00B07A94"/>
    <w:rsid w:val="00B1191C"/>
    <w:rsid w:val="00B23254"/>
    <w:rsid w:val="00B263C0"/>
    <w:rsid w:val="00B3536F"/>
    <w:rsid w:val="00B4049A"/>
    <w:rsid w:val="00B42140"/>
    <w:rsid w:val="00B50CC3"/>
    <w:rsid w:val="00B553E2"/>
    <w:rsid w:val="00B56E5C"/>
    <w:rsid w:val="00B77D84"/>
    <w:rsid w:val="00B8253A"/>
    <w:rsid w:val="00B91B69"/>
    <w:rsid w:val="00BA3637"/>
    <w:rsid w:val="00BA4135"/>
    <w:rsid w:val="00BB0A40"/>
    <w:rsid w:val="00BC439F"/>
    <w:rsid w:val="00BD094F"/>
    <w:rsid w:val="00BE4DDD"/>
    <w:rsid w:val="00BE78BB"/>
    <w:rsid w:val="00BF261B"/>
    <w:rsid w:val="00BF506C"/>
    <w:rsid w:val="00BF57E1"/>
    <w:rsid w:val="00C023E1"/>
    <w:rsid w:val="00C06E11"/>
    <w:rsid w:val="00C10857"/>
    <w:rsid w:val="00C30A2C"/>
    <w:rsid w:val="00C47B99"/>
    <w:rsid w:val="00C72BC8"/>
    <w:rsid w:val="00C80ADC"/>
    <w:rsid w:val="00C8340F"/>
    <w:rsid w:val="00C8464D"/>
    <w:rsid w:val="00C852B8"/>
    <w:rsid w:val="00C8702E"/>
    <w:rsid w:val="00CA299F"/>
    <w:rsid w:val="00CB0017"/>
    <w:rsid w:val="00CB7F06"/>
    <w:rsid w:val="00CC1794"/>
    <w:rsid w:val="00CF1042"/>
    <w:rsid w:val="00CF4928"/>
    <w:rsid w:val="00D01CCB"/>
    <w:rsid w:val="00D17336"/>
    <w:rsid w:val="00D355EB"/>
    <w:rsid w:val="00D3765F"/>
    <w:rsid w:val="00D426AA"/>
    <w:rsid w:val="00D6029D"/>
    <w:rsid w:val="00D61F9C"/>
    <w:rsid w:val="00D6726B"/>
    <w:rsid w:val="00D67D05"/>
    <w:rsid w:val="00D803C6"/>
    <w:rsid w:val="00DC3C14"/>
    <w:rsid w:val="00DE4B19"/>
    <w:rsid w:val="00DF0978"/>
    <w:rsid w:val="00DF4776"/>
    <w:rsid w:val="00E005C9"/>
    <w:rsid w:val="00E1250F"/>
    <w:rsid w:val="00E23629"/>
    <w:rsid w:val="00E336AC"/>
    <w:rsid w:val="00E34118"/>
    <w:rsid w:val="00E43D41"/>
    <w:rsid w:val="00E57A27"/>
    <w:rsid w:val="00E76CDA"/>
    <w:rsid w:val="00E858B7"/>
    <w:rsid w:val="00EB272E"/>
    <w:rsid w:val="00EB512C"/>
    <w:rsid w:val="00EB6962"/>
    <w:rsid w:val="00EB7CD3"/>
    <w:rsid w:val="00EB7F2A"/>
    <w:rsid w:val="00ED4E8B"/>
    <w:rsid w:val="00EE7D19"/>
    <w:rsid w:val="00EF2779"/>
    <w:rsid w:val="00EF43BF"/>
    <w:rsid w:val="00F02A8F"/>
    <w:rsid w:val="00F0486F"/>
    <w:rsid w:val="00F12707"/>
    <w:rsid w:val="00F129C7"/>
    <w:rsid w:val="00F23BBB"/>
    <w:rsid w:val="00F354DC"/>
    <w:rsid w:val="00F43E3F"/>
    <w:rsid w:val="00F45155"/>
    <w:rsid w:val="00F51A0A"/>
    <w:rsid w:val="00F51B24"/>
    <w:rsid w:val="00F57173"/>
    <w:rsid w:val="00F727D9"/>
    <w:rsid w:val="00F82AF1"/>
    <w:rsid w:val="00FA4C13"/>
    <w:rsid w:val="00FA4D1A"/>
    <w:rsid w:val="00FA4DFA"/>
    <w:rsid w:val="00FB5F13"/>
    <w:rsid w:val="00FB6D29"/>
    <w:rsid w:val="00FF2453"/>
    <w:rsid w:val="00FF5C4C"/>
    <w:rsid w:val="00FF703E"/>
    <w:rsid w:val="04834325"/>
    <w:rsid w:val="09B37D52"/>
    <w:rsid w:val="16FE7269"/>
    <w:rsid w:val="1F36747C"/>
    <w:rsid w:val="29676844"/>
    <w:rsid w:val="2D2D37A9"/>
    <w:rsid w:val="2D962C24"/>
    <w:rsid w:val="34D2480A"/>
    <w:rsid w:val="36753B3F"/>
    <w:rsid w:val="38437EEE"/>
    <w:rsid w:val="44041D41"/>
    <w:rsid w:val="4B125E3D"/>
    <w:rsid w:val="4C426F71"/>
    <w:rsid w:val="575D2BA4"/>
    <w:rsid w:val="62CF53B4"/>
    <w:rsid w:val="64DF653E"/>
    <w:rsid w:val="6A7C4EBF"/>
    <w:rsid w:val="6AC401BA"/>
    <w:rsid w:val="6B2B180F"/>
    <w:rsid w:val="6BC33C95"/>
    <w:rsid w:val="6E19559A"/>
    <w:rsid w:val="76DC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 w:type="character" w:customStyle="1" w:styleId="21">
    <w:name w:val="short_tex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9F34-8A1F-464A-9D0F-B5884D3954B8}">
  <ds:schemaRefs/>
</ds:datastoreItem>
</file>

<file path=docProps/app.xml><?xml version="1.0" encoding="utf-8"?>
<Properties xmlns="http://schemas.openxmlformats.org/officeDocument/2006/extended-properties" xmlns:vt="http://schemas.openxmlformats.org/officeDocument/2006/docPropsVTypes">
  <Template>Normal</Template>
  <Pages>5</Pages>
  <Words>2180</Words>
  <Characters>2415</Characters>
  <Lines>17</Lines>
  <Paragraphs>4</Paragraphs>
  <TotalTime>7</TotalTime>
  <ScaleCrop>false</ScaleCrop>
  <LinksUpToDate>false</LinksUpToDate>
  <CharactersWithSpaces>2427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2017-09-11T17:39:00Z</dcterms:created>
  <dc:creator>cslau</dc:creator>
  <cp:lastModifiedBy>太极箫客</cp:lastModifiedBy>
  <cp:lastPrinted>2017-09-25T13:50:00Z</cp:lastPrinted>
  <dcterms:modified xsi:type="dcterms:W3CDTF">2025-08-14T06:23:25Z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CA4A1083B6D544DAAB56541B3E202907_12</vt:lpwstr>
  </property>
</Properties>
</file>