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1348D">
      <w:pPr>
        <w:tabs>
          <w:tab w:val="left" w:pos="709"/>
        </w:tabs>
        <w:spacing w:line="360" w:lineRule="auto"/>
        <w:jc w:val="center"/>
        <w:rPr>
          <w:rFonts w:ascii="宋体" w:hAnsi="宋体"/>
          <w:b/>
          <w:bCs/>
          <w:sz w:val="24"/>
        </w:rPr>
      </w:pPr>
      <w:bookmarkStart w:id="0" w:name="_Hlk489617946"/>
      <w:bookmarkStart w:id="4" w:name="_GoBack"/>
      <w:bookmarkEnd w:id="4"/>
      <w:r>
        <w:rPr>
          <w:rFonts w:hint="eastAsia" w:ascii="宋体" w:hAnsi="宋体"/>
          <w:b/>
          <w:bCs/>
          <w:sz w:val="24"/>
        </w:rPr>
        <w:t xml:space="preserve"> 文件更改历史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30DE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519740A">
            <w:pPr>
              <w:jc w:val="center"/>
              <w:rPr>
                <w:rFonts w:ascii="宋体" w:hAnsi="宋体"/>
              </w:rPr>
            </w:pPr>
            <w:bookmarkStart w:id="1" w:name="_Hlk490654609"/>
            <w:r>
              <w:rPr>
                <w:rFonts w:ascii="宋体" w:hAnsi="宋体"/>
                <w:b/>
                <w:sz w:val="22"/>
                <w:szCs w:val="22"/>
              </w:rPr>
              <w:t>版本号</w:t>
            </w:r>
          </w:p>
        </w:tc>
        <w:tc>
          <w:tcPr>
            <w:tcW w:w="1401" w:type="dxa"/>
            <w:shd w:val="clear" w:color="auto" w:fill="auto"/>
            <w:vAlign w:val="center"/>
          </w:tcPr>
          <w:p w14:paraId="195B936E">
            <w:pPr>
              <w:jc w:val="center"/>
              <w:rPr>
                <w:rFonts w:ascii="宋体" w:hAnsi="宋体"/>
              </w:rPr>
            </w:pPr>
            <w:r>
              <w:rPr>
                <w:rFonts w:ascii="宋体" w:hAnsi="宋体"/>
                <w:b/>
                <w:sz w:val="22"/>
                <w:szCs w:val="22"/>
              </w:rPr>
              <w:t>文件更改号</w:t>
            </w:r>
          </w:p>
        </w:tc>
        <w:tc>
          <w:tcPr>
            <w:tcW w:w="4739" w:type="dxa"/>
            <w:shd w:val="clear" w:color="auto" w:fill="auto"/>
            <w:vAlign w:val="center"/>
          </w:tcPr>
          <w:p w14:paraId="67CE40DB">
            <w:pPr>
              <w:jc w:val="center"/>
              <w:rPr>
                <w:rFonts w:ascii="宋体" w:hAnsi="宋体"/>
              </w:rPr>
            </w:pPr>
            <w:r>
              <w:rPr>
                <w:rFonts w:ascii="宋体" w:hAnsi="宋体"/>
                <w:b/>
                <w:bCs/>
                <w:sz w:val="22"/>
                <w:szCs w:val="22"/>
              </w:rPr>
              <w:t>更改概要</w:t>
            </w:r>
          </w:p>
        </w:tc>
        <w:tc>
          <w:tcPr>
            <w:tcW w:w="1738" w:type="dxa"/>
            <w:vAlign w:val="center"/>
          </w:tcPr>
          <w:p w14:paraId="6F87F3F7">
            <w:pPr>
              <w:jc w:val="center"/>
              <w:rPr>
                <w:rFonts w:ascii="宋体" w:hAnsi="宋体"/>
                <w:b/>
                <w:bCs/>
              </w:rPr>
            </w:pPr>
            <w:r>
              <w:rPr>
                <w:rFonts w:ascii="宋体" w:hAnsi="宋体"/>
                <w:b/>
                <w:bCs/>
                <w:sz w:val="22"/>
                <w:szCs w:val="22"/>
              </w:rPr>
              <w:t>修改人</w:t>
            </w:r>
          </w:p>
        </w:tc>
        <w:tc>
          <w:tcPr>
            <w:tcW w:w="1736" w:type="dxa"/>
            <w:vAlign w:val="center"/>
          </w:tcPr>
          <w:p w14:paraId="31E18577">
            <w:pPr>
              <w:jc w:val="center"/>
              <w:rPr>
                <w:rFonts w:ascii="宋体" w:hAnsi="宋体"/>
                <w:b/>
                <w:bCs/>
              </w:rPr>
            </w:pPr>
            <w:r>
              <w:rPr>
                <w:rFonts w:ascii="宋体" w:hAnsi="宋体"/>
                <w:b/>
                <w:bCs/>
                <w:sz w:val="22"/>
                <w:szCs w:val="22"/>
              </w:rPr>
              <w:t>批准人</w:t>
            </w:r>
          </w:p>
        </w:tc>
      </w:tr>
      <w:tr w14:paraId="0105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DCDA1D3">
            <w:pPr>
              <w:jc w:val="center"/>
              <w:rPr>
                <w:rFonts w:ascii="宋体" w:hAnsi="宋体"/>
              </w:rPr>
            </w:pPr>
            <w:r>
              <w:rPr>
                <w:rFonts w:ascii="宋体" w:hAnsi="宋体"/>
                <w:sz w:val="22"/>
                <w:szCs w:val="22"/>
              </w:rPr>
              <w:t>01</w:t>
            </w:r>
          </w:p>
        </w:tc>
        <w:tc>
          <w:tcPr>
            <w:tcW w:w="1401" w:type="dxa"/>
            <w:shd w:val="clear" w:color="auto" w:fill="auto"/>
            <w:vAlign w:val="center"/>
          </w:tcPr>
          <w:p w14:paraId="6F5B6682">
            <w:pPr>
              <w:jc w:val="center"/>
              <w:rPr>
                <w:rFonts w:ascii="宋体" w:hAnsi="宋体"/>
              </w:rPr>
            </w:pPr>
            <w:r>
              <w:rPr>
                <w:rFonts w:ascii="宋体" w:hAnsi="宋体"/>
                <w:sz w:val="22"/>
                <w:szCs w:val="22"/>
              </w:rPr>
              <w:t>首发行</w:t>
            </w:r>
          </w:p>
        </w:tc>
        <w:tc>
          <w:tcPr>
            <w:tcW w:w="4739" w:type="dxa"/>
            <w:shd w:val="clear" w:color="auto" w:fill="auto"/>
            <w:vAlign w:val="center"/>
          </w:tcPr>
          <w:p w14:paraId="10AA2A2F">
            <w:pPr>
              <w:jc w:val="center"/>
              <w:rPr>
                <w:rFonts w:ascii="宋体" w:hAnsi="宋体"/>
                <w:lang w:eastAsia="zh-TW"/>
              </w:rPr>
            </w:pPr>
            <w:r>
              <w:rPr>
                <w:rFonts w:hint="eastAsia" w:ascii="宋体" w:hAnsi="宋体"/>
                <w:sz w:val="22"/>
                <w:szCs w:val="22"/>
                <w:lang w:eastAsia="zh-TW"/>
              </w:rPr>
              <w:t>/</w:t>
            </w:r>
          </w:p>
        </w:tc>
        <w:tc>
          <w:tcPr>
            <w:tcW w:w="1738" w:type="dxa"/>
            <w:vAlign w:val="center"/>
          </w:tcPr>
          <w:p w14:paraId="4AA3C227">
            <w:pPr>
              <w:jc w:val="center"/>
              <w:rPr>
                <w:rFonts w:ascii="宋体" w:hAnsi="宋体"/>
              </w:rPr>
            </w:pPr>
            <w:r>
              <w:rPr>
                <w:rFonts w:ascii="宋体" w:hAnsi="宋体"/>
              </w:rPr>
              <w:t>/</w:t>
            </w:r>
          </w:p>
        </w:tc>
        <w:tc>
          <w:tcPr>
            <w:tcW w:w="1736" w:type="dxa"/>
            <w:vAlign w:val="center"/>
          </w:tcPr>
          <w:p w14:paraId="1E8B89C1">
            <w:pPr>
              <w:jc w:val="center"/>
              <w:rPr>
                <w:rFonts w:ascii="宋体" w:hAnsi="宋体"/>
              </w:rPr>
            </w:pPr>
            <w:r>
              <w:rPr>
                <w:rFonts w:ascii="宋体" w:hAnsi="宋体"/>
              </w:rPr>
              <w:t>/</w:t>
            </w:r>
          </w:p>
        </w:tc>
      </w:tr>
      <w:tr w14:paraId="2BFF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2A48000">
            <w:pPr>
              <w:jc w:val="center"/>
              <w:rPr>
                <w:rFonts w:ascii="宋体" w:hAnsi="宋体"/>
              </w:rPr>
            </w:pPr>
          </w:p>
        </w:tc>
        <w:tc>
          <w:tcPr>
            <w:tcW w:w="1401" w:type="dxa"/>
            <w:shd w:val="clear" w:color="auto" w:fill="auto"/>
            <w:vAlign w:val="center"/>
          </w:tcPr>
          <w:p w14:paraId="5E7ED7BC">
            <w:pPr>
              <w:jc w:val="center"/>
              <w:rPr>
                <w:rFonts w:ascii="宋体" w:hAnsi="宋体"/>
              </w:rPr>
            </w:pPr>
          </w:p>
        </w:tc>
        <w:tc>
          <w:tcPr>
            <w:tcW w:w="4739" w:type="dxa"/>
            <w:shd w:val="clear" w:color="auto" w:fill="auto"/>
            <w:vAlign w:val="center"/>
          </w:tcPr>
          <w:p w14:paraId="6EA15A63">
            <w:pPr>
              <w:jc w:val="center"/>
              <w:rPr>
                <w:rFonts w:ascii="宋体" w:hAnsi="宋体"/>
              </w:rPr>
            </w:pPr>
          </w:p>
        </w:tc>
        <w:tc>
          <w:tcPr>
            <w:tcW w:w="1738" w:type="dxa"/>
            <w:vAlign w:val="center"/>
          </w:tcPr>
          <w:p w14:paraId="2A45F8C4">
            <w:pPr>
              <w:jc w:val="center"/>
              <w:rPr>
                <w:rFonts w:ascii="宋体" w:hAnsi="宋体"/>
              </w:rPr>
            </w:pPr>
          </w:p>
        </w:tc>
        <w:tc>
          <w:tcPr>
            <w:tcW w:w="1736" w:type="dxa"/>
            <w:vAlign w:val="center"/>
          </w:tcPr>
          <w:p w14:paraId="36E66C0B">
            <w:pPr>
              <w:jc w:val="center"/>
              <w:rPr>
                <w:rFonts w:ascii="宋体" w:hAnsi="宋体"/>
              </w:rPr>
            </w:pPr>
          </w:p>
        </w:tc>
      </w:tr>
      <w:tr w14:paraId="34A2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DA89238">
            <w:pPr>
              <w:jc w:val="center"/>
              <w:rPr>
                <w:rFonts w:ascii="宋体" w:hAnsi="宋体"/>
              </w:rPr>
            </w:pPr>
          </w:p>
        </w:tc>
        <w:tc>
          <w:tcPr>
            <w:tcW w:w="1401" w:type="dxa"/>
            <w:shd w:val="clear" w:color="auto" w:fill="auto"/>
            <w:vAlign w:val="center"/>
          </w:tcPr>
          <w:p w14:paraId="7EE9DC6F">
            <w:pPr>
              <w:jc w:val="center"/>
              <w:rPr>
                <w:rFonts w:ascii="宋体" w:hAnsi="宋体"/>
              </w:rPr>
            </w:pPr>
          </w:p>
        </w:tc>
        <w:tc>
          <w:tcPr>
            <w:tcW w:w="4739" w:type="dxa"/>
            <w:shd w:val="clear" w:color="auto" w:fill="auto"/>
            <w:vAlign w:val="center"/>
          </w:tcPr>
          <w:p w14:paraId="49C4EC51">
            <w:pPr>
              <w:jc w:val="center"/>
              <w:rPr>
                <w:rFonts w:ascii="宋体" w:hAnsi="宋体"/>
              </w:rPr>
            </w:pPr>
          </w:p>
        </w:tc>
        <w:tc>
          <w:tcPr>
            <w:tcW w:w="1738" w:type="dxa"/>
            <w:vAlign w:val="center"/>
          </w:tcPr>
          <w:p w14:paraId="1E348B3C">
            <w:pPr>
              <w:jc w:val="center"/>
              <w:rPr>
                <w:rFonts w:ascii="宋体" w:hAnsi="宋体"/>
              </w:rPr>
            </w:pPr>
          </w:p>
        </w:tc>
        <w:tc>
          <w:tcPr>
            <w:tcW w:w="1736" w:type="dxa"/>
            <w:vAlign w:val="center"/>
          </w:tcPr>
          <w:p w14:paraId="2D0D5DAB">
            <w:pPr>
              <w:jc w:val="center"/>
              <w:rPr>
                <w:rFonts w:ascii="宋体" w:hAnsi="宋体"/>
              </w:rPr>
            </w:pPr>
          </w:p>
        </w:tc>
      </w:tr>
      <w:tr w14:paraId="3624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7AF21A4">
            <w:pPr>
              <w:jc w:val="center"/>
              <w:rPr>
                <w:rFonts w:ascii="宋体" w:hAnsi="宋体"/>
              </w:rPr>
            </w:pPr>
          </w:p>
        </w:tc>
        <w:tc>
          <w:tcPr>
            <w:tcW w:w="1401" w:type="dxa"/>
            <w:shd w:val="clear" w:color="auto" w:fill="auto"/>
            <w:vAlign w:val="center"/>
          </w:tcPr>
          <w:p w14:paraId="5909919D">
            <w:pPr>
              <w:jc w:val="center"/>
              <w:rPr>
                <w:rFonts w:ascii="宋体" w:hAnsi="宋体"/>
              </w:rPr>
            </w:pPr>
          </w:p>
        </w:tc>
        <w:tc>
          <w:tcPr>
            <w:tcW w:w="4739" w:type="dxa"/>
            <w:shd w:val="clear" w:color="auto" w:fill="auto"/>
            <w:vAlign w:val="center"/>
          </w:tcPr>
          <w:p w14:paraId="6D06D701">
            <w:pPr>
              <w:jc w:val="center"/>
              <w:rPr>
                <w:rFonts w:ascii="宋体" w:hAnsi="宋体"/>
              </w:rPr>
            </w:pPr>
          </w:p>
        </w:tc>
        <w:tc>
          <w:tcPr>
            <w:tcW w:w="1738" w:type="dxa"/>
            <w:vAlign w:val="center"/>
          </w:tcPr>
          <w:p w14:paraId="51D8AC2F">
            <w:pPr>
              <w:jc w:val="center"/>
              <w:rPr>
                <w:rFonts w:ascii="宋体" w:hAnsi="宋体"/>
              </w:rPr>
            </w:pPr>
          </w:p>
        </w:tc>
        <w:tc>
          <w:tcPr>
            <w:tcW w:w="1736" w:type="dxa"/>
            <w:vAlign w:val="center"/>
          </w:tcPr>
          <w:p w14:paraId="23194B10">
            <w:pPr>
              <w:jc w:val="center"/>
              <w:rPr>
                <w:rFonts w:ascii="宋体" w:hAnsi="宋体"/>
              </w:rPr>
            </w:pPr>
          </w:p>
        </w:tc>
      </w:tr>
      <w:tr w14:paraId="1214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63CA4D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9D8AB4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B65B5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DA8FC8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838C7E4">
            <w:pPr>
              <w:jc w:val="center"/>
              <w:rPr>
                <w:rFonts w:ascii="宋体" w:hAnsi="宋体"/>
              </w:rPr>
            </w:pPr>
          </w:p>
        </w:tc>
      </w:tr>
      <w:tr w14:paraId="635E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2750C2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203D34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2E9685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50F570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86C2FDD">
            <w:pPr>
              <w:jc w:val="center"/>
              <w:rPr>
                <w:rFonts w:ascii="宋体" w:hAnsi="宋体"/>
              </w:rPr>
            </w:pPr>
          </w:p>
        </w:tc>
      </w:tr>
      <w:tr w14:paraId="2C55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8C4D4D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1F794E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01057D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28674F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AE44CB8">
            <w:pPr>
              <w:jc w:val="center"/>
              <w:rPr>
                <w:rFonts w:ascii="宋体" w:hAnsi="宋体"/>
              </w:rPr>
            </w:pPr>
          </w:p>
        </w:tc>
      </w:tr>
      <w:tr w14:paraId="6C28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AAE595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A83F69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65D975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81FAD9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1568FFD">
            <w:pPr>
              <w:jc w:val="center"/>
              <w:rPr>
                <w:rFonts w:ascii="宋体" w:hAnsi="宋体"/>
              </w:rPr>
            </w:pPr>
          </w:p>
        </w:tc>
      </w:tr>
      <w:tr w14:paraId="72C2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2C2FC0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0489C5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E37C60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36FC2E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FD6E86A">
            <w:pPr>
              <w:jc w:val="center"/>
              <w:rPr>
                <w:rFonts w:ascii="宋体" w:hAnsi="宋体"/>
              </w:rPr>
            </w:pPr>
          </w:p>
        </w:tc>
      </w:tr>
      <w:tr w14:paraId="5C75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D4B483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BC6128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F48E78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7B2EEC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D968E30">
            <w:pPr>
              <w:jc w:val="center"/>
              <w:rPr>
                <w:rFonts w:ascii="宋体" w:hAnsi="宋体"/>
              </w:rPr>
            </w:pPr>
          </w:p>
        </w:tc>
      </w:tr>
      <w:tr w14:paraId="101C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73F846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24A013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BEF460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322C96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D3F91E1">
            <w:pPr>
              <w:jc w:val="center"/>
              <w:rPr>
                <w:rFonts w:ascii="宋体" w:hAnsi="宋体"/>
              </w:rPr>
            </w:pPr>
          </w:p>
        </w:tc>
      </w:tr>
      <w:tr w14:paraId="60CE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D74A46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37AF65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7158AA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934CEC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EB4A25C">
            <w:pPr>
              <w:jc w:val="center"/>
              <w:rPr>
                <w:rFonts w:ascii="宋体" w:hAnsi="宋体"/>
              </w:rPr>
            </w:pPr>
          </w:p>
        </w:tc>
      </w:tr>
      <w:tr w14:paraId="5DF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B67857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BDBF85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C1D2D3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2245DC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D0F2C41">
            <w:pPr>
              <w:jc w:val="center"/>
              <w:rPr>
                <w:rFonts w:ascii="宋体" w:hAnsi="宋体"/>
              </w:rPr>
            </w:pPr>
          </w:p>
        </w:tc>
      </w:tr>
      <w:tr w14:paraId="38FB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4709D6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9C094D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0CEB87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68965B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D5F315E">
            <w:pPr>
              <w:jc w:val="center"/>
              <w:rPr>
                <w:rFonts w:ascii="宋体" w:hAnsi="宋体"/>
              </w:rPr>
            </w:pPr>
          </w:p>
        </w:tc>
      </w:tr>
      <w:tr w14:paraId="0F28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4CE53E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AB0F3C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E3DAE6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9A3F64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823B7E3">
            <w:pPr>
              <w:jc w:val="center"/>
              <w:rPr>
                <w:rFonts w:ascii="宋体" w:hAnsi="宋体"/>
              </w:rPr>
            </w:pPr>
          </w:p>
        </w:tc>
      </w:tr>
      <w:tr w14:paraId="4A68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6C7194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7B6410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78F52D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C4163C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EF539A1">
            <w:pPr>
              <w:jc w:val="center"/>
              <w:rPr>
                <w:rFonts w:ascii="宋体" w:hAnsi="宋体"/>
              </w:rPr>
            </w:pPr>
          </w:p>
        </w:tc>
      </w:tr>
      <w:tr w14:paraId="56F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029CC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E0D821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77219A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44D3E1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44EF95F">
            <w:pPr>
              <w:jc w:val="center"/>
              <w:rPr>
                <w:rFonts w:ascii="宋体" w:hAnsi="宋体"/>
              </w:rPr>
            </w:pPr>
          </w:p>
        </w:tc>
      </w:tr>
      <w:tr w14:paraId="0975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58BBF0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4B62F1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BA17FE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9B1508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1EEBFD5">
            <w:pPr>
              <w:jc w:val="center"/>
              <w:rPr>
                <w:rFonts w:ascii="宋体" w:hAnsi="宋体"/>
              </w:rPr>
            </w:pPr>
          </w:p>
        </w:tc>
      </w:tr>
      <w:tr w14:paraId="6D52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5CD017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7AE30D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73A69E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DA232F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F1FFAB2">
            <w:pPr>
              <w:jc w:val="center"/>
              <w:rPr>
                <w:rFonts w:ascii="宋体" w:hAnsi="宋体"/>
              </w:rPr>
            </w:pPr>
          </w:p>
        </w:tc>
      </w:tr>
      <w:tr w14:paraId="6927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69C541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E86DB1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B50DA3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83A008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D1FD4B1">
            <w:pPr>
              <w:jc w:val="center"/>
              <w:rPr>
                <w:rFonts w:ascii="宋体" w:hAnsi="宋体"/>
              </w:rPr>
            </w:pPr>
          </w:p>
        </w:tc>
      </w:tr>
      <w:tr w14:paraId="6F44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4162EB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062CE9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2C0813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724157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8A4583D">
            <w:pPr>
              <w:jc w:val="center"/>
              <w:rPr>
                <w:rFonts w:ascii="宋体" w:hAnsi="宋体"/>
              </w:rPr>
            </w:pPr>
          </w:p>
        </w:tc>
      </w:tr>
      <w:tr w14:paraId="6CCC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2DB4EE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5DE986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9A1C91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C24C0F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4BBAD43">
            <w:pPr>
              <w:jc w:val="center"/>
              <w:rPr>
                <w:rFonts w:ascii="宋体" w:hAnsi="宋体"/>
              </w:rPr>
            </w:pPr>
          </w:p>
        </w:tc>
      </w:tr>
      <w:tr w14:paraId="77DE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1C91E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8B2BC7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1936F6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12BFE2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26D0DDC">
            <w:pPr>
              <w:jc w:val="center"/>
              <w:rPr>
                <w:rFonts w:ascii="宋体" w:hAnsi="宋体"/>
              </w:rPr>
            </w:pPr>
          </w:p>
        </w:tc>
      </w:tr>
      <w:tr w14:paraId="2A2E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B2277E8">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C9C28F">
            <w:pPr>
              <w:ind w:left="1006"/>
              <w:jc w:val="left"/>
              <w:rPr>
                <w:rFonts w:ascii="宋体" w:hAnsi="宋体"/>
                <w:sz w:val="20"/>
                <w:szCs w:val="21"/>
              </w:rPr>
            </w:pPr>
          </w:p>
          <w:p w14:paraId="53F996BE">
            <w:pPr>
              <w:ind w:left="1006"/>
              <w:jc w:val="left"/>
              <w:rPr>
                <w:rFonts w:ascii="宋体" w:hAnsi="宋体"/>
                <w:sz w:val="20"/>
                <w:szCs w:val="21"/>
              </w:rPr>
            </w:pPr>
            <w:r>
              <w:rPr>
                <w:rFonts w:hint="eastAsia" w:ascii="宋体" w:hAnsi="宋体"/>
                <w:sz w:val="20"/>
                <w:szCs w:val="21"/>
                <w:lang w:eastAsia="zh-TW"/>
              </w:rPr>
              <w:t xml:space="preserve">   </w:t>
            </w:r>
            <w:r>
              <w:rPr>
                <w:rFonts w:ascii="宋体" w:hAnsi="宋体"/>
                <w:sz w:val="20"/>
                <w:szCs w:val="21"/>
                <w:lang w:eastAsia="zh-TW"/>
              </w:rPr>
              <w:t xml:space="preserve"> </w:t>
            </w:r>
            <w:r>
              <w:rPr>
                <w:rFonts w:hint="eastAsia" w:ascii="宋体" w:hAnsi="宋体"/>
                <w:sz w:val="20"/>
                <w:szCs w:val="21"/>
                <w:lang w:eastAsia="zh-TW"/>
              </w:rPr>
              <w:t xml:space="preserve">   </w:t>
            </w:r>
            <w:r>
              <w:rPr>
                <w:rFonts w:ascii="宋体" w:hAnsi="宋体"/>
                <w:sz w:val="20"/>
                <w:szCs w:val="21"/>
              </w:rPr>
              <w:t xml:space="preserve"> </w:t>
            </w:r>
          </w:p>
        </w:tc>
      </w:tr>
      <w:bookmarkEnd w:id="1"/>
    </w:tbl>
    <w:p w14:paraId="3086DC40">
      <w:pPr>
        <w:spacing w:line="360" w:lineRule="auto"/>
        <w:rPr>
          <w:rFonts w:hAnsi="宋体" w:asciiTheme="minorEastAsia" w:eastAsiaTheme="minorEastAsia"/>
          <w:b/>
          <w:sz w:val="24"/>
        </w:rPr>
      </w:pPr>
    </w:p>
    <w:p w14:paraId="022FA946">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bookmarkEnd w:id="2"/>
    </w:p>
    <w:p w14:paraId="3C1E1331">
      <w:pPr>
        <w:tabs>
          <w:tab w:val="left" w:pos="709"/>
        </w:tabs>
        <w:spacing w:line="360" w:lineRule="auto"/>
        <w:ind w:left="709"/>
        <w:rPr>
          <w:rFonts w:ascii="宋体" w:hAnsi="宋体"/>
          <w:b/>
          <w:bCs/>
          <w:sz w:val="24"/>
        </w:rPr>
      </w:pPr>
      <w:r>
        <w:rPr>
          <w:rFonts w:hint="eastAsia" w:ascii="宋体" w:hAnsi="宋体"/>
          <w:sz w:val="22"/>
          <w:szCs w:val="22"/>
        </w:rPr>
        <w:t>验证质量管理体系、产品的符合性和有效性，确保体系和产品持续符合规定的要求，完成和提高质量管理体系的运行效果及提高和改进产品质量。</w:t>
      </w:r>
    </w:p>
    <w:p w14:paraId="6F07795A">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3164352A">
      <w:pPr>
        <w:tabs>
          <w:tab w:val="left" w:pos="709"/>
        </w:tabs>
        <w:spacing w:line="360" w:lineRule="auto"/>
        <w:ind w:left="709"/>
        <w:rPr>
          <w:rFonts w:ascii="宋体" w:hAnsi="宋体"/>
          <w:b/>
          <w:bCs/>
          <w:sz w:val="24"/>
        </w:rPr>
      </w:pPr>
      <w:r>
        <w:rPr>
          <w:rFonts w:hint="eastAsia" w:ascii="宋体" w:hAnsi="宋体"/>
          <w:sz w:val="22"/>
          <w:szCs w:val="22"/>
        </w:rPr>
        <w:t>适用于本公司质量管理体系的相关活动、产品质量及过程的审核。</w:t>
      </w:r>
    </w:p>
    <w:p w14:paraId="6780E40D">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40F03BD5">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质管部组织质量管理体系审核、编制内审计划、指导具体审核工作。</w:t>
      </w:r>
    </w:p>
    <w:p w14:paraId="29421410">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质管部组织成立审核小组。</w:t>
      </w:r>
    </w:p>
    <w:p w14:paraId="2B51D4F0">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管理者代表负责审核《年度内部质量管理体系审核计划》，批准纠正措施计划和《质量体系内部审核报告》；协调内部审核实施过程中出现的争执，及时向总经理汇报审核情况。</w:t>
      </w:r>
    </w:p>
    <w:p w14:paraId="115F0469">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管理者代表负责定期组织企业按照《医疗器械生产质量管理规范》要求对质量管理体系运行情况进行全面自查，并于每年年底前向所在地省、自治区、直辖市药品监督管理部门提交年度自查报告。</w:t>
      </w:r>
    </w:p>
    <w:p w14:paraId="1F5FC12B">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总经理负责审批内审计划。</w:t>
      </w:r>
    </w:p>
    <w:p w14:paraId="0220B4CB">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各部门配合做好内部审核工作，对内部审核中提出的问题及时采取纠正措施或预防措施。</w:t>
      </w:r>
    </w:p>
    <w:p w14:paraId="484BFAC4">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2D08A51C">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总则</w:t>
      </w:r>
    </w:p>
    <w:p w14:paraId="4AFD3B11">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质量管理体系审核是审核有关质量活动是否符合规定的计划程序和实施要求，其结果是否达到预期目的，从而明确是否采取纠正和预防措施，实施改善，以提高本公司质量管理水平。</w:t>
      </w:r>
    </w:p>
    <w:p w14:paraId="798F2F3D">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质量管理体系审核必须是独立的、有计划的、有组织的定期举行，并作出审核报告。</w:t>
      </w:r>
    </w:p>
    <w:p w14:paraId="55BECE56">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由质管部负责组织成立审核小组，报管理者代表批准，并确定审核组长。各审核小组具体执行、开展各项审核工作及验证质量体系，过程审核必须覆盖全部要素/部门和工序。</w:t>
      </w:r>
    </w:p>
    <w:p w14:paraId="485741F6">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质量管理体系审核计划</w:t>
      </w:r>
    </w:p>
    <w:p w14:paraId="312FC2DA">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由质管部制定《年度内部质量管理体系审核计划》，确保每年进行一次质量体系审核，内审时间间隔不能超过12个月。全年审核必须覆盖全部要素/生产工序，审核计划经总经理批准后执行，当体系结构有重大变化或产品/过程出现重大问题时，必须及时组织审核。</w:t>
      </w:r>
    </w:p>
    <w:p w14:paraId="105CC484">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《年度内部质量管理体系审核计划》应明确审核目的、范围依据、日程安排、审核员等，并于审核一周前发至被审核部门。内部审核计划的制定应考虑部门的主要职责和区域状况的重要性以及以往审核的结果。</w:t>
      </w:r>
    </w:p>
    <w:p w14:paraId="0B9F6AE5">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成立审核组</w:t>
      </w:r>
    </w:p>
    <w:p w14:paraId="3E741C2B">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审核前由质管部组织召集内部审核员成立审核小组，制定一名有能力的审核员担任审核组长。</w:t>
      </w:r>
    </w:p>
    <w:p w14:paraId="6C8A3861">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内审员须经过专业的机构培训，考试/考核合格获得资格证书，应具有相关的业务和组织能力。</w:t>
      </w:r>
    </w:p>
    <w:p w14:paraId="27F3B79F">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审核员不应审核本部门的工作，以确保审核过程的客观性和公正性。</w:t>
      </w:r>
    </w:p>
    <w:p w14:paraId="026FA642">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审核前的准备</w:t>
      </w:r>
    </w:p>
    <w:p w14:paraId="7980819A">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各审核组内审员按分工准备审核所依据的标准和文件，编制检查点填写于《内审检查表》上。</w:t>
      </w:r>
    </w:p>
    <w:p w14:paraId="62FFB41D">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《年度内部质量管理体系审核计划》至少提前一周通知被审核部门，如被审核部门有特殊情况，可与审核组协商另行安排。</w:t>
      </w:r>
    </w:p>
    <w:p w14:paraId="4ABADBE7">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各受审核部门做好必要的准备工作，确定联络/陪同人员，告知审核员。</w:t>
      </w:r>
    </w:p>
    <w:p w14:paraId="035CA602">
      <w:pPr>
        <w:numPr>
          <w:ilvl w:val="1"/>
          <w:numId w:val="1"/>
        </w:numPr>
        <w:tabs>
          <w:tab w:val="left" w:pos="0"/>
          <w:tab w:val="left" w:pos="1418"/>
        </w:tabs>
        <w:spacing w:line="360" w:lineRule="auto"/>
        <w:ind w:left="1418" w:hanging="709"/>
        <w:jc w:val="left"/>
        <w:rPr>
          <w:rFonts w:ascii="宋体" w:hAnsi="宋体"/>
          <w:sz w:val="22"/>
          <w:szCs w:val="22"/>
        </w:rPr>
      </w:pPr>
      <w:r>
        <w:rPr>
          <w:rFonts w:hint="eastAsia" w:ascii="宋体" w:hAnsi="宋体"/>
          <w:sz w:val="22"/>
          <w:szCs w:val="22"/>
        </w:rPr>
        <w:t>审核实施</w:t>
      </w:r>
    </w:p>
    <w:p w14:paraId="0A0375DD">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首次会议：管理者代表依照《年度内部质量管理体系审核计划》主持召开首次会议，应</w:t>
      </w:r>
      <w:bookmarkStart w:id="3" w:name="OLE_LINK6"/>
      <w:r>
        <w:rPr>
          <w:rFonts w:hint="eastAsia" w:ascii="宋体" w:hAnsi="宋体"/>
          <w:sz w:val="22"/>
          <w:szCs w:val="22"/>
        </w:rPr>
        <w:t>向被审核部门</w:t>
      </w:r>
      <w:bookmarkEnd w:id="3"/>
      <w:r>
        <w:rPr>
          <w:rFonts w:hint="eastAsia" w:ascii="宋体" w:hAnsi="宋体"/>
          <w:sz w:val="22"/>
          <w:szCs w:val="22"/>
        </w:rPr>
        <w:t>、审核员及参会的有关人员重申审核目的、范围、依据，介绍审核方法和程序，与受审核部门确认审核日程安排，首次会议应签到并做好记录。</w:t>
      </w:r>
    </w:p>
    <w:p w14:paraId="0CE4FBAF">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在审核过程中，审核员可通过询问被审核人员、查阅文件资料和记录、现场观察、验证等方式进行现场审核，了解质量体系的执行情况，对审核中发现的不符合项，详细的记录在《内审检查表》，以便追溯。</w:t>
      </w:r>
    </w:p>
    <w:p w14:paraId="04C0C073">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内审员对审核中发现的不合格项，应让现场作业的人员或陪同人员确认。在组内沟通后，对已确定的不合格加以统计形成《不合格项登记表》；交与被审核部门负责人签字确认。对不合格事实证据不很充分或不合格性质非常轻微的作为观察项处理，但也须对其采取纠正措施并验证。对事实清楚的不合格项，部门负责人拒不签字的，审核人员应在记录中注明。</w:t>
      </w:r>
    </w:p>
    <w:p w14:paraId="605D5749">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审核员就审核发现的问题并与被审核方有歧义的，与审核成员一起讨论判断，必要时邀请审核组长或管理者代表参与。</w:t>
      </w:r>
    </w:p>
    <w:p w14:paraId="2F6DADDB">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末次会议：内部审核结束，由管理者代表主持召开审核末次会议。末次会议中各审核成员向管理者代表及各受审核部门报告审核情况，提出审核中的审核结论和建议。管理者代表作最终的总结，并提出改进的建议。末次会议应签到，并做好记录。</w:t>
      </w:r>
    </w:p>
    <w:p w14:paraId="4DB511CF">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如受审核部门对审核结论有异议时应在末次会议中予以讨论并解决。</w:t>
      </w:r>
    </w:p>
    <w:p w14:paraId="00956432">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审核组根据审核结果于审核结束后开具《不合格报告》分发各相关部门。</w:t>
      </w:r>
    </w:p>
    <w:p w14:paraId="56A8FA3C">
      <w:pPr>
        <w:numPr>
          <w:ilvl w:val="1"/>
          <w:numId w:val="1"/>
        </w:numPr>
        <w:tabs>
          <w:tab w:val="left" w:pos="0"/>
          <w:tab w:val="left" w:pos="1418"/>
        </w:tabs>
        <w:spacing w:line="360" w:lineRule="auto"/>
        <w:ind w:left="1418" w:hanging="709"/>
        <w:jc w:val="left"/>
        <w:rPr>
          <w:rFonts w:ascii="宋体" w:hAnsi="宋体"/>
          <w:sz w:val="22"/>
          <w:szCs w:val="22"/>
        </w:rPr>
      </w:pPr>
      <w:r>
        <w:rPr>
          <w:rFonts w:hint="eastAsia" w:ascii="宋体" w:hAnsi="宋体"/>
          <w:sz w:val="22"/>
          <w:szCs w:val="22"/>
        </w:rPr>
        <w:t>审核报告</w:t>
      </w:r>
    </w:p>
    <w:p w14:paraId="31DF67A3">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审核后，《质量管理体系内部审核报告》由审核组长或其指定专人编写，审核组长应保证审核报告的正确性和完整性，并交管理者代表审批。内部审核总结报告内容应括：</w:t>
      </w:r>
    </w:p>
    <w:p w14:paraId="4EBE65E5">
      <w:pPr>
        <w:widowControl/>
        <w:numPr>
          <w:ilvl w:val="0"/>
          <w:numId w:val="2"/>
        </w:numPr>
        <w:spacing w:line="360" w:lineRule="auto"/>
        <w:ind w:left="2263"/>
        <w:jc w:val="left"/>
        <w:rPr>
          <w:rFonts w:ascii="宋体" w:hAnsi="宋体"/>
          <w:sz w:val="22"/>
          <w:szCs w:val="22"/>
        </w:rPr>
      </w:pPr>
      <w:r>
        <w:rPr>
          <w:rFonts w:hint="eastAsia" w:ascii="宋体" w:hAnsi="宋体"/>
          <w:sz w:val="22"/>
          <w:szCs w:val="22"/>
        </w:rPr>
        <w:t>审核目的</w:t>
      </w:r>
    </w:p>
    <w:p w14:paraId="73E0C923">
      <w:pPr>
        <w:widowControl/>
        <w:numPr>
          <w:ilvl w:val="0"/>
          <w:numId w:val="2"/>
        </w:numPr>
        <w:spacing w:line="360" w:lineRule="auto"/>
        <w:ind w:left="2263"/>
        <w:jc w:val="left"/>
        <w:rPr>
          <w:rFonts w:ascii="宋体" w:hAnsi="宋体"/>
          <w:sz w:val="22"/>
          <w:szCs w:val="22"/>
        </w:rPr>
      </w:pPr>
      <w:r>
        <w:rPr>
          <w:rFonts w:hint="eastAsia" w:ascii="宋体" w:hAnsi="宋体"/>
          <w:sz w:val="22"/>
          <w:szCs w:val="22"/>
        </w:rPr>
        <w:t>审核范围</w:t>
      </w:r>
    </w:p>
    <w:p w14:paraId="51A35C53">
      <w:pPr>
        <w:widowControl/>
        <w:numPr>
          <w:ilvl w:val="0"/>
          <w:numId w:val="2"/>
        </w:numPr>
        <w:spacing w:line="360" w:lineRule="auto"/>
        <w:ind w:left="2263"/>
        <w:jc w:val="left"/>
        <w:rPr>
          <w:rFonts w:ascii="宋体" w:hAnsi="宋体"/>
          <w:sz w:val="22"/>
          <w:szCs w:val="22"/>
        </w:rPr>
      </w:pPr>
      <w:r>
        <w:rPr>
          <w:rFonts w:hint="eastAsia" w:ascii="宋体" w:hAnsi="宋体"/>
          <w:sz w:val="22"/>
          <w:szCs w:val="22"/>
        </w:rPr>
        <w:t>审核依据</w:t>
      </w:r>
    </w:p>
    <w:p w14:paraId="490065D2">
      <w:pPr>
        <w:widowControl/>
        <w:numPr>
          <w:ilvl w:val="0"/>
          <w:numId w:val="2"/>
        </w:numPr>
        <w:spacing w:line="360" w:lineRule="auto"/>
        <w:ind w:left="2263"/>
        <w:jc w:val="left"/>
        <w:rPr>
          <w:rFonts w:ascii="宋体" w:hAnsi="宋体"/>
          <w:sz w:val="22"/>
          <w:szCs w:val="22"/>
        </w:rPr>
      </w:pPr>
      <w:r>
        <w:rPr>
          <w:rFonts w:hint="eastAsia" w:ascii="宋体" w:hAnsi="宋体"/>
          <w:sz w:val="22"/>
          <w:szCs w:val="22"/>
        </w:rPr>
        <w:t>审核组成员、受审部门</w:t>
      </w:r>
    </w:p>
    <w:p w14:paraId="3B56B39B">
      <w:pPr>
        <w:widowControl/>
        <w:numPr>
          <w:ilvl w:val="0"/>
          <w:numId w:val="2"/>
        </w:numPr>
        <w:spacing w:line="360" w:lineRule="auto"/>
        <w:ind w:left="2263"/>
        <w:jc w:val="left"/>
        <w:rPr>
          <w:rFonts w:ascii="宋体" w:hAnsi="宋体"/>
          <w:sz w:val="22"/>
          <w:szCs w:val="22"/>
        </w:rPr>
      </w:pPr>
      <w:r>
        <w:rPr>
          <w:rFonts w:hint="eastAsia" w:ascii="宋体" w:hAnsi="宋体"/>
          <w:sz w:val="22"/>
          <w:szCs w:val="22"/>
        </w:rPr>
        <w:t>审核综述</w:t>
      </w:r>
    </w:p>
    <w:p w14:paraId="691CD75C">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审核资料的发放与保存</w:t>
      </w:r>
    </w:p>
    <w:p w14:paraId="65DF721E">
      <w:pPr>
        <w:pStyle w:val="17"/>
        <w:tabs>
          <w:tab w:val="left" w:pos="0"/>
          <w:tab w:val="left" w:pos="1418"/>
        </w:tabs>
        <w:spacing w:line="360" w:lineRule="auto"/>
        <w:ind w:left="2127"/>
        <w:rPr>
          <w:rFonts w:ascii="宋体" w:hAnsi="宋体"/>
          <w:sz w:val="22"/>
          <w:szCs w:val="22"/>
        </w:rPr>
      </w:pPr>
      <w:r>
        <w:rPr>
          <w:rFonts w:hint="eastAsia" w:ascii="宋体" w:hAnsi="宋体"/>
          <w:sz w:val="22"/>
          <w:szCs w:val="22"/>
        </w:rPr>
        <w:t>《质量管理体系内部审核报告》应在管理评审前完成，作为管理评审资料输入，由质管部部发放给公司相关领导、管理者代表、各受审部门和有关人员。由质管部保管《质量管理体系内部审核报告》原件和《不合格报告》等资料，具体按《</w:t>
      </w:r>
      <w:r>
        <w:rPr>
          <w:rFonts w:hint="eastAsia" w:ascii="宋体" w:hAnsi="宋体" w:cs="宋体"/>
          <w:sz w:val="22"/>
          <w:szCs w:val="22"/>
        </w:rPr>
        <w:t>记录</w:t>
      </w:r>
      <w:r>
        <w:rPr>
          <w:rFonts w:hint="eastAsia" w:ascii="宋体" w:hAnsi="宋体"/>
          <w:sz w:val="22"/>
          <w:szCs w:val="22"/>
        </w:rPr>
        <w:t>控制程序》执行。</w:t>
      </w:r>
    </w:p>
    <w:p w14:paraId="47CE9774">
      <w:pPr>
        <w:numPr>
          <w:ilvl w:val="1"/>
          <w:numId w:val="1"/>
        </w:numPr>
        <w:tabs>
          <w:tab w:val="left" w:pos="0"/>
          <w:tab w:val="left" w:pos="1418"/>
        </w:tabs>
        <w:spacing w:line="360" w:lineRule="auto"/>
        <w:ind w:left="1418" w:hanging="709"/>
        <w:jc w:val="left"/>
        <w:rPr>
          <w:rFonts w:ascii="宋体" w:hAnsi="宋体"/>
          <w:sz w:val="22"/>
          <w:szCs w:val="22"/>
        </w:rPr>
      </w:pPr>
      <w:r>
        <w:rPr>
          <w:rFonts w:hint="eastAsia" w:ascii="宋体" w:hAnsi="宋体"/>
          <w:sz w:val="22"/>
          <w:szCs w:val="22"/>
        </w:rPr>
        <w:t>内审不合格的跟踪、验证</w:t>
      </w:r>
    </w:p>
    <w:p w14:paraId="1BCC847E">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审核组长派发《不合格报告》予受审核部门，受审核部门应在7个工作日内对不符合项做出原因分析，作出纠正和制定相应的纠正/预防措施及计划完成的日期。并反馈给审核员，由审核组长根据纠正和预防措施的完成期限，安排进行验证其有效性。</w:t>
      </w:r>
    </w:p>
    <w:p w14:paraId="51110975">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受审核部门按《不合格报告》拟定纠正/预防措施，对不符合项进行纠正和消除其原因。质管部和审核组长对受审核部门实施纠正/预防措施的完成情况进行跟踪验证。通常情况下，受审核方应在30个工作日内关闭纠正/预防措施。</w:t>
      </w:r>
    </w:p>
    <w:p w14:paraId="29FEF2CF">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如在规定期限内未能完成不符合项的原因的分析和纠正预防措施，按照《纠正及预防措施控制程序》相关规定执行。</w:t>
      </w:r>
    </w:p>
    <w:p w14:paraId="7A49999D">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对有效的纠正措施引起文件的更改，按《文件控制程序》的要求执行。</w:t>
      </w:r>
    </w:p>
    <w:p w14:paraId="1F02A17E">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对于内审所发现问题项已采取纠正措施，但验证无效的，要求再次进行跟踪审核或者由责任部门实行在纠正，重新执行。</w:t>
      </w:r>
    </w:p>
    <w:p w14:paraId="3C53F8B8">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内部质量体系审核结果由管理者代表提交管理评审。</w:t>
      </w:r>
    </w:p>
    <w:p w14:paraId="65FA73FC">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所有内审记录由质管部负责保存，保存期七年。</w:t>
      </w:r>
    </w:p>
    <w:p w14:paraId="3C7F564A">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相关文件</w:t>
      </w:r>
    </w:p>
    <w:p w14:paraId="491581C5">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QA-OP-001</w:t>
      </w:r>
      <w:r>
        <w:rPr>
          <w:rFonts w:hint="eastAsia" w:ascii="宋体" w:hAnsi="宋体"/>
          <w:sz w:val="22"/>
          <w:szCs w:val="22"/>
        </w:rPr>
        <w:t xml:space="preserve"> 《文件控制程序》</w:t>
      </w:r>
    </w:p>
    <w:p w14:paraId="1E9BF315">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QA-OP-00</w:t>
      </w:r>
      <w:r>
        <w:rPr>
          <w:rFonts w:hint="eastAsia" w:ascii="宋体" w:hAnsi="宋体"/>
          <w:sz w:val="22"/>
          <w:szCs w:val="22"/>
        </w:rPr>
        <w:t>2 《</w:t>
      </w:r>
      <w:r>
        <w:rPr>
          <w:rFonts w:hint="eastAsia" w:ascii="宋体" w:hAnsi="宋体" w:cs="宋体"/>
          <w:sz w:val="22"/>
          <w:szCs w:val="22"/>
        </w:rPr>
        <w:t>记录</w:t>
      </w:r>
      <w:r>
        <w:rPr>
          <w:rFonts w:hint="eastAsia" w:ascii="宋体" w:hAnsi="宋体"/>
          <w:sz w:val="22"/>
          <w:szCs w:val="22"/>
        </w:rPr>
        <w:t>控制程序》</w:t>
      </w:r>
    </w:p>
    <w:p w14:paraId="0ED00FF3">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QA-OP-009</w:t>
      </w:r>
      <w:r>
        <w:rPr>
          <w:rFonts w:hint="eastAsia" w:ascii="宋体" w:hAnsi="宋体"/>
          <w:sz w:val="22"/>
          <w:szCs w:val="22"/>
        </w:rPr>
        <w:t xml:space="preserve"> 《纠正和预防措施控制程序》</w:t>
      </w:r>
    </w:p>
    <w:p w14:paraId="4164F0D7">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相关记录表单</w:t>
      </w:r>
    </w:p>
    <w:p w14:paraId="63E46B25">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QA-FM-023</w:t>
      </w:r>
      <w:r>
        <w:rPr>
          <w:rFonts w:hint="eastAsia" w:ascii="宋体" w:hAnsi="宋体"/>
          <w:sz w:val="22"/>
          <w:szCs w:val="22"/>
        </w:rPr>
        <w:t>《年度内部质量管理体系审核计划》</w:t>
      </w:r>
    </w:p>
    <w:p w14:paraId="19B99478">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QA-FM-024</w:t>
      </w:r>
      <w:r>
        <w:rPr>
          <w:rFonts w:hint="eastAsia" w:ascii="宋体" w:hAnsi="宋体"/>
          <w:sz w:val="22"/>
          <w:szCs w:val="22"/>
        </w:rPr>
        <w:t xml:space="preserve"> 《内审检查表》</w:t>
      </w:r>
    </w:p>
    <w:p w14:paraId="0FC791B0">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QA-FM-025</w:t>
      </w:r>
      <w:r>
        <w:rPr>
          <w:rFonts w:hint="eastAsia" w:ascii="宋体" w:hAnsi="宋体"/>
          <w:sz w:val="22"/>
          <w:szCs w:val="22"/>
        </w:rPr>
        <w:t xml:space="preserve"> 《质量体系内部审核报告》</w:t>
      </w:r>
    </w:p>
    <w:p w14:paraId="25D2CD79">
      <w:pPr>
        <w:numPr>
          <w:ilvl w:val="1"/>
          <w:numId w:val="1"/>
        </w:numPr>
        <w:tabs>
          <w:tab w:val="left" w:pos="0"/>
          <w:tab w:val="left" w:pos="1418"/>
        </w:tabs>
        <w:spacing w:line="360" w:lineRule="auto"/>
        <w:ind w:left="1418" w:hanging="709"/>
        <w:rPr>
          <w:rFonts w:ascii="宋体" w:hAnsi="宋体"/>
          <w:sz w:val="22"/>
          <w:szCs w:val="22"/>
        </w:rPr>
      </w:pPr>
      <w:r>
        <w:rPr>
          <w:rFonts w:ascii="宋体" w:hAnsi="宋体"/>
          <w:sz w:val="22"/>
          <w:szCs w:val="22"/>
        </w:rPr>
        <w:t>QA-FM-026</w:t>
      </w:r>
      <w:r>
        <w:rPr>
          <w:rFonts w:hint="eastAsia" w:ascii="宋体" w:hAnsi="宋体"/>
          <w:sz w:val="22"/>
          <w:szCs w:val="22"/>
        </w:rPr>
        <w:t xml:space="preserve"> 《不合格报告》</w:t>
      </w:r>
    </w:p>
    <w:p w14:paraId="33EEE751">
      <w:pPr>
        <w:tabs>
          <w:tab w:val="left" w:pos="0"/>
          <w:tab w:val="left" w:pos="1418"/>
        </w:tabs>
        <w:spacing w:line="360" w:lineRule="auto"/>
        <w:ind w:left="1418"/>
        <w:rPr>
          <w:rFonts w:ascii="宋体" w:hAnsi="宋体"/>
          <w:sz w:val="22"/>
          <w:szCs w:val="22"/>
        </w:rPr>
      </w:pPr>
    </w:p>
    <w:p w14:paraId="0E628701">
      <w:pPr>
        <w:tabs>
          <w:tab w:val="left" w:pos="709"/>
        </w:tabs>
        <w:spacing w:line="360" w:lineRule="auto"/>
        <w:jc w:val="center"/>
        <w:rPr>
          <w:rFonts w:hint="eastAsia" w:eastAsia="等线"/>
          <w:lang w:eastAsia="zh-CN"/>
        </w:rPr>
      </w:pPr>
    </w:p>
    <w:p w14:paraId="10AB209E">
      <w:pPr>
        <w:tabs>
          <w:tab w:val="left" w:pos="709"/>
        </w:tabs>
        <w:spacing w:line="360" w:lineRule="auto"/>
        <w:jc w:val="center"/>
        <w:rPr>
          <w:rFonts w:hint="eastAsia" w:eastAsia="等线"/>
          <w:lang w:eastAsia="zh-CN"/>
        </w:rPr>
      </w:pPr>
    </w:p>
    <w:p w14:paraId="5FA64D06">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499" w:tblpY="1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6C089C4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77667CA">
          <w:pPr>
            <w:tabs>
              <w:tab w:val="left" w:pos="709"/>
            </w:tabs>
            <w:rPr>
              <w:rFonts w:ascii="Cambria" w:hAnsi="Cambria"/>
              <w:sz w:val="20"/>
            </w:rPr>
          </w:pPr>
        </w:p>
      </w:tc>
    </w:tr>
  </w:tbl>
  <w:p w14:paraId="32588592">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5FCB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12E594A1">
          <w:pPr>
            <w:tabs>
              <w:tab w:val="left" w:pos="461"/>
            </w:tabs>
            <w:jc w:val="center"/>
            <w:rPr>
              <w:b/>
              <w:lang w:val="zh-CN"/>
            </w:rPr>
          </w:pPr>
        </w:p>
      </w:tc>
      <w:tc>
        <w:tcPr>
          <w:tcW w:w="5645" w:type="dxa"/>
          <w:vMerge w:val="restart"/>
          <w:tcBorders>
            <w:left w:val="single" w:color="auto" w:sz="4" w:space="0"/>
          </w:tcBorders>
          <w:vAlign w:val="center"/>
        </w:tcPr>
        <w:p w14:paraId="57867AEF">
          <w:pPr>
            <w:tabs>
              <w:tab w:val="left" w:pos="461"/>
            </w:tabs>
            <w:jc w:val="center"/>
            <w:rPr>
              <w:b/>
              <w:lang w:val="zh-CN"/>
            </w:rPr>
          </w:pPr>
          <w:r>
            <w:rPr>
              <w:rFonts w:hint="eastAsia"/>
              <w:b/>
              <w:sz w:val="32"/>
              <w:szCs w:val="32"/>
            </w:rPr>
            <w:t>内部质量体系审核程序</w:t>
          </w:r>
        </w:p>
      </w:tc>
      <w:tc>
        <w:tcPr>
          <w:tcW w:w="1487" w:type="dxa"/>
          <w:vAlign w:val="center"/>
        </w:tcPr>
        <w:p w14:paraId="502BB141">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3F514648">
          <w:pPr>
            <w:jc w:val="center"/>
          </w:pPr>
          <w:r>
            <w:rPr>
              <w:sz w:val="22"/>
              <w:szCs w:val="22"/>
            </w:rPr>
            <w:t>QA-OP-006</w:t>
          </w:r>
        </w:p>
      </w:tc>
    </w:tr>
    <w:tr w14:paraId="5A56A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7349551D">
          <w:pPr>
            <w:jc w:val="center"/>
          </w:pPr>
        </w:p>
      </w:tc>
      <w:tc>
        <w:tcPr>
          <w:tcW w:w="5645" w:type="dxa"/>
          <w:vMerge w:val="continue"/>
          <w:tcBorders>
            <w:left w:val="single" w:color="auto" w:sz="4" w:space="0"/>
          </w:tcBorders>
          <w:vAlign w:val="center"/>
        </w:tcPr>
        <w:p w14:paraId="1A2CDC16">
          <w:pPr>
            <w:jc w:val="center"/>
          </w:pPr>
        </w:p>
      </w:tc>
      <w:tc>
        <w:tcPr>
          <w:tcW w:w="1487" w:type="dxa"/>
          <w:vAlign w:val="center"/>
        </w:tcPr>
        <w:p w14:paraId="051FC2A7">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2245" w:type="dxa"/>
          <w:vAlign w:val="center"/>
        </w:tcPr>
        <w:p w14:paraId="48C37335">
          <w:pPr>
            <w:jc w:val="center"/>
          </w:pPr>
          <w:r>
            <w:rPr>
              <w:sz w:val="22"/>
              <w:szCs w:val="22"/>
            </w:rPr>
            <w:t>01</w:t>
          </w:r>
        </w:p>
      </w:tc>
    </w:tr>
    <w:tr w14:paraId="3B6C6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4181DA5E">
          <w:pPr>
            <w:jc w:val="center"/>
            <w:rPr>
              <w:b/>
              <w:sz w:val="32"/>
              <w:lang w:val="zh-CN"/>
            </w:rPr>
          </w:pPr>
        </w:p>
      </w:tc>
      <w:tc>
        <w:tcPr>
          <w:tcW w:w="5645" w:type="dxa"/>
          <w:vMerge w:val="continue"/>
          <w:tcBorders>
            <w:left w:val="single" w:color="auto" w:sz="4" w:space="0"/>
          </w:tcBorders>
          <w:vAlign w:val="center"/>
        </w:tcPr>
        <w:p w14:paraId="7C6F26A2">
          <w:pPr>
            <w:jc w:val="center"/>
            <w:rPr>
              <w:b/>
              <w:sz w:val="32"/>
              <w:lang w:val="zh-CN"/>
            </w:rPr>
          </w:pPr>
        </w:p>
      </w:tc>
      <w:tc>
        <w:tcPr>
          <w:tcW w:w="1487" w:type="dxa"/>
          <w:vAlign w:val="center"/>
        </w:tcPr>
        <w:p w14:paraId="1E7A03D1">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1DE509C1">
          <w:pPr>
            <w:jc w:val="center"/>
          </w:pPr>
          <w:r>
            <w:rPr>
              <w:sz w:val="22"/>
              <w:szCs w:val="22"/>
              <w:lang w:eastAsia="zh-TW"/>
            </w:rPr>
            <w:t>2020年02月01日</w:t>
          </w:r>
        </w:p>
      </w:tc>
    </w:tr>
    <w:tr w14:paraId="4A13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03004519">
          <w:pPr>
            <w:jc w:val="center"/>
            <w:rPr>
              <w:b/>
            </w:rPr>
          </w:pPr>
        </w:p>
      </w:tc>
      <w:tc>
        <w:tcPr>
          <w:tcW w:w="5645" w:type="dxa"/>
          <w:vMerge w:val="continue"/>
          <w:tcBorders>
            <w:left w:val="single" w:color="auto" w:sz="4" w:space="0"/>
          </w:tcBorders>
          <w:vAlign w:val="center"/>
        </w:tcPr>
        <w:p w14:paraId="7B9A3CD4">
          <w:pPr>
            <w:jc w:val="center"/>
            <w:rPr>
              <w:b/>
            </w:rPr>
          </w:pPr>
        </w:p>
      </w:tc>
      <w:tc>
        <w:tcPr>
          <w:tcW w:w="1487" w:type="dxa"/>
          <w:vAlign w:val="center"/>
        </w:tcPr>
        <w:p w14:paraId="5FC4B8BD">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619D7088">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2</w:t>
          </w:r>
          <w:r>
            <w:rPr>
              <w:sz w:val="22"/>
              <w:szCs w:val="22"/>
            </w:rPr>
            <w:fldChar w:fldCharType="end"/>
          </w:r>
          <w:r>
            <w:rPr>
              <w:sz w:val="22"/>
              <w:szCs w:val="22"/>
            </w:rPr>
            <w:t>页，共</w:t>
          </w:r>
          <w:r>
            <w:fldChar w:fldCharType="begin"/>
          </w:r>
          <w:r>
            <w:instrText xml:space="preserve"> NUMPAGES  \* Arabic  \* MERGEFORMAT </w:instrText>
          </w:r>
          <w:r>
            <w:fldChar w:fldCharType="separate"/>
          </w:r>
          <w:r>
            <w:t>5</w:t>
          </w:r>
          <w:r>
            <w:fldChar w:fldCharType="end"/>
          </w:r>
          <w:r>
            <w:rPr>
              <w:sz w:val="22"/>
              <w:szCs w:val="22"/>
            </w:rPr>
            <w:t>页</w:t>
          </w:r>
        </w:p>
      </w:tc>
    </w:tr>
  </w:tbl>
  <w:p w14:paraId="081976E2">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711A9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4A8547C1">
          <w:pPr>
            <w:jc w:val="center"/>
          </w:pPr>
        </w:p>
      </w:tc>
      <w:tc>
        <w:tcPr>
          <w:tcW w:w="5620" w:type="dxa"/>
          <w:vMerge w:val="restart"/>
          <w:tcBorders>
            <w:left w:val="single" w:color="auto" w:sz="4" w:space="0"/>
          </w:tcBorders>
          <w:vAlign w:val="center"/>
        </w:tcPr>
        <w:p w14:paraId="0A0D8982">
          <w:pPr>
            <w:jc w:val="center"/>
            <w:rPr>
              <w:rFonts w:ascii="宋体" w:hAnsi="宋体"/>
            </w:rPr>
          </w:pPr>
          <w:r>
            <w:rPr>
              <w:rFonts w:hint="eastAsia"/>
              <w:b/>
              <w:sz w:val="32"/>
              <w:szCs w:val="32"/>
            </w:rPr>
            <w:t>内部质量体系审核程序</w:t>
          </w:r>
        </w:p>
      </w:tc>
      <w:tc>
        <w:tcPr>
          <w:tcW w:w="1459" w:type="dxa"/>
          <w:vAlign w:val="center"/>
        </w:tcPr>
        <w:p w14:paraId="56CB15F7">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49A0B50E">
          <w:pPr>
            <w:jc w:val="center"/>
            <w:rPr>
              <w:szCs w:val="22"/>
            </w:rPr>
          </w:pPr>
          <w:r>
            <w:rPr>
              <w:sz w:val="22"/>
              <w:szCs w:val="22"/>
            </w:rPr>
            <w:t>QA-OP-006</w:t>
          </w:r>
        </w:p>
      </w:tc>
    </w:tr>
    <w:tr w14:paraId="43CB5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12087FE7">
          <w:pPr>
            <w:jc w:val="center"/>
            <w:rPr>
              <w:b/>
            </w:rPr>
          </w:pPr>
        </w:p>
      </w:tc>
      <w:tc>
        <w:tcPr>
          <w:tcW w:w="5620" w:type="dxa"/>
          <w:vMerge w:val="continue"/>
          <w:tcBorders>
            <w:left w:val="single" w:color="auto" w:sz="4" w:space="0"/>
          </w:tcBorders>
          <w:vAlign w:val="center"/>
        </w:tcPr>
        <w:p w14:paraId="39628663">
          <w:pPr>
            <w:jc w:val="center"/>
            <w:rPr>
              <w:b/>
            </w:rPr>
          </w:pPr>
        </w:p>
      </w:tc>
      <w:tc>
        <w:tcPr>
          <w:tcW w:w="1459" w:type="dxa"/>
          <w:vAlign w:val="center"/>
        </w:tcPr>
        <w:p w14:paraId="12F0FCE5">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71D09005">
          <w:pPr>
            <w:jc w:val="center"/>
            <w:rPr>
              <w:szCs w:val="22"/>
            </w:rPr>
          </w:pPr>
          <w:r>
            <w:rPr>
              <w:sz w:val="22"/>
              <w:szCs w:val="22"/>
            </w:rPr>
            <w:t>01</w:t>
          </w:r>
        </w:p>
      </w:tc>
      <w:tc>
        <w:tcPr>
          <w:tcW w:w="1201" w:type="dxa"/>
          <w:vAlign w:val="center"/>
        </w:tcPr>
        <w:p w14:paraId="756B1E58">
          <w:pPr>
            <w:jc w:val="center"/>
            <w:rPr>
              <w:szCs w:val="22"/>
            </w:rPr>
          </w:pPr>
          <w:r>
            <w:rPr>
              <w:sz w:val="22"/>
              <w:szCs w:val="22"/>
            </w:rPr>
            <w:t>修改次数</w:t>
          </w:r>
        </w:p>
      </w:tc>
      <w:tc>
        <w:tcPr>
          <w:tcW w:w="401" w:type="dxa"/>
          <w:vAlign w:val="center"/>
        </w:tcPr>
        <w:p w14:paraId="2EE35429">
          <w:pPr>
            <w:jc w:val="center"/>
            <w:rPr>
              <w:rFonts w:ascii="宋体" w:hAnsi="宋体"/>
              <w:szCs w:val="22"/>
            </w:rPr>
          </w:pPr>
          <w:r>
            <w:rPr>
              <w:rFonts w:ascii="宋体" w:hAnsi="宋体"/>
              <w:szCs w:val="22"/>
            </w:rPr>
            <w:t>0</w:t>
          </w:r>
        </w:p>
      </w:tc>
    </w:tr>
    <w:tr w14:paraId="4356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535E1AF3">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23892DD4">
          <w:pPr>
            <w:jc w:val="left"/>
          </w:pPr>
        </w:p>
      </w:tc>
      <w:tc>
        <w:tcPr>
          <w:tcW w:w="1459" w:type="dxa"/>
          <w:tcBorders>
            <w:bottom w:val="single" w:color="auto" w:sz="4" w:space="0"/>
          </w:tcBorders>
          <w:vAlign w:val="center"/>
        </w:tcPr>
        <w:p w14:paraId="118A48C2">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5BFBD17D">
          <w:pPr>
            <w:jc w:val="center"/>
            <w:rPr>
              <w:szCs w:val="22"/>
            </w:rPr>
          </w:pPr>
          <w:r>
            <w:rPr>
              <w:sz w:val="22"/>
              <w:szCs w:val="22"/>
            </w:rPr>
            <w:t>2020年02月01日</w:t>
          </w:r>
        </w:p>
      </w:tc>
    </w:tr>
    <w:tr w14:paraId="33A7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7C27763B">
          <w:pPr>
            <w:jc w:val="center"/>
          </w:pPr>
          <w:r>
            <w:rPr>
              <w:sz w:val="22"/>
              <w:szCs w:val="22"/>
            </w:rPr>
            <w:t>审核/</w:t>
          </w:r>
          <w:r>
            <w:rPr>
              <w:sz w:val="22"/>
              <w:szCs w:val="22"/>
              <w:lang w:eastAsia="zh-HK"/>
            </w:rPr>
            <w:t>日期</w:t>
          </w:r>
        </w:p>
      </w:tc>
      <w:tc>
        <w:tcPr>
          <w:tcW w:w="5620" w:type="dxa"/>
          <w:vAlign w:val="center"/>
        </w:tcPr>
        <w:p w14:paraId="31B074BF">
          <w:pPr>
            <w:jc w:val="left"/>
          </w:pPr>
        </w:p>
      </w:tc>
      <w:tc>
        <w:tcPr>
          <w:tcW w:w="1459" w:type="dxa"/>
          <w:tcBorders>
            <w:top w:val="single" w:color="auto" w:sz="4" w:space="0"/>
            <w:bottom w:val="single" w:color="auto" w:sz="4" w:space="0"/>
          </w:tcBorders>
          <w:vAlign w:val="center"/>
        </w:tcPr>
        <w:p w14:paraId="23204EC9">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3A873444">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5</w:t>
          </w:r>
          <w:r>
            <w:rPr>
              <w:szCs w:val="22"/>
            </w:rPr>
            <w:fldChar w:fldCharType="end"/>
          </w:r>
          <w:r>
            <w:rPr>
              <w:sz w:val="22"/>
              <w:szCs w:val="22"/>
            </w:rPr>
            <w:t>页</w:t>
          </w:r>
        </w:p>
      </w:tc>
    </w:tr>
    <w:tr w14:paraId="4CB1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3CEAE4C6">
          <w:pPr>
            <w:jc w:val="center"/>
            <w:rPr>
              <w:lang w:eastAsia="zh-HK"/>
            </w:rPr>
          </w:pPr>
          <w:r>
            <w:rPr>
              <w:sz w:val="22"/>
              <w:szCs w:val="22"/>
            </w:rPr>
            <w:t>批准/</w:t>
          </w:r>
          <w:r>
            <w:rPr>
              <w:sz w:val="22"/>
              <w:szCs w:val="22"/>
              <w:lang w:eastAsia="zh-HK"/>
            </w:rPr>
            <w:t>日期</w:t>
          </w:r>
        </w:p>
      </w:tc>
      <w:tc>
        <w:tcPr>
          <w:tcW w:w="5620" w:type="dxa"/>
          <w:vAlign w:val="center"/>
        </w:tcPr>
        <w:p w14:paraId="70FA8297">
          <w:pPr>
            <w:jc w:val="left"/>
          </w:pPr>
        </w:p>
      </w:tc>
      <w:tc>
        <w:tcPr>
          <w:tcW w:w="1459" w:type="dxa"/>
          <w:tcBorders>
            <w:top w:val="single" w:color="auto" w:sz="4" w:space="0"/>
          </w:tcBorders>
          <w:vAlign w:val="center"/>
        </w:tcPr>
        <w:p w14:paraId="6320D8BD">
          <w:pPr>
            <w:jc w:val="center"/>
            <w:rPr>
              <w:szCs w:val="22"/>
            </w:rPr>
          </w:pPr>
          <w:r>
            <w:rPr>
              <w:sz w:val="22"/>
              <w:szCs w:val="22"/>
            </w:rPr>
            <w:t>受控状态</w:t>
          </w:r>
        </w:p>
      </w:tc>
      <w:tc>
        <w:tcPr>
          <w:tcW w:w="2157" w:type="dxa"/>
          <w:gridSpan w:val="3"/>
          <w:tcBorders>
            <w:top w:val="single" w:color="auto" w:sz="4" w:space="0"/>
          </w:tcBorders>
          <w:vAlign w:val="center"/>
        </w:tcPr>
        <w:p w14:paraId="66B6FF0C">
          <w:pPr>
            <w:jc w:val="center"/>
            <w:rPr>
              <w:szCs w:val="22"/>
            </w:rPr>
          </w:pPr>
          <w:r>
            <w:rPr>
              <w:sz w:val="22"/>
              <w:szCs w:val="22"/>
            </w:rPr>
            <w:t>受控</w:t>
          </w:r>
        </w:p>
      </w:tc>
    </w:tr>
  </w:tbl>
  <w:p w14:paraId="200E564A">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
    <w:nsid w:val="38B77685"/>
    <w:multiLevelType w:val="multilevel"/>
    <w:tmpl w:val="38B77685"/>
    <w:lvl w:ilvl="0" w:tentative="0">
      <w:start w:val="1"/>
      <w:numFmt w:val="lowerLetter"/>
      <w:lvlText w:val="%1)"/>
      <w:lvlJc w:val="left"/>
      <w:pPr>
        <w:ind w:left="2261" w:hanging="420"/>
      </w:pPr>
    </w:lvl>
    <w:lvl w:ilvl="1" w:tentative="0">
      <w:start w:val="1"/>
      <w:numFmt w:val="lowerLetter"/>
      <w:lvlText w:val="%2)"/>
      <w:lvlJc w:val="left"/>
      <w:pPr>
        <w:ind w:left="2681" w:hanging="420"/>
      </w:pPr>
    </w:lvl>
    <w:lvl w:ilvl="2" w:tentative="0">
      <w:start w:val="1"/>
      <w:numFmt w:val="lowerRoman"/>
      <w:lvlText w:val="%3."/>
      <w:lvlJc w:val="right"/>
      <w:pPr>
        <w:ind w:left="3101" w:hanging="420"/>
      </w:pPr>
    </w:lvl>
    <w:lvl w:ilvl="3" w:tentative="0">
      <w:start w:val="1"/>
      <w:numFmt w:val="decimal"/>
      <w:lvlText w:val="%4."/>
      <w:lvlJc w:val="left"/>
      <w:pPr>
        <w:ind w:left="3521" w:hanging="420"/>
      </w:pPr>
    </w:lvl>
    <w:lvl w:ilvl="4" w:tentative="0">
      <w:start w:val="1"/>
      <w:numFmt w:val="lowerLetter"/>
      <w:lvlText w:val="%5)"/>
      <w:lvlJc w:val="left"/>
      <w:pPr>
        <w:ind w:left="3941" w:hanging="420"/>
      </w:pPr>
    </w:lvl>
    <w:lvl w:ilvl="5" w:tentative="0">
      <w:start w:val="1"/>
      <w:numFmt w:val="lowerRoman"/>
      <w:lvlText w:val="%6."/>
      <w:lvlJc w:val="right"/>
      <w:pPr>
        <w:ind w:left="4361" w:hanging="420"/>
      </w:pPr>
    </w:lvl>
    <w:lvl w:ilvl="6" w:tentative="0">
      <w:start w:val="1"/>
      <w:numFmt w:val="decimal"/>
      <w:lvlText w:val="%7."/>
      <w:lvlJc w:val="left"/>
      <w:pPr>
        <w:ind w:left="4781" w:hanging="420"/>
      </w:pPr>
    </w:lvl>
    <w:lvl w:ilvl="7" w:tentative="0">
      <w:start w:val="1"/>
      <w:numFmt w:val="lowerLetter"/>
      <w:lvlText w:val="%8)"/>
      <w:lvlJc w:val="left"/>
      <w:pPr>
        <w:ind w:left="5201" w:hanging="420"/>
      </w:pPr>
    </w:lvl>
    <w:lvl w:ilvl="8" w:tentative="0">
      <w:start w:val="1"/>
      <w:numFmt w:val="lowerRoman"/>
      <w:lvlText w:val="%9."/>
      <w:lvlJc w:val="right"/>
      <w:pPr>
        <w:ind w:left="56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00B9"/>
    <w:rsid w:val="00033F9E"/>
    <w:rsid w:val="00037C71"/>
    <w:rsid w:val="000437F5"/>
    <w:rsid w:val="000508A1"/>
    <w:rsid w:val="000546B6"/>
    <w:rsid w:val="000566AC"/>
    <w:rsid w:val="000622BC"/>
    <w:rsid w:val="0006596D"/>
    <w:rsid w:val="0007577B"/>
    <w:rsid w:val="00075A9E"/>
    <w:rsid w:val="000901DF"/>
    <w:rsid w:val="00093A75"/>
    <w:rsid w:val="000C2C7E"/>
    <w:rsid w:val="000C3E3B"/>
    <w:rsid w:val="000F5249"/>
    <w:rsid w:val="000F7932"/>
    <w:rsid w:val="000F7A88"/>
    <w:rsid w:val="00120038"/>
    <w:rsid w:val="00131552"/>
    <w:rsid w:val="00153CBD"/>
    <w:rsid w:val="001626D5"/>
    <w:rsid w:val="001849B4"/>
    <w:rsid w:val="001A03E9"/>
    <w:rsid w:val="001B054E"/>
    <w:rsid w:val="001B1456"/>
    <w:rsid w:val="001B1494"/>
    <w:rsid w:val="001D03FE"/>
    <w:rsid w:val="001D22E3"/>
    <w:rsid w:val="001D75F1"/>
    <w:rsid w:val="001E6B14"/>
    <w:rsid w:val="001F68C6"/>
    <w:rsid w:val="00201B89"/>
    <w:rsid w:val="00205D30"/>
    <w:rsid w:val="00214FC3"/>
    <w:rsid w:val="002200D3"/>
    <w:rsid w:val="002403C0"/>
    <w:rsid w:val="00240898"/>
    <w:rsid w:val="00244DDA"/>
    <w:rsid w:val="002515CA"/>
    <w:rsid w:val="00251F12"/>
    <w:rsid w:val="00255F32"/>
    <w:rsid w:val="002653C0"/>
    <w:rsid w:val="00266C76"/>
    <w:rsid w:val="0027440C"/>
    <w:rsid w:val="00280AC4"/>
    <w:rsid w:val="00284EC9"/>
    <w:rsid w:val="00286F70"/>
    <w:rsid w:val="002875EB"/>
    <w:rsid w:val="00297513"/>
    <w:rsid w:val="002B133E"/>
    <w:rsid w:val="002C0FC6"/>
    <w:rsid w:val="002D0DF2"/>
    <w:rsid w:val="002E07AC"/>
    <w:rsid w:val="002F2FC0"/>
    <w:rsid w:val="00303F87"/>
    <w:rsid w:val="00304C7B"/>
    <w:rsid w:val="00313BCC"/>
    <w:rsid w:val="00331C87"/>
    <w:rsid w:val="00332C36"/>
    <w:rsid w:val="00347BD9"/>
    <w:rsid w:val="00361C94"/>
    <w:rsid w:val="0036433E"/>
    <w:rsid w:val="0038751A"/>
    <w:rsid w:val="003C752B"/>
    <w:rsid w:val="003D384C"/>
    <w:rsid w:val="003E20D7"/>
    <w:rsid w:val="00412719"/>
    <w:rsid w:val="00414551"/>
    <w:rsid w:val="00416532"/>
    <w:rsid w:val="004214BE"/>
    <w:rsid w:val="00423F19"/>
    <w:rsid w:val="00431F7A"/>
    <w:rsid w:val="00433B59"/>
    <w:rsid w:val="00447ECD"/>
    <w:rsid w:val="004841EE"/>
    <w:rsid w:val="0048621C"/>
    <w:rsid w:val="00497C2C"/>
    <w:rsid w:val="004A218D"/>
    <w:rsid w:val="004C0DD4"/>
    <w:rsid w:val="004C3C1F"/>
    <w:rsid w:val="004C6221"/>
    <w:rsid w:val="004C6D60"/>
    <w:rsid w:val="004C70E4"/>
    <w:rsid w:val="004F228A"/>
    <w:rsid w:val="004F2CD9"/>
    <w:rsid w:val="004F35F6"/>
    <w:rsid w:val="004F44E1"/>
    <w:rsid w:val="004F5BF5"/>
    <w:rsid w:val="00503D01"/>
    <w:rsid w:val="00507256"/>
    <w:rsid w:val="005072DD"/>
    <w:rsid w:val="005172E4"/>
    <w:rsid w:val="00532A6F"/>
    <w:rsid w:val="00534135"/>
    <w:rsid w:val="0053448C"/>
    <w:rsid w:val="005427AF"/>
    <w:rsid w:val="00554A69"/>
    <w:rsid w:val="00556451"/>
    <w:rsid w:val="00556DF7"/>
    <w:rsid w:val="00560832"/>
    <w:rsid w:val="00560CB9"/>
    <w:rsid w:val="00576701"/>
    <w:rsid w:val="005802B2"/>
    <w:rsid w:val="005A36F9"/>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649"/>
    <w:rsid w:val="006307CE"/>
    <w:rsid w:val="00633DC0"/>
    <w:rsid w:val="0065667F"/>
    <w:rsid w:val="00660700"/>
    <w:rsid w:val="00661863"/>
    <w:rsid w:val="00664881"/>
    <w:rsid w:val="00666262"/>
    <w:rsid w:val="006707BA"/>
    <w:rsid w:val="006709E2"/>
    <w:rsid w:val="00677BB1"/>
    <w:rsid w:val="0068156C"/>
    <w:rsid w:val="006849FC"/>
    <w:rsid w:val="006A2A6F"/>
    <w:rsid w:val="006B0E20"/>
    <w:rsid w:val="006E0268"/>
    <w:rsid w:val="006E4313"/>
    <w:rsid w:val="006F72A0"/>
    <w:rsid w:val="00715EA3"/>
    <w:rsid w:val="00744415"/>
    <w:rsid w:val="00753F88"/>
    <w:rsid w:val="007722F0"/>
    <w:rsid w:val="00773B8B"/>
    <w:rsid w:val="00785BE2"/>
    <w:rsid w:val="007866DB"/>
    <w:rsid w:val="00793B92"/>
    <w:rsid w:val="0079736C"/>
    <w:rsid w:val="007A3C65"/>
    <w:rsid w:val="007B505B"/>
    <w:rsid w:val="007B5C07"/>
    <w:rsid w:val="007B6DE9"/>
    <w:rsid w:val="007B776D"/>
    <w:rsid w:val="007C29E7"/>
    <w:rsid w:val="007D105F"/>
    <w:rsid w:val="007D6B32"/>
    <w:rsid w:val="007E1B4C"/>
    <w:rsid w:val="007E608D"/>
    <w:rsid w:val="007F20CC"/>
    <w:rsid w:val="00802148"/>
    <w:rsid w:val="00803259"/>
    <w:rsid w:val="00812D60"/>
    <w:rsid w:val="008223C2"/>
    <w:rsid w:val="00825130"/>
    <w:rsid w:val="00833520"/>
    <w:rsid w:val="00862D06"/>
    <w:rsid w:val="008743CB"/>
    <w:rsid w:val="0088239F"/>
    <w:rsid w:val="008975EF"/>
    <w:rsid w:val="008A472F"/>
    <w:rsid w:val="008A76AE"/>
    <w:rsid w:val="008C19BF"/>
    <w:rsid w:val="008D3A0D"/>
    <w:rsid w:val="008D76CA"/>
    <w:rsid w:val="008E7FB2"/>
    <w:rsid w:val="008F1784"/>
    <w:rsid w:val="009006D5"/>
    <w:rsid w:val="00903D1D"/>
    <w:rsid w:val="00920D98"/>
    <w:rsid w:val="009354BC"/>
    <w:rsid w:val="00940998"/>
    <w:rsid w:val="009432A6"/>
    <w:rsid w:val="00943388"/>
    <w:rsid w:val="009513FC"/>
    <w:rsid w:val="00955B42"/>
    <w:rsid w:val="00956605"/>
    <w:rsid w:val="00962258"/>
    <w:rsid w:val="0096760D"/>
    <w:rsid w:val="0097035E"/>
    <w:rsid w:val="00973017"/>
    <w:rsid w:val="00977A43"/>
    <w:rsid w:val="00981870"/>
    <w:rsid w:val="00984FD4"/>
    <w:rsid w:val="009925A8"/>
    <w:rsid w:val="00996157"/>
    <w:rsid w:val="009A4679"/>
    <w:rsid w:val="009C4077"/>
    <w:rsid w:val="009C64A7"/>
    <w:rsid w:val="009E2C62"/>
    <w:rsid w:val="009E34F2"/>
    <w:rsid w:val="009F13E4"/>
    <w:rsid w:val="009F23A2"/>
    <w:rsid w:val="00A00E33"/>
    <w:rsid w:val="00A05E34"/>
    <w:rsid w:val="00A53D80"/>
    <w:rsid w:val="00A651A8"/>
    <w:rsid w:val="00A73790"/>
    <w:rsid w:val="00A7787F"/>
    <w:rsid w:val="00A834A0"/>
    <w:rsid w:val="00A91035"/>
    <w:rsid w:val="00A941EE"/>
    <w:rsid w:val="00AD22E7"/>
    <w:rsid w:val="00AD6DCA"/>
    <w:rsid w:val="00B0187C"/>
    <w:rsid w:val="00B07A94"/>
    <w:rsid w:val="00B1191C"/>
    <w:rsid w:val="00B23254"/>
    <w:rsid w:val="00B263C0"/>
    <w:rsid w:val="00B3536F"/>
    <w:rsid w:val="00B4049A"/>
    <w:rsid w:val="00B42140"/>
    <w:rsid w:val="00B50CC3"/>
    <w:rsid w:val="00B553E2"/>
    <w:rsid w:val="00B56E5C"/>
    <w:rsid w:val="00B77D84"/>
    <w:rsid w:val="00B8253A"/>
    <w:rsid w:val="00B91B69"/>
    <w:rsid w:val="00BA3637"/>
    <w:rsid w:val="00BA4135"/>
    <w:rsid w:val="00BB0A40"/>
    <w:rsid w:val="00BC439F"/>
    <w:rsid w:val="00BD094F"/>
    <w:rsid w:val="00BD7905"/>
    <w:rsid w:val="00BE78BB"/>
    <w:rsid w:val="00BF261B"/>
    <w:rsid w:val="00BF57E1"/>
    <w:rsid w:val="00C023E1"/>
    <w:rsid w:val="00C10857"/>
    <w:rsid w:val="00C30A2C"/>
    <w:rsid w:val="00C30EAE"/>
    <w:rsid w:val="00C63A80"/>
    <w:rsid w:val="00C80ADC"/>
    <w:rsid w:val="00C8340F"/>
    <w:rsid w:val="00C8464D"/>
    <w:rsid w:val="00C852B8"/>
    <w:rsid w:val="00CB0017"/>
    <w:rsid w:val="00CB7F06"/>
    <w:rsid w:val="00CC1794"/>
    <w:rsid w:val="00CF1042"/>
    <w:rsid w:val="00CF1658"/>
    <w:rsid w:val="00CF48DE"/>
    <w:rsid w:val="00CF4928"/>
    <w:rsid w:val="00D17336"/>
    <w:rsid w:val="00D3184D"/>
    <w:rsid w:val="00D37465"/>
    <w:rsid w:val="00D3765F"/>
    <w:rsid w:val="00D426AA"/>
    <w:rsid w:val="00D55EFC"/>
    <w:rsid w:val="00D6029D"/>
    <w:rsid w:val="00D61F9C"/>
    <w:rsid w:val="00D66898"/>
    <w:rsid w:val="00D6726B"/>
    <w:rsid w:val="00D67D05"/>
    <w:rsid w:val="00D71D2E"/>
    <w:rsid w:val="00D803C6"/>
    <w:rsid w:val="00D81DE4"/>
    <w:rsid w:val="00DA7120"/>
    <w:rsid w:val="00DB7E81"/>
    <w:rsid w:val="00DF0978"/>
    <w:rsid w:val="00DF4776"/>
    <w:rsid w:val="00E005C9"/>
    <w:rsid w:val="00E1250F"/>
    <w:rsid w:val="00E336AC"/>
    <w:rsid w:val="00E34118"/>
    <w:rsid w:val="00E43D41"/>
    <w:rsid w:val="00E57A27"/>
    <w:rsid w:val="00E7198E"/>
    <w:rsid w:val="00E75331"/>
    <w:rsid w:val="00E76CDA"/>
    <w:rsid w:val="00E82DB5"/>
    <w:rsid w:val="00EB272E"/>
    <w:rsid w:val="00EB512C"/>
    <w:rsid w:val="00EB6962"/>
    <w:rsid w:val="00EB7F2A"/>
    <w:rsid w:val="00ED5B80"/>
    <w:rsid w:val="00EE7D19"/>
    <w:rsid w:val="00EF2779"/>
    <w:rsid w:val="00EF43BF"/>
    <w:rsid w:val="00F0486F"/>
    <w:rsid w:val="00F12707"/>
    <w:rsid w:val="00F129C7"/>
    <w:rsid w:val="00F43E3F"/>
    <w:rsid w:val="00F45155"/>
    <w:rsid w:val="00F4607A"/>
    <w:rsid w:val="00F5120C"/>
    <w:rsid w:val="00F51A0A"/>
    <w:rsid w:val="00F51B24"/>
    <w:rsid w:val="00F57173"/>
    <w:rsid w:val="00F727D9"/>
    <w:rsid w:val="00F82AF1"/>
    <w:rsid w:val="00FA4DFA"/>
    <w:rsid w:val="00FB5F13"/>
    <w:rsid w:val="00FB6D29"/>
    <w:rsid w:val="00FD340C"/>
    <w:rsid w:val="00FF2453"/>
    <w:rsid w:val="00FF5C4C"/>
    <w:rsid w:val="047A2578"/>
    <w:rsid w:val="0B331D58"/>
    <w:rsid w:val="3661706F"/>
    <w:rsid w:val="3AD65BC4"/>
    <w:rsid w:val="3F683876"/>
    <w:rsid w:val="42F53B5C"/>
    <w:rsid w:val="5C876797"/>
    <w:rsid w:val="643E6FC1"/>
    <w:rsid w:val="646D0843"/>
    <w:rsid w:val="68544B48"/>
    <w:rsid w:val="6A383754"/>
    <w:rsid w:val="7590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7A864-CF57-449A-8DFC-398BA6C6DE01}">
  <ds:schemaRefs/>
</ds:datastoreItem>
</file>

<file path=docProps/app.xml><?xml version="1.0" encoding="utf-8"?>
<Properties xmlns="http://schemas.openxmlformats.org/officeDocument/2006/extended-properties" xmlns:vt="http://schemas.openxmlformats.org/officeDocument/2006/docPropsVTypes">
  <Template>Normal</Template>
  <Pages>5</Pages>
  <Words>2363</Words>
  <Characters>2641</Characters>
  <Lines>18</Lines>
  <Paragraphs>5</Paragraphs>
  <TotalTime>13</TotalTime>
  <ScaleCrop>false</ScaleCrop>
  <LinksUpToDate>false</LinksUpToDate>
  <CharactersWithSpaces>2656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2017-09-11T17:01:00Z</dcterms:created>
  <dc:creator>cslau</dc:creator>
  <cp:lastModifiedBy>太极箫客</cp:lastModifiedBy>
  <cp:lastPrinted>2018-11-08T06:47:00Z</cp:lastPrinted>
  <dcterms:modified xsi:type="dcterms:W3CDTF">2025-08-14T06:23:23Z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2E1DDF7E8B4341D1BFE7477164A93BA6_12</vt:lpwstr>
  </property>
</Properties>
</file>