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2E711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  <w:bookmarkStart w:id="0" w:name="_Hlk489617946"/>
      <w:r>
        <w:rPr>
          <w:rFonts w:ascii="Arial" w:hAnsi="宋体" w:cs="Arial"/>
          <w:sz w:val="22"/>
          <w:szCs w:val="22"/>
        </w:rPr>
        <w:t>更改历史</w:t>
      </w:r>
      <w:bookmarkEnd w:id="0"/>
    </w:p>
    <w:tbl>
      <w:tblPr>
        <w:tblStyle w:val="9"/>
        <w:tblW w:w="10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3183"/>
        <w:gridCol w:w="1672"/>
        <w:gridCol w:w="2590"/>
      </w:tblGrid>
      <w:tr w14:paraId="62D5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7" w:type="dxa"/>
            <w:shd w:val="clear" w:color="auto" w:fill="auto"/>
          </w:tcPr>
          <w:p w14:paraId="76690E72">
            <w:pPr>
              <w:spacing w:line="360" w:lineRule="auto"/>
              <w:rPr>
                <w:rFonts w:ascii="Arial" w:hAnsi="Arial" w:cs="Arial"/>
                <w:szCs w:val="22"/>
              </w:rPr>
            </w:pPr>
            <w:bookmarkStart w:id="1" w:name="_Hlk489617917"/>
            <w:r>
              <w:rPr>
                <w:rFonts w:ascii="Arial" w:hAnsi="宋体" w:cs="Arial"/>
                <w:sz w:val="22"/>
                <w:szCs w:val="22"/>
              </w:rPr>
              <w:t>版本号</w:t>
            </w:r>
          </w:p>
        </w:tc>
        <w:tc>
          <w:tcPr>
            <w:tcW w:w="1575" w:type="dxa"/>
            <w:shd w:val="clear" w:color="auto" w:fill="auto"/>
          </w:tcPr>
          <w:p w14:paraId="6818D6E6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文件更改号</w:t>
            </w:r>
          </w:p>
        </w:tc>
        <w:tc>
          <w:tcPr>
            <w:tcW w:w="3183" w:type="dxa"/>
            <w:shd w:val="clear" w:color="auto" w:fill="auto"/>
          </w:tcPr>
          <w:p w14:paraId="78390E82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更改概要</w:t>
            </w:r>
          </w:p>
        </w:tc>
        <w:tc>
          <w:tcPr>
            <w:tcW w:w="1672" w:type="dxa"/>
          </w:tcPr>
          <w:p w14:paraId="579F40CD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修改人</w:t>
            </w:r>
          </w:p>
        </w:tc>
        <w:tc>
          <w:tcPr>
            <w:tcW w:w="2590" w:type="dxa"/>
          </w:tcPr>
          <w:p w14:paraId="10F1121D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批准人</w:t>
            </w:r>
          </w:p>
        </w:tc>
      </w:tr>
      <w:tr w14:paraId="5B90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7" w:type="dxa"/>
            <w:shd w:val="clear" w:color="auto" w:fill="auto"/>
          </w:tcPr>
          <w:p w14:paraId="693A8E99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14:paraId="34C3EF58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首发行</w:t>
            </w:r>
          </w:p>
        </w:tc>
        <w:tc>
          <w:tcPr>
            <w:tcW w:w="3183" w:type="dxa"/>
            <w:shd w:val="clear" w:color="auto" w:fill="auto"/>
          </w:tcPr>
          <w:p w14:paraId="59A56236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672" w:type="dxa"/>
          </w:tcPr>
          <w:p w14:paraId="5B3FA918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  <w:tc>
          <w:tcPr>
            <w:tcW w:w="2590" w:type="dxa"/>
          </w:tcPr>
          <w:p w14:paraId="77757EFD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</w:tr>
      <w:tr w14:paraId="3CAE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1AB0235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5BC7F98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2EEDECF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51BE6CF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5405706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F45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6C07CF1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01BFCD3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5A14F94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1AAE270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58AA4E3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880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B98E5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97C73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4A0D8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21B2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098F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593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ECE09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D3F74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A4B27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E0A8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D747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223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8C99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9D9E9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C0F14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13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70D9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B40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47F0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4A931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FEAE7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3373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B950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541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BC20F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D6860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C962E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8046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C36A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10D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61207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74583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6291C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F428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22C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830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378AE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98495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A998A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6C9B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F46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B1B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4D739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93AB2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F1700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912D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36D3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5B3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B8A9C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377B9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3440C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BC0E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0019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621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2F1C0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C80D2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12DA7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5F55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2EF4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472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0A5A3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9F2CF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A342E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CC0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6F30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3DA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10B07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BE2B0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6AC2E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0E8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DE42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320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29B51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05060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D4BC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D54D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BE10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300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AD86C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C2472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B39A9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00E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7FF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E67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783DE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77FA0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8FAAA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8371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CE3C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5BD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F3D8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13884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77294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CA94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933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6F0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A7356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5FD69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49D47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D72A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B77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378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B5FE2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9D439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6D473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749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B299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54C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6E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发放范围</w:t>
            </w:r>
          </w:p>
        </w:tc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98350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bookmarkEnd w:id="1"/>
    </w:tbl>
    <w:p w14:paraId="2720080F">
      <w:pPr>
        <w:spacing w:line="360" w:lineRule="auto"/>
        <w:rPr>
          <w:rFonts w:ascii="Arial" w:hAnsi="Arial" w:cs="Arial"/>
          <w:sz w:val="22"/>
          <w:szCs w:val="22"/>
        </w:rPr>
      </w:pPr>
    </w:p>
    <w:p w14:paraId="35625423">
      <w:pPr>
        <w:spacing w:line="360" w:lineRule="auto"/>
        <w:rPr>
          <w:rFonts w:ascii="Arial" w:hAnsi="Arial" w:cs="Arial"/>
          <w:sz w:val="22"/>
          <w:szCs w:val="22"/>
        </w:rPr>
      </w:pPr>
    </w:p>
    <w:p w14:paraId="3BB9E144">
      <w:pPr>
        <w:spacing w:line="360" w:lineRule="auto"/>
        <w:rPr>
          <w:rFonts w:ascii="Arial" w:hAnsi="Arial" w:cs="Arial"/>
          <w:sz w:val="22"/>
          <w:szCs w:val="22"/>
        </w:rPr>
      </w:pPr>
    </w:p>
    <w:p w14:paraId="36E11BC9">
      <w:pPr>
        <w:numPr>
          <w:ilvl w:val="0"/>
          <w:numId w:val="1"/>
        </w:numPr>
        <w:spacing w:after="120" w:afterLines="50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目的</w:t>
      </w:r>
    </w:p>
    <w:p w14:paraId="68C3023E">
      <w:pPr>
        <w:spacing w:after="120" w:afterLines="50"/>
        <w:ind w:left="425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为保证净化空调机组设备正常运转，特制定本规程。</w:t>
      </w:r>
    </w:p>
    <w:p w14:paraId="3313CE46">
      <w:pPr>
        <w:numPr>
          <w:ilvl w:val="0"/>
          <w:numId w:val="1"/>
        </w:numPr>
        <w:spacing w:after="120" w:afterLines="50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范围</w:t>
      </w:r>
    </w:p>
    <w:p w14:paraId="21A1D3F1">
      <w:pPr>
        <w:spacing w:after="120" w:afterLines="50"/>
        <w:ind w:left="425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本制度适用于公司净化空调机组的管理。</w:t>
      </w:r>
    </w:p>
    <w:p w14:paraId="0E305C4F">
      <w:pPr>
        <w:numPr>
          <w:ilvl w:val="0"/>
          <w:numId w:val="1"/>
        </w:numPr>
        <w:spacing w:after="120" w:afterLines="50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责任人</w:t>
      </w:r>
    </w:p>
    <w:p w14:paraId="0ECBF7BC">
      <w:pPr>
        <w:spacing w:after="120" w:afterLines="50"/>
        <w:ind w:left="425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生产技术部设备管理人员</w:t>
      </w:r>
    </w:p>
    <w:p w14:paraId="0B52637B">
      <w:pPr>
        <w:numPr>
          <w:ilvl w:val="0"/>
          <w:numId w:val="1"/>
        </w:numPr>
        <w:spacing w:after="120" w:afterLines="50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内容</w:t>
      </w:r>
    </w:p>
    <w:p w14:paraId="69A53FC7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洁净级别</w:t>
      </w:r>
    </w:p>
    <w:p w14:paraId="2C361015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  <w:highlight w:val="yellow"/>
        </w:rPr>
      </w:pPr>
      <w:r>
        <w:rPr>
          <w:rFonts w:hint="eastAsia" w:ascii="黑体" w:hAnsi="宋体" w:eastAsia="黑体"/>
          <w:szCs w:val="21"/>
          <w:highlight w:val="yellow"/>
        </w:rPr>
        <w:t>净化车间洁净级别为10万级。</w:t>
      </w:r>
    </w:p>
    <w:p w14:paraId="6A4B060A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净化空气</w:t>
      </w:r>
    </w:p>
    <w:p w14:paraId="3E809BF1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车间的空气由新风口经过粗效空气过滤器、表冷器、加热器、中效空气过滤器过滤和温湿度调节后，通过风管经风管终端的高效过滤器过滤后直接送到净化车间。</w:t>
      </w:r>
    </w:p>
    <w:p w14:paraId="1152CD81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环境控制</w:t>
      </w:r>
    </w:p>
    <w:p w14:paraId="6E576725">
      <w:pPr>
        <w:numPr>
          <w:ilvl w:val="2"/>
          <w:numId w:val="1"/>
        </w:numPr>
        <w:spacing w:after="120" w:afterLines="50"/>
        <w:rPr>
          <w:rFonts w:ascii="黑体" w:hAnsi="宋体" w:eastAsia="黑体"/>
          <w:color w:val="0000FF"/>
          <w:szCs w:val="21"/>
          <w:highlight w:val="yellow"/>
        </w:rPr>
      </w:pPr>
      <w:r>
        <w:rPr>
          <w:rFonts w:hint="eastAsia" w:ascii="黑体" w:hAnsi="宋体" w:eastAsia="黑体"/>
          <w:color w:val="0000FF"/>
          <w:szCs w:val="21"/>
          <w:highlight w:val="yellow"/>
        </w:rPr>
        <w:t>车间温度为22±3℃。</w:t>
      </w:r>
    </w:p>
    <w:p w14:paraId="7E7B9BAB">
      <w:pPr>
        <w:numPr>
          <w:ilvl w:val="2"/>
          <w:numId w:val="1"/>
        </w:numPr>
        <w:spacing w:after="120" w:afterLines="50"/>
        <w:rPr>
          <w:rFonts w:ascii="黑体" w:hAnsi="宋体" w:eastAsia="黑体"/>
          <w:color w:val="0000FF"/>
          <w:szCs w:val="21"/>
          <w:highlight w:val="yellow"/>
        </w:rPr>
      </w:pPr>
      <w:r>
        <w:rPr>
          <w:rFonts w:hint="eastAsia" w:ascii="黑体" w:hAnsi="宋体" w:eastAsia="黑体"/>
          <w:color w:val="0000FF"/>
          <w:szCs w:val="21"/>
          <w:highlight w:val="yellow"/>
        </w:rPr>
        <w:t>车间相对湿度为60-80%。</w:t>
      </w:r>
    </w:p>
    <w:p w14:paraId="27C71EC2">
      <w:pPr>
        <w:numPr>
          <w:ilvl w:val="1"/>
          <w:numId w:val="1"/>
        </w:numPr>
        <w:spacing w:after="120" w:afterLines="50"/>
        <w:rPr>
          <w:rFonts w:ascii="黑体" w:hAnsi="宋体" w:eastAsia="黑体"/>
          <w:color w:val="0000FF"/>
          <w:szCs w:val="21"/>
          <w:highlight w:val="yellow"/>
        </w:rPr>
      </w:pPr>
      <w:r>
        <w:rPr>
          <w:rFonts w:hint="eastAsia" w:ascii="黑体" w:hAnsi="宋体" w:eastAsia="黑体"/>
          <w:color w:val="0000FF"/>
          <w:szCs w:val="21"/>
          <w:highlight w:val="yellow"/>
        </w:rPr>
        <w:t>压差控制</w:t>
      </w:r>
    </w:p>
    <w:p w14:paraId="7629BEEB">
      <w:pPr>
        <w:numPr>
          <w:ilvl w:val="2"/>
          <w:numId w:val="1"/>
        </w:numPr>
        <w:spacing w:after="120" w:afterLines="50"/>
        <w:rPr>
          <w:rFonts w:ascii="黑体" w:hAnsi="宋体" w:eastAsia="黑体"/>
          <w:color w:val="0000FF"/>
          <w:szCs w:val="21"/>
          <w:highlight w:val="yellow"/>
        </w:rPr>
      </w:pPr>
      <w:r>
        <w:rPr>
          <w:rFonts w:hint="eastAsia" w:ascii="黑体" w:hAnsi="宋体" w:eastAsia="黑体"/>
          <w:color w:val="0000FF"/>
          <w:szCs w:val="21"/>
          <w:highlight w:val="yellow"/>
        </w:rPr>
        <w:t>车间与室外的静压差＞10pa。</w:t>
      </w:r>
    </w:p>
    <w:p w14:paraId="16815F5F">
      <w:pPr>
        <w:numPr>
          <w:ilvl w:val="1"/>
          <w:numId w:val="1"/>
        </w:numPr>
        <w:spacing w:after="120" w:afterLines="50"/>
        <w:rPr>
          <w:rFonts w:ascii="黑体" w:hAnsi="宋体" w:eastAsia="黑体"/>
          <w:color w:val="0000FF"/>
          <w:szCs w:val="21"/>
          <w:highlight w:val="yellow"/>
        </w:rPr>
      </w:pPr>
      <w:r>
        <w:rPr>
          <w:rFonts w:hint="eastAsia" w:ascii="黑体" w:hAnsi="宋体" w:eastAsia="黑体"/>
          <w:color w:val="0000FF"/>
          <w:szCs w:val="21"/>
          <w:highlight w:val="yellow"/>
        </w:rPr>
        <w:t>送风量</w:t>
      </w:r>
    </w:p>
    <w:p w14:paraId="130C985D">
      <w:pPr>
        <w:numPr>
          <w:ilvl w:val="2"/>
          <w:numId w:val="1"/>
        </w:numPr>
        <w:spacing w:after="120" w:afterLines="50"/>
        <w:rPr>
          <w:rFonts w:ascii="黑体" w:hAnsi="宋体" w:eastAsia="黑体"/>
          <w:color w:val="0000FF"/>
          <w:szCs w:val="21"/>
          <w:highlight w:val="yellow"/>
        </w:rPr>
      </w:pPr>
      <w:r>
        <w:rPr>
          <w:rFonts w:hint="eastAsia" w:ascii="黑体" w:hAnsi="宋体" w:eastAsia="黑体"/>
          <w:color w:val="0000FF"/>
          <w:szCs w:val="21"/>
          <w:highlight w:val="yellow"/>
        </w:rPr>
        <w:t>车间内换气次数≥10次/小时。</w:t>
      </w:r>
    </w:p>
    <w:p w14:paraId="14A930C3">
      <w:pPr>
        <w:numPr>
          <w:ilvl w:val="1"/>
          <w:numId w:val="1"/>
        </w:numPr>
        <w:spacing w:after="120" w:afterLines="50"/>
        <w:rPr>
          <w:rFonts w:ascii="黑体" w:hAnsi="宋体" w:eastAsia="黑体"/>
          <w:color w:val="0000FF"/>
          <w:szCs w:val="21"/>
          <w:highlight w:val="yellow"/>
        </w:rPr>
      </w:pPr>
      <w:r>
        <w:rPr>
          <w:rFonts w:hint="eastAsia" w:ascii="黑体" w:hAnsi="宋体" w:eastAsia="黑体"/>
          <w:color w:val="0000FF"/>
          <w:szCs w:val="21"/>
          <w:highlight w:val="yellow"/>
        </w:rPr>
        <w:t>新风量</w:t>
      </w:r>
    </w:p>
    <w:p w14:paraId="72E4FBD3">
      <w:pPr>
        <w:numPr>
          <w:ilvl w:val="2"/>
          <w:numId w:val="1"/>
        </w:numPr>
        <w:spacing w:after="120" w:afterLines="50"/>
        <w:rPr>
          <w:rFonts w:ascii="黑体" w:hAnsi="宋体" w:eastAsia="黑体"/>
          <w:color w:val="0000FF"/>
          <w:szCs w:val="21"/>
          <w:highlight w:val="yellow"/>
        </w:rPr>
      </w:pPr>
      <w:r>
        <w:rPr>
          <w:rFonts w:hint="eastAsia" w:ascii="黑体" w:hAnsi="宋体" w:eastAsia="黑体"/>
          <w:color w:val="0000FF"/>
          <w:szCs w:val="21"/>
          <w:highlight w:val="yellow"/>
        </w:rPr>
        <w:t>总风量的10—30%。</w:t>
      </w:r>
    </w:p>
    <w:p w14:paraId="4D8A012B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异常情况及处理</w:t>
      </w:r>
    </w:p>
    <w:p w14:paraId="75B8B8E3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风机有异声：</w:t>
      </w:r>
    </w:p>
    <w:p w14:paraId="34CA2A3A">
      <w:pPr>
        <w:spacing w:after="120" w:afterLines="50"/>
        <w:ind w:left="636" w:leftChars="303" w:firstLine="525" w:firstLineChars="250"/>
        <w:rPr>
          <w:rFonts w:ascii="黑体" w:hAnsi="宋体" w:eastAsia="黑体"/>
          <w:szCs w:val="21"/>
        </w:rPr>
      </w:pPr>
      <w:r>
        <w:rPr>
          <w:rFonts w:hint="eastAsia" w:ascii="黑体" w:eastAsia="黑体"/>
          <w:szCs w:val="21"/>
        </w:rPr>
        <w:t>风机或电机轴承有磨损，添加润滑油或者更换轴承。</w:t>
      </w:r>
    </w:p>
    <w:p w14:paraId="7418C67C">
      <w:pPr>
        <w:spacing w:after="120" w:afterLines="50"/>
        <w:ind w:left="636" w:leftChars="303" w:firstLine="525" w:firstLineChars="250"/>
        <w:rPr>
          <w:rFonts w:ascii="黑体" w:hAnsi="宋体" w:eastAsia="黑体"/>
          <w:szCs w:val="21"/>
        </w:rPr>
      </w:pPr>
      <w:r>
        <w:rPr>
          <w:rFonts w:hint="eastAsia" w:ascii="黑体" w:eastAsia="黑体"/>
          <w:szCs w:val="21"/>
        </w:rPr>
        <w:t>风机与电机皮带盘不在一条直线上或皮带松动，调整皮带盘或更换皮带。</w:t>
      </w:r>
    </w:p>
    <w:p w14:paraId="7CDE73FF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车间风量不足：</w:t>
      </w:r>
    </w:p>
    <w:p w14:paraId="1879E0F9">
      <w:pPr>
        <w:spacing w:line="360" w:lineRule="auto"/>
        <w:ind w:firstLine="1365" w:firstLineChars="6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检查新风口是否堵塞，进行清洗或更换新风口过滤器。</w:t>
      </w:r>
    </w:p>
    <w:p w14:paraId="087D9588">
      <w:pPr>
        <w:spacing w:line="360" w:lineRule="auto"/>
        <w:ind w:firstLine="1365" w:firstLineChars="6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检查新风调节阀是否关闭，打开或调节新风阀门。</w:t>
      </w:r>
    </w:p>
    <w:p w14:paraId="48419717">
      <w:pPr>
        <w:spacing w:line="360" w:lineRule="auto"/>
        <w:ind w:firstLine="1365" w:firstLineChars="6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检查送风阀是否关闭，打开或调节送风阀门。</w:t>
      </w:r>
    </w:p>
    <w:p w14:paraId="0B51B2C9">
      <w:pPr>
        <w:numPr>
          <w:ilvl w:val="0"/>
          <w:numId w:val="1"/>
        </w:numPr>
        <w:spacing w:after="120" w:afterLines="50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记录</w:t>
      </w:r>
    </w:p>
    <w:p w14:paraId="039129B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黑体" w:hAnsi="宋体" w:eastAsia="黑体"/>
          <w:szCs w:val="21"/>
        </w:rPr>
        <w:t>PD-FM-023</w:t>
      </w:r>
      <w:r>
        <w:rPr>
          <w:rFonts w:hint="eastAsia" w:ascii="黑体" w:hAnsi="宋体" w:eastAsia="黑体"/>
          <w:szCs w:val="21"/>
        </w:rPr>
        <w:t>《空调系统运行记录》</w:t>
      </w:r>
    </w:p>
    <w:p w14:paraId="28B650BC">
      <w:pPr>
        <w:tabs>
          <w:tab w:val="left" w:pos="0"/>
          <w:tab w:val="left" w:pos="1418"/>
        </w:tabs>
        <w:spacing w:line="360" w:lineRule="auto"/>
        <w:ind w:left="1418"/>
        <w:rPr>
          <w:rFonts w:ascii="Arial" w:hAnsi="Arial" w:cs="Arial"/>
        </w:rPr>
      </w:pPr>
    </w:p>
    <w:p w14:paraId="12C72FC4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208E1ABF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429D7B00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5" w:type="first"/>
      <w:headerReference r:id="rId3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05828F98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7FF047AC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714BD61B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7ED9BFF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333CA6B8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79CB8996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t>净化空调系统管理规程</w:t>
          </w:r>
        </w:p>
      </w:tc>
      <w:tc>
        <w:tcPr>
          <w:tcW w:w="1418" w:type="dxa"/>
          <w:vAlign w:val="center"/>
        </w:tcPr>
        <w:p w14:paraId="44F09D7E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528368AD">
          <w:pPr>
            <w:jc w:val="center"/>
            <w:rPr>
              <w:sz w:val="20"/>
            </w:rPr>
          </w:pPr>
          <w:r>
            <w:rPr>
              <w:sz w:val="20"/>
            </w:rPr>
            <w:t>PD-RG-0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9</w:t>
          </w:r>
        </w:p>
      </w:tc>
    </w:tr>
    <w:tr w14:paraId="0B861E9D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3984BFB1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3EAAC890">
          <w:pPr>
            <w:jc w:val="center"/>
          </w:pPr>
        </w:p>
      </w:tc>
      <w:tc>
        <w:tcPr>
          <w:tcW w:w="1418" w:type="dxa"/>
          <w:vAlign w:val="center"/>
        </w:tcPr>
        <w:p w14:paraId="5C8D21CE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2139" w:type="dxa"/>
          <w:vAlign w:val="center"/>
        </w:tcPr>
        <w:p w14:paraId="67D09728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06D80A7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0BC5105A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D66A0C8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6902BBA5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5D19CC00">
          <w:pPr>
            <w:jc w:val="center"/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6456C1D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6FA70581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56CD0938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59C5F494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7CB2D219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2A1BE08D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3BF4BCF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781D6CA6">
          <w:pPr>
            <w:jc w:val="center"/>
          </w:pPr>
          <w:bookmarkStart w:id="2" w:name="_Hlk489625929"/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5AC25B34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bCs/>
              <w:sz w:val="28"/>
              <w:szCs w:val="28"/>
            </w:rPr>
          </w:pPr>
          <w:r>
            <w:rPr>
              <w:rFonts w:hint="eastAsia"/>
              <w:b/>
              <w:bCs/>
              <w:sz w:val="28"/>
              <w:szCs w:val="28"/>
            </w:rPr>
            <w:t>净化空调系统管理规程</w:t>
          </w:r>
        </w:p>
      </w:tc>
      <w:tc>
        <w:tcPr>
          <w:tcW w:w="1415" w:type="dxa"/>
          <w:vAlign w:val="center"/>
        </w:tcPr>
        <w:p w14:paraId="4B27ADB6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3690739D">
          <w:pPr>
            <w:jc w:val="center"/>
            <w:rPr>
              <w:sz w:val="20"/>
            </w:rPr>
          </w:pPr>
          <w:r>
            <w:rPr>
              <w:sz w:val="20"/>
            </w:rPr>
            <w:t>PD-RG-0</w:t>
          </w:r>
          <w:r>
            <w:rPr>
              <w:rFonts w:hint="eastAsia"/>
              <w:sz w:val="20"/>
            </w:rPr>
            <w:t>0</w:t>
          </w:r>
        </w:p>
      </w:tc>
    </w:tr>
    <w:tr w14:paraId="3CA163B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47F54903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0A2ACB34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1E633204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555" w:type="dxa"/>
          <w:vAlign w:val="center"/>
        </w:tcPr>
        <w:p w14:paraId="02872F50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1170" w:type="dxa"/>
          <w:vAlign w:val="center"/>
        </w:tcPr>
        <w:p w14:paraId="1C1B221D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07E6C546">
          <w:pPr>
            <w:jc w:val="center"/>
            <w:rPr>
              <w:rFonts w:ascii="宋体" w:hAnsi="宋体"/>
              <w:sz w:val="20"/>
            </w:rPr>
          </w:pPr>
          <w:r>
            <w:rPr>
              <w:rFonts w:ascii="宋体" w:hAnsi="宋体"/>
              <w:sz w:val="20"/>
            </w:rPr>
            <w:t>0</w:t>
          </w:r>
        </w:p>
      </w:tc>
    </w:tr>
    <w:tr w14:paraId="5E8FF81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4AD0EC3C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38556F2F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12C90485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6FD4BEB1">
          <w:pPr>
            <w:jc w:val="center"/>
            <w:rPr>
              <w:sz w:val="20"/>
            </w:rPr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631AB56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5504672F">
          <w:pPr>
            <w:jc w:val="left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3B6A25EE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7C7B8152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11FEDBA1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5BF0997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64CBE078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3C517DEA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4980EE73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5A232CB2">
          <w:pPr>
            <w:jc w:val="center"/>
          </w:pPr>
          <w:r>
            <w:rPr>
              <w:szCs w:val="22"/>
            </w:rPr>
            <w:t>受控</w:t>
          </w:r>
        </w:p>
      </w:tc>
    </w:tr>
    <w:bookmarkEnd w:id="2"/>
  </w:tbl>
  <w:p w14:paraId="00358755">
    <w:pPr>
      <w:pStyle w:val="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F1AC9"/>
    <w:multiLevelType w:val="multilevel"/>
    <w:tmpl w:val="75EF1AC9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 w:ascii="黑体" w:hAnsi="Times New Roman" w:eastAsia="黑体" w:cs="Times New Roman"/>
        <w:b w:val="0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（%5）"/>
      <w:lvlJc w:val="left"/>
      <w:pPr>
        <w:tabs>
          <w:tab w:val="left" w:pos="1984"/>
        </w:tabs>
        <w:ind w:left="2268" w:hanging="567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95DE9"/>
    <w:rsid w:val="000A0AFC"/>
    <w:rsid w:val="000C2C7E"/>
    <w:rsid w:val="000C3E3B"/>
    <w:rsid w:val="000C6787"/>
    <w:rsid w:val="000F5249"/>
    <w:rsid w:val="000F7932"/>
    <w:rsid w:val="000F7A88"/>
    <w:rsid w:val="000F7FEC"/>
    <w:rsid w:val="00121066"/>
    <w:rsid w:val="00131552"/>
    <w:rsid w:val="00133477"/>
    <w:rsid w:val="00153CBD"/>
    <w:rsid w:val="001849B4"/>
    <w:rsid w:val="00196840"/>
    <w:rsid w:val="001A03E9"/>
    <w:rsid w:val="001A111B"/>
    <w:rsid w:val="001B054E"/>
    <w:rsid w:val="001B1494"/>
    <w:rsid w:val="001B2DA0"/>
    <w:rsid w:val="001D03FE"/>
    <w:rsid w:val="001D22E3"/>
    <w:rsid w:val="001D75F1"/>
    <w:rsid w:val="001E6B14"/>
    <w:rsid w:val="001F21AF"/>
    <w:rsid w:val="001F68C6"/>
    <w:rsid w:val="00205D30"/>
    <w:rsid w:val="00214FC3"/>
    <w:rsid w:val="002200D3"/>
    <w:rsid w:val="0022656C"/>
    <w:rsid w:val="002403C0"/>
    <w:rsid w:val="00240898"/>
    <w:rsid w:val="00244DDA"/>
    <w:rsid w:val="00245ED1"/>
    <w:rsid w:val="00246366"/>
    <w:rsid w:val="002515CA"/>
    <w:rsid w:val="00251F12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B6F67"/>
    <w:rsid w:val="002C0FC6"/>
    <w:rsid w:val="002C1478"/>
    <w:rsid w:val="002F2FC0"/>
    <w:rsid w:val="00303F87"/>
    <w:rsid w:val="00313BCC"/>
    <w:rsid w:val="00332C36"/>
    <w:rsid w:val="00334298"/>
    <w:rsid w:val="00347BD9"/>
    <w:rsid w:val="00361C94"/>
    <w:rsid w:val="0036433E"/>
    <w:rsid w:val="0036576C"/>
    <w:rsid w:val="0038751A"/>
    <w:rsid w:val="003C752B"/>
    <w:rsid w:val="003D384C"/>
    <w:rsid w:val="003D555D"/>
    <w:rsid w:val="003E273A"/>
    <w:rsid w:val="0040686F"/>
    <w:rsid w:val="00412719"/>
    <w:rsid w:val="00414551"/>
    <w:rsid w:val="00416532"/>
    <w:rsid w:val="00416B11"/>
    <w:rsid w:val="004214BE"/>
    <w:rsid w:val="00423F19"/>
    <w:rsid w:val="00431F7A"/>
    <w:rsid w:val="00447ECD"/>
    <w:rsid w:val="004841EE"/>
    <w:rsid w:val="0048621C"/>
    <w:rsid w:val="00497C2C"/>
    <w:rsid w:val="004A218D"/>
    <w:rsid w:val="004C3C1F"/>
    <w:rsid w:val="004C6221"/>
    <w:rsid w:val="004C6D60"/>
    <w:rsid w:val="004C70E4"/>
    <w:rsid w:val="004D6624"/>
    <w:rsid w:val="004F228A"/>
    <w:rsid w:val="004F2CD9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41E4"/>
    <w:rsid w:val="00576701"/>
    <w:rsid w:val="005802B2"/>
    <w:rsid w:val="00587298"/>
    <w:rsid w:val="005A105B"/>
    <w:rsid w:val="005A34DD"/>
    <w:rsid w:val="005A72EA"/>
    <w:rsid w:val="005B3CC2"/>
    <w:rsid w:val="005B58C7"/>
    <w:rsid w:val="005D3DDA"/>
    <w:rsid w:val="005D4FC6"/>
    <w:rsid w:val="005E14BF"/>
    <w:rsid w:val="005E4724"/>
    <w:rsid w:val="005F6765"/>
    <w:rsid w:val="005F76E9"/>
    <w:rsid w:val="006004CE"/>
    <w:rsid w:val="006076EA"/>
    <w:rsid w:val="006118D1"/>
    <w:rsid w:val="006123F7"/>
    <w:rsid w:val="006136C0"/>
    <w:rsid w:val="0061490E"/>
    <w:rsid w:val="00615CF6"/>
    <w:rsid w:val="006307CE"/>
    <w:rsid w:val="006334EF"/>
    <w:rsid w:val="00633DC0"/>
    <w:rsid w:val="0065667F"/>
    <w:rsid w:val="00660700"/>
    <w:rsid w:val="00661863"/>
    <w:rsid w:val="00661BF7"/>
    <w:rsid w:val="00664881"/>
    <w:rsid w:val="00666262"/>
    <w:rsid w:val="006707BA"/>
    <w:rsid w:val="006709E2"/>
    <w:rsid w:val="00677BB1"/>
    <w:rsid w:val="0068156C"/>
    <w:rsid w:val="006849FC"/>
    <w:rsid w:val="006A2A6F"/>
    <w:rsid w:val="006B0E20"/>
    <w:rsid w:val="006C500C"/>
    <w:rsid w:val="006E4313"/>
    <w:rsid w:val="00715EA3"/>
    <w:rsid w:val="00744415"/>
    <w:rsid w:val="007476D8"/>
    <w:rsid w:val="007600F4"/>
    <w:rsid w:val="007722F0"/>
    <w:rsid w:val="007829FF"/>
    <w:rsid w:val="00785BE2"/>
    <w:rsid w:val="007877BC"/>
    <w:rsid w:val="00793B92"/>
    <w:rsid w:val="00795997"/>
    <w:rsid w:val="0079736C"/>
    <w:rsid w:val="007B5C07"/>
    <w:rsid w:val="007B6DE9"/>
    <w:rsid w:val="007C29E7"/>
    <w:rsid w:val="007D105F"/>
    <w:rsid w:val="007E1B4C"/>
    <w:rsid w:val="007E608D"/>
    <w:rsid w:val="007F20CC"/>
    <w:rsid w:val="007F3BF7"/>
    <w:rsid w:val="00802148"/>
    <w:rsid w:val="00803259"/>
    <w:rsid w:val="00825130"/>
    <w:rsid w:val="00830618"/>
    <w:rsid w:val="00833520"/>
    <w:rsid w:val="00842628"/>
    <w:rsid w:val="00860223"/>
    <w:rsid w:val="0086139E"/>
    <w:rsid w:val="00862D06"/>
    <w:rsid w:val="008743CB"/>
    <w:rsid w:val="0088239F"/>
    <w:rsid w:val="00884D81"/>
    <w:rsid w:val="008859A9"/>
    <w:rsid w:val="008975EF"/>
    <w:rsid w:val="008A0137"/>
    <w:rsid w:val="008A472F"/>
    <w:rsid w:val="008A74C8"/>
    <w:rsid w:val="008B286A"/>
    <w:rsid w:val="008B4A01"/>
    <w:rsid w:val="008C19BF"/>
    <w:rsid w:val="008D2FC7"/>
    <w:rsid w:val="008D76CA"/>
    <w:rsid w:val="008E77FC"/>
    <w:rsid w:val="008E7FB2"/>
    <w:rsid w:val="009006D5"/>
    <w:rsid w:val="009203E3"/>
    <w:rsid w:val="009432A6"/>
    <w:rsid w:val="00943388"/>
    <w:rsid w:val="009513FC"/>
    <w:rsid w:val="00955B42"/>
    <w:rsid w:val="00956605"/>
    <w:rsid w:val="0096233B"/>
    <w:rsid w:val="0097035E"/>
    <w:rsid w:val="00973017"/>
    <w:rsid w:val="00984FD4"/>
    <w:rsid w:val="00996157"/>
    <w:rsid w:val="009C4077"/>
    <w:rsid w:val="009C6A71"/>
    <w:rsid w:val="009E2C62"/>
    <w:rsid w:val="009E34F2"/>
    <w:rsid w:val="009F13E4"/>
    <w:rsid w:val="009F23A2"/>
    <w:rsid w:val="00A05E34"/>
    <w:rsid w:val="00A13E2B"/>
    <w:rsid w:val="00A451B8"/>
    <w:rsid w:val="00A53D80"/>
    <w:rsid w:val="00A63931"/>
    <w:rsid w:val="00A73790"/>
    <w:rsid w:val="00A76A12"/>
    <w:rsid w:val="00A91035"/>
    <w:rsid w:val="00A941EE"/>
    <w:rsid w:val="00AD22E7"/>
    <w:rsid w:val="00AD3CF3"/>
    <w:rsid w:val="00AD6DCA"/>
    <w:rsid w:val="00AE3177"/>
    <w:rsid w:val="00AE5066"/>
    <w:rsid w:val="00B01318"/>
    <w:rsid w:val="00B07A94"/>
    <w:rsid w:val="00B1191C"/>
    <w:rsid w:val="00B23254"/>
    <w:rsid w:val="00B263C0"/>
    <w:rsid w:val="00B4049A"/>
    <w:rsid w:val="00B42140"/>
    <w:rsid w:val="00B50CC3"/>
    <w:rsid w:val="00B553E2"/>
    <w:rsid w:val="00B56E5C"/>
    <w:rsid w:val="00B77D84"/>
    <w:rsid w:val="00B8253A"/>
    <w:rsid w:val="00B91B69"/>
    <w:rsid w:val="00BA3637"/>
    <w:rsid w:val="00BA4135"/>
    <w:rsid w:val="00BB0A40"/>
    <w:rsid w:val="00BC439F"/>
    <w:rsid w:val="00BC50F6"/>
    <w:rsid w:val="00BD094F"/>
    <w:rsid w:val="00BD63D5"/>
    <w:rsid w:val="00BE78BB"/>
    <w:rsid w:val="00BF261B"/>
    <w:rsid w:val="00BF57E1"/>
    <w:rsid w:val="00C023E1"/>
    <w:rsid w:val="00C10857"/>
    <w:rsid w:val="00C30A2C"/>
    <w:rsid w:val="00C5498A"/>
    <w:rsid w:val="00C80ADC"/>
    <w:rsid w:val="00C8340F"/>
    <w:rsid w:val="00C8464D"/>
    <w:rsid w:val="00C852B8"/>
    <w:rsid w:val="00CB7F06"/>
    <w:rsid w:val="00CC0B53"/>
    <w:rsid w:val="00CC1794"/>
    <w:rsid w:val="00CE55D8"/>
    <w:rsid w:val="00CF1042"/>
    <w:rsid w:val="00CF4928"/>
    <w:rsid w:val="00D17336"/>
    <w:rsid w:val="00D35C91"/>
    <w:rsid w:val="00D3765F"/>
    <w:rsid w:val="00D4201C"/>
    <w:rsid w:val="00D61F9C"/>
    <w:rsid w:val="00D6726B"/>
    <w:rsid w:val="00D67D05"/>
    <w:rsid w:val="00D803C6"/>
    <w:rsid w:val="00D92162"/>
    <w:rsid w:val="00DF0978"/>
    <w:rsid w:val="00DF4776"/>
    <w:rsid w:val="00E005C9"/>
    <w:rsid w:val="00E01B15"/>
    <w:rsid w:val="00E1250F"/>
    <w:rsid w:val="00E26CF8"/>
    <w:rsid w:val="00E3016A"/>
    <w:rsid w:val="00E336AC"/>
    <w:rsid w:val="00E34118"/>
    <w:rsid w:val="00E43D41"/>
    <w:rsid w:val="00E76CDA"/>
    <w:rsid w:val="00EB272E"/>
    <w:rsid w:val="00EB512C"/>
    <w:rsid w:val="00EB6962"/>
    <w:rsid w:val="00EB7F2A"/>
    <w:rsid w:val="00EE7D19"/>
    <w:rsid w:val="00EF2779"/>
    <w:rsid w:val="00EF43BF"/>
    <w:rsid w:val="00F0486F"/>
    <w:rsid w:val="00F12707"/>
    <w:rsid w:val="00F129C7"/>
    <w:rsid w:val="00F43E3F"/>
    <w:rsid w:val="00F45155"/>
    <w:rsid w:val="00F51A0A"/>
    <w:rsid w:val="00F51B24"/>
    <w:rsid w:val="00F57173"/>
    <w:rsid w:val="00F725A4"/>
    <w:rsid w:val="00F75561"/>
    <w:rsid w:val="00FA4DFA"/>
    <w:rsid w:val="00FB5F13"/>
    <w:rsid w:val="00FB6D29"/>
    <w:rsid w:val="00FF5C4C"/>
    <w:rsid w:val="01AD0F25"/>
    <w:rsid w:val="6881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8"/>
    <w:qFormat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2">
    <w:name w:val="页脚 字符"/>
    <w:basedOn w:val="10"/>
    <w:link w:val="6"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标题 3 字符"/>
    <w:basedOn w:val="10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4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正文文本缩进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纯文本 字符"/>
    <w:basedOn w:val="10"/>
    <w:link w:val="4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70D56-FC7C-42B0-BAB3-CF5FF6D5E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407</Words>
  <Characters>501</Characters>
  <Lines>4</Lines>
  <Paragraphs>1</Paragraphs>
  <TotalTime>4</TotalTime>
  <ScaleCrop>false</ScaleCrop>
  <LinksUpToDate>false</LinksUpToDate>
  <CharactersWithSpaces>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2020-02-18T12:40:00Z</dcterms:created>
  <dc:creator>cslau</dc:creator>
  <cp:lastModifiedBy>太极箫客</cp:lastModifiedBy>
  <cp:lastPrinted>2017-10-23T03:47:00Z</cp:lastPrinted>
  <dcterms:modified xsi:type="dcterms:W3CDTF">2025-08-14T06:22:31Z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3A75E87DF1E3438A8807C2553EB8FEB3_12</vt:lpwstr>
  </property>
</Properties>
</file>