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0A142A">
      <w:pPr>
        <w:spacing w:line="520" w:lineRule="exact"/>
        <w:jc w:val="left"/>
        <w:rPr>
          <w:rFonts w:ascii="黑体" w:hAnsi="黑体" w:eastAsia="黑体"/>
          <w:sz w:val="32"/>
          <w:szCs w:val="32"/>
        </w:rPr>
      </w:pPr>
      <w:bookmarkStart w:id="0" w:name="_GoBack"/>
      <w:bookmarkEnd w:id="0"/>
      <w:r>
        <w:rPr>
          <w:rFonts w:hint="eastAsia" w:ascii="黑体" w:hAnsi="黑体" w:eastAsia="黑体"/>
          <w:sz w:val="32"/>
          <w:szCs w:val="32"/>
        </w:rPr>
        <w:t>附件</w:t>
      </w:r>
    </w:p>
    <w:p w14:paraId="0B64700F">
      <w:pPr>
        <w:spacing w:line="520" w:lineRule="exact"/>
        <w:jc w:val="center"/>
        <w:rPr>
          <w:rFonts w:hint="eastAsia" w:ascii="Times New Roman" w:hAnsi="Times New Roman" w:eastAsia="方正小标宋_GBK" w:cs="Times New Roman"/>
          <w:sz w:val="44"/>
          <w:szCs w:val="44"/>
        </w:rPr>
      </w:pPr>
      <w:r>
        <w:rPr>
          <w:rFonts w:ascii="Times New Roman" w:hAnsi="Times New Roman" w:eastAsia="方正小标宋_GBK" w:cs="Times New Roman"/>
          <w:sz w:val="44"/>
          <w:szCs w:val="44"/>
        </w:rPr>
        <w:t xml:space="preserve"> </w:t>
      </w:r>
    </w:p>
    <w:p w14:paraId="07A808B5">
      <w:pPr>
        <w:spacing w:line="520" w:lineRule="exact"/>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PD-L1</w:t>
      </w:r>
      <w:r>
        <w:rPr>
          <w:rFonts w:ascii="方正小标宋_GBK" w:hAnsi="Times New Roman" w:eastAsia="方正小标宋_GBK" w:cs="Times New Roman"/>
          <w:sz w:val="44"/>
          <w:szCs w:val="44"/>
        </w:rPr>
        <w:t>检测试剂临床</w:t>
      </w:r>
      <w:r>
        <w:rPr>
          <w:rFonts w:hint="eastAsia" w:ascii="方正小标宋_GBK" w:hAnsi="Times New Roman" w:eastAsia="方正小标宋_GBK"/>
          <w:sz w:val="44"/>
          <w:szCs w:val="44"/>
        </w:rPr>
        <w:t>试验—</w:t>
      </w:r>
      <w:r>
        <w:rPr>
          <w:rFonts w:ascii="方正小标宋_GBK" w:hAnsi="Times New Roman" w:eastAsia="方正小标宋_GBK" w:cs="Times New Roman"/>
          <w:sz w:val="44"/>
          <w:szCs w:val="44"/>
        </w:rPr>
        <w:t>结果重现性研究</w:t>
      </w:r>
      <w:r>
        <w:rPr>
          <w:rFonts w:hint="eastAsia" w:ascii="方正小标宋_GBK" w:hAnsi="Times New Roman" w:eastAsia="方正小标宋_GBK"/>
          <w:sz w:val="44"/>
          <w:szCs w:val="44"/>
        </w:rPr>
        <w:t>注册</w:t>
      </w:r>
      <w:r>
        <w:rPr>
          <w:rFonts w:ascii="方正小标宋_GBK" w:hAnsi="Times New Roman" w:eastAsia="方正小标宋_GBK" w:cs="Times New Roman"/>
          <w:sz w:val="44"/>
          <w:szCs w:val="44"/>
        </w:rPr>
        <w:t>审查指导原则</w:t>
      </w:r>
    </w:p>
    <w:p w14:paraId="45E8B100">
      <w:pPr>
        <w:spacing w:line="520" w:lineRule="exact"/>
        <w:rPr>
          <w:rFonts w:ascii="Times New Roman" w:hAnsi="Times New Roman" w:cs="Times New Roman"/>
        </w:rPr>
      </w:pPr>
      <w:r>
        <w:rPr>
          <w:rFonts w:ascii="Times New Roman" w:hAnsi="Times New Roman" w:cs="Times New Roman"/>
        </w:rPr>
        <w:t xml:space="preserve"> </w:t>
      </w:r>
    </w:p>
    <w:p w14:paraId="3C4500E0">
      <w:pPr>
        <w:spacing w:line="520" w:lineRule="exact"/>
        <w:ind w:firstLine="640" w:firstLineChars="200"/>
        <w:rPr>
          <w:rFonts w:ascii="Times New Roman" w:hAnsi="Times New Roman" w:eastAsia="黑体" w:cs="Times New Roman"/>
          <w:sz w:val="32"/>
          <w:szCs w:val="32"/>
        </w:rPr>
      </w:pPr>
      <w:r>
        <w:rPr>
          <w:rFonts w:ascii="黑体" w:hAnsi="黑体" w:eastAsia="黑体" w:cs="Times New Roman"/>
          <w:sz w:val="32"/>
          <w:szCs w:val="32"/>
        </w:rPr>
        <w:t>一、前言</w:t>
      </w:r>
    </w:p>
    <w:p w14:paraId="7E56DCE1">
      <w:pPr>
        <w:spacing w:line="520" w:lineRule="exact"/>
        <w:ind w:firstLine="640" w:firstLineChars="200"/>
        <w:rPr>
          <w:rFonts w:ascii="Times New Roman" w:hAnsi="Times New Roman" w:eastAsia="仿宋_GB2312" w:cs="Times New Roman"/>
          <w:sz w:val="32"/>
          <w:szCs w:val="32"/>
        </w:rPr>
      </w:pPr>
      <w:r>
        <w:rPr>
          <w:rFonts w:ascii="仿宋_GB2312" w:hAnsi="Times New Roman" w:eastAsia="仿宋_GB2312" w:cs="Times New Roman"/>
          <w:sz w:val="32"/>
          <w:szCs w:val="32"/>
        </w:rPr>
        <w:t>近年来，以</w:t>
      </w:r>
      <w:r>
        <w:rPr>
          <w:rFonts w:hint="eastAsia" w:ascii="仿宋_GB2312" w:hAnsi="Times New Roman" w:eastAsia="仿宋_GB2312"/>
          <w:sz w:val="32"/>
          <w:szCs w:val="32"/>
        </w:rPr>
        <w:t>程序性细胞死亡蛋白</w:t>
      </w:r>
      <w:r>
        <w:rPr>
          <w:rFonts w:ascii="Times New Roman" w:hAnsi="Times New Roman" w:eastAsia="仿宋_GB2312" w:cs="Times New Roman"/>
          <w:sz w:val="32"/>
          <w:szCs w:val="32"/>
        </w:rPr>
        <w:t>1 (Programmed cell death protein 1, PD-1)/</w:t>
      </w:r>
      <w:r>
        <w:rPr>
          <w:rFonts w:ascii="仿宋_GB2312" w:hAnsi="Times New Roman" w:eastAsia="仿宋_GB2312" w:cs="Times New Roman"/>
          <w:sz w:val="32"/>
          <w:szCs w:val="32"/>
        </w:rPr>
        <w:t>程序性死亡配体</w:t>
      </w:r>
      <w:r>
        <w:rPr>
          <w:rFonts w:ascii="Times New Roman" w:hAnsi="Times New Roman" w:eastAsia="仿宋_GB2312" w:cs="Times New Roman"/>
          <w:sz w:val="32"/>
          <w:szCs w:val="32"/>
        </w:rPr>
        <w:t>1 (Programmed death-ligand 1, PD-L1)</w:t>
      </w:r>
      <w:r>
        <w:rPr>
          <w:rFonts w:ascii="仿宋_GB2312" w:hAnsi="Times New Roman" w:eastAsia="仿宋_GB2312" w:cs="Times New Roman"/>
          <w:sz w:val="32"/>
          <w:szCs w:val="32"/>
        </w:rPr>
        <w:t>免疫检查点抑制剂为主的免疫治疗在多个恶性肿瘤中取得了突破性进展，一系列抗肿瘤药物应用于临床。</w:t>
      </w:r>
      <w:r>
        <w:rPr>
          <w:rFonts w:ascii="Times New Roman" w:hAnsi="Times New Roman" w:eastAsia="仿宋_GB2312" w:cs="Times New Roman"/>
          <w:sz w:val="32"/>
          <w:szCs w:val="32"/>
        </w:rPr>
        <w:t>PD-L1</w:t>
      </w:r>
      <w:r>
        <w:rPr>
          <w:rFonts w:ascii="仿宋_GB2312" w:hAnsi="Times New Roman" w:eastAsia="仿宋_GB2312" w:cs="Times New Roman"/>
          <w:sz w:val="32"/>
          <w:szCs w:val="32"/>
        </w:rPr>
        <w:t>检测试剂是目前应用最为广泛的免疫治疗适宜人群筛选和疗效预测的生物标志物。免疫组织化学（</w:t>
      </w:r>
      <w:r>
        <w:rPr>
          <w:rFonts w:ascii="Times New Roman" w:hAnsi="Times New Roman" w:eastAsia="仿宋_GB2312" w:cs="Times New Roman"/>
          <w:sz w:val="32"/>
          <w:szCs w:val="32"/>
        </w:rPr>
        <w:t>immunohistochemistry</w:t>
      </w:r>
      <w:r>
        <w:rPr>
          <w:rFonts w:ascii="仿宋_GB2312" w:hAnsi="Times New Roman" w:eastAsia="仿宋_GB2312" w:cs="Times New Roman"/>
          <w:sz w:val="32"/>
          <w:szCs w:val="32"/>
        </w:rPr>
        <w:t>，</w:t>
      </w:r>
      <w:r>
        <w:rPr>
          <w:rFonts w:ascii="Times New Roman" w:hAnsi="Times New Roman" w:eastAsia="仿宋_GB2312" w:cs="Times New Roman"/>
          <w:sz w:val="32"/>
          <w:szCs w:val="32"/>
        </w:rPr>
        <w:t>IHC</w:t>
      </w:r>
      <w:r>
        <w:rPr>
          <w:rFonts w:ascii="仿宋_GB2312" w:hAnsi="Times New Roman" w:eastAsia="仿宋_GB2312" w:cs="Times New Roman"/>
          <w:sz w:val="32"/>
          <w:szCs w:val="32"/>
        </w:rPr>
        <w:t>，简称</w:t>
      </w:r>
      <w:r>
        <w:rPr>
          <w:rFonts w:hint="eastAsia" w:ascii="仿宋_GB2312" w:hAnsi="Times New Roman" w:eastAsia="仿宋_GB2312"/>
          <w:sz w:val="32"/>
          <w:szCs w:val="32"/>
        </w:rPr>
        <w:t>“</w:t>
      </w:r>
      <w:r>
        <w:rPr>
          <w:rFonts w:ascii="仿宋_GB2312" w:hAnsi="Times New Roman" w:eastAsia="仿宋_GB2312" w:cs="Times New Roman"/>
          <w:sz w:val="32"/>
          <w:szCs w:val="32"/>
        </w:rPr>
        <w:t>免疫组化</w:t>
      </w:r>
      <w:r>
        <w:rPr>
          <w:rFonts w:hint="eastAsia" w:ascii="仿宋_GB2312" w:hAnsi="Times New Roman" w:eastAsia="仿宋_GB2312"/>
          <w:sz w:val="32"/>
          <w:szCs w:val="32"/>
        </w:rPr>
        <w:t>”</w:t>
      </w:r>
      <w:r>
        <w:rPr>
          <w:rFonts w:ascii="仿宋_GB2312" w:hAnsi="Times New Roman" w:eastAsia="仿宋_GB2312" w:cs="Times New Roman"/>
          <w:sz w:val="32"/>
          <w:szCs w:val="32"/>
        </w:rPr>
        <w:t>）检测是评估肿瘤组织</w:t>
      </w:r>
      <w:r>
        <w:rPr>
          <w:rFonts w:ascii="Times New Roman" w:hAnsi="Times New Roman" w:eastAsia="仿宋_GB2312" w:cs="Times New Roman"/>
          <w:sz w:val="32"/>
          <w:szCs w:val="32"/>
        </w:rPr>
        <w:t>PD-L1</w:t>
      </w:r>
      <w:r>
        <w:rPr>
          <w:rFonts w:ascii="仿宋_GB2312" w:hAnsi="Times New Roman" w:eastAsia="仿宋_GB2312" w:cs="Times New Roman"/>
          <w:sz w:val="32"/>
          <w:szCs w:val="32"/>
        </w:rPr>
        <w:t>表达状态的一种有效且常用的方法，广泛应用于多种恶性肿瘤中，以识别或辅助预测可能从免疫治疗中获益的患者。</w:t>
      </w:r>
    </w:p>
    <w:p w14:paraId="1B24A741">
      <w:pPr>
        <w:spacing w:line="520" w:lineRule="exact"/>
        <w:ind w:firstLine="640" w:firstLineChars="200"/>
        <w:rPr>
          <w:rFonts w:ascii="Times New Roman" w:hAnsi="Times New Roman" w:eastAsia="仿宋_GB2312" w:cs="Times New Roman"/>
          <w:sz w:val="32"/>
          <w:szCs w:val="32"/>
        </w:rPr>
      </w:pPr>
      <w:r>
        <w:rPr>
          <w:rFonts w:ascii="仿宋_GB2312" w:hAnsi="Times New Roman" w:eastAsia="仿宋_GB2312" w:cs="Times New Roman"/>
          <w:sz w:val="32"/>
          <w:szCs w:val="32"/>
        </w:rPr>
        <w:t>基于免疫组化法的</w:t>
      </w:r>
      <w:r>
        <w:rPr>
          <w:rFonts w:ascii="Times New Roman" w:hAnsi="Times New Roman" w:eastAsia="仿宋_GB2312" w:cs="Times New Roman"/>
          <w:sz w:val="32"/>
          <w:szCs w:val="32"/>
        </w:rPr>
        <w:t>PD-L1</w:t>
      </w:r>
      <w:r>
        <w:rPr>
          <w:rFonts w:ascii="仿宋_GB2312" w:hAnsi="Times New Roman" w:eastAsia="仿宋_GB2312" w:cs="Times New Roman"/>
          <w:sz w:val="32"/>
          <w:szCs w:val="32"/>
        </w:rPr>
        <w:t>检测试剂操作程序和结果判读较为复杂，该类检测试剂临床应用的准确性与重复性是产品重要的临床性能，本指导原则旨在规范产品检测结果重现性临床研究的开展。</w:t>
      </w:r>
    </w:p>
    <w:p w14:paraId="060D7055">
      <w:pPr>
        <w:spacing w:line="520" w:lineRule="exact"/>
        <w:ind w:firstLine="640" w:firstLineChars="200"/>
        <w:rPr>
          <w:rFonts w:ascii="Times New Roman" w:hAnsi="Times New Roman" w:eastAsia="仿宋_GB2312" w:cs="Times New Roman"/>
          <w:sz w:val="32"/>
          <w:szCs w:val="32"/>
        </w:rPr>
      </w:pPr>
      <w:r>
        <w:rPr>
          <w:rFonts w:ascii="仿宋_GB2312" w:hAnsi="Times New Roman" w:eastAsia="仿宋_GB2312" w:cs="Times New Roman"/>
          <w:sz w:val="32"/>
          <w:szCs w:val="32"/>
        </w:rPr>
        <w:t>本指导原则是针对</w:t>
      </w:r>
      <w:r>
        <w:rPr>
          <w:rFonts w:ascii="Times New Roman" w:hAnsi="Times New Roman" w:eastAsia="仿宋_GB2312" w:cs="Times New Roman"/>
          <w:sz w:val="32"/>
          <w:szCs w:val="32"/>
        </w:rPr>
        <w:t>PD-L1</w:t>
      </w:r>
      <w:r>
        <w:rPr>
          <w:rFonts w:ascii="仿宋_GB2312" w:hAnsi="Times New Roman" w:eastAsia="仿宋_GB2312" w:cs="Times New Roman"/>
          <w:sz w:val="32"/>
          <w:szCs w:val="32"/>
        </w:rPr>
        <w:t>检测试剂结果重现性临床研究的一般要求，申请人应依据产品的具体特性确定其中内容是否适用。该文件为供申请人和审查人员使用的指导性文件，不涉及注册审批等行政事项，亦不作为法规强制执行，如有能够满足法规要求的其他方法，也可以采用，但应提供详细的研究资料。本指导原则是在现行法规、标准体系及当前认知水平下制定的，随着法规、标准的不断完善和科学技术的不断发展，本文件相关内容也将适时进行调整。</w:t>
      </w:r>
    </w:p>
    <w:p w14:paraId="10696E19">
      <w:pPr>
        <w:spacing w:line="520" w:lineRule="exact"/>
        <w:ind w:firstLine="640" w:firstLineChars="200"/>
        <w:rPr>
          <w:rFonts w:ascii="Times New Roman" w:hAnsi="Times New Roman" w:eastAsia="黑体" w:cs="Times New Roman"/>
          <w:sz w:val="32"/>
          <w:szCs w:val="32"/>
        </w:rPr>
      </w:pPr>
      <w:r>
        <w:rPr>
          <w:rFonts w:ascii="黑体" w:hAnsi="黑体" w:eastAsia="黑体" w:cs="Times New Roman"/>
          <w:sz w:val="32"/>
          <w:szCs w:val="32"/>
        </w:rPr>
        <w:t>二、适用范围</w:t>
      </w:r>
    </w:p>
    <w:p w14:paraId="59EFEB05">
      <w:pPr>
        <w:spacing w:line="520" w:lineRule="exact"/>
        <w:ind w:firstLine="640" w:firstLineChars="200"/>
        <w:rPr>
          <w:rFonts w:ascii="Times New Roman" w:hAnsi="Times New Roman" w:eastAsia="仿宋_GB2312" w:cs="Times New Roman"/>
          <w:sz w:val="32"/>
          <w:szCs w:val="32"/>
        </w:rPr>
      </w:pPr>
      <w:r>
        <w:rPr>
          <w:rFonts w:ascii="仿宋_GB2312" w:hAnsi="Times New Roman" w:eastAsia="仿宋_GB2312" w:cs="Times New Roman"/>
          <w:sz w:val="32"/>
          <w:szCs w:val="32"/>
        </w:rPr>
        <w:t>本指导原则适用于基于免疫组化法的</w:t>
      </w:r>
      <w:r>
        <w:rPr>
          <w:rFonts w:ascii="Times New Roman" w:hAnsi="Times New Roman" w:eastAsia="仿宋_GB2312" w:cs="Times New Roman"/>
          <w:sz w:val="32"/>
          <w:szCs w:val="32"/>
        </w:rPr>
        <w:t>PD-L1</w:t>
      </w:r>
      <w:r>
        <w:rPr>
          <w:rFonts w:ascii="仿宋_GB2312" w:hAnsi="Times New Roman" w:eastAsia="仿宋_GB2312" w:cs="Times New Roman"/>
          <w:sz w:val="32"/>
          <w:szCs w:val="32"/>
        </w:rPr>
        <w:t>检测试剂，该类产品用于定性检测人中性福尔马林固定石蜡包埋（</w:t>
      </w:r>
      <w:r>
        <w:rPr>
          <w:rFonts w:ascii="Times New Roman" w:hAnsi="Times New Roman" w:eastAsia="仿宋_GB2312" w:cs="Times New Roman"/>
          <w:sz w:val="32"/>
          <w:szCs w:val="32"/>
        </w:rPr>
        <w:t>FFPE</w:t>
      </w:r>
      <w:r>
        <w:rPr>
          <w:rFonts w:ascii="仿宋_GB2312" w:hAnsi="Times New Roman" w:eastAsia="仿宋_GB2312" w:cs="Times New Roman"/>
          <w:sz w:val="32"/>
          <w:szCs w:val="32"/>
        </w:rPr>
        <w:t>）的肿瘤组织中</w:t>
      </w:r>
      <w:r>
        <w:rPr>
          <w:rFonts w:ascii="Times New Roman" w:hAnsi="Times New Roman" w:eastAsia="仿宋_GB2312" w:cs="Times New Roman"/>
          <w:sz w:val="32"/>
          <w:szCs w:val="32"/>
        </w:rPr>
        <w:t>PD-L1</w:t>
      </w:r>
      <w:r>
        <w:rPr>
          <w:rFonts w:ascii="仿宋_GB2312" w:hAnsi="Times New Roman" w:eastAsia="仿宋_GB2312" w:cs="Times New Roman"/>
          <w:sz w:val="32"/>
          <w:szCs w:val="32"/>
        </w:rPr>
        <w:t>蛋白的表达水平。</w:t>
      </w:r>
    </w:p>
    <w:p w14:paraId="574A6CF8">
      <w:pPr>
        <w:spacing w:line="520" w:lineRule="exact"/>
        <w:ind w:firstLine="640" w:firstLineChars="200"/>
        <w:rPr>
          <w:rFonts w:ascii="Times New Roman" w:hAnsi="Times New Roman" w:eastAsia="黑体" w:cs="Times New Roman"/>
          <w:sz w:val="32"/>
          <w:szCs w:val="32"/>
        </w:rPr>
      </w:pPr>
      <w:r>
        <w:rPr>
          <w:rFonts w:ascii="黑体" w:hAnsi="黑体" w:eastAsia="黑体" w:cs="Times New Roman"/>
          <w:sz w:val="32"/>
          <w:szCs w:val="32"/>
        </w:rPr>
        <w:t>三、临床试验要求</w:t>
      </w:r>
    </w:p>
    <w:p w14:paraId="1D758616">
      <w:pPr>
        <w:spacing w:line="520" w:lineRule="exact"/>
        <w:ind w:firstLine="64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PD-L1</w:t>
      </w:r>
      <w:r>
        <w:rPr>
          <w:rFonts w:ascii="仿宋_GB2312" w:hAnsi="Times New Roman" w:eastAsia="仿宋_GB2312" w:cs="Times New Roman"/>
          <w:sz w:val="32"/>
          <w:szCs w:val="32"/>
        </w:rPr>
        <w:t>检测试剂结果重现性临床研究包括两部分内容：环比试验与阅片一致性研究。临床试验的开展、方案的制定以及报告的撰写等均应符合相关法规及《体外诊断试剂临床试验技术指导原则》的要求。</w:t>
      </w:r>
    </w:p>
    <w:p w14:paraId="4C6BD86D">
      <w:pPr>
        <w:spacing w:line="520" w:lineRule="exact"/>
        <w:ind w:firstLine="640"/>
        <w:contextualSpacing/>
        <w:rPr>
          <w:rFonts w:ascii="Times New Roman" w:hAnsi="Times New Roman" w:eastAsia="楷体_GB2312" w:cs="Times New Roman"/>
          <w:sz w:val="32"/>
          <w:szCs w:val="32"/>
        </w:rPr>
      </w:pPr>
      <w:r>
        <w:rPr>
          <w:rFonts w:ascii="楷体_GB2312" w:hAnsi="Times New Roman" w:eastAsia="楷体_GB2312" w:cs="Times New Roman"/>
          <w:sz w:val="32"/>
          <w:szCs w:val="32"/>
        </w:rPr>
        <w:t>（一）临床试验设计</w:t>
      </w:r>
    </w:p>
    <w:p w14:paraId="293731E8">
      <w:pPr>
        <w:spacing w:line="520" w:lineRule="exact"/>
        <w:ind w:firstLine="64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仿宋_GB2312" w:hAnsi="Times New Roman" w:eastAsia="仿宋_GB2312"/>
          <w:sz w:val="32"/>
          <w:szCs w:val="32"/>
        </w:rPr>
        <w:t>．</w:t>
      </w:r>
      <w:r>
        <w:rPr>
          <w:rFonts w:ascii="仿宋_GB2312" w:hAnsi="Times New Roman" w:eastAsia="仿宋_GB2312" w:cs="Times New Roman"/>
          <w:sz w:val="32"/>
          <w:szCs w:val="32"/>
        </w:rPr>
        <w:t>环比试验（</w:t>
      </w:r>
      <w:r>
        <w:rPr>
          <w:rFonts w:ascii="Times New Roman" w:hAnsi="Times New Roman" w:eastAsia="仿宋_GB2312" w:cs="Times New Roman"/>
          <w:sz w:val="32"/>
          <w:szCs w:val="32"/>
        </w:rPr>
        <w:t>Ring study</w:t>
      </w:r>
      <w:r>
        <w:rPr>
          <w:rFonts w:ascii="仿宋_GB2312" w:hAnsi="Times New Roman" w:eastAsia="仿宋_GB2312" w:cs="Times New Roman"/>
          <w:sz w:val="32"/>
          <w:szCs w:val="32"/>
        </w:rPr>
        <w:t>）</w:t>
      </w:r>
    </w:p>
    <w:p w14:paraId="392F70BA">
      <w:pPr>
        <w:spacing w:line="520" w:lineRule="exact"/>
        <w:ind w:firstLine="640"/>
        <w:contextualSpacing/>
        <w:rPr>
          <w:rFonts w:ascii="Times New Roman" w:hAnsi="Times New Roman" w:eastAsia="仿宋_GB2312" w:cs="Times New Roman"/>
          <w:sz w:val="32"/>
          <w:szCs w:val="32"/>
        </w:rPr>
      </w:pPr>
      <w:r>
        <w:rPr>
          <w:rFonts w:ascii="仿宋_GB2312" w:hAnsi="Times New Roman" w:eastAsia="仿宋_GB2312" w:cs="Times New Roman"/>
          <w:sz w:val="32"/>
          <w:szCs w:val="32"/>
        </w:rPr>
        <w:t>环比试验是从病理切片开始，按照试剂说明书进行样本处理、染色及结果判读，评价各临床试验机构对同一样本集从染色到结果判断的一致性。</w:t>
      </w:r>
    </w:p>
    <w:p w14:paraId="22F88B74">
      <w:pPr>
        <w:spacing w:line="520" w:lineRule="exact"/>
        <w:ind w:firstLine="640"/>
        <w:contextualSpacing/>
        <w:rPr>
          <w:rFonts w:ascii="Times New Roman" w:hAnsi="Times New Roman" w:eastAsia="仿宋_GB2312" w:cs="Times New Roman"/>
          <w:sz w:val="32"/>
          <w:szCs w:val="32"/>
        </w:rPr>
      </w:pPr>
      <w:r>
        <w:rPr>
          <w:rFonts w:ascii="仿宋_GB2312" w:hAnsi="Times New Roman" w:eastAsia="仿宋_GB2312" w:cs="Times New Roman"/>
          <w:sz w:val="32"/>
          <w:szCs w:val="32"/>
        </w:rPr>
        <w:t>环比试验应选择至少三家临床试验机构开展，试验所需的病例为三家临床试验机构共同提供的样本组成的样本集。在样本集构建过程中，每家临床试验机构提供的阳性病例、阴性病例及总病例数应相对均衡。每个病例应至少提供足够三次按照申报产品说明书进行检测的病理切片数量。</w:t>
      </w:r>
    </w:p>
    <w:p w14:paraId="29446B6F">
      <w:pPr>
        <w:spacing w:line="520" w:lineRule="exact"/>
        <w:ind w:firstLine="640"/>
        <w:contextualSpacing/>
        <w:rPr>
          <w:rFonts w:ascii="Times New Roman" w:hAnsi="Times New Roman" w:eastAsia="仿宋_GB2312" w:cs="Times New Roman"/>
          <w:sz w:val="32"/>
          <w:szCs w:val="32"/>
        </w:rPr>
      </w:pPr>
      <w:r>
        <w:rPr>
          <w:rFonts w:ascii="仿宋_GB2312" w:hAnsi="Times New Roman" w:eastAsia="仿宋_GB2312" w:cs="Times New Roman"/>
          <w:sz w:val="32"/>
          <w:szCs w:val="32"/>
        </w:rPr>
        <w:t>临床试验牵头单位研究者将样本集中每一病例的病理切片分配至每家临床试验机构，保证每家临床试验机构均能够对该病例按照申报产品说明书进行至少一次染色并报告结果。因此，每家临床试验机构均能对样本集中所有病例的病理切片进行染色及结果判读。</w:t>
      </w:r>
    </w:p>
    <w:p w14:paraId="68BA982A">
      <w:pPr>
        <w:spacing w:line="520" w:lineRule="exact"/>
        <w:ind w:firstLine="640"/>
        <w:contextualSpacing/>
        <w:rPr>
          <w:rFonts w:ascii="Times New Roman" w:hAnsi="Times New Roman" w:eastAsia="仿宋_GB2312" w:cs="Times New Roman"/>
          <w:sz w:val="32"/>
          <w:szCs w:val="32"/>
        </w:rPr>
      </w:pPr>
      <w:r>
        <w:rPr>
          <w:rFonts w:ascii="仿宋_GB2312" w:hAnsi="Times New Roman" w:eastAsia="仿宋_GB2312" w:cs="Times New Roman"/>
          <w:sz w:val="32"/>
          <w:szCs w:val="32"/>
        </w:rPr>
        <w:t>各临床试验机构收到临床试验牵头单位分配的病理切片后，选择具有一定资历的研究者，按照申报产品说明书的要求对病理切片进行染色及结果判读。针对整个样本集的染色建议</w:t>
      </w:r>
      <w:r>
        <w:rPr>
          <w:rFonts w:hint="eastAsia" w:ascii="仿宋_GB2312" w:hAnsi="Times New Roman" w:eastAsia="仿宋_GB2312"/>
          <w:sz w:val="32"/>
          <w:szCs w:val="32"/>
        </w:rPr>
        <w:t>尽快完成。</w:t>
      </w:r>
      <w:r>
        <w:rPr>
          <w:rFonts w:ascii="仿宋_GB2312" w:hAnsi="Times New Roman" w:eastAsia="仿宋_GB2312" w:cs="Times New Roman"/>
          <w:sz w:val="32"/>
          <w:szCs w:val="32"/>
        </w:rPr>
        <w:t>三家临床试验机构通过</w:t>
      </w:r>
      <w:r>
        <w:rPr>
          <w:rFonts w:hint="eastAsia" w:ascii="仿宋_GB2312" w:hAnsi="Times New Roman" w:eastAsia="仿宋_GB2312"/>
          <w:sz w:val="32"/>
          <w:szCs w:val="32"/>
        </w:rPr>
        <w:t>对</w:t>
      </w:r>
      <w:r>
        <w:rPr>
          <w:rFonts w:ascii="仿宋_GB2312" w:hAnsi="Times New Roman" w:eastAsia="仿宋_GB2312" w:cs="Times New Roman"/>
          <w:sz w:val="32"/>
          <w:szCs w:val="32"/>
        </w:rPr>
        <w:t>样本集中病理切片进行染色及判读，最终各</w:t>
      </w:r>
      <w:r>
        <w:rPr>
          <w:rFonts w:hint="eastAsia" w:ascii="仿宋_GB2312" w:hAnsi="Times New Roman" w:eastAsia="仿宋_GB2312"/>
          <w:sz w:val="32"/>
          <w:szCs w:val="32"/>
        </w:rPr>
        <w:t>机构</w:t>
      </w:r>
      <w:r>
        <w:rPr>
          <w:rFonts w:ascii="仿宋_GB2312" w:hAnsi="Times New Roman" w:eastAsia="仿宋_GB2312" w:cs="Times New Roman"/>
          <w:sz w:val="32"/>
          <w:szCs w:val="32"/>
        </w:rPr>
        <w:t>的数据形成环比试验的数据集，用于后续统计分析。环比试验设计见图</w:t>
      </w:r>
      <w:r>
        <w:rPr>
          <w:rFonts w:ascii="Times New Roman" w:hAnsi="Times New Roman" w:eastAsia="仿宋_GB2312" w:cs="Times New Roman"/>
          <w:sz w:val="32"/>
          <w:szCs w:val="32"/>
        </w:rPr>
        <w:t>1</w:t>
      </w:r>
      <w:r>
        <w:rPr>
          <w:rFonts w:ascii="仿宋_GB2312" w:hAnsi="Times New Roman" w:eastAsia="仿宋_GB2312" w:cs="Times New Roman"/>
          <w:sz w:val="32"/>
          <w:szCs w:val="32"/>
        </w:rPr>
        <w:t>。</w:t>
      </w:r>
    </w:p>
    <w:p w14:paraId="1AD2D03F">
      <w:pPr>
        <w:spacing w:line="520" w:lineRule="exact"/>
        <w:ind w:firstLine="64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p w14:paraId="3019C6EE">
      <w:pPr>
        <w:spacing w:line="520" w:lineRule="exact"/>
        <w:ind w:firstLine="64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3962400" cy="2790825"/>
            <wp:effectExtent l="0" t="0" r="0" b="9525"/>
            <wp:wrapSquare wrapText="bothSides"/>
            <wp:docPr id="5" name="图片 5" descr="C:\Users\cf\AppData\Local\Temp\ksohtml976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cf\AppData\Local\Temp\ksohtml9760\wps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962400" cy="2790825"/>
                    </a:xfrm>
                    <a:prstGeom prst="rect">
                      <a:avLst/>
                    </a:prstGeom>
                    <a:noFill/>
                    <a:ln>
                      <a:noFill/>
                    </a:ln>
                  </pic:spPr>
                </pic:pic>
              </a:graphicData>
            </a:graphic>
          </wp:anchor>
        </w:drawing>
      </w:r>
      <w:r>
        <w:rPr>
          <w:rFonts w:ascii="Times New Roman" w:hAnsi="Times New Roman" w:eastAsia="仿宋_GB2312" w:cs="Times New Roman"/>
          <w:sz w:val="32"/>
          <w:szCs w:val="32"/>
        </w:rPr>
        <w:t xml:space="preserve"> </w:t>
      </w:r>
    </w:p>
    <w:p w14:paraId="3C7006E2">
      <w:pPr>
        <w:spacing w:line="520" w:lineRule="exact"/>
        <w:ind w:firstLine="64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p w14:paraId="0E3B5F75">
      <w:pPr>
        <w:spacing w:line="520" w:lineRule="exact"/>
        <w:ind w:firstLine="64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p w14:paraId="12CDD4C6">
      <w:pPr>
        <w:spacing w:line="520" w:lineRule="exact"/>
        <w:ind w:firstLine="64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p w14:paraId="6336B1AE">
      <w:pPr>
        <w:spacing w:line="520" w:lineRule="exact"/>
        <w:ind w:firstLine="64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p w14:paraId="5BD09290">
      <w:pPr>
        <w:spacing w:line="520" w:lineRule="exact"/>
        <w:ind w:firstLine="64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p w14:paraId="6311DFA5">
      <w:pPr>
        <w:spacing w:line="520" w:lineRule="exact"/>
        <w:ind w:firstLine="64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p w14:paraId="738C1279">
      <w:pPr>
        <w:spacing w:line="520" w:lineRule="exact"/>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p w14:paraId="53E4D283">
      <w:pPr>
        <w:spacing w:line="520" w:lineRule="exact"/>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p w14:paraId="257A40A6">
      <w:pPr>
        <w:spacing w:line="520" w:lineRule="exact"/>
        <w:ind w:firstLine="1680" w:firstLineChars="600"/>
        <w:contextualSpacing/>
        <w:rPr>
          <w:rFonts w:ascii="黑体" w:hAnsi="黑体" w:eastAsia="黑体"/>
          <w:sz w:val="28"/>
          <w:szCs w:val="28"/>
        </w:rPr>
      </w:pPr>
      <w:r>
        <w:rPr>
          <w:rFonts w:hint="eastAsia" w:ascii="黑体" w:hAnsi="黑体" w:eastAsia="黑体"/>
          <w:sz w:val="28"/>
          <w:szCs w:val="28"/>
        </w:rPr>
        <w:t>图1.环比试验设计示意图</w:t>
      </w:r>
    </w:p>
    <w:p w14:paraId="723411CF">
      <w:pPr>
        <w:spacing w:line="520" w:lineRule="exact"/>
        <w:ind w:firstLine="640"/>
        <w:contextualSpacing/>
        <w:rPr>
          <w:rFonts w:hint="eastAsia"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p w14:paraId="4AA67C3A">
      <w:pPr>
        <w:spacing w:line="520" w:lineRule="exact"/>
        <w:ind w:firstLine="64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ascii="仿宋_GB2312" w:hAnsi="Times New Roman" w:eastAsia="仿宋_GB2312" w:cs="Times New Roman"/>
          <w:sz w:val="32"/>
          <w:szCs w:val="32"/>
        </w:rPr>
        <w:t>．阅片一致性研究</w:t>
      </w:r>
    </w:p>
    <w:p w14:paraId="132EBA27">
      <w:pPr>
        <w:spacing w:line="520" w:lineRule="exact"/>
        <w:ind w:firstLine="640"/>
        <w:contextualSpacing/>
        <w:rPr>
          <w:rFonts w:ascii="Times New Roman" w:hAnsi="Times New Roman" w:eastAsia="仿宋_GB2312" w:cs="Times New Roman"/>
          <w:sz w:val="32"/>
          <w:szCs w:val="32"/>
        </w:rPr>
      </w:pPr>
      <w:r>
        <w:rPr>
          <w:rFonts w:ascii="仿宋_GB2312" w:hAnsi="Times New Roman" w:eastAsia="仿宋_GB2312" w:cs="Times New Roman"/>
          <w:sz w:val="32"/>
          <w:szCs w:val="32"/>
        </w:rPr>
        <w:t>阅片一致性研究的对象为经申报产品按照产品说明书进行染色的病理切片，各临床试验机构研究者根据产品说明书中结果判读方法对切片进行判读，评价不同研究者对染色切片判读结果的一致性。</w:t>
      </w:r>
    </w:p>
    <w:p w14:paraId="4DE79CF6">
      <w:pPr>
        <w:spacing w:line="520" w:lineRule="exact"/>
        <w:ind w:firstLine="640"/>
        <w:contextualSpacing/>
        <w:rPr>
          <w:rFonts w:ascii="Times New Roman" w:hAnsi="Times New Roman" w:eastAsia="仿宋_GB2312" w:cs="Times New Roman"/>
          <w:sz w:val="32"/>
          <w:szCs w:val="32"/>
        </w:rPr>
      </w:pPr>
      <w:r>
        <w:rPr>
          <w:rFonts w:ascii="仿宋_GB2312" w:hAnsi="Times New Roman" w:eastAsia="仿宋_GB2312" w:cs="Times New Roman"/>
          <w:sz w:val="32"/>
          <w:szCs w:val="32"/>
        </w:rPr>
        <w:t>阅片一致性研究应选择至少三家临床试验机构，研究内容包括：机构内同一病理医师阅片一致性研究、机构内不同病理医师阅片一致性研究、不同机构间病理医师阅片一致性研究。各临床试验机构可根据临床试验内容，在科学设计的前提下将上述阅片一致性研究合并进行，但应在临床试验方案中明确各机构不同研究者参与的具体研究内容，临床试验应严格按照临床试验方案进行。</w:t>
      </w:r>
    </w:p>
    <w:p w14:paraId="5EDD2485">
      <w:pPr>
        <w:spacing w:line="520" w:lineRule="exact"/>
        <w:ind w:firstLine="64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2.1</w:t>
      </w:r>
      <w:r>
        <w:rPr>
          <w:rFonts w:ascii="仿宋_GB2312" w:hAnsi="Times New Roman" w:eastAsia="仿宋_GB2312" w:cs="Times New Roman"/>
          <w:sz w:val="32"/>
          <w:szCs w:val="32"/>
        </w:rPr>
        <w:t>机构内同一病理医师阅片一致性研究</w:t>
      </w:r>
    </w:p>
    <w:p w14:paraId="7FD339A6">
      <w:pPr>
        <w:spacing w:line="520" w:lineRule="exact"/>
        <w:ind w:firstLine="640"/>
        <w:contextualSpacing/>
        <w:rPr>
          <w:rFonts w:ascii="Times New Roman" w:hAnsi="Times New Roman" w:eastAsia="仿宋_GB2312" w:cs="Times New Roman"/>
          <w:sz w:val="32"/>
          <w:szCs w:val="32"/>
        </w:rPr>
      </w:pPr>
      <w:r>
        <w:rPr>
          <w:rFonts w:ascii="仿宋_GB2312" w:hAnsi="Times New Roman" w:eastAsia="仿宋_GB2312" w:cs="Times New Roman"/>
          <w:sz w:val="32"/>
          <w:szCs w:val="32"/>
        </w:rPr>
        <w:t>机构内同一病理医师阅片一致性研究应在三家临床试验机构开展，每家临床试验机构针对本机构所提供的临床试验所需的已完成染色的病理切片进行本研究。用于临床试验的病理切片应包括判读结果为阳性的切片及判读结果为阴性的切片。</w:t>
      </w:r>
    </w:p>
    <w:p w14:paraId="225227D9">
      <w:pPr>
        <w:spacing w:line="520" w:lineRule="exact"/>
        <w:ind w:firstLine="640"/>
        <w:contextualSpacing/>
        <w:rPr>
          <w:rFonts w:ascii="Times New Roman" w:hAnsi="Times New Roman" w:eastAsia="仿宋_GB2312" w:cs="Times New Roman"/>
          <w:sz w:val="32"/>
          <w:szCs w:val="32"/>
        </w:rPr>
      </w:pPr>
      <w:r>
        <w:rPr>
          <w:rFonts w:ascii="仿宋_GB2312" w:hAnsi="Times New Roman" w:eastAsia="仿宋_GB2312" w:cs="Times New Roman"/>
          <w:sz w:val="32"/>
          <w:szCs w:val="32"/>
        </w:rPr>
        <w:t>每家临床试验机构选择一名一定资历的病理医师对该机构入组的所有病理切片进行</w:t>
      </w:r>
      <w:r>
        <w:rPr>
          <w:rFonts w:ascii="Times New Roman" w:hAnsi="Times New Roman" w:eastAsia="仿宋_GB2312" w:cs="Times New Roman"/>
          <w:sz w:val="32"/>
          <w:szCs w:val="32"/>
        </w:rPr>
        <w:t>3</w:t>
      </w:r>
      <w:r>
        <w:rPr>
          <w:rFonts w:ascii="仿宋_GB2312" w:hAnsi="Times New Roman" w:eastAsia="仿宋_GB2312" w:cs="Times New Roman"/>
          <w:sz w:val="32"/>
          <w:szCs w:val="32"/>
        </w:rPr>
        <w:t>次判读，每次判读间隔一定的时间，同一病理医师的不同次阅片结果组成分析数据集。机构内同一病理医师阅片一致性试验设计如图</w:t>
      </w:r>
      <w:r>
        <w:rPr>
          <w:rFonts w:ascii="Times New Roman" w:hAnsi="Times New Roman" w:eastAsia="仿宋_GB2312" w:cs="Times New Roman"/>
          <w:sz w:val="32"/>
          <w:szCs w:val="32"/>
        </w:rPr>
        <w:t>2</w:t>
      </w:r>
      <w:r>
        <w:rPr>
          <w:rFonts w:ascii="仿宋_GB2312" w:hAnsi="Times New Roman" w:eastAsia="仿宋_GB2312" w:cs="Times New Roman"/>
          <w:sz w:val="32"/>
          <w:szCs w:val="32"/>
        </w:rPr>
        <w:t>。</w:t>
      </w:r>
    </w:p>
    <w:p w14:paraId="23F8EE0C">
      <w:pPr>
        <w:spacing w:line="520" w:lineRule="exact"/>
        <w:ind w:firstLine="64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p w14:paraId="6D614D0C">
      <w:pPr>
        <w:spacing w:line="520" w:lineRule="exact"/>
        <w:ind w:firstLine="64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3924300" cy="1952625"/>
            <wp:effectExtent l="0" t="0" r="0" b="9525"/>
            <wp:wrapSquare wrapText="bothSides"/>
            <wp:docPr id="4" name="图片 4" descr="C:\Users\cf\AppData\Local\Temp\ksohtml976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cf\AppData\Local\Temp\ksohtml9760\wps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924300" cy="1952625"/>
                    </a:xfrm>
                    <a:prstGeom prst="rect">
                      <a:avLst/>
                    </a:prstGeom>
                    <a:noFill/>
                    <a:ln>
                      <a:noFill/>
                    </a:ln>
                  </pic:spPr>
                </pic:pic>
              </a:graphicData>
            </a:graphic>
          </wp:anchor>
        </w:drawing>
      </w:r>
      <w:r>
        <w:rPr>
          <w:rFonts w:ascii="Times New Roman" w:hAnsi="Times New Roman" w:eastAsia="仿宋_GB2312" w:cs="Times New Roman"/>
          <w:sz w:val="32"/>
          <w:szCs w:val="32"/>
        </w:rPr>
        <w:t xml:space="preserve"> </w:t>
      </w:r>
    </w:p>
    <w:p w14:paraId="6AFFE9F4">
      <w:pPr>
        <w:spacing w:line="520" w:lineRule="exact"/>
        <w:ind w:firstLine="64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p w14:paraId="42EA45ED">
      <w:pPr>
        <w:spacing w:line="520" w:lineRule="exact"/>
        <w:ind w:firstLine="64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p w14:paraId="6536CF29">
      <w:pPr>
        <w:spacing w:line="520" w:lineRule="exact"/>
        <w:ind w:firstLine="64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p w14:paraId="6BDB9C65">
      <w:pPr>
        <w:spacing w:line="520" w:lineRule="exact"/>
        <w:ind w:firstLine="64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p w14:paraId="771F6DEB">
      <w:pPr>
        <w:spacing w:line="520" w:lineRule="exact"/>
        <w:ind w:firstLine="64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p w14:paraId="5724FE51">
      <w:pPr>
        <w:spacing w:line="520" w:lineRule="exact"/>
        <w:ind w:firstLine="640"/>
        <w:contextualSpacing/>
        <w:jc w:val="center"/>
        <w:rPr>
          <w:rFonts w:ascii="黑体" w:hAnsi="黑体" w:eastAsia="黑体"/>
          <w:sz w:val="28"/>
          <w:szCs w:val="28"/>
        </w:rPr>
      </w:pPr>
      <w:r>
        <w:rPr>
          <w:rFonts w:hint="eastAsia" w:ascii="黑体" w:hAnsi="黑体" w:eastAsia="黑体"/>
          <w:sz w:val="28"/>
          <w:szCs w:val="28"/>
        </w:rPr>
        <w:t>图2.机构内同一病理医师阅片一致性试验设计示意图</w:t>
      </w:r>
    </w:p>
    <w:p w14:paraId="32A4BF33">
      <w:pPr>
        <w:spacing w:line="520" w:lineRule="exact"/>
        <w:ind w:firstLine="640"/>
        <w:contextualSpacing/>
        <w:rPr>
          <w:rFonts w:hint="eastAsia"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p w14:paraId="0ABE1521">
      <w:pPr>
        <w:spacing w:line="520" w:lineRule="exact"/>
        <w:ind w:firstLine="64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2.2</w:t>
      </w:r>
      <w:r>
        <w:rPr>
          <w:rFonts w:ascii="仿宋_GB2312" w:hAnsi="Times New Roman" w:eastAsia="仿宋_GB2312" w:cs="Times New Roman"/>
          <w:sz w:val="32"/>
          <w:szCs w:val="32"/>
        </w:rPr>
        <w:t>机构内不同病理医师阅片一致性研究</w:t>
      </w:r>
    </w:p>
    <w:p w14:paraId="23D3ACFC">
      <w:pPr>
        <w:spacing w:line="520" w:lineRule="exact"/>
        <w:ind w:firstLine="640"/>
        <w:contextualSpacing/>
        <w:rPr>
          <w:rFonts w:ascii="Times New Roman" w:hAnsi="Times New Roman" w:eastAsia="仿宋_GB2312" w:cs="Times New Roman"/>
          <w:sz w:val="32"/>
          <w:szCs w:val="32"/>
        </w:rPr>
      </w:pPr>
      <w:r>
        <w:rPr>
          <w:rFonts w:ascii="仿宋_GB2312" w:hAnsi="Times New Roman" w:eastAsia="仿宋_GB2312" w:cs="Times New Roman"/>
          <w:sz w:val="32"/>
          <w:szCs w:val="32"/>
        </w:rPr>
        <w:t>机构内不同病理医师阅片一致性研究应在三家临床试验机构开展。每家临床试验机构针对本机构所提供的临床试验所需的已完成染色的病理切片进行本研究。用于临床试验的病理切片应包括判读结果为阳性的切片及判读结果为阴性的切片。</w:t>
      </w:r>
    </w:p>
    <w:p w14:paraId="2E2D8574">
      <w:pPr>
        <w:spacing w:line="520" w:lineRule="exact"/>
        <w:ind w:firstLine="640"/>
        <w:contextualSpacing/>
        <w:rPr>
          <w:rFonts w:ascii="Times New Roman" w:hAnsi="Times New Roman" w:eastAsia="仿宋_GB2312" w:cs="Times New Roman"/>
          <w:sz w:val="32"/>
          <w:szCs w:val="32"/>
        </w:rPr>
      </w:pPr>
      <w:r>
        <w:rPr>
          <w:rFonts w:ascii="仿宋_GB2312" w:hAnsi="Times New Roman" w:eastAsia="仿宋_GB2312" w:cs="Times New Roman"/>
          <w:sz w:val="32"/>
          <w:szCs w:val="32"/>
        </w:rPr>
        <w:t>每家临床试验机构选择</w:t>
      </w:r>
      <w:r>
        <w:rPr>
          <w:rFonts w:hint="eastAsia" w:ascii="Times New Roman" w:hAnsi="Times New Roman" w:eastAsia="仿宋_GB2312" w:cs="Times New Roman"/>
          <w:sz w:val="32"/>
          <w:szCs w:val="32"/>
        </w:rPr>
        <w:t>3</w:t>
      </w:r>
      <w:r>
        <w:rPr>
          <w:rFonts w:ascii="仿宋_GB2312" w:hAnsi="Times New Roman" w:eastAsia="仿宋_GB2312" w:cs="Times New Roman"/>
          <w:sz w:val="32"/>
          <w:szCs w:val="32"/>
        </w:rPr>
        <w:t>名不同资历的病理医师参与临床试验，临床试验过程中由每名病理医师对该机构入组的所有病理切片进行判读，所有病理医师的阅片结果组成分析数据集。机构内不同病理医师阅片一致性试验设计如图</w:t>
      </w:r>
      <w:r>
        <w:rPr>
          <w:rFonts w:ascii="Times New Roman" w:hAnsi="Times New Roman" w:eastAsia="仿宋_GB2312" w:cs="Times New Roman"/>
          <w:sz w:val="32"/>
          <w:szCs w:val="32"/>
        </w:rPr>
        <w:t>3</w:t>
      </w:r>
      <w:r>
        <w:rPr>
          <w:rFonts w:ascii="仿宋_GB2312" w:hAnsi="Times New Roman" w:eastAsia="仿宋_GB2312" w:cs="Times New Roman"/>
          <w:sz w:val="32"/>
          <w:szCs w:val="32"/>
        </w:rPr>
        <w:t>。</w:t>
      </w:r>
    </w:p>
    <w:p w14:paraId="372D4DE9">
      <w:pPr>
        <w:spacing w:line="520" w:lineRule="exact"/>
        <w:ind w:firstLine="64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tbl>
      <w:tblPr>
        <w:tblStyle w:val="2"/>
        <w:tblW w:w="0" w:type="auto"/>
        <w:jc w:val="center"/>
        <w:tblCellSpacing w:w="0" w:type="dxa"/>
        <w:tblLayout w:type="autofit"/>
        <w:tblCellMar>
          <w:top w:w="0" w:type="dxa"/>
          <w:left w:w="0" w:type="dxa"/>
          <w:bottom w:w="0" w:type="dxa"/>
          <w:right w:w="0" w:type="dxa"/>
        </w:tblCellMar>
      </w:tblPr>
      <w:tblGrid>
        <w:gridCol w:w="1275"/>
        <w:gridCol w:w="5910"/>
      </w:tblGrid>
      <w:tr w14:paraId="7FC5ED3B">
        <w:tblPrEx>
          <w:tblCellMar>
            <w:top w:w="0" w:type="dxa"/>
            <w:left w:w="0" w:type="dxa"/>
            <w:bottom w:w="0" w:type="dxa"/>
            <w:right w:w="0" w:type="dxa"/>
          </w:tblCellMar>
        </w:tblPrEx>
        <w:trPr>
          <w:gridAfter w:val="1"/>
          <w:wAfter w:w="5910" w:type="dxa"/>
          <w:tblCellSpacing w:w="0" w:type="dxa"/>
          <w:jc w:val="center"/>
        </w:trPr>
        <w:tc>
          <w:tcPr>
            <w:tcW w:w="1275" w:type="dxa"/>
            <w:vAlign w:val="center"/>
          </w:tcPr>
          <w:p w14:paraId="58BCFBB6">
            <w:pPr>
              <w:rPr>
                <w:rFonts w:ascii="Times New Roman" w:hAnsi="Times New Roman" w:eastAsia="仿宋_GB2312" w:cs="Times New Roman"/>
                <w:sz w:val="32"/>
                <w:szCs w:val="32"/>
              </w:rPr>
            </w:pPr>
          </w:p>
        </w:tc>
      </w:tr>
      <w:tr w14:paraId="425026FF">
        <w:tblPrEx>
          <w:tblCellMar>
            <w:top w:w="0" w:type="dxa"/>
            <w:left w:w="0" w:type="dxa"/>
            <w:bottom w:w="0" w:type="dxa"/>
            <w:right w:w="0" w:type="dxa"/>
          </w:tblCellMar>
        </w:tblPrEx>
        <w:trPr>
          <w:tblCellSpacing w:w="0" w:type="dxa"/>
          <w:jc w:val="center"/>
        </w:trPr>
        <w:tc>
          <w:tcPr>
            <w:tcW w:w="0" w:type="auto"/>
            <w:vAlign w:val="center"/>
          </w:tcPr>
          <w:p w14:paraId="6852215A">
            <w:pPr>
              <w:widowControl/>
              <w:jc w:val="left"/>
              <w:rPr>
                <w:rFonts w:ascii="Times New Roman" w:hAnsi="Times New Roman" w:eastAsia="Times New Roman" w:cs="Times New Roman"/>
                <w:kern w:val="0"/>
                <w:sz w:val="20"/>
                <w:szCs w:val="20"/>
              </w:rPr>
            </w:pPr>
          </w:p>
        </w:tc>
        <w:tc>
          <w:tcPr>
            <w:tcW w:w="0" w:type="auto"/>
            <w:vAlign w:val="center"/>
          </w:tcPr>
          <w:p w14:paraId="7E66038E">
            <w:pPr>
              <w:widowControl/>
              <w:jc w:val="center"/>
              <w:rPr>
                <w:rFonts w:ascii="宋体" w:hAnsi="宋体" w:eastAsia="宋体"/>
                <w:kern w:val="0"/>
                <w:sz w:val="24"/>
                <w:szCs w:val="24"/>
              </w:rPr>
            </w:pPr>
            <w:r>
              <w:rPr>
                <w:rFonts w:ascii="宋体" w:hAnsi="宋体" w:eastAsia="宋体"/>
                <w:kern w:val="0"/>
                <w:sz w:val="24"/>
                <w:szCs w:val="24"/>
              </w:rPr>
              <w:drawing>
                <wp:inline distT="0" distB="0" distL="0" distR="0">
                  <wp:extent cx="3747770" cy="2105660"/>
                  <wp:effectExtent l="0" t="0" r="5080" b="8890"/>
                  <wp:docPr id="2" name="图片 2" descr="C:\Users\cf\AppData\Local\Temp\ksohtml9760\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cf\AppData\Local\Temp\ksohtml9760\wps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747770" cy="2105660"/>
                          </a:xfrm>
                          <a:prstGeom prst="rect">
                            <a:avLst/>
                          </a:prstGeom>
                          <a:noFill/>
                          <a:ln>
                            <a:noFill/>
                          </a:ln>
                        </pic:spPr>
                      </pic:pic>
                    </a:graphicData>
                  </a:graphic>
                </wp:inline>
              </w:drawing>
            </w:r>
          </w:p>
        </w:tc>
      </w:tr>
    </w:tbl>
    <w:p w14:paraId="0F5A7A72">
      <w:pPr>
        <w:spacing w:line="520" w:lineRule="exact"/>
        <w:ind w:firstLine="640"/>
        <w:contextualSpacing/>
        <w:jc w:val="center"/>
        <w:rPr>
          <w:rFonts w:ascii="黑体" w:hAnsi="黑体" w:eastAsia="黑体"/>
          <w:sz w:val="28"/>
          <w:szCs w:val="28"/>
        </w:rPr>
      </w:pPr>
      <w:r>
        <w:rPr>
          <w:rFonts w:hint="eastAsia" w:ascii="黑体" w:hAnsi="黑体" w:eastAsia="黑体"/>
          <w:sz w:val="28"/>
          <w:szCs w:val="28"/>
        </w:rPr>
        <w:t>图3.机构内不同病理医师阅片一致性试验设计示意图</w:t>
      </w:r>
    </w:p>
    <w:p w14:paraId="78ADCEA6">
      <w:pPr>
        <w:spacing w:line="520" w:lineRule="exact"/>
        <w:ind w:firstLine="640"/>
        <w:contextualSpacing/>
        <w:rPr>
          <w:rFonts w:hint="eastAsia"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p w14:paraId="1B11023D">
      <w:pPr>
        <w:spacing w:line="520" w:lineRule="exact"/>
        <w:ind w:firstLine="64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2.3</w:t>
      </w:r>
      <w:r>
        <w:rPr>
          <w:rFonts w:ascii="仿宋_GB2312" w:hAnsi="Times New Roman" w:eastAsia="仿宋_GB2312" w:cs="Times New Roman"/>
          <w:sz w:val="32"/>
          <w:szCs w:val="32"/>
        </w:rPr>
        <w:t>不同机构间病理医师阅片一致性</w:t>
      </w:r>
    </w:p>
    <w:p w14:paraId="30A50EC6">
      <w:pPr>
        <w:spacing w:line="520" w:lineRule="exact"/>
        <w:ind w:firstLine="640"/>
        <w:contextualSpacing/>
        <w:rPr>
          <w:rFonts w:ascii="Times New Roman" w:hAnsi="Times New Roman" w:eastAsia="仿宋_GB2312" w:cs="Times New Roman"/>
          <w:sz w:val="32"/>
          <w:szCs w:val="32"/>
        </w:rPr>
      </w:pPr>
      <w:r>
        <w:rPr>
          <w:rFonts w:ascii="仿宋_GB2312" w:hAnsi="Times New Roman" w:eastAsia="仿宋_GB2312" w:cs="Times New Roman"/>
          <w:sz w:val="32"/>
          <w:szCs w:val="32"/>
        </w:rPr>
        <w:t>不同机构间病理医师阅片一致性研究应在三家临床试验机构开展。临床试验所需病理切片为三家临床试验机构共同提供的切片组成的切片集，在切片集构建过程中，每家临床试验机构提供的阳性切片、阴性切片及总切片数应相对均衡。每</w:t>
      </w:r>
      <w:r>
        <w:rPr>
          <w:rFonts w:hint="eastAsia" w:ascii="仿宋_GB2312" w:hAnsi="Times New Roman" w:eastAsia="仿宋_GB2312"/>
          <w:sz w:val="32"/>
          <w:szCs w:val="32"/>
        </w:rPr>
        <w:t>张</w:t>
      </w:r>
      <w:r>
        <w:rPr>
          <w:rFonts w:ascii="仿宋_GB2312" w:hAnsi="Times New Roman" w:eastAsia="仿宋_GB2312" w:cs="Times New Roman"/>
          <w:sz w:val="32"/>
          <w:szCs w:val="32"/>
        </w:rPr>
        <w:t>病理切片应为按照申报产品说明书进行染色的病理切片。</w:t>
      </w:r>
    </w:p>
    <w:p w14:paraId="5C0C3E60">
      <w:pPr>
        <w:spacing w:line="520" w:lineRule="exact"/>
        <w:ind w:firstLine="640"/>
        <w:contextualSpacing/>
        <w:rPr>
          <w:rFonts w:ascii="Times New Roman" w:hAnsi="Times New Roman" w:eastAsia="仿宋_GB2312" w:cs="Times New Roman"/>
          <w:sz w:val="32"/>
          <w:szCs w:val="32"/>
        </w:rPr>
      </w:pPr>
      <w:r>
        <w:rPr>
          <w:rFonts w:hint="eastAsia" w:ascii="仿宋_GB2312" w:hAnsi="Times New Roman" w:eastAsia="仿宋_GB2312"/>
          <w:sz w:val="32"/>
          <w:szCs w:val="32"/>
        </w:rPr>
        <w:t>各临床试验机构根据临床试验进展开展切片集的阅片，建议每家临床试验机构完成全部阅片后，再将切片集转运至下一家机构。</w:t>
      </w:r>
      <w:r>
        <w:rPr>
          <w:rFonts w:ascii="仿宋_GB2312" w:hAnsi="Times New Roman" w:eastAsia="仿宋_GB2312" w:cs="Times New Roman"/>
          <w:sz w:val="32"/>
          <w:szCs w:val="32"/>
        </w:rPr>
        <w:t>保证每家临床试验机构研究者均能对切片集中所有病例的病理切片根据产品说明书要求进行结果判读。</w:t>
      </w:r>
    </w:p>
    <w:p w14:paraId="4B538B1C">
      <w:pPr>
        <w:spacing w:line="520" w:lineRule="exact"/>
        <w:ind w:firstLine="640" w:firstLineChars="200"/>
        <w:contextualSpacing/>
        <w:rPr>
          <w:rFonts w:ascii="Times New Roman" w:hAnsi="Times New Roman" w:eastAsia="仿宋_GB2312" w:cs="Times New Roman"/>
          <w:sz w:val="32"/>
          <w:szCs w:val="32"/>
        </w:rPr>
      </w:pPr>
      <w:r>
        <w:rPr>
          <w:rFonts w:ascii="仿宋_GB2312" w:hAnsi="Times New Roman" w:eastAsia="仿宋_GB2312" w:cs="Times New Roman"/>
          <w:sz w:val="32"/>
          <w:szCs w:val="32"/>
        </w:rPr>
        <w:t>各临床试验机构收到切片集后，选择具有一定资历的研究者，按照申报产品说明书的要求对病理切片进行结果判读。三家临床试验机构</w:t>
      </w:r>
      <w:r>
        <w:rPr>
          <w:rFonts w:hint="eastAsia" w:ascii="仿宋_GB2312" w:hAnsi="Times New Roman" w:eastAsia="仿宋_GB2312"/>
          <w:sz w:val="32"/>
          <w:szCs w:val="32"/>
        </w:rPr>
        <w:t>对</w:t>
      </w:r>
      <w:r>
        <w:rPr>
          <w:rFonts w:ascii="仿宋_GB2312" w:hAnsi="Times New Roman" w:eastAsia="仿宋_GB2312" w:cs="Times New Roman"/>
          <w:sz w:val="32"/>
          <w:szCs w:val="32"/>
        </w:rPr>
        <w:t>切片集中所有病理切片判读，最终各结构的数据形成阅片一致性研究的数据集，用于后续统计分析。不同机构间病理医师阅片一致性试验设计如图</w:t>
      </w:r>
      <w:r>
        <w:rPr>
          <w:rFonts w:ascii="Times New Roman" w:hAnsi="Times New Roman" w:eastAsia="仿宋_GB2312" w:cs="Times New Roman"/>
          <w:sz w:val="32"/>
          <w:szCs w:val="32"/>
        </w:rPr>
        <w:t>4</w:t>
      </w:r>
      <w:r>
        <w:rPr>
          <w:rFonts w:ascii="仿宋_GB2312" w:hAnsi="Times New Roman" w:eastAsia="仿宋_GB2312" w:cs="Times New Roman"/>
          <w:sz w:val="32"/>
          <w:szCs w:val="32"/>
        </w:rPr>
        <w:t>。</w:t>
      </w:r>
    </w:p>
    <w:tbl>
      <w:tblPr>
        <w:tblStyle w:val="2"/>
        <w:tblW w:w="0" w:type="auto"/>
        <w:tblCellSpacing w:w="0" w:type="dxa"/>
        <w:tblInd w:w="0" w:type="dxa"/>
        <w:tblLayout w:type="autofit"/>
        <w:tblCellMar>
          <w:top w:w="0" w:type="dxa"/>
          <w:left w:w="0" w:type="dxa"/>
          <w:bottom w:w="0" w:type="dxa"/>
          <w:right w:w="0" w:type="dxa"/>
        </w:tblCellMar>
      </w:tblPr>
      <w:tblGrid>
        <w:gridCol w:w="1380"/>
        <w:gridCol w:w="6120"/>
      </w:tblGrid>
      <w:tr w14:paraId="412F16A1">
        <w:tblPrEx>
          <w:tblCellMar>
            <w:top w:w="0" w:type="dxa"/>
            <w:left w:w="0" w:type="dxa"/>
            <w:bottom w:w="0" w:type="dxa"/>
            <w:right w:w="0" w:type="dxa"/>
          </w:tblCellMar>
        </w:tblPrEx>
        <w:trPr>
          <w:gridAfter w:val="1"/>
          <w:wAfter w:w="6120" w:type="dxa"/>
          <w:tblCellSpacing w:w="0" w:type="dxa"/>
        </w:trPr>
        <w:tc>
          <w:tcPr>
            <w:tcW w:w="1380" w:type="dxa"/>
            <w:vAlign w:val="center"/>
          </w:tcPr>
          <w:p w14:paraId="11EE8DB8">
            <w:pPr>
              <w:rPr>
                <w:rFonts w:ascii="Times New Roman" w:hAnsi="Times New Roman" w:eastAsia="仿宋_GB2312" w:cs="Times New Roman"/>
                <w:sz w:val="32"/>
                <w:szCs w:val="32"/>
              </w:rPr>
            </w:pPr>
          </w:p>
        </w:tc>
      </w:tr>
      <w:tr w14:paraId="4E88AC47">
        <w:trPr>
          <w:tblCellSpacing w:w="0" w:type="dxa"/>
        </w:trPr>
        <w:tc>
          <w:tcPr>
            <w:tcW w:w="0" w:type="auto"/>
            <w:vAlign w:val="center"/>
          </w:tcPr>
          <w:p w14:paraId="1BAD7F58">
            <w:pPr>
              <w:widowControl/>
              <w:jc w:val="left"/>
              <w:rPr>
                <w:rFonts w:ascii="Times New Roman" w:hAnsi="Times New Roman" w:eastAsia="Times New Roman" w:cs="Times New Roman"/>
                <w:kern w:val="0"/>
                <w:sz w:val="20"/>
                <w:szCs w:val="20"/>
              </w:rPr>
            </w:pPr>
          </w:p>
        </w:tc>
        <w:tc>
          <w:tcPr>
            <w:tcW w:w="0" w:type="auto"/>
            <w:vAlign w:val="center"/>
          </w:tcPr>
          <w:p w14:paraId="5D1C16FA">
            <w:pPr>
              <w:widowControl/>
              <w:jc w:val="left"/>
              <w:rPr>
                <w:rFonts w:ascii="宋体" w:hAnsi="宋体" w:eastAsia="宋体"/>
                <w:kern w:val="0"/>
                <w:sz w:val="24"/>
                <w:szCs w:val="24"/>
              </w:rPr>
            </w:pPr>
            <w:r>
              <w:rPr>
                <w:rFonts w:ascii="宋体" w:hAnsi="宋体" w:eastAsia="宋体"/>
                <w:kern w:val="0"/>
                <w:sz w:val="24"/>
                <w:szCs w:val="24"/>
              </w:rPr>
              <w:drawing>
                <wp:inline distT="0" distB="0" distL="0" distR="0">
                  <wp:extent cx="3879215" cy="2978785"/>
                  <wp:effectExtent l="0" t="0" r="6985" b="0"/>
                  <wp:docPr id="1" name="图片 1" descr="C:\Users\cf\AppData\Local\Temp\ksohtml9760\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cf\AppData\Local\Temp\ksohtml9760\wps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79215" cy="2978785"/>
                          </a:xfrm>
                          <a:prstGeom prst="rect">
                            <a:avLst/>
                          </a:prstGeom>
                          <a:noFill/>
                          <a:ln>
                            <a:noFill/>
                          </a:ln>
                        </pic:spPr>
                      </pic:pic>
                    </a:graphicData>
                  </a:graphic>
                </wp:inline>
              </w:drawing>
            </w:r>
          </w:p>
        </w:tc>
      </w:tr>
    </w:tbl>
    <w:p w14:paraId="4EB46041">
      <w:pPr>
        <w:spacing w:line="520" w:lineRule="exact"/>
        <w:ind w:firstLine="1540" w:firstLineChars="550"/>
        <w:contextualSpacing/>
        <w:rPr>
          <w:rFonts w:ascii="黑体" w:hAnsi="黑体" w:eastAsia="黑体"/>
          <w:sz w:val="32"/>
          <w:szCs w:val="32"/>
        </w:rPr>
      </w:pPr>
      <w:r>
        <w:rPr>
          <w:rFonts w:hint="eastAsia" w:ascii="黑体" w:hAnsi="黑体" w:eastAsia="黑体"/>
          <w:sz w:val="28"/>
          <w:szCs w:val="28"/>
        </w:rPr>
        <w:t>图4.不同机构间病理医师阅片一致性试验设计示意图</w:t>
      </w:r>
    </w:p>
    <w:p w14:paraId="0880B6A5">
      <w:pPr>
        <w:spacing w:line="520" w:lineRule="exact"/>
        <w:ind w:firstLine="640"/>
        <w:contextualSpacing/>
        <w:rPr>
          <w:rFonts w:hint="eastAsia"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p w14:paraId="2859850A">
      <w:pPr>
        <w:spacing w:line="520" w:lineRule="exact"/>
        <w:ind w:firstLine="640"/>
        <w:contextualSpacing/>
        <w:rPr>
          <w:rFonts w:ascii="Times New Roman" w:hAnsi="Times New Roman" w:eastAsia="楷体_GB2312" w:cs="Times New Roman"/>
          <w:sz w:val="32"/>
          <w:szCs w:val="32"/>
        </w:rPr>
      </w:pPr>
      <w:r>
        <w:rPr>
          <w:rFonts w:ascii="楷体_GB2312" w:hAnsi="Times New Roman" w:eastAsia="楷体_GB2312" w:cs="Times New Roman"/>
          <w:sz w:val="32"/>
          <w:szCs w:val="32"/>
        </w:rPr>
        <w:t>（二）受试者选择及样本收集</w:t>
      </w:r>
    </w:p>
    <w:p w14:paraId="2A03E181">
      <w:pPr>
        <w:spacing w:line="520" w:lineRule="exact"/>
        <w:ind w:firstLine="640"/>
        <w:contextualSpacing/>
        <w:rPr>
          <w:rFonts w:ascii="Times New Roman" w:hAnsi="Times New Roman" w:eastAsia="仿宋_GB2312" w:cs="Times New Roman"/>
          <w:sz w:val="32"/>
          <w:szCs w:val="32"/>
        </w:rPr>
      </w:pPr>
      <w:r>
        <w:rPr>
          <w:rFonts w:ascii="仿宋_GB2312" w:hAnsi="Times New Roman" w:eastAsia="仿宋_GB2312" w:cs="Times New Roman"/>
          <w:sz w:val="32"/>
          <w:szCs w:val="32"/>
        </w:rPr>
        <w:t>环比试验与阅片一致性研究入组的受试者应为产品预期适用人群，如待评价产品</w:t>
      </w:r>
      <w:r>
        <w:rPr>
          <w:rFonts w:ascii="Times New Roman" w:hAnsi="Times New Roman" w:eastAsia="仿宋_GB2312" w:cs="Times New Roman"/>
          <w:sz w:val="32"/>
          <w:szCs w:val="32"/>
        </w:rPr>
        <w:t>PD-L1</w:t>
      </w:r>
      <w:r>
        <w:rPr>
          <w:rFonts w:ascii="仿宋_GB2312" w:hAnsi="Times New Roman" w:eastAsia="仿宋_GB2312" w:cs="Times New Roman"/>
          <w:sz w:val="32"/>
          <w:szCs w:val="32"/>
        </w:rPr>
        <w:t>检测试剂盒预期用途为定性检测中性福尔马林固定石蜡包埋（</w:t>
      </w:r>
      <w:r>
        <w:rPr>
          <w:rFonts w:ascii="Times New Roman" w:hAnsi="Times New Roman" w:eastAsia="仿宋_GB2312" w:cs="Times New Roman"/>
          <w:sz w:val="32"/>
          <w:szCs w:val="32"/>
        </w:rPr>
        <w:t>FFPE</w:t>
      </w:r>
      <w:r>
        <w:rPr>
          <w:rFonts w:ascii="仿宋_GB2312" w:hAnsi="Times New Roman" w:eastAsia="仿宋_GB2312" w:cs="Times New Roman"/>
          <w:sz w:val="32"/>
          <w:szCs w:val="32"/>
        </w:rPr>
        <w:t>）的食管鳞状细胞癌（</w:t>
      </w:r>
      <w:r>
        <w:rPr>
          <w:rFonts w:ascii="Times New Roman" w:hAnsi="Times New Roman" w:eastAsia="仿宋_GB2312" w:cs="Times New Roman"/>
          <w:sz w:val="32"/>
          <w:szCs w:val="32"/>
        </w:rPr>
        <w:t>ESCC</w:t>
      </w:r>
      <w:r>
        <w:rPr>
          <w:rFonts w:ascii="仿宋_GB2312" w:hAnsi="Times New Roman" w:eastAsia="仿宋_GB2312" w:cs="Times New Roman"/>
          <w:sz w:val="32"/>
          <w:szCs w:val="32"/>
        </w:rPr>
        <w:t>）组织中的</w:t>
      </w:r>
      <w:r>
        <w:rPr>
          <w:rFonts w:ascii="Times New Roman" w:hAnsi="Times New Roman" w:eastAsia="仿宋_GB2312" w:cs="Times New Roman"/>
          <w:sz w:val="32"/>
          <w:szCs w:val="32"/>
        </w:rPr>
        <w:t>PD-L1</w:t>
      </w:r>
      <w:r>
        <w:rPr>
          <w:rFonts w:ascii="仿宋_GB2312" w:hAnsi="Times New Roman" w:eastAsia="仿宋_GB2312" w:cs="Times New Roman"/>
          <w:sz w:val="32"/>
          <w:szCs w:val="32"/>
        </w:rPr>
        <w:t>蛋白表达，则入组病例应为临床明确诊断为食管鳞状细胞癌的病例。</w:t>
      </w:r>
    </w:p>
    <w:p w14:paraId="6C2C79CC">
      <w:pPr>
        <w:spacing w:line="520" w:lineRule="exact"/>
        <w:ind w:firstLine="640"/>
        <w:contextualSpacing/>
        <w:rPr>
          <w:rFonts w:ascii="Times New Roman" w:hAnsi="Times New Roman" w:eastAsia="仿宋_GB2312" w:cs="Times New Roman"/>
          <w:sz w:val="32"/>
          <w:szCs w:val="32"/>
        </w:rPr>
      </w:pPr>
      <w:r>
        <w:rPr>
          <w:rFonts w:ascii="仿宋_GB2312" w:hAnsi="Times New Roman" w:eastAsia="仿宋_GB2312" w:cs="Times New Roman"/>
          <w:sz w:val="32"/>
          <w:szCs w:val="32"/>
        </w:rPr>
        <w:t>为了更加科学的评价产品性能，各部分研究均应包含部分</w:t>
      </w:r>
      <w:r>
        <w:rPr>
          <w:rFonts w:ascii="Times New Roman" w:hAnsi="Times New Roman" w:eastAsia="仿宋_GB2312" w:cs="Times New Roman"/>
          <w:sz w:val="32"/>
          <w:szCs w:val="32"/>
        </w:rPr>
        <w:t>PD-L1</w:t>
      </w:r>
      <w:r>
        <w:rPr>
          <w:rFonts w:ascii="仿宋_GB2312" w:hAnsi="Times New Roman" w:eastAsia="仿宋_GB2312" w:cs="Times New Roman"/>
          <w:sz w:val="32"/>
          <w:szCs w:val="32"/>
        </w:rPr>
        <w:t>表达阳性阈值临近范围内病例</w:t>
      </w:r>
      <w:r>
        <w:rPr>
          <w:rFonts w:hint="eastAsia" w:ascii="仿宋_GB2312" w:hAnsi="Times New Roman" w:eastAsia="仿宋_GB2312"/>
          <w:sz w:val="32"/>
          <w:szCs w:val="32"/>
        </w:rPr>
        <w:t>（用于指导抗肿瘤药物使用的阈值）</w:t>
      </w:r>
      <w:r>
        <w:rPr>
          <w:rFonts w:ascii="仿宋_GB2312" w:hAnsi="Times New Roman" w:eastAsia="仿宋_GB2312" w:cs="Times New Roman"/>
          <w:sz w:val="32"/>
          <w:szCs w:val="32"/>
        </w:rPr>
        <w:t>，该部分病例所占比例应不少于阳性病例的</w:t>
      </w:r>
      <w:r>
        <w:rPr>
          <w:rFonts w:hint="eastAsia" w:ascii="Times New Roman" w:hAnsi="Times New Roman" w:eastAsia="仿宋_GB2312" w:cs="Times New Roman"/>
          <w:sz w:val="32"/>
          <w:szCs w:val="32"/>
        </w:rPr>
        <w:t>30%</w:t>
      </w:r>
      <w:r>
        <w:rPr>
          <w:rFonts w:ascii="仿宋_GB2312" w:hAnsi="Times New Roman" w:eastAsia="仿宋_GB2312" w:cs="Times New Roman"/>
          <w:sz w:val="32"/>
          <w:szCs w:val="32"/>
        </w:rPr>
        <w:t>。</w:t>
      </w:r>
    </w:p>
    <w:p w14:paraId="3F6F77CB">
      <w:pPr>
        <w:spacing w:line="520" w:lineRule="exact"/>
        <w:ind w:firstLine="640"/>
        <w:contextualSpacing/>
        <w:rPr>
          <w:rFonts w:ascii="Times New Roman" w:hAnsi="Times New Roman" w:eastAsia="楷体_GB2312" w:cs="Times New Roman"/>
          <w:sz w:val="32"/>
          <w:szCs w:val="32"/>
        </w:rPr>
      </w:pPr>
      <w:r>
        <w:rPr>
          <w:rFonts w:ascii="楷体_GB2312" w:hAnsi="Times New Roman" w:eastAsia="楷体_GB2312" w:cs="Times New Roman"/>
          <w:sz w:val="32"/>
          <w:szCs w:val="32"/>
        </w:rPr>
        <w:t>（三）机构和人员</w:t>
      </w:r>
    </w:p>
    <w:p w14:paraId="3A87542E">
      <w:pPr>
        <w:spacing w:line="520" w:lineRule="exact"/>
        <w:ind w:firstLine="640" w:firstLineChars="200"/>
        <w:rPr>
          <w:rFonts w:ascii="Times New Roman" w:hAnsi="Times New Roman" w:eastAsia="仿宋_GB2312" w:cs="Times New Roman"/>
          <w:sz w:val="32"/>
          <w:szCs w:val="32"/>
        </w:rPr>
      </w:pPr>
      <w:r>
        <w:rPr>
          <w:rFonts w:ascii="仿宋_GB2312" w:hAnsi="Times New Roman" w:eastAsia="仿宋_GB2312" w:cs="Times New Roman"/>
          <w:sz w:val="32"/>
          <w:szCs w:val="32"/>
        </w:rPr>
        <w:t>临床试验机构应获得国家药品监督管理局备案认可。临床试验机构应具有严格的质量管理体系，执行实验室内部日常质量控制。</w:t>
      </w:r>
    </w:p>
    <w:p w14:paraId="228B9E50">
      <w:pPr>
        <w:spacing w:line="520" w:lineRule="exact"/>
        <w:ind w:firstLine="640" w:firstLineChars="200"/>
        <w:rPr>
          <w:rFonts w:ascii="Times New Roman" w:hAnsi="Times New Roman" w:eastAsia="仿宋_GB2312" w:cs="Times New Roman"/>
          <w:sz w:val="32"/>
          <w:szCs w:val="32"/>
        </w:rPr>
      </w:pPr>
      <w:r>
        <w:rPr>
          <w:rFonts w:ascii="仿宋_GB2312" w:hAnsi="Times New Roman" w:eastAsia="仿宋_GB2312" w:cs="Times New Roman"/>
          <w:sz w:val="32"/>
          <w:szCs w:val="32"/>
        </w:rPr>
        <w:t>临床试验中应根据试验设计设定不同资历的病理医师参与试验，病理医师资历划分应合理。</w:t>
      </w:r>
    </w:p>
    <w:p w14:paraId="23ACA212">
      <w:pPr>
        <w:spacing w:line="520" w:lineRule="exact"/>
        <w:ind w:firstLine="640"/>
        <w:contextualSpacing/>
        <w:rPr>
          <w:rFonts w:ascii="Times New Roman" w:hAnsi="Times New Roman" w:eastAsia="楷体_GB2312" w:cs="Times New Roman"/>
          <w:sz w:val="32"/>
          <w:szCs w:val="32"/>
        </w:rPr>
      </w:pPr>
      <w:r>
        <w:rPr>
          <w:rFonts w:ascii="楷体_GB2312" w:hAnsi="Times New Roman" w:eastAsia="楷体_GB2312" w:cs="Times New Roman"/>
          <w:sz w:val="32"/>
          <w:szCs w:val="32"/>
        </w:rPr>
        <w:t>（四）样本量估算</w:t>
      </w:r>
    </w:p>
    <w:p w14:paraId="308C1870">
      <w:pPr>
        <w:spacing w:line="520" w:lineRule="exact"/>
        <w:ind w:firstLine="640"/>
        <w:contextualSpacing/>
        <w:rPr>
          <w:rFonts w:ascii="仿宋_GB2312" w:hAnsi="Times New Roman" w:eastAsia="仿宋_GB2312" w:cs="Times New Roman"/>
          <w:sz w:val="32"/>
          <w:szCs w:val="32"/>
        </w:rPr>
      </w:pPr>
      <w:r>
        <w:rPr>
          <w:rFonts w:ascii="仿宋_GB2312" w:hAnsi="Times New Roman" w:eastAsia="仿宋_GB2312" w:cs="Times New Roman"/>
          <w:sz w:val="32"/>
          <w:szCs w:val="32"/>
        </w:rPr>
        <w:t>临床试验应进行科学的样本量估算，建议采用参数估计的方法估算样本量，样本量估算过程建议设定合理置信水平和允许误差。可采用如下公式：</w:t>
      </w:r>
    </w:p>
    <w:p w14:paraId="6498A0D2">
      <w:pPr>
        <w:spacing w:line="520" w:lineRule="exact"/>
        <w:ind w:firstLine="640"/>
        <w:contextualSpacing/>
        <w:rPr>
          <w:rFonts w:hint="eastAsia" w:ascii="Times New Roman" w:hAnsi="Times New Roman" w:eastAsia="仿宋_GB2312" w:cs="Times New Roman"/>
          <w:sz w:val="32"/>
          <w:szCs w:val="32"/>
        </w:rPr>
      </w:pPr>
      <w:r>
        <w:rPr>
          <w:rFonts w:ascii="Times New Roman" w:hAnsi="Times New Roman" w:eastAsia="仿宋_GB2312" w:cs="Times New Roman"/>
          <w:sz w:val="32"/>
          <w:szCs w:val="32"/>
        </w:rPr>
        <w:drawing>
          <wp:anchor distT="0" distB="0" distL="114300" distR="114300" simplePos="0" relativeHeight="251659264" behindDoc="0" locked="0" layoutInCell="1" allowOverlap="0">
            <wp:simplePos x="0" y="0"/>
            <wp:positionH relativeFrom="margin">
              <wp:align>center</wp:align>
            </wp:positionH>
            <wp:positionV relativeFrom="line">
              <wp:posOffset>234950</wp:posOffset>
            </wp:positionV>
            <wp:extent cx="1857375" cy="579755"/>
            <wp:effectExtent l="0" t="0" r="0" b="0"/>
            <wp:wrapSquare wrapText="bothSides"/>
            <wp:docPr id="3" name="图片 3" descr="C:\Users\cf\AppData\Local\Temp\ksohtml9760\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cf\AppData\Local\Temp\ksohtml9760\wps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857600" cy="579600"/>
                    </a:xfrm>
                    <a:prstGeom prst="rect">
                      <a:avLst/>
                    </a:prstGeom>
                    <a:noFill/>
                    <a:ln>
                      <a:noFill/>
                    </a:ln>
                  </pic:spPr>
                </pic:pic>
              </a:graphicData>
            </a:graphic>
          </wp:anchor>
        </w:drawing>
      </w:r>
    </w:p>
    <w:p w14:paraId="5C055A16">
      <w:pPr>
        <w:spacing w:line="52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 xml:space="preserve"> </w:t>
      </w:r>
    </w:p>
    <w:p w14:paraId="3DAF9748">
      <w:pPr>
        <w:spacing w:line="520" w:lineRule="exac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 xml:space="preserve"> </w:t>
      </w:r>
    </w:p>
    <w:p w14:paraId="32B3C79A">
      <w:pPr>
        <w:spacing w:line="520" w:lineRule="exact"/>
        <w:ind w:firstLine="640" w:firstLineChars="200"/>
        <w:rPr>
          <w:rFonts w:ascii="Times New Roman" w:hAnsi="Times New Roman" w:eastAsia="仿宋_GB2312" w:cs="Times New Roman"/>
          <w:kern w:val="0"/>
          <w:sz w:val="32"/>
          <w:szCs w:val="32"/>
        </w:rPr>
      </w:pPr>
      <w:r>
        <w:rPr>
          <w:rFonts w:ascii="仿宋_GB2312" w:hAnsi="Times New Roman" w:eastAsia="仿宋_GB2312" w:cs="Times New Roman"/>
          <w:kern w:val="0"/>
          <w:sz w:val="32"/>
          <w:szCs w:val="32"/>
        </w:rPr>
        <w:t>公式中</w:t>
      </w:r>
      <w:r>
        <w:rPr>
          <w:rFonts w:ascii="Times New Roman" w:hAnsi="Times New Roman" w:eastAsia="仿宋_GB2312" w:cs="Times New Roman"/>
          <w:sz w:val="32"/>
          <w:szCs w:val="32"/>
        </w:rPr>
        <w:t>n</w:t>
      </w:r>
      <w:r>
        <w:rPr>
          <w:rFonts w:ascii="仿宋_GB2312" w:hAnsi="Times New Roman" w:eastAsia="仿宋_GB2312" w:cs="Times New Roman"/>
          <w:kern w:val="0"/>
          <w:sz w:val="32"/>
          <w:szCs w:val="32"/>
        </w:rPr>
        <w:t>为样本量，</w:t>
      </w:r>
      <w:r>
        <w:rPr>
          <w:rFonts w:ascii="Times New Roman" w:hAnsi="Times New Roman" w:eastAsia="仿宋_GB2312" w:cs="Times New Roman"/>
          <w:sz w:val="32"/>
          <w:szCs w:val="32"/>
        </w:rPr>
        <w:t>Z</w:t>
      </w:r>
      <w:r>
        <w:rPr>
          <w:rFonts w:ascii="Times New Roman" w:hAnsi="Times New Roman" w:eastAsia="仿宋_GB2312" w:cs="Times New Roman"/>
          <w:sz w:val="32"/>
          <w:szCs w:val="32"/>
          <w:vertAlign w:val="subscript"/>
        </w:rPr>
        <w:t>1-α/2</w:t>
      </w:r>
      <w:r>
        <w:rPr>
          <w:rFonts w:ascii="仿宋_GB2312" w:hAnsi="Times New Roman" w:eastAsia="仿宋_GB2312" w:cs="Times New Roman"/>
          <w:kern w:val="0"/>
          <w:sz w:val="32"/>
          <w:szCs w:val="32"/>
        </w:rPr>
        <w:t>为置信度</w:t>
      </w:r>
      <w:r>
        <w:rPr>
          <w:rFonts w:ascii="仿宋_GB2312" w:hAnsi="Times New Roman" w:eastAsia="仿宋_GB2312" w:cs="Times New Roman"/>
          <w:sz w:val="32"/>
          <w:szCs w:val="32"/>
        </w:rPr>
        <w:t>标准</w:t>
      </w:r>
      <w:r>
        <w:rPr>
          <w:rFonts w:ascii="仿宋_GB2312" w:hAnsi="Times New Roman" w:eastAsia="仿宋_GB2312" w:cs="Times New Roman"/>
          <w:kern w:val="0"/>
          <w:sz w:val="32"/>
          <w:szCs w:val="32"/>
        </w:rPr>
        <w:t>正态分布的分位数，</w:t>
      </w:r>
      <w:r>
        <w:rPr>
          <w:rFonts w:ascii="Times New Roman" w:hAnsi="Times New Roman" w:eastAsia="仿宋_GB2312" w:cs="Times New Roman"/>
          <w:kern w:val="0"/>
          <w:sz w:val="32"/>
          <w:szCs w:val="32"/>
        </w:rPr>
        <w:t>P</w:t>
      </w:r>
      <w:r>
        <w:rPr>
          <w:rFonts w:ascii="仿宋_GB2312" w:hAnsi="Times New Roman" w:eastAsia="仿宋_GB2312" w:cs="Times New Roman"/>
          <w:kern w:val="0"/>
          <w:sz w:val="32"/>
          <w:szCs w:val="32"/>
        </w:rPr>
        <w:t>为评价指标预期值，</w:t>
      </w:r>
      <w:r>
        <w:rPr>
          <w:rFonts w:ascii="Times New Roman" w:hAnsi="Times New Roman" w:eastAsia="仿宋_GB2312" w:cs="Times New Roman"/>
          <w:kern w:val="0"/>
          <w:sz w:val="32"/>
          <w:szCs w:val="32"/>
        </w:rPr>
        <w:t>Δ</w:t>
      </w:r>
      <w:r>
        <w:rPr>
          <w:rFonts w:ascii="仿宋_GB2312" w:hAnsi="Times New Roman" w:eastAsia="仿宋_GB2312" w:cs="Times New Roman"/>
          <w:kern w:val="0"/>
          <w:sz w:val="32"/>
          <w:szCs w:val="32"/>
        </w:rPr>
        <w:t>为</w:t>
      </w:r>
      <w:r>
        <w:rPr>
          <w:rFonts w:ascii="Times New Roman" w:hAnsi="Times New Roman" w:eastAsia="仿宋_GB2312" w:cs="Times New Roman"/>
          <w:kern w:val="0"/>
          <w:sz w:val="32"/>
          <w:szCs w:val="32"/>
        </w:rPr>
        <w:t>P</w:t>
      </w:r>
      <w:r>
        <w:rPr>
          <w:rFonts w:ascii="仿宋_GB2312" w:hAnsi="Times New Roman" w:eastAsia="仿宋_GB2312" w:cs="Times New Roman"/>
          <w:kern w:val="0"/>
          <w:sz w:val="32"/>
          <w:szCs w:val="32"/>
        </w:rPr>
        <w:t>的允许误差大小。</w:t>
      </w:r>
    </w:p>
    <w:p w14:paraId="3BC8D435">
      <w:pPr>
        <w:spacing w:line="520" w:lineRule="exact"/>
        <w:ind w:firstLine="640" w:firstLineChars="200"/>
        <w:rPr>
          <w:rFonts w:ascii="Times New Roman" w:hAnsi="Times New Roman" w:eastAsia="仿宋_GB2312" w:cs="Times New Roman"/>
          <w:kern w:val="0"/>
          <w:sz w:val="32"/>
          <w:szCs w:val="32"/>
        </w:rPr>
      </w:pPr>
      <w:r>
        <w:rPr>
          <w:rFonts w:hint="eastAsia" w:ascii="仿宋_GB2312" w:hAnsi="Times New Roman" w:eastAsia="仿宋_GB2312"/>
          <w:kern w:val="0"/>
          <w:sz w:val="32"/>
          <w:szCs w:val="32"/>
        </w:rPr>
        <w:t>如研究者采用其他的合理的样本量估算模型，在进行合理解释的前提下亦可采用。</w:t>
      </w:r>
    </w:p>
    <w:p w14:paraId="5481F95B">
      <w:pPr>
        <w:spacing w:line="52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1.</w:t>
      </w:r>
      <w:r>
        <w:rPr>
          <w:rFonts w:ascii="仿宋_GB2312" w:hAnsi="Times New Roman" w:eastAsia="仿宋_GB2312" w:cs="Times New Roman"/>
          <w:kern w:val="0"/>
          <w:sz w:val="32"/>
          <w:szCs w:val="32"/>
        </w:rPr>
        <w:t>环比试验</w:t>
      </w:r>
    </w:p>
    <w:p w14:paraId="38BABFB2">
      <w:pPr>
        <w:spacing w:line="520" w:lineRule="exact"/>
        <w:ind w:firstLine="640" w:firstLineChars="200"/>
        <w:rPr>
          <w:rFonts w:ascii="Times New Roman" w:hAnsi="Times New Roman" w:eastAsia="仿宋_GB2312" w:cs="Times New Roman"/>
          <w:kern w:val="0"/>
          <w:sz w:val="32"/>
          <w:szCs w:val="32"/>
        </w:rPr>
      </w:pPr>
      <w:r>
        <w:rPr>
          <w:rFonts w:ascii="仿宋_GB2312" w:hAnsi="Times New Roman" w:eastAsia="仿宋_GB2312" w:cs="Times New Roman"/>
          <w:kern w:val="0"/>
          <w:sz w:val="32"/>
          <w:szCs w:val="32"/>
        </w:rPr>
        <w:t>各机构检测结果的阳性符合率</w:t>
      </w:r>
      <w:r>
        <w:rPr>
          <w:rFonts w:hint="eastAsia" w:ascii="仿宋_GB2312" w:hAnsi="Times New Roman" w:eastAsia="仿宋_GB2312"/>
          <w:kern w:val="0"/>
          <w:sz w:val="32"/>
          <w:szCs w:val="32"/>
        </w:rPr>
        <w:t>应不低于</w:t>
      </w:r>
      <w:r>
        <w:rPr>
          <w:rFonts w:hint="eastAsia" w:ascii="Times New Roman" w:hAnsi="Times New Roman" w:eastAsia="仿宋_GB2312" w:cs="Times New Roman"/>
          <w:kern w:val="0"/>
          <w:sz w:val="32"/>
          <w:szCs w:val="32"/>
        </w:rPr>
        <w:t>85%</w:t>
      </w:r>
      <w:r>
        <w:rPr>
          <w:rFonts w:ascii="仿宋_GB2312" w:hAnsi="Times New Roman" w:eastAsia="仿宋_GB2312" w:cs="Times New Roman"/>
          <w:kern w:val="0"/>
          <w:sz w:val="32"/>
          <w:szCs w:val="32"/>
        </w:rPr>
        <w:t>，阴性符合率应不低于</w:t>
      </w:r>
      <w:r>
        <w:rPr>
          <w:rFonts w:ascii="Times New Roman" w:hAnsi="Times New Roman" w:eastAsia="仿宋_GB2312" w:cs="Times New Roman"/>
          <w:kern w:val="0"/>
          <w:sz w:val="32"/>
          <w:szCs w:val="32"/>
        </w:rPr>
        <w:t>85%</w:t>
      </w:r>
      <w:r>
        <w:rPr>
          <w:rFonts w:ascii="仿宋_GB2312" w:hAnsi="Times New Roman" w:eastAsia="仿宋_GB2312" w:cs="Times New Roman"/>
          <w:kern w:val="0"/>
          <w:sz w:val="32"/>
          <w:szCs w:val="32"/>
        </w:rPr>
        <w:t>，置信水平取</w:t>
      </w:r>
      <w:r>
        <w:rPr>
          <w:rFonts w:ascii="Times New Roman" w:hAnsi="Times New Roman" w:eastAsia="仿宋_GB2312" w:cs="Times New Roman"/>
          <w:kern w:val="0"/>
          <w:sz w:val="32"/>
          <w:szCs w:val="32"/>
        </w:rPr>
        <w:t>0.05</w:t>
      </w:r>
      <w:r>
        <w:rPr>
          <w:rFonts w:hint="eastAsia" w:ascii="仿宋_GB2312" w:hAnsi="Times New Roman" w:eastAsia="仿宋_GB2312"/>
          <w:kern w:val="0"/>
          <w:sz w:val="32"/>
          <w:szCs w:val="32"/>
        </w:rPr>
        <w:t>。</w:t>
      </w:r>
      <w:r>
        <w:rPr>
          <w:rFonts w:ascii="仿宋_GB2312" w:hAnsi="Times New Roman" w:eastAsia="仿宋_GB2312" w:cs="Times New Roman"/>
          <w:kern w:val="0"/>
          <w:sz w:val="32"/>
          <w:szCs w:val="32"/>
        </w:rPr>
        <w:t>研究者应设定合理的</w:t>
      </w:r>
      <w:r>
        <w:rPr>
          <w:rFonts w:ascii="Times New Roman" w:hAnsi="Times New Roman" w:eastAsia="仿宋_GB2312" w:cs="Times New Roman"/>
          <w:kern w:val="0"/>
          <w:sz w:val="32"/>
          <w:szCs w:val="32"/>
        </w:rPr>
        <w:t>Δ</w:t>
      </w:r>
      <w:r>
        <w:rPr>
          <w:rFonts w:ascii="仿宋_GB2312" w:hAnsi="Times New Roman" w:eastAsia="仿宋_GB2312" w:cs="Times New Roman"/>
          <w:kern w:val="0"/>
          <w:sz w:val="32"/>
          <w:szCs w:val="32"/>
        </w:rPr>
        <w:t>值，据此估算环比试验所有成对比较结果中阳性</w:t>
      </w:r>
      <w:r>
        <w:rPr>
          <w:rFonts w:hint="eastAsia" w:ascii="仿宋_GB2312" w:hAnsi="Times New Roman" w:eastAsia="仿宋_GB2312"/>
          <w:kern w:val="0"/>
          <w:sz w:val="32"/>
          <w:szCs w:val="32"/>
        </w:rPr>
        <w:t>病例数及阴性病例数。在保证合理的允许误差的前提下，临床试验中，环比试验样本集中样本例数不应低于</w:t>
      </w:r>
      <w:r>
        <w:rPr>
          <w:rFonts w:hint="eastAsia" w:ascii="Times New Roman" w:hAnsi="Times New Roman" w:eastAsia="仿宋_GB2312" w:cs="Times New Roman"/>
          <w:kern w:val="0"/>
          <w:sz w:val="32"/>
          <w:szCs w:val="32"/>
        </w:rPr>
        <w:t>60</w:t>
      </w:r>
      <w:r>
        <w:rPr>
          <w:rFonts w:hint="eastAsia" w:ascii="仿宋_GB2312" w:hAnsi="Times New Roman" w:eastAsia="仿宋_GB2312"/>
          <w:kern w:val="0"/>
          <w:sz w:val="32"/>
          <w:szCs w:val="32"/>
        </w:rPr>
        <w:t>例，其中阳性不应低于</w:t>
      </w:r>
      <w:r>
        <w:rPr>
          <w:rFonts w:hint="eastAsia" w:ascii="Times New Roman" w:hAnsi="Times New Roman" w:eastAsia="仿宋_GB2312" w:cs="Times New Roman"/>
          <w:kern w:val="0"/>
          <w:sz w:val="32"/>
          <w:szCs w:val="32"/>
        </w:rPr>
        <w:t>30</w:t>
      </w:r>
      <w:r>
        <w:rPr>
          <w:rFonts w:hint="eastAsia" w:ascii="仿宋_GB2312" w:hAnsi="Times New Roman" w:eastAsia="仿宋_GB2312"/>
          <w:kern w:val="0"/>
          <w:sz w:val="32"/>
          <w:szCs w:val="32"/>
        </w:rPr>
        <w:t>例，阴性病例不低于</w:t>
      </w:r>
      <w:r>
        <w:rPr>
          <w:rFonts w:hint="eastAsia" w:ascii="Times New Roman" w:hAnsi="Times New Roman" w:eastAsia="仿宋_GB2312" w:cs="Times New Roman"/>
          <w:kern w:val="0"/>
          <w:sz w:val="32"/>
          <w:szCs w:val="32"/>
        </w:rPr>
        <w:t>30</w:t>
      </w:r>
      <w:r>
        <w:rPr>
          <w:rFonts w:hint="eastAsia" w:ascii="仿宋_GB2312" w:hAnsi="Times New Roman" w:eastAsia="仿宋_GB2312"/>
          <w:kern w:val="0"/>
          <w:sz w:val="32"/>
          <w:szCs w:val="32"/>
        </w:rPr>
        <w:t>。环比试验样本集构建过程中，提供的阳性样本及阴性样本应尽量均衡。</w:t>
      </w:r>
    </w:p>
    <w:p w14:paraId="43ED3B05">
      <w:pPr>
        <w:spacing w:line="52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2.</w:t>
      </w:r>
      <w:r>
        <w:rPr>
          <w:rFonts w:hint="eastAsia" w:ascii="仿宋_GB2312" w:hAnsi="Times New Roman" w:eastAsia="仿宋_GB2312"/>
          <w:kern w:val="0"/>
          <w:sz w:val="32"/>
          <w:szCs w:val="32"/>
        </w:rPr>
        <w:t>阅片一致性研究</w:t>
      </w:r>
    </w:p>
    <w:p w14:paraId="529E3FA4">
      <w:pPr>
        <w:spacing w:line="520" w:lineRule="exact"/>
        <w:ind w:firstLine="640"/>
        <w:contextualSpacing/>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2.1</w:t>
      </w:r>
      <w:r>
        <w:rPr>
          <w:rFonts w:ascii="仿宋_GB2312" w:hAnsi="Times New Roman" w:eastAsia="仿宋_GB2312" w:cs="Times New Roman"/>
          <w:kern w:val="0"/>
          <w:sz w:val="32"/>
          <w:szCs w:val="32"/>
        </w:rPr>
        <w:t>机构内同一病理医师阅片一致性研</w:t>
      </w:r>
      <w:r>
        <w:rPr>
          <w:rFonts w:hint="eastAsia" w:ascii="仿宋_GB2312" w:hAnsi="Times New Roman" w:eastAsia="仿宋_GB2312"/>
          <w:kern w:val="0"/>
          <w:sz w:val="32"/>
          <w:szCs w:val="32"/>
        </w:rPr>
        <w:t>究、</w:t>
      </w:r>
      <w:r>
        <w:rPr>
          <w:rFonts w:ascii="仿宋_GB2312" w:hAnsi="Times New Roman" w:eastAsia="仿宋_GB2312" w:cs="Times New Roman"/>
          <w:kern w:val="0"/>
          <w:sz w:val="32"/>
          <w:szCs w:val="32"/>
        </w:rPr>
        <w:t>不同病理医师阅片一致性研究</w:t>
      </w:r>
    </w:p>
    <w:p w14:paraId="1A88F170">
      <w:pPr>
        <w:spacing w:line="520" w:lineRule="exact"/>
        <w:ind w:firstLine="640"/>
        <w:contextualSpacing/>
        <w:rPr>
          <w:rFonts w:ascii="Times New Roman" w:hAnsi="Times New Roman" w:eastAsia="仿宋_GB2312" w:cs="Times New Roman"/>
          <w:kern w:val="0"/>
          <w:sz w:val="32"/>
          <w:szCs w:val="32"/>
        </w:rPr>
      </w:pPr>
      <w:r>
        <w:rPr>
          <w:rFonts w:hint="eastAsia" w:ascii="仿宋_GB2312" w:hAnsi="Times New Roman" w:eastAsia="仿宋_GB2312"/>
          <w:kern w:val="0"/>
          <w:sz w:val="32"/>
          <w:szCs w:val="32"/>
        </w:rPr>
        <w:t>该部分研究</w:t>
      </w:r>
      <w:r>
        <w:rPr>
          <w:rFonts w:ascii="仿宋_GB2312" w:hAnsi="Times New Roman" w:eastAsia="仿宋_GB2312" w:cs="Times New Roman"/>
          <w:kern w:val="0"/>
          <w:sz w:val="32"/>
          <w:szCs w:val="32"/>
        </w:rPr>
        <w:t>应以每个临床试验机构为单位，进行样本量估算</w:t>
      </w:r>
      <w:r>
        <w:rPr>
          <w:rFonts w:hint="eastAsia" w:ascii="仿宋_GB2312" w:hAnsi="Times New Roman" w:eastAsia="仿宋_GB2312"/>
          <w:kern w:val="0"/>
          <w:sz w:val="32"/>
          <w:szCs w:val="32"/>
        </w:rPr>
        <w:t>。样本量估算过程中应选定合理的主要评价指标，如基于与参考结果的一致性评价或成对结果的一致性评价。各机构可以采用同一病理医师多次阅片汇总统计或不同病理医师汇总统计的阳性一致率（或平均阳性一致率）、阴性一致率（或平均阴性一致率）进行阳性及阴性病例的估算，最终入组的病例应为估算病例的</w:t>
      </w:r>
      <w:r>
        <w:rPr>
          <w:rFonts w:hint="eastAsia" w:ascii="Times New Roman" w:hAnsi="Times New Roman" w:eastAsia="仿宋_GB2312" w:cs="Times New Roman"/>
          <w:kern w:val="0"/>
          <w:sz w:val="32"/>
          <w:szCs w:val="32"/>
        </w:rPr>
        <w:t>1</w:t>
      </w:r>
      <w:r>
        <w:rPr>
          <w:rFonts w:ascii="Times New Roman" w:hAnsi="Times New Roman" w:eastAsia="仿宋_GB2312" w:cs="Times New Roman"/>
          <w:kern w:val="0"/>
          <w:sz w:val="32"/>
          <w:szCs w:val="32"/>
        </w:rPr>
        <w:t>/3</w:t>
      </w:r>
      <w:r>
        <w:rPr>
          <w:rFonts w:hint="eastAsia" w:ascii="仿宋_GB2312" w:hAnsi="Times New Roman" w:eastAsia="仿宋_GB2312"/>
          <w:kern w:val="0"/>
          <w:sz w:val="32"/>
          <w:szCs w:val="32"/>
        </w:rPr>
        <w:t>。样本量估算过程应相关参数的设定应科学、合理，该部分研究临床性能不应低于环比试验，</w:t>
      </w:r>
      <w:r>
        <w:rPr>
          <w:rFonts w:ascii="仿宋_GB2312" w:hAnsi="Times New Roman" w:eastAsia="仿宋_GB2312" w:cs="Times New Roman"/>
          <w:kern w:val="0"/>
          <w:sz w:val="32"/>
          <w:szCs w:val="32"/>
        </w:rPr>
        <w:t>置信水平取</w:t>
      </w:r>
      <w:r>
        <w:rPr>
          <w:rFonts w:ascii="Times New Roman" w:hAnsi="Times New Roman" w:eastAsia="仿宋_GB2312" w:cs="Times New Roman"/>
          <w:kern w:val="0"/>
          <w:sz w:val="32"/>
          <w:szCs w:val="32"/>
        </w:rPr>
        <w:t>0.05</w:t>
      </w:r>
      <w:r>
        <w:rPr>
          <w:rFonts w:hint="eastAsia" w:ascii="仿宋_GB2312" w:hAnsi="Times New Roman" w:eastAsia="仿宋_GB2312"/>
          <w:kern w:val="0"/>
          <w:sz w:val="32"/>
          <w:szCs w:val="32"/>
        </w:rPr>
        <w:t>。</w:t>
      </w:r>
      <w:r>
        <w:rPr>
          <w:rFonts w:ascii="仿宋_GB2312" w:hAnsi="Times New Roman" w:eastAsia="仿宋_GB2312" w:cs="Times New Roman"/>
          <w:kern w:val="0"/>
          <w:sz w:val="32"/>
          <w:szCs w:val="32"/>
        </w:rPr>
        <w:t>研究者应设定合理的</w:t>
      </w:r>
      <w:r>
        <w:rPr>
          <w:rFonts w:ascii="Times New Roman" w:hAnsi="Times New Roman" w:eastAsia="仿宋_GB2312" w:cs="Times New Roman"/>
          <w:kern w:val="0"/>
          <w:sz w:val="32"/>
          <w:szCs w:val="32"/>
        </w:rPr>
        <w:t>Δ</w:t>
      </w:r>
      <w:r>
        <w:rPr>
          <w:rFonts w:ascii="仿宋_GB2312" w:hAnsi="Times New Roman" w:eastAsia="仿宋_GB2312" w:cs="Times New Roman"/>
          <w:kern w:val="0"/>
          <w:sz w:val="32"/>
          <w:szCs w:val="32"/>
        </w:rPr>
        <w:t>值</w:t>
      </w:r>
      <w:r>
        <w:rPr>
          <w:rFonts w:hint="eastAsia" w:ascii="仿宋_GB2312" w:hAnsi="Times New Roman" w:eastAsia="仿宋_GB2312"/>
          <w:kern w:val="0"/>
          <w:sz w:val="32"/>
          <w:szCs w:val="32"/>
        </w:rPr>
        <w:t>，</w:t>
      </w:r>
      <w:r>
        <w:rPr>
          <w:rFonts w:ascii="仿宋_GB2312" w:hAnsi="Times New Roman" w:eastAsia="仿宋_GB2312" w:cs="Times New Roman"/>
          <w:kern w:val="0"/>
          <w:sz w:val="32"/>
          <w:szCs w:val="32"/>
        </w:rPr>
        <w:t>当预期值更高时还应考虑更优的精度。</w:t>
      </w:r>
    </w:p>
    <w:p w14:paraId="722A31F8">
      <w:pPr>
        <w:spacing w:line="520" w:lineRule="exact"/>
        <w:ind w:firstLine="640"/>
        <w:contextualSpacing/>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2.2</w:t>
      </w:r>
      <w:r>
        <w:rPr>
          <w:rFonts w:ascii="仿宋_GB2312" w:hAnsi="Times New Roman" w:eastAsia="仿宋_GB2312" w:cs="Times New Roman"/>
          <w:kern w:val="0"/>
          <w:sz w:val="32"/>
          <w:szCs w:val="32"/>
        </w:rPr>
        <w:t>不同机构间阅片一致性研究</w:t>
      </w:r>
    </w:p>
    <w:p w14:paraId="2587F78A">
      <w:pPr>
        <w:spacing w:line="520" w:lineRule="exact"/>
        <w:ind w:firstLine="640"/>
        <w:contextualSpacing/>
        <w:rPr>
          <w:rFonts w:ascii="Times New Roman" w:hAnsi="Times New Roman" w:eastAsia="仿宋_GB2312" w:cs="Times New Roman"/>
          <w:kern w:val="0"/>
          <w:sz w:val="32"/>
          <w:szCs w:val="32"/>
        </w:rPr>
      </w:pPr>
      <w:r>
        <w:rPr>
          <w:rFonts w:hint="eastAsia" w:ascii="仿宋_GB2312" w:hAnsi="Times New Roman" w:eastAsia="仿宋_GB2312"/>
          <w:kern w:val="0"/>
          <w:sz w:val="32"/>
          <w:szCs w:val="32"/>
        </w:rPr>
        <w:t>该部分研究应以三家机构提供的切片集进行样本量估算，样本量估算过程中主要评价指标的选择应为每家临床试验机构与参考方法或与其他机构对比的阳性一致率、阴性一致率。样本量估算过程中相关参数的设定应科学、合理，该部分研究临床性能不应低于环比试验，不应高于</w:t>
      </w:r>
      <w:r>
        <w:rPr>
          <w:rFonts w:ascii="仿宋_GB2312" w:hAnsi="Times New Roman" w:eastAsia="仿宋_GB2312" w:cs="Times New Roman"/>
          <w:kern w:val="0"/>
          <w:sz w:val="32"/>
          <w:szCs w:val="32"/>
        </w:rPr>
        <w:t>机构内同一病理医师阅片一致性研</w:t>
      </w:r>
      <w:r>
        <w:rPr>
          <w:rFonts w:hint="eastAsia" w:ascii="仿宋_GB2312" w:hAnsi="Times New Roman" w:eastAsia="仿宋_GB2312"/>
          <w:kern w:val="0"/>
          <w:sz w:val="32"/>
          <w:szCs w:val="32"/>
        </w:rPr>
        <w:t>究、</w:t>
      </w:r>
      <w:r>
        <w:rPr>
          <w:rFonts w:ascii="仿宋_GB2312" w:hAnsi="Times New Roman" w:eastAsia="仿宋_GB2312" w:cs="Times New Roman"/>
          <w:kern w:val="0"/>
          <w:sz w:val="32"/>
          <w:szCs w:val="32"/>
        </w:rPr>
        <w:t>不同病理医师阅片一致性研究</w:t>
      </w:r>
      <w:r>
        <w:rPr>
          <w:rFonts w:hint="eastAsia" w:ascii="仿宋_GB2312" w:hAnsi="Times New Roman" w:eastAsia="仿宋_GB2312"/>
          <w:kern w:val="0"/>
          <w:sz w:val="32"/>
          <w:szCs w:val="32"/>
        </w:rPr>
        <w:t>，</w:t>
      </w:r>
      <w:r>
        <w:rPr>
          <w:rFonts w:ascii="仿宋_GB2312" w:hAnsi="Times New Roman" w:eastAsia="仿宋_GB2312" w:cs="Times New Roman"/>
          <w:kern w:val="0"/>
          <w:sz w:val="32"/>
          <w:szCs w:val="32"/>
        </w:rPr>
        <w:t>置信水平取</w:t>
      </w:r>
      <w:r>
        <w:rPr>
          <w:rFonts w:ascii="Times New Roman" w:hAnsi="Times New Roman" w:eastAsia="仿宋_GB2312" w:cs="Times New Roman"/>
          <w:kern w:val="0"/>
          <w:sz w:val="32"/>
          <w:szCs w:val="32"/>
        </w:rPr>
        <w:t>0.05</w:t>
      </w:r>
      <w:r>
        <w:rPr>
          <w:rFonts w:hint="eastAsia" w:ascii="仿宋_GB2312" w:hAnsi="Times New Roman" w:eastAsia="仿宋_GB2312"/>
          <w:kern w:val="0"/>
          <w:sz w:val="32"/>
          <w:szCs w:val="32"/>
        </w:rPr>
        <w:t>。</w:t>
      </w:r>
      <w:r>
        <w:rPr>
          <w:rFonts w:ascii="仿宋_GB2312" w:hAnsi="Times New Roman" w:eastAsia="仿宋_GB2312" w:cs="Times New Roman"/>
          <w:kern w:val="0"/>
          <w:sz w:val="32"/>
          <w:szCs w:val="32"/>
        </w:rPr>
        <w:t>研究者应设定合理的</w:t>
      </w:r>
      <w:r>
        <w:rPr>
          <w:rFonts w:ascii="Times New Roman" w:hAnsi="Times New Roman" w:eastAsia="仿宋_GB2312" w:cs="Times New Roman"/>
          <w:kern w:val="0"/>
          <w:sz w:val="32"/>
          <w:szCs w:val="32"/>
        </w:rPr>
        <w:t>Δ</w:t>
      </w:r>
      <w:r>
        <w:rPr>
          <w:rFonts w:ascii="仿宋_GB2312" w:hAnsi="Times New Roman" w:eastAsia="仿宋_GB2312" w:cs="Times New Roman"/>
          <w:kern w:val="0"/>
          <w:sz w:val="32"/>
          <w:szCs w:val="32"/>
        </w:rPr>
        <w:t>值</w:t>
      </w:r>
      <w:r>
        <w:rPr>
          <w:rFonts w:hint="eastAsia" w:ascii="仿宋_GB2312" w:hAnsi="Times New Roman" w:eastAsia="仿宋_GB2312"/>
          <w:kern w:val="0"/>
          <w:sz w:val="32"/>
          <w:szCs w:val="32"/>
        </w:rPr>
        <w:t>，</w:t>
      </w:r>
      <w:r>
        <w:rPr>
          <w:rFonts w:ascii="仿宋_GB2312" w:hAnsi="Times New Roman" w:eastAsia="仿宋_GB2312" w:cs="Times New Roman"/>
          <w:kern w:val="0"/>
          <w:sz w:val="32"/>
          <w:szCs w:val="32"/>
        </w:rPr>
        <w:t>当预期值更高时还应考虑更优的精度。</w:t>
      </w:r>
      <w:r>
        <w:rPr>
          <w:rFonts w:hint="eastAsia" w:ascii="仿宋_GB2312" w:hAnsi="Times New Roman" w:eastAsia="仿宋_GB2312"/>
          <w:kern w:val="0"/>
          <w:sz w:val="32"/>
          <w:szCs w:val="32"/>
        </w:rPr>
        <w:t>据此估算的样量应为本研究切片集样本量，切片集由三家临床试验机构提供，各机构提供的阴性及阳性切片的数量应相对均衡。</w:t>
      </w:r>
    </w:p>
    <w:p w14:paraId="26409C84">
      <w:pPr>
        <w:spacing w:line="520" w:lineRule="exact"/>
        <w:ind w:firstLine="640"/>
        <w:contextualSpacing/>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2.3</w:t>
      </w:r>
      <w:r>
        <w:rPr>
          <w:rFonts w:hint="eastAsia" w:ascii="仿宋_GB2312" w:hAnsi="Times New Roman" w:eastAsia="仿宋_GB2312"/>
          <w:kern w:val="0"/>
          <w:sz w:val="32"/>
          <w:szCs w:val="32"/>
        </w:rPr>
        <w:t>在科学合理设计的前提下，</w:t>
      </w:r>
      <w:r>
        <w:rPr>
          <w:rFonts w:ascii="仿宋_GB2312" w:hAnsi="Times New Roman" w:eastAsia="仿宋_GB2312" w:cs="Times New Roman"/>
          <w:kern w:val="0"/>
          <w:sz w:val="32"/>
          <w:szCs w:val="32"/>
        </w:rPr>
        <w:t>机构内同一病理医师阅片一致性研</w:t>
      </w:r>
      <w:r>
        <w:rPr>
          <w:rFonts w:hint="eastAsia" w:ascii="仿宋_GB2312" w:hAnsi="Times New Roman" w:eastAsia="仿宋_GB2312"/>
          <w:kern w:val="0"/>
          <w:sz w:val="32"/>
          <w:szCs w:val="32"/>
        </w:rPr>
        <w:t>究、</w:t>
      </w:r>
      <w:r>
        <w:rPr>
          <w:rFonts w:ascii="仿宋_GB2312" w:hAnsi="Times New Roman" w:eastAsia="仿宋_GB2312" w:cs="Times New Roman"/>
          <w:kern w:val="0"/>
          <w:sz w:val="32"/>
          <w:szCs w:val="32"/>
        </w:rPr>
        <w:t>不同病理医师阅片一致性研究</w:t>
      </w:r>
      <w:r>
        <w:rPr>
          <w:rFonts w:hint="eastAsia" w:ascii="仿宋_GB2312" w:hAnsi="Times New Roman" w:eastAsia="仿宋_GB2312"/>
          <w:kern w:val="0"/>
          <w:sz w:val="32"/>
          <w:szCs w:val="32"/>
        </w:rPr>
        <w:t>及</w:t>
      </w:r>
      <w:r>
        <w:rPr>
          <w:rFonts w:ascii="仿宋_GB2312" w:hAnsi="Times New Roman" w:eastAsia="仿宋_GB2312" w:cs="Times New Roman"/>
          <w:kern w:val="0"/>
          <w:sz w:val="32"/>
          <w:szCs w:val="32"/>
        </w:rPr>
        <w:t>不同机构间阅片一致性研究</w:t>
      </w:r>
      <w:r>
        <w:rPr>
          <w:rFonts w:hint="eastAsia" w:ascii="仿宋_GB2312" w:hAnsi="Times New Roman" w:eastAsia="仿宋_GB2312"/>
          <w:kern w:val="0"/>
          <w:sz w:val="32"/>
          <w:szCs w:val="32"/>
        </w:rPr>
        <w:t>三个研究中切片可重复使用。重复使用切片过程中应避免同一病理医师在短时间内对同一张切片多次判读。</w:t>
      </w:r>
    </w:p>
    <w:p w14:paraId="7484630C">
      <w:pPr>
        <w:spacing w:line="520" w:lineRule="exact"/>
        <w:ind w:firstLine="640"/>
        <w:contextualSpacing/>
        <w:rPr>
          <w:rFonts w:ascii="Times New Roman" w:hAnsi="Times New Roman" w:eastAsia="楷体_GB2312" w:cs="Times New Roman"/>
          <w:sz w:val="32"/>
          <w:szCs w:val="32"/>
        </w:rPr>
      </w:pPr>
      <w:r>
        <w:rPr>
          <w:rFonts w:ascii="楷体_GB2312" w:hAnsi="Times New Roman" w:eastAsia="楷体_GB2312" w:cs="Times New Roman"/>
          <w:sz w:val="32"/>
          <w:szCs w:val="32"/>
        </w:rPr>
        <w:t>（五）评价指标及统计分析</w:t>
      </w:r>
    </w:p>
    <w:p w14:paraId="46C818C0">
      <w:pPr>
        <w:spacing w:line="520" w:lineRule="exact"/>
        <w:ind w:firstLine="640"/>
        <w:contextualSpacing/>
        <w:rPr>
          <w:rFonts w:ascii="Times New Roman" w:hAnsi="Times New Roman" w:eastAsia="仿宋_GB2312" w:cs="Times New Roman"/>
          <w:sz w:val="32"/>
          <w:szCs w:val="32"/>
        </w:rPr>
      </w:pPr>
      <w:r>
        <w:rPr>
          <w:rFonts w:ascii="仿宋_GB2312" w:hAnsi="Times New Roman" w:eastAsia="仿宋_GB2312" w:cs="Times New Roman"/>
          <w:sz w:val="32"/>
          <w:szCs w:val="32"/>
        </w:rPr>
        <w:t>环比试验及阅片一致性研究统计方法为一致性评价，可采用四格表分析的方法。包括与参考结果的一致性评价及成对结果的一致性评价。参考结果一般为同一样本或同一个染色切片在不同阅片者判读过程中，出现频率最多的结果。与参考结果对比过程中主要评价考核试剂与参考结果的阳性一致率（</w:t>
      </w:r>
      <w:r>
        <w:rPr>
          <w:rFonts w:ascii="Times New Roman" w:hAnsi="Times New Roman" w:eastAsia="仿宋_GB2312" w:cs="Times New Roman"/>
          <w:sz w:val="32"/>
          <w:szCs w:val="32"/>
        </w:rPr>
        <w:t>PPA</w:t>
      </w:r>
      <w:r>
        <w:rPr>
          <w:rFonts w:ascii="仿宋_GB2312" w:hAnsi="Times New Roman" w:eastAsia="仿宋_GB2312" w:cs="Times New Roman"/>
          <w:sz w:val="32"/>
          <w:szCs w:val="32"/>
        </w:rPr>
        <w:t>）、阴性一致率（</w:t>
      </w:r>
      <w:r>
        <w:rPr>
          <w:rFonts w:ascii="Times New Roman" w:hAnsi="Times New Roman" w:eastAsia="仿宋_GB2312" w:cs="Times New Roman"/>
          <w:sz w:val="32"/>
          <w:szCs w:val="32"/>
        </w:rPr>
        <w:t>NPA</w:t>
      </w:r>
      <w:r>
        <w:rPr>
          <w:rFonts w:ascii="仿宋_GB2312" w:hAnsi="Times New Roman" w:eastAsia="仿宋_GB2312" w:cs="Times New Roman"/>
          <w:sz w:val="32"/>
          <w:szCs w:val="32"/>
        </w:rPr>
        <w:t>）、总一致率（</w:t>
      </w:r>
      <w:r>
        <w:rPr>
          <w:rFonts w:ascii="Times New Roman" w:hAnsi="Times New Roman" w:eastAsia="仿宋_GB2312" w:cs="Times New Roman"/>
          <w:sz w:val="32"/>
          <w:szCs w:val="32"/>
        </w:rPr>
        <w:t>OA</w:t>
      </w:r>
      <w:r>
        <w:rPr>
          <w:rFonts w:ascii="仿宋_GB2312" w:hAnsi="Times New Roman" w:eastAsia="仿宋_GB2312" w:cs="Times New Roman"/>
          <w:sz w:val="32"/>
          <w:szCs w:val="32"/>
        </w:rPr>
        <w:t>）。成对结果的一致性评价主要评价研究者两两成对比较的结果，成对一致性评价指标为平均阳性一致率（</w:t>
      </w:r>
      <w:r>
        <w:rPr>
          <w:rFonts w:ascii="Times New Roman" w:hAnsi="Times New Roman" w:eastAsia="仿宋_GB2312" w:cs="Times New Roman"/>
          <w:sz w:val="32"/>
          <w:szCs w:val="32"/>
        </w:rPr>
        <w:t>APA</w:t>
      </w:r>
      <w:r>
        <w:rPr>
          <w:rFonts w:ascii="仿宋_GB2312" w:hAnsi="Times New Roman" w:eastAsia="仿宋_GB2312" w:cs="Times New Roman"/>
          <w:sz w:val="32"/>
          <w:szCs w:val="32"/>
        </w:rPr>
        <w:t>）、平均阴性一致率（</w:t>
      </w:r>
      <w:r>
        <w:rPr>
          <w:rFonts w:ascii="Times New Roman" w:hAnsi="Times New Roman" w:eastAsia="仿宋_GB2312" w:cs="Times New Roman"/>
          <w:sz w:val="32"/>
          <w:szCs w:val="32"/>
        </w:rPr>
        <w:t>ANA</w:t>
      </w:r>
      <w:r>
        <w:rPr>
          <w:rFonts w:ascii="仿宋_GB2312" w:hAnsi="Times New Roman" w:eastAsia="仿宋_GB2312" w:cs="Times New Roman"/>
          <w:sz w:val="32"/>
          <w:szCs w:val="32"/>
        </w:rPr>
        <w:t>）、平均总一致率（</w:t>
      </w:r>
      <w:r>
        <w:rPr>
          <w:rFonts w:ascii="Times New Roman" w:hAnsi="Times New Roman" w:eastAsia="仿宋_GB2312" w:cs="Times New Roman"/>
          <w:sz w:val="32"/>
          <w:szCs w:val="32"/>
        </w:rPr>
        <w:t>OA</w:t>
      </w:r>
      <w:r>
        <w:rPr>
          <w:rFonts w:ascii="仿宋_GB2312" w:hAnsi="Times New Roman" w:eastAsia="仿宋_GB2312" w:cs="Times New Roman"/>
          <w:sz w:val="32"/>
          <w:szCs w:val="32"/>
        </w:rPr>
        <w:t>）。上述统计分析应采用合理的方法进行置信区间的估算。</w:t>
      </w:r>
    </w:p>
    <w:p w14:paraId="64A9C3B5">
      <w:pPr>
        <w:spacing w:line="520" w:lineRule="exact"/>
        <w:ind w:firstLine="64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ascii="仿宋_GB2312" w:hAnsi="Times New Roman" w:eastAsia="仿宋_GB2312" w:cs="Times New Roman"/>
          <w:sz w:val="32"/>
          <w:szCs w:val="32"/>
        </w:rPr>
        <w:t>．环比试验</w:t>
      </w:r>
    </w:p>
    <w:p w14:paraId="4CADAE29">
      <w:pPr>
        <w:spacing w:line="520" w:lineRule="exact"/>
        <w:ind w:firstLine="640"/>
        <w:contextualSpacing/>
        <w:rPr>
          <w:rFonts w:ascii="Times New Roman" w:hAnsi="Times New Roman" w:eastAsia="仿宋_GB2312" w:cs="Times New Roman"/>
          <w:sz w:val="32"/>
          <w:szCs w:val="32"/>
        </w:rPr>
      </w:pPr>
      <w:r>
        <w:rPr>
          <w:rFonts w:ascii="仿宋_GB2312" w:hAnsi="Times New Roman" w:eastAsia="仿宋_GB2312" w:cs="Times New Roman"/>
          <w:sz w:val="32"/>
          <w:szCs w:val="32"/>
        </w:rPr>
        <w:t>环比试验的统计分析主要为各临床试验机构间结果的两两成对比较，成对分析包括以下三组：机构</w:t>
      </w:r>
      <w:r>
        <w:rPr>
          <w:rFonts w:ascii="Times New Roman" w:hAnsi="Times New Roman" w:eastAsia="仿宋_GB2312" w:cs="Times New Roman"/>
          <w:sz w:val="32"/>
          <w:szCs w:val="32"/>
        </w:rPr>
        <w:t>1</w:t>
      </w:r>
      <w:r>
        <w:rPr>
          <w:rFonts w:ascii="仿宋_GB2312" w:hAnsi="Times New Roman" w:eastAsia="仿宋_GB2312" w:cs="Times New Roman"/>
          <w:sz w:val="32"/>
          <w:szCs w:val="32"/>
        </w:rPr>
        <w:t>与机构</w:t>
      </w:r>
      <w:r>
        <w:rPr>
          <w:rFonts w:ascii="Times New Roman" w:hAnsi="Times New Roman" w:eastAsia="仿宋_GB2312" w:cs="Times New Roman"/>
          <w:sz w:val="32"/>
          <w:szCs w:val="32"/>
        </w:rPr>
        <w:t>2</w:t>
      </w:r>
      <w:r>
        <w:rPr>
          <w:rFonts w:ascii="仿宋_GB2312" w:hAnsi="Times New Roman" w:eastAsia="仿宋_GB2312" w:cs="Times New Roman"/>
          <w:sz w:val="32"/>
          <w:szCs w:val="32"/>
        </w:rPr>
        <w:t>、机构</w:t>
      </w:r>
      <w:r>
        <w:rPr>
          <w:rFonts w:ascii="Times New Roman" w:hAnsi="Times New Roman" w:eastAsia="仿宋_GB2312" w:cs="Times New Roman"/>
          <w:sz w:val="32"/>
          <w:szCs w:val="32"/>
        </w:rPr>
        <w:t>2</w:t>
      </w:r>
      <w:r>
        <w:rPr>
          <w:rFonts w:ascii="仿宋_GB2312" w:hAnsi="Times New Roman" w:eastAsia="仿宋_GB2312" w:cs="Times New Roman"/>
          <w:sz w:val="32"/>
          <w:szCs w:val="32"/>
        </w:rPr>
        <w:t>与机构</w:t>
      </w:r>
      <w:r>
        <w:rPr>
          <w:rFonts w:ascii="Times New Roman" w:hAnsi="Times New Roman" w:eastAsia="仿宋_GB2312" w:cs="Times New Roman"/>
          <w:sz w:val="32"/>
          <w:szCs w:val="32"/>
        </w:rPr>
        <w:t>3</w:t>
      </w:r>
      <w:r>
        <w:rPr>
          <w:rFonts w:ascii="仿宋_GB2312" w:hAnsi="Times New Roman" w:eastAsia="仿宋_GB2312" w:cs="Times New Roman"/>
          <w:sz w:val="32"/>
          <w:szCs w:val="32"/>
        </w:rPr>
        <w:t>、机构</w:t>
      </w:r>
      <w:r>
        <w:rPr>
          <w:rFonts w:ascii="Times New Roman" w:hAnsi="Times New Roman" w:eastAsia="仿宋_GB2312" w:cs="Times New Roman"/>
          <w:sz w:val="32"/>
          <w:szCs w:val="32"/>
        </w:rPr>
        <w:t>3</w:t>
      </w:r>
      <w:r>
        <w:rPr>
          <w:rFonts w:ascii="仿宋_GB2312" w:hAnsi="Times New Roman" w:eastAsia="仿宋_GB2312" w:cs="Times New Roman"/>
          <w:sz w:val="32"/>
          <w:szCs w:val="32"/>
        </w:rPr>
        <w:t>与机构</w:t>
      </w:r>
      <w:r>
        <w:rPr>
          <w:rFonts w:ascii="Times New Roman" w:hAnsi="Times New Roman" w:eastAsia="仿宋_GB2312" w:cs="Times New Roman"/>
          <w:sz w:val="32"/>
          <w:szCs w:val="32"/>
        </w:rPr>
        <w:t>1</w:t>
      </w:r>
      <w:r>
        <w:rPr>
          <w:rFonts w:ascii="仿宋_GB2312" w:hAnsi="Times New Roman" w:eastAsia="仿宋_GB2312" w:cs="Times New Roman"/>
          <w:sz w:val="32"/>
          <w:szCs w:val="32"/>
        </w:rPr>
        <w:t>。以第一组机构</w:t>
      </w:r>
      <w:r>
        <w:rPr>
          <w:rFonts w:ascii="Times New Roman" w:hAnsi="Times New Roman" w:eastAsia="仿宋_GB2312" w:cs="Times New Roman"/>
          <w:sz w:val="32"/>
          <w:szCs w:val="32"/>
        </w:rPr>
        <w:t>1</w:t>
      </w:r>
      <w:r>
        <w:rPr>
          <w:rFonts w:ascii="仿宋_GB2312" w:hAnsi="Times New Roman" w:eastAsia="仿宋_GB2312" w:cs="Times New Roman"/>
          <w:sz w:val="32"/>
          <w:szCs w:val="32"/>
        </w:rPr>
        <w:t>与机构</w:t>
      </w:r>
      <w:r>
        <w:rPr>
          <w:rFonts w:ascii="Times New Roman" w:hAnsi="Times New Roman" w:eastAsia="仿宋_GB2312" w:cs="Times New Roman"/>
          <w:sz w:val="32"/>
          <w:szCs w:val="32"/>
        </w:rPr>
        <w:t>2</w:t>
      </w:r>
      <w:r>
        <w:rPr>
          <w:rFonts w:ascii="仿宋_GB2312" w:hAnsi="Times New Roman" w:eastAsia="仿宋_GB2312" w:cs="Times New Roman"/>
          <w:sz w:val="32"/>
          <w:szCs w:val="32"/>
        </w:rPr>
        <w:t>成对分析为例，以机构</w:t>
      </w:r>
      <w:r>
        <w:rPr>
          <w:rFonts w:ascii="Times New Roman" w:hAnsi="Times New Roman" w:eastAsia="仿宋_GB2312" w:cs="Times New Roman"/>
          <w:sz w:val="32"/>
          <w:szCs w:val="32"/>
        </w:rPr>
        <w:t>1</w:t>
      </w:r>
      <w:r>
        <w:rPr>
          <w:rFonts w:ascii="仿宋_GB2312" w:hAnsi="Times New Roman" w:eastAsia="仿宋_GB2312" w:cs="Times New Roman"/>
          <w:sz w:val="32"/>
          <w:szCs w:val="32"/>
        </w:rPr>
        <w:t>的结果为准，以四格表形式统计机构</w:t>
      </w:r>
      <w:r>
        <w:rPr>
          <w:rFonts w:ascii="Times New Roman" w:hAnsi="Times New Roman" w:eastAsia="仿宋_GB2312" w:cs="Times New Roman"/>
          <w:sz w:val="32"/>
          <w:szCs w:val="32"/>
        </w:rPr>
        <w:t>2</w:t>
      </w:r>
      <w:r>
        <w:rPr>
          <w:rFonts w:ascii="仿宋_GB2312" w:hAnsi="Times New Roman" w:eastAsia="仿宋_GB2312" w:cs="Times New Roman"/>
          <w:sz w:val="32"/>
          <w:szCs w:val="32"/>
        </w:rPr>
        <w:t>结果与机构</w:t>
      </w:r>
      <w:r>
        <w:rPr>
          <w:rFonts w:ascii="Times New Roman" w:hAnsi="Times New Roman" w:eastAsia="仿宋_GB2312" w:cs="Times New Roman"/>
          <w:sz w:val="32"/>
          <w:szCs w:val="32"/>
        </w:rPr>
        <w:t>1</w:t>
      </w:r>
      <w:r>
        <w:rPr>
          <w:rFonts w:ascii="仿宋_GB2312" w:hAnsi="Times New Roman" w:eastAsia="仿宋_GB2312" w:cs="Times New Roman"/>
          <w:sz w:val="32"/>
          <w:szCs w:val="32"/>
        </w:rPr>
        <w:t>结果的一致率，包括阳性一致率及阴性一致率。根据上述方法分析机构</w:t>
      </w:r>
      <w:r>
        <w:rPr>
          <w:rFonts w:ascii="Times New Roman" w:hAnsi="Times New Roman" w:eastAsia="仿宋_GB2312" w:cs="Times New Roman"/>
          <w:sz w:val="32"/>
          <w:szCs w:val="32"/>
        </w:rPr>
        <w:t>2</w:t>
      </w:r>
      <w:r>
        <w:rPr>
          <w:rFonts w:ascii="仿宋_GB2312" w:hAnsi="Times New Roman" w:eastAsia="仿宋_GB2312" w:cs="Times New Roman"/>
          <w:sz w:val="32"/>
          <w:szCs w:val="32"/>
        </w:rPr>
        <w:t>与机构</w:t>
      </w:r>
      <w:r>
        <w:rPr>
          <w:rFonts w:ascii="Times New Roman" w:hAnsi="Times New Roman" w:eastAsia="仿宋_GB2312" w:cs="Times New Roman"/>
          <w:sz w:val="32"/>
          <w:szCs w:val="32"/>
        </w:rPr>
        <w:t>3</w:t>
      </w:r>
      <w:r>
        <w:rPr>
          <w:rFonts w:ascii="仿宋_GB2312" w:hAnsi="Times New Roman" w:eastAsia="仿宋_GB2312" w:cs="Times New Roman"/>
          <w:sz w:val="32"/>
          <w:szCs w:val="32"/>
        </w:rPr>
        <w:t>、机构</w:t>
      </w:r>
      <w:r>
        <w:rPr>
          <w:rFonts w:ascii="Times New Roman" w:hAnsi="Times New Roman" w:eastAsia="仿宋_GB2312" w:cs="Times New Roman"/>
          <w:sz w:val="32"/>
          <w:szCs w:val="32"/>
        </w:rPr>
        <w:t>3</w:t>
      </w:r>
      <w:r>
        <w:rPr>
          <w:rFonts w:ascii="仿宋_GB2312" w:hAnsi="Times New Roman" w:eastAsia="仿宋_GB2312" w:cs="Times New Roman"/>
          <w:sz w:val="32"/>
          <w:szCs w:val="32"/>
        </w:rPr>
        <w:t>与机构</w:t>
      </w:r>
      <w:r>
        <w:rPr>
          <w:rFonts w:ascii="Times New Roman" w:hAnsi="Times New Roman" w:eastAsia="仿宋_GB2312" w:cs="Times New Roman"/>
          <w:sz w:val="32"/>
          <w:szCs w:val="32"/>
        </w:rPr>
        <w:t>1</w:t>
      </w:r>
      <w:r>
        <w:rPr>
          <w:rFonts w:ascii="仿宋_GB2312" w:hAnsi="Times New Roman" w:eastAsia="仿宋_GB2312" w:cs="Times New Roman"/>
          <w:sz w:val="32"/>
          <w:szCs w:val="32"/>
        </w:rPr>
        <w:t>的一致率。最终将三组结果汇总，分析环比试验的平均阳性</w:t>
      </w:r>
      <w:r>
        <w:rPr>
          <w:rFonts w:hint="eastAsia" w:ascii="仿宋_GB2312" w:hAnsi="Times New Roman" w:eastAsia="仿宋_GB2312"/>
          <w:sz w:val="32"/>
          <w:szCs w:val="32"/>
        </w:rPr>
        <w:t>一致</w:t>
      </w:r>
      <w:r>
        <w:rPr>
          <w:rFonts w:ascii="仿宋_GB2312" w:hAnsi="Times New Roman" w:eastAsia="仿宋_GB2312" w:cs="Times New Roman"/>
          <w:sz w:val="32"/>
          <w:szCs w:val="32"/>
        </w:rPr>
        <w:t>率、平均阴性</w:t>
      </w:r>
      <w:r>
        <w:rPr>
          <w:rFonts w:hint="eastAsia" w:ascii="仿宋_GB2312" w:hAnsi="Times New Roman" w:eastAsia="仿宋_GB2312"/>
          <w:sz w:val="32"/>
          <w:szCs w:val="32"/>
        </w:rPr>
        <w:t>一致</w:t>
      </w:r>
      <w:r>
        <w:rPr>
          <w:rFonts w:ascii="仿宋_GB2312" w:hAnsi="Times New Roman" w:eastAsia="仿宋_GB2312" w:cs="Times New Roman"/>
          <w:sz w:val="32"/>
          <w:szCs w:val="32"/>
        </w:rPr>
        <w:t>率及平均总一致率。</w:t>
      </w:r>
    </w:p>
    <w:p w14:paraId="7756E5A0">
      <w:pPr>
        <w:spacing w:line="520" w:lineRule="exact"/>
        <w:ind w:firstLine="64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ascii="仿宋_GB2312" w:hAnsi="Times New Roman" w:eastAsia="仿宋_GB2312" w:cs="Times New Roman"/>
          <w:sz w:val="32"/>
          <w:szCs w:val="32"/>
        </w:rPr>
        <w:t>．阅片一致性研究</w:t>
      </w:r>
    </w:p>
    <w:p w14:paraId="4429C953">
      <w:pPr>
        <w:spacing w:line="520" w:lineRule="exact"/>
        <w:ind w:firstLine="640"/>
        <w:contextualSpacing/>
        <w:rPr>
          <w:rFonts w:ascii="Times New Roman" w:hAnsi="Times New Roman" w:eastAsia="仿宋_GB2312" w:cs="Times New Roman"/>
          <w:sz w:val="32"/>
          <w:szCs w:val="32"/>
        </w:rPr>
      </w:pPr>
      <w:r>
        <w:rPr>
          <w:rFonts w:ascii="仿宋_GB2312" w:hAnsi="Times New Roman" w:eastAsia="仿宋_GB2312" w:cs="Times New Roman"/>
          <w:sz w:val="32"/>
          <w:szCs w:val="32"/>
        </w:rPr>
        <w:t>阅片一致性研究统计分析包括与参考结果的一致性评价及成对结果的一致性评价。</w:t>
      </w:r>
    </w:p>
    <w:p w14:paraId="40E5EDAE">
      <w:pPr>
        <w:spacing w:line="520" w:lineRule="exact"/>
        <w:ind w:firstLine="64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2.1 </w:t>
      </w:r>
      <w:r>
        <w:rPr>
          <w:rFonts w:ascii="仿宋_GB2312" w:hAnsi="Times New Roman" w:eastAsia="仿宋_GB2312" w:cs="Times New Roman"/>
          <w:sz w:val="32"/>
          <w:szCs w:val="32"/>
        </w:rPr>
        <w:t>机构内同一病理医师阅片一致性研究</w:t>
      </w:r>
    </w:p>
    <w:p w14:paraId="1B9A2EA4">
      <w:pPr>
        <w:spacing w:line="520" w:lineRule="exact"/>
        <w:ind w:firstLine="640"/>
        <w:contextualSpacing/>
        <w:rPr>
          <w:rFonts w:ascii="Times New Roman" w:hAnsi="Times New Roman" w:eastAsia="仿宋_GB2312" w:cs="Times New Roman"/>
          <w:sz w:val="32"/>
          <w:szCs w:val="32"/>
        </w:rPr>
      </w:pPr>
      <w:r>
        <w:rPr>
          <w:rFonts w:ascii="仿宋_GB2312" w:hAnsi="Times New Roman" w:eastAsia="仿宋_GB2312" w:cs="Times New Roman"/>
          <w:sz w:val="32"/>
          <w:szCs w:val="32"/>
        </w:rPr>
        <w:t>与参考结果的一致性评价，每张病理切片的参考结果为本机构同一位病理医师多次阅片结果中，出现频率最多的结果。病理医师</w:t>
      </w:r>
      <w:r>
        <w:rPr>
          <w:rFonts w:hint="eastAsia" w:ascii="仿宋_GB2312" w:hAnsi="Times New Roman" w:eastAsia="仿宋_GB2312"/>
          <w:sz w:val="32"/>
          <w:szCs w:val="32"/>
        </w:rPr>
        <w:t>单次</w:t>
      </w:r>
      <w:r>
        <w:rPr>
          <w:rFonts w:ascii="仿宋_GB2312" w:hAnsi="Times New Roman" w:eastAsia="仿宋_GB2312" w:cs="Times New Roman"/>
          <w:sz w:val="32"/>
          <w:szCs w:val="32"/>
        </w:rPr>
        <w:t>阅片结果分别与该参考结果进行比对，评价阳性一致率、阴性一致率及总一致率，三</w:t>
      </w:r>
      <w:r>
        <w:rPr>
          <w:rFonts w:hint="eastAsia" w:ascii="仿宋_GB2312" w:hAnsi="Times New Roman" w:eastAsia="仿宋_GB2312"/>
          <w:sz w:val="32"/>
          <w:szCs w:val="32"/>
        </w:rPr>
        <w:t>次阅片结果</w:t>
      </w:r>
      <w:r>
        <w:rPr>
          <w:rFonts w:ascii="仿宋_GB2312" w:hAnsi="Times New Roman" w:eastAsia="仿宋_GB2312" w:cs="Times New Roman"/>
          <w:sz w:val="32"/>
          <w:szCs w:val="32"/>
        </w:rPr>
        <w:t>汇总为该机构</w:t>
      </w:r>
      <w:r>
        <w:rPr>
          <w:rFonts w:hint="eastAsia" w:ascii="仿宋_GB2312" w:hAnsi="Times New Roman" w:eastAsia="仿宋_GB2312"/>
          <w:sz w:val="32"/>
          <w:szCs w:val="32"/>
        </w:rPr>
        <w:t>同一病理医师</w:t>
      </w:r>
      <w:r>
        <w:rPr>
          <w:rFonts w:ascii="仿宋_GB2312" w:hAnsi="Times New Roman" w:eastAsia="仿宋_GB2312" w:cs="Times New Roman"/>
          <w:sz w:val="32"/>
          <w:szCs w:val="32"/>
        </w:rPr>
        <w:t>阅片一致性，三家机构结果汇总为</w:t>
      </w:r>
      <w:r>
        <w:rPr>
          <w:rFonts w:hint="eastAsia" w:ascii="仿宋_GB2312" w:hAnsi="Times New Roman" w:eastAsia="仿宋_GB2312"/>
          <w:sz w:val="32"/>
          <w:szCs w:val="32"/>
        </w:rPr>
        <w:t>所有机构同一</w:t>
      </w:r>
      <w:r>
        <w:rPr>
          <w:rFonts w:ascii="仿宋_GB2312" w:hAnsi="Times New Roman" w:eastAsia="仿宋_GB2312" w:cs="Times New Roman"/>
          <w:sz w:val="32"/>
          <w:szCs w:val="32"/>
        </w:rPr>
        <w:t>病理医师阅片一致性研究。</w:t>
      </w:r>
    </w:p>
    <w:p w14:paraId="08A8FC56">
      <w:pPr>
        <w:spacing w:line="520" w:lineRule="exact"/>
        <w:ind w:firstLine="640"/>
        <w:contextualSpacing/>
        <w:rPr>
          <w:rFonts w:ascii="Times New Roman" w:hAnsi="Times New Roman" w:eastAsia="仿宋_GB2312" w:cs="Times New Roman"/>
          <w:sz w:val="32"/>
          <w:szCs w:val="32"/>
        </w:rPr>
      </w:pPr>
      <w:r>
        <w:rPr>
          <w:rFonts w:hint="eastAsia" w:ascii="仿宋_GB2312" w:hAnsi="Times New Roman" w:eastAsia="仿宋_GB2312"/>
          <w:sz w:val="32"/>
          <w:szCs w:val="32"/>
        </w:rPr>
        <w:t>同一病理医师</w:t>
      </w:r>
      <w:r>
        <w:rPr>
          <w:rFonts w:ascii="仿宋_GB2312" w:hAnsi="Times New Roman" w:eastAsia="仿宋_GB2312" w:cs="Times New Roman"/>
          <w:sz w:val="32"/>
          <w:szCs w:val="32"/>
        </w:rPr>
        <w:t>成对结果的一致性评价，评价过程包括三组：第</w:t>
      </w:r>
      <w:r>
        <w:rPr>
          <w:rFonts w:ascii="Times New Roman" w:hAnsi="Times New Roman" w:eastAsia="仿宋_GB2312" w:cs="Times New Roman"/>
          <w:sz w:val="32"/>
          <w:szCs w:val="32"/>
        </w:rPr>
        <w:t>1</w:t>
      </w:r>
      <w:r>
        <w:rPr>
          <w:rFonts w:ascii="仿宋_GB2312" w:hAnsi="Times New Roman" w:eastAsia="仿宋_GB2312" w:cs="Times New Roman"/>
          <w:sz w:val="32"/>
          <w:szCs w:val="32"/>
        </w:rPr>
        <w:t>次阅片与第</w:t>
      </w:r>
      <w:r>
        <w:rPr>
          <w:rFonts w:ascii="Times New Roman" w:hAnsi="Times New Roman" w:eastAsia="仿宋_GB2312" w:cs="Times New Roman"/>
          <w:sz w:val="32"/>
          <w:szCs w:val="32"/>
        </w:rPr>
        <w:t>2</w:t>
      </w:r>
      <w:r>
        <w:rPr>
          <w:rFonts w:ascii="仿宋_GB2312" w:hAnsi="Times New Roman" w:eastAsia="仿宋_GB2312" w:cs="Times New Roman"/>
          <w:sz w:val="32"/>
          <w:szCs w:val="32"/>
        </w:rPr>
        <w:t>次阅片、第</w:t>
      </w:r>
      <w:r>
        <w:rPr>
          <w:rFonts w:ascii="Times New Roman" w:hAnsi="Times New Roman" w:eastAsia="仿宋_GB2312" w:cs="Times New Roman"/>
          <w:sz w:val="32"/>
          <w:szCs w:val="32"/>
        </w:rPr>
        <w:t>2</w:t>
      </w:r>
      <w:r>
        <w:rPr>
          <w:rFonts w:ascii="仿宋_GB2312" w:hAnsi="Times New Roman" w:eastAsia="仿宋_GB2312" w:cs="Times New Roman"/>
          <w:sz w:val="32"/>
          <w:szCs w:val="32"/>
        </w:rPr>
        <w:t>次阅片与第</w:t>
      </w:r>
      <w:r>
        <w:rPr>
          <w:rFonts w:ascii="Times New Roman" w:hAnsi="Times New Roman" w:eastAsia="仿宋_GB2312" w:cs="Times New Roman"/>
          <w:sz w:val="32"/>
          <w:szCs w:val="32"/>
        </w:rPr>
        <w:t>3</w:t>
      </w:r>
      <w:r>
        <w:rPr>
          <w:rFonts w:ascii="仿宋_GB2312" w:hAnsi="Times New Roman" w:eastAsia="仿宋_GB2312" w:cs="Times New Roman"/>
          <w:sz w:val="32"/>
          <w:szCs w:val="32"/>
        </w:rPr>
        <w:t>次阅片、第</w:t>
      </w:r>
      <w:r>
        <w:rPr>
          <w:rFonts w:ascii="Times New Roman" w:hAnsi="Times New Roman" w:eastAsia="仿宋_GB2312" w:cs="Times New Roman"/>
          <w:sz w:val="32"/>
          <w:szCs w:val="32"/>
        </w:rPr>
        <w:t>3</w:t>
      </w:r>
      <w:r>
        <w:rPr>
          <w:rFonts w:ascii="仿宋_GB2312" w:hAnsi="Times New Roman" w:eastAsia="仿宋_GB2312" w:cs="Times New Roman"/>
          <w:sz w:val="32"/>
          <w:szCs w:val="32"/>
        </w:rPr>
        <w:t>次阅片与第</w:t>
      </w:r>
      <w:r>
        <w:rPr>
          <w:rFonts w:ascii="Times New Roman" w:hAnsi="Times New Roman" w:eastAsia="仿宋_GB2312" w:cs="Times New Roman"/>
          <w:sz w:val="32"/>
          <w:szCs w:val="32"/>
        </w:rPr>
        <w:t>1</w:t>
      </w:r>
      <w:r>
        <w:rPr>
          <w:rFonts w:ascii="仿宋_GB2312" w:hAnsi="Times New Roman" w:eastAsia="仿宋_GB2312" w:cs="Times New Roman"/>
          <w:sz w:val="32"/>
          <w:szCs w:val="32"/>
        </w:rPr>
        <w:t>次阅片。以第一组</w:t>
      </w:r>
      <w:r>
        <w:rPr>
          <w:rFonts w:hint="eastAsia" w:ascii="仿宋_GB2312" w:hAnsi="Times New Roman" w:eastAsia="仿宋_GB2312"/>
          <w:sz w:val="32"/>
          <w:szCs w:val="32"/>
        </w:rPr>
        <w:t>第</w:t>
      </w:r>
      <w:r>
        <w:rPr>
          <w:rFonts w:hint="eastAsia" w:ascii="Times New Roman" w:hAnsi="Times New Roman" w:eastAsia="仿宋_GB2312" w:cs="Times New Roman"/>
          <w:sz w:val="32"/>
          <w:szCs w:val="32"/>
        </w:rPr>
        <w:t>1</w:t>
      </w:r>
      <w:r>
        <w:rPr>
          <w:rFonts w:hint="eastAsia" w:ascii="仿宋_GB2312" w:hAnsi="Times New Roman" w:eastAsia="仿宋_GB2312"/>
          <w:sz w:val="32"/>
          <w:szCs w:val="32"/>
        </w:rPr>
        <w:t>次阅片</w:t>
      </w:r>
      <w:r>
        <w:rPr>
          <w:rFonts w:ascii="仿宋_GB2312" w:hAnsi="Times New Roman" w:eastAsia="仿宋_GB2312" w:cs="Times New Roman"/>
          <w:sz w:val="32"/>
          <w:szCs w:val="32"/>
        </w:rPr>
        <w:t>与</w:t>
      </w:r>
      <w:r>
        <w:rPr>
          <w:rFonts w:hint="eastAsia" w:ascii="仿宋_GB2312" w:hAnsi="Times New Roman" w:eastAsia="仿宋_GB2312"/>
          <w:sz w:val="32"/>
          <w:szCs w:val="32"/>
        </w:rPr>
        <w:t>第</w:t>
      </w:r>
      <w:r>
        <w:rPr>
          <w:rFonts w:hint="eastAsia" w:ascii="Times New Roman" w:hAnsi="Times New Roman" w:eastAsia="仿宋_GB2312" w:cs="Times New Roman"/>
          <w:sz w:val="32"/>
          <w:szCs w:val="32"/>
        </w:rPr>
        <w:t>2</w:t>
      </w:r>
      <w:r>
        <w:rPr>
          <w:rFonts w:hint="eastAsia" w:ascii="仿宋_GB2312" w:hAnsi="Times New Roman" w:eastAsia="仿宋_GB2312"/>
          <w:sz w:val="32"/>
          <w:szCs w:val="32"/>
        </w:rPr>
        <w:t>次阅片</w:t>
      </w:r>
      <w:r>
        <w:rPr>
          <w:rFonts w:ascii="仿宋_GB2312" w:hAnsi="Times New Roman" w:eastAsia="仿宋_GB2312" w:cs="Times New Roman"/>
          <w:sz w:val="32"/>
          <w:szCs w:val="32"/>
        </w:rPr>
        <w:t>成对分析为例，以</w:t>
      </w:r>
      <w:r>
        <w:rPr>
          <w:rFonts w:hint="eastAsia" w:ascii="仿宋_GB2312" w:hAnsi="Times New Roman" w:eastAsia="仿宋_GB2312"/>
          <w:sz w:val="32"/>
          <w:szCs w:val="32"/>
        </w:rPr>
        <w:t>第</w:t>
      </w:r>
      <w:r>
        <w:rPr>
          <w:rFonts w:hint="eastAsia" w:ascii="Times New Roman" w:hAnsi="Times New Roman" w:eastAsia="仿宋_GB2312" w:cs="Times New Roman"/>
          <w:sz w:val="32"/>
          <w:szCs w:val="32"/>
        </w:rPr>
        <w:t>1</w:t>
      </w:r>
      <w:r>
        <w:rPr>
          <w:rFonts w:hint="eastAsia" w:ascii="仿宋_GB2312" w:hAnsi="Times New Roman" w:eastAsia="仿宋_GB2312"/>
          <w:sz w:val="32"/>
          <w:szCs w:val="32"/>
        </w:rPr>
        <w:t>次阅片的</w:t>
      </w:r>
      <w:r>
        <w:rPr>
          <w:rFonts w:ascii="仿宋_GB2312" w:hAnsi="Times New Roman" w:eastAsia="仿宋_GB2312" w:cs="Times New Roman"/>
          <w:sz w:val="32"/>
          <w:szCs w:val="32"/>
        </w:rPr>
        <w:t>结果为准，以四格表形式统计</w:t>
      </w:r>
      <w:r>
        <w:rPr>
          <w:rFonts w:hint="eastAsia" w:ascii="仿宋_GB2312" w:hAnsi="Times New Roman" w:eastAsia="仿宋_GB2312"/>
          <w:sz w:val="32"/>
          <w:szCs w:val="32"/>
        </w:rPr>
        <w:t>第</w:t>
      </w:r>
      <w:r>
        <w:rPr>
          <w:rFonts w:hint="eastAsia" w:ascii="Times New Roman" w:hAnsi="Times New Roman" w:eastAsia="仿宋_GB2312" w:cs="Times New Roman"/>
          <w:sz w:val="32"/>
          <w:szCs w:val="32"/>
        </w:rPr>
        <w:t>2</w:t>
      </w:r>
      <w:r>
        <w:rPr>
          <w:rFonts w:hint="eastAsia" w:ascii="仿宋_GB2312" w:hAnsi="Times New Roman" w:eastAsia="仿宋_GB2312"/>
          <w:sz w:val="32"/>
          <w:szCs w:val="32"/>
        </w:rPr>
        <w:t>次阅片的</w:t>
      </w:r>
      <w:r>
        <w:rPr>
          <w:rFonts w:ascii="仿宋_GB2312" w:hAnsi="Times New Roman" w:eastAsia="仿宋_GB2312" w:cs="Times New Roman"/>
          <w:sz w:val="32"/>
          <w:szCs w:val="32"/>
        </w:rPr>
        <w:t>结果与</w:t>
      </w:r>
      <w:r>
        <w:rPr>
          <w:rFonts w:hint="eastAsia" w:ascii="仿宋_GB2312" w:hAnsi="Times New Roman" w:eastAsia="仿宋_GB2312"/>
          <w:sz w:val="32"/>
          <w:szCs w:val="32"/>
        </w:rPr>
        <w:t>第</w:t>
      </w:r>
      <w:r>
        <w:rPr>
          <w:rFonts w:hint="eastAsia" w:ascii="Times New Roman" w:hAnsi="Times New Roman" w:eastAsia="仿宋_GB2312" w:cs="Times New Roman"/>
          <w:sz w:val="32"/>
          <w:szCs w:val="32"/>
        </w:rPr>
        <w:t>1</w:t>
      </w:r>
      <w:r>
        <w:rPr>
          <w:rFonts w:hint="eastAsia" w:ascii="仿宋_GB2312" w:hAnsi="Times New Roman" w:eastAsia="仿宋_GB2312"/>
          <w:sz w:val="32"/>
          <w:szCs w:val="32"/>
        </w:rPr>
        <w:t>次阅片</w:t>
      </w:r>
      <w:r>
        <w:rPr>
          <w:rFonts w:ascii="仿宋_GB2312" w:hAnsi="Times New Roman" w:eastAsia="仿宋_GB2312" w:cs="Times New Roman"/>
          <w:sz w:val="32"/>
          <w:szCs w:val="32"/>
        </w:rPr>
        <w:t>结果的一致率，包括阳性一致率及阴性一致率。根据上述方法分析第</w:t>
      </w:r>
      <w:r>
        <w:rPr>
          <w:rFonts w:ascii="Times New Roman" w:hAnsi="Times New Roman" w:eastAsia="仿宋_GB2312" w:cs="Times New Roman"/>
          <w:sz w:val="32"/>
          <w:szCs w:val="32"/>
        </w:rPr>
        <w:t>2</w:t>
      </w:r>
      <w:r>
        <w:rPr>
          <w:rFonts w:ascii="仿宋_GB2312" w:hAnsi="Times New Roman" w:eastAsia="仿宋_GB2312" w:cs="Times New Roman"/>
          <w:sz w:val="32"/>
          <w:szCs w:val="32"/>
        </w:rPr>
        <w:t>次阅片与第</w:t>
      </w:r>
      <w:r>
        <w:rPr>
          <w:rFonts w:ascii="Times New Roman" w:hAnsi="Times New Roman" w:eastAsia="仿宋_GB2312" w:cs="Times New Roman"/>
          <w:sz w:val="32"/>
          <w:szCs w:val="32"/>
        </w:rPr>
        <w:t>3</w:t>
      </w:r>
      <w:r>
        <w:rPr>
          <w:rFonts w:ascii="仿宋_GB2312" w:hAnsi="Times New Roman" w:eastAsia="仿宋_GB2312" w:cs="Times New Roman"/>
          <w:sz w:val="32"/>
          <w:szCs w:val="32"/>
        </w:rPr>
        <w:t>次阅片、第</w:t>
      </w:r>
      <w:r>
        <w:rPr>
          <w:rFonts w:ascii="Times New Roman" w:hAnsi="Times New Roman" w:eastAsia="仿宋_GB2312" w:cs="Times New Roman"/>
          <w:sz w:val="32"/>
          <w:szCs w:val="32"/>
        </w:rPr>
        <w:t>3</w:t>
      </w:r>
      <w:r>
        <w:rPr>
          <w:rFonts w:ascii="仿宋_GB2312" w:hAnsi="Times New Roman" w:eastAsia="仿宋_GB2312" w:cs="Times New Roman"/>
          <w:sz w:val="32"/>
          <w:szCs w:val="32"/>
        </w:rPr>
        <w:t>次阅片与第</w:t>
      </w:r>
      <w:r>
        <w:rPr>
          <w:rFonts w:ascii="Times New Roman" w:hAnsi="Times New Roman" w:eastAsia="仿宋_GB2312" w:cs="Times New Roman"/>
          <w:sz w:val="32"/>
          <w:szCs w:val="32"/>
        </w:rPr>
        <w:t>1</w:t>
      </w:r>
      <w:r>
        <w:rPr>
          <w:rFonts w:ascii="仿宋_GB2312" w:hAnsi="Times New Roman" w:eastAsia="仿宋_GB2312" w:cs="Times New Roman"/>
          <w:sz w:val="32"/>
          <w:szCs w:val="32"/>
        </w:rPr>
        <w:t>次阅片的一致率。最终将三组结果汇总，分析机构内</w:t>
      </w:r>
      <w:r>
        <w:rPr>
          <w:rFonts w:hint="eastAsia" w:ascii="仿宋_GB2312" w:hAnsi="Times New Roman" w:eastAsia="仿宋_GB2312"/>
          <w:sz w:val="32"/>
          <w:szCs w:val="32"/>
        </w:rPr>
        <w:t>同一</w:t>
      </w:r>
      <w:r>
        <w:rPr>
          <w:rFonts w:ascii="仿宋_GB2312" w:hAnsi="Times New Roman" w:eastAsia="仿宋_GB2312" w:cs="Times New Roman"/>
          <w:sz w:val="32"/>
          <w:szCs w:val="32"/>
        </w:rPr>
        <w:t>医生阅片的平均阳性一致率、平均阴性一致率及平均总一致率。三家机构结果汇总为所有</w:t>
      </w:r>
      <w:r>
        <w:rPr>
          <w:rFonts w:hint="eastAsia" w:ascii="仿宋_GB2312" w:hAnsi="Times New Roman" w:eastAsia="仿宋_GB2312"/>
          <w:sz w:val="32"/>
          <w:szCs w:val="32"/>
        </w:rPr>
        <w:t>机构同一</w:t>
      </w:r>
      <w:r>
        <w:rPr>
          <w:rFonts w:ascii="仿宋_GB2312" w:hAnsi="Times New Roman" w:eastAsia="仿宋_GB2312" w:cs="Times New Roman"/>
          <w:sz w:val="32"/>
          <w:szCs w:val="32"/>
        </w:rPr>
        <w:t>病理医师阅片一致性研究。</w:t>
      </w:r>
    </w:p>
    <w:p w14:paraId="0A8E1EBD">
      <w:pPr>
        <w:spacing w:line="520" w:lineRule="exact"/>
        <w:ind w:firstLine="640"/>
        <w:contextualSpacing/>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2.2</w:t>
      </w:r>
      <w:r>
        <w:rPr>
          <w:rFonts w:ascii="仿宋_GB2312" w:hAnsi="Times New Roman" w:eastAsia="仿宋_GB2312" w:cs="Times New Roman"/>
          <w:sz w:val="32"/>
          <w:szCs w:val="32"/>
        </w:rPr>
        <w:t>机构内不同病理医师阅片一致性研究</w:t>
      </w:r>
    </w:p>
    <w:p w14:paraId="136866C5">
      <w:pPr>
        <w:spacing w:line="520" w:lineRule="exact"/>
        <w:ind w:firstLine="640"/>
        <w:contextualSpacing/>
        <w:rPr>
          <w:rFonts w:ascii="Times New Roman" w:hAnsi="Times New Roman" w:eastAsia="仿宋_GB2312" w:cs="Times New Roman"/>
          <w:sz w:val="32"/>
          <w:szCs w:val="32"/>
        </w:rPr>
      </w:pPr>
      <w:r>
        <w:rPr>
          <w:rFonts w:ascii="仿宋_GB2312" w:hAnsi="Times New Roman" w:eastAsia="仿宋_GB2312" w:cs="Times New Roman"/>
          <w:sz w:val="32"/>
          <w:szCs w:val="32"/>
        </w:rPr>
        <w:t>与参考结果的一致性评价，每张病理切片的参考结果为本机构三位病理医师阅片结果中，出现频率最多的结果。具体分析方法可参考</w:t>
      </w:r>
      <w:r>
        <w:rPr>
          <w:rFonts w:hint="eastAsia" w:ascii="仿宋_GB2312" w:hAnsi="Times New Roman" w:eastAsia="仿宋_GB2312"/>
          <w:sz w:val="32"/>
          <w:szCs w:val="32"/>
        </w:rPr>
        <w:t>本节</w:t>
      </w:r>
      <w:r>
        <w:rPr>
          <w:rFonts w:ascii="Times New Roman" w:hAnsi="Times New Roman" w:eastAsia="仿宋_GB2312" w:cs="Times New Roman"/>
          <w:sz w:val="32"/>
          <w:szCs w:val="32"/>
        </w:rPr>
        <w:t>2.1</w:t>
      </w:r>
      <w:r>
        <w:rPr>
          <w:rFonts w:hint="eastAsia" w:ascii="仿宋_GB2312" w:hAnsi="Times New Roman" w:eastAsia="仿宋_GB2312"/>
          <w:sz w:val="32"/>
          <w:szCs w:val="32"/>
        </w:rPr>
        <w:t>机构内同一</w:t>
      </w:r>
      <w:r>
        <w:rPr>
          <w:rFonts w:ascii="仿宋_GB2312" w:hAnsi="Times New Roman" w:eastAsia="仿宋_GB2312" w:cs="Times New Roman"/>
          <w:sz w:val="32"/>
          <w:szCs w:val="32"/>
        </w:rPr>
        <w:t>病理医师阅片一致性研究。</w:t>
      </w:r>
    </w:p>
    <w:p w14:paraId="10D9C8BD">
      <w:pPr>
        <w:spacing w:line="520" w:lineRule="exact"/>
        <w:ind w:firstLine="640"/>
        <w:contextualSpacing/>
        <w:rPr>
          <w:rFonts w:ascii="Times New Roman" w:hAnsi="Times New Roman" w:eastAsia="仿宋_GB2312" w:cs="Times New Roman"/>
          <w:sz w:val="32"/>
          <w:szCs w:val="32"/>
        </w:rPr>
      </w:pPr>
      <w:r>
        <w:rPr>
          <w:rFonts w:ascii="仿宋_GB2312" w:hAnsi="Times New Roman" w:eastAsia="仿宋_GB2312" w:cs="Times New Roman"/>
          <w:sz w:val="32"/>
          <w:szCs w:val="32"/>
        </w:rPr>
        <w:t>成对结果的一致性评价，评价过程包括三组：病理医师</w:t>
      </w:r>
      <w:r>
        <w:rPr>
          <w:rFonts w:ascii="Times New Roman" w:hAnsi="Times New Roman" w:eastAsia="仿宋_GB2312" w:cs="Times New Roman"/>
          <w:sz w:val="32"/>
          <w:szCs w:val="32"/>
        </w:rPr>
        <w:t>1</w:t>
      </w:r>
      <w:r>
        <w:rPr>
          <w:rFonts w:ascii="仿宋_GB2312" w:hAnsi="Times New Roman" w:eastAsia="仿宋_GB2312" w:cs="Times New Roman"/>
          <w:sz w:val="32"/>
          <w:szCs w:val="32"/>
        </w:rPr>
        <w:t>与病理医师</w:t>
      </w:r>
      <w:r>
        <w:rPr>
          <w:rFonts w:ascii="Times New Roman" w:hAnsi="Times New Roman" w:eastAsia="仿宋_GB2312" w:cs="Times New Roman"/>
          <w:sz w:val="32"/>
          <w:szCs w:val="32"/>
        </w:rPr>
        <w:t>2</w:t>
      </w:r>
      <w:r>
        <w:rPr>
          <w:rFonts w:ascii="仿宋_GB2312" w:hAnsi="Times New Roman" w:eastAsia="仿宋_GB2312" w:cs="Times New Roman"/>
          <w:sz w:val="32"/>
          <w:szCs w:val="32"/>
        </w:rPr>
        <w:t>、病理医师</w:t>
      </w:r>
      <w:r>
        <w:rPr>
          <w:rFonts w:ascii="Times New Roman" w:hAnsi="Times New Roman" w:eastAsia="仿宋_GB2312" w:cs="Times New Roman"/>
          <w:sz w:val="32"/>
          <w:szCs w:val="32"/>
        </w:rPr>
        <w:t>2</w:t>
      </w:r>
      <w:r>
        <w:rPr>
          <w:rFonts w:ascii="仿宋_GB2312" w:hAnsi="Times New Roman" w:eastAsia="仿宋_GB2312" w:cs="Times New Roman"/>
          <w:sz w:val="32"/>
          <w:szCs w:val="32"/>
        </w:rPr>
        <w:t>与病理医师</w:t>
      </w:r>
      <w:r>
        <w:rPr>
          <w:rFonts w:ascii="Times New Roman" w:hAnsi="Times New Roman" w:eastAsia="仿宋_GB2312" w:cs="Times New Roman"/>
          <w:sz w:val="32"/>
          <w:szCs w:val="32"/>
        </w:rPr>
        <w:t>3</w:t>
      </w:r>
      <w:r>
        <w:rPr>
          <w:rFonts w:ascii="仿宋_GB2312" w:hAnsi="Times New Roman" w:eastAsia="仿宋_GB2312" w:cs="Times New Roman"/>
          <w:sz w:val="32"/>
          <w:szCs w:val="32"/>
        </w:rPr>
        <w:t>、病理医师</w:t>
      </w:r>
      <w:r>
        <w:rPr>
          <w:rFonts w:ascii="Times New Roman" w:hAnsi="Times New Roman" w:eastAsia="仿宋_GB2312" w:cs="Times New Roman"/>
          <w:sz w:val="32"/>
          <w:szCs w:val="32"/>
        </w:rPr>
        <w:t>3</w:t>
      </w:r>
      <w:r>
        <w:rPr>
          <w:rFonts w:ascii="仿宋_GB2312" w:hAnsi="Times New Roman" w:eastAsia="仿宋_GB2312" w:cs="Times New Roman"/>
          <w:sz w:val="32"/>
          <w:szCs w:val="32"/>
        </w:rPr>
        <w:t>与病理医师</w:t>
      </w:r>
      <w:r>
        <w:rPr>
          <w:rFonts w:ascii="Times New Roman" w:hAnsi="Times New Roman" w:eastAsia="仿宋_GB2312" w:cs="Times New Roman"/>
          <w:sz w:val="32"/>
          <w:szCs w:val="32"/>
        </w:rPr>
        <w:t>1</w:t>
      </w:r>
      <w:r>
        <w:rPr>
          <w:rFonts w:ascii="仿宋_GB2312" w:hAnsi="Times New Roman" w:eastAsia="仿宋_GB2312" w:cs="Times New Roman"/>
          <w:sz w:val="32"/>
          <w:szCs w:val="32"/>
        </w:rPr>
        <w:t>。具体分析方法可参考</w:t>
      </w:r>
      <w:r>
        <w:rPr>
          <w:rFonts w:hint="eastAsia" w:ascii="仿宋_GB2312" w:hAnsi="Times New Roman" w:eastAsia="仿宋_GB2312"/>
          <w:sz w:val="32"/>
          <w:szCs w:val="32"/>
        </w:rPr>
        <w:t>本节</w:t>
      </w:r>
      <w:r>
        <w:rPr>
          <w:rFonts w:ascii="Times New Roman" w:hAnsi="Times New Roman" w:eastAsia="仿宋_GB2312" w:cs="Times New Roman"/>
          <w:sz w:val="32"/>
          <w:szCs w:val="32"/>
        </w:rPr>
        <w:t>2.1</w:t>
      </w:r>
      <w:r>
        <w:rPr>
          <w:rFonts w:hint="eastAsia" w:ascii="仿宋_GB2312" w:hAnsi="Times New Roman" w:eastAsia="仿宋_GB2312"/>
          <w:sz w:val="32"/>
          <w:szCs w:val="32"/>
        </w:rPr>
        <w:t>机构内同一</w:t>
      </w:r>
      <w:r>
        <w:rPr>
          <w:rFonts w:ascii="仿宋_GB2312" w:hAnsi="Times New Roman" w:eastAsia="仿宋_GB2312" w:cs="Times New Roman"/>
          <w:sz w:val="32"/>
          <w:szCs w:val="32"/>
        </w:rPr>
        <w:t>病理医师阅片一致性研究。</w:t>
      </w:r>
    </w:p>
    <w:p w14:paraId="4D8794F5">
      <w:pPr>
        <w:spacing w:line="520" w:lineRule="exact"/>
        <w:ind w:firstLine="64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2.3</w:t>
      </w:r>
      <w:r>
        <w:rPr>
          <w:rFonts w:ascii="仿宋_GB2312" w:hAnsi="Times New Roman" w:eastAsia="仿宋_GB2312" w:cs="Times New Roman"/>
          <w:sz w:val="32"/>
          <w:szCs w:val="32"/>
        </w:rPr>
        <w:t>机构间病理医师阅片一致性研究</w:t>
      </w:r>
    </w:p>
    <w:p w14:paraId="2E09CCB7">
      <w:pPr>
        <w:spacing w:line="520" w:lineRule="exact"/>
        <w:ind w:firstLine="640"/>
        <w:contextualSpacing/>
        <w:rPr>
          <w:rFonts w:ascii="Times New Roman" w:hAnsi="Times New Roman" w:eastAsia="仿宋_GB2312" w:cs="Times New Roman"/>
          <w:sz w:val="32"/>
          <w:szCs w:val="32"/>
        </w:rPr>
      </w:pPr>
      <w:r>
        <w:rPr>
          <w:rFonts w:ascii="仿宋_GB2312" w:hAnsi="Times New Roman" w:eastAsia="仿宋_GB2312" w:cs="Times New Roman"/>
          <w:sz w:val="32"/>
          <w:szCs w:val="32"/>
        </w:rPr>
        <w:t>与参考结果的一致性评价，每张病理切片的参考结果为不同机构病理医师阅片结果中，出现频率最多的结果。具体分析方法可参考</w:t>
      </w:r>
      <w:r>
        <w:rPr>
          <w:rFonts w:hint="eastAsia" w:ascii="仿宋_GB2312" w:hAnsi="Times New Roman" w:eastAsia="仿宋_GB2312"/>
          <w:sz w:val="32"/>
          <w:szCs w:val="32"/>
        </w:rPr>
        <w:t>本节</w:t>
      </w:r>
      <w:r>
        <w:rPr>
          <w:rFonts w:ascii="Times New Roman" w:hAnsi="Times New Roman" w:eastAsia="仿宋_GB2312" w:cs="Times New Roman"/>
          <w:sz w:val="32"/>
          <w:szCs w:val="32"/>
        </w:rPr>
        <w:t>2.1</w:t>
      </w:r>
      <w:r>
        <w:rPr>
          <w:rFonts w:hint="eastAsia" w:ascii="仿宋_GB2312" w:hAnsi="Times New Roman" w:eastAsia="仿宋_GB2312"/>
          <w:sz w:val="32"/>
          <w:szCs w:val="32"/>
        </w:rPr>
        <w:t>机构内同一</w:t>
      </w:r>
      <w:r>
        <w:rPr>
          <w:rFonts w:ascii="仿宋_GB2312" w:hAnsi="Times New Roman" w:eastAsia="仿宋_GB2312" w:cs="Times New Roman"/>
          <w:sz w:val="32"/>
          <w:szCs w:val="32"/>
        </w:rPr>
        <w:t>病理医师阅片一致性研究。</w:t>
      </w:r>
    </w:p>
    <w:p w14:paraId="7C3DFBBB">
      <w:pPr>
        <w:spacing w:line="520" w:lineRule="exact"/>
        <w:ind w:firstLine="640"/>
        <w:contextualSpacing/>
        <w:rPr>
          <w:rFonts w:ascii="Times New Roman" w:hAnsi="Times New Roman" w:eastAsia="仿宋_GB2312" w:cs="Times New Roman"/>
          <w:sz w:val="32"/>
          <w:szCs w:val="32"/>
        </w:rPr>
      </w:pPr>
      <w:r>
        <w:rPr>
          <w:rFonts w:ascii="仿宋_GB2312" w:hAnsi="Times New Roman" w:eastAsia="仿宋_GB2312" w:cs="Times New Roman"/>
          <w:sz w:val="32"/>
          <w:szCs w:val="32"/>
        </w:rPr>
        <w:t>成对结果的一致性评价，评价过程包括三组：机构</w:t>
      </w:r>
      <w:r>
        <w:rPr>
          <w:rFonts w:ascii="Times New Roman" w:hAnsi="Times New Roman" w:eastAsia="仿宋_GB2312" w:cs="Times New Roman"/>
          <w:sz w:val="32"/>
          <w:szCs w:val="32"/>
        </w:rPr>
        <w:t>1</w:t>
      </w:r>
      <w:r>
        <w:rPr>
          <w:rFonts w:ascii="仿宋_GB2312" w:hAnsi="Times New Roman" w:eastAsia="仿宋_GB2312" w:cs="Times New Roman"/>
          <w:sz w:val="32"/>
          <w:szCs w:val="32"/>
        </w:rPr>
        <w:t>阅片结果与机构</w:t>
      </w:r>
      <w:r>
        <w:rPr>
          <w:rFonts w:ascii="Times New Roman" w:hAnsi="Times New Roman" w:eastAsia="仿宋_GB2312" w:cs="Times New Roman"/>
          <w:sz w:val="32"/>
          <w:szCs w:val="32"/>
        </w:rPr>
        <w:t>2</w:t>
      </w:r>
      <w:r>
        <w:rPr>
          <w:rFonts w:ascii="仿宋_GB2312" w:hAnsi="Times New Roman" w:eastAsia="仿宋_GB2312" w:cs="Times New Roman"/>
          <w:sz w:val="32"/>
          <w:szCs w:val="32"/>
        </w:rPr>
        <w:t>阅片结果、机构</w:t>
      </w:r>
      <w:r>
        <w:rPr>
          <w:rFonts w:ascii="Times New Roman" w:hAnsi="Times New Roman" w:eastAsia="仿宋_GB2312" w:cs="Times New Roman"/>
          <w:sz w:val="32"/>
          <w:szCs w:val="32"/>
        </w:rPr>
        <w:t>2</w:t>
      </w:r>
      <w:r>
        <w:rPr>
          <w:rFonts w:ascii="仿宋_GB2312" w:hAnsi="Times New Roman" w:eastAsia="仿宋_GB2312" w:cs="Times New Roman"/>
          <w:sz w:val="32"/>
          <w:szCs w:val="32"/>
        </w:rPr>
        <w:t>阅片结果与机构</w:t>
      </w:r>
      <w:r>
        <w:rPr>
          <w:rFonts w:ascii="Times New Roman" w:hAnsi="Times New Roman" w:eastAsia="仿宋_GB2312" w:cs="Times New Roman"/>
          <w:sz w:val="32"/>
          <w:szCs w:val="32"/>
        </w:rPr>
        <w:t>3</w:t>
      </w:r>
      <w:r>
        <w:rPr>
          <w:rFonts w:ascii="仿宋_GB2312" w:hAnsi="Times New Roman" w:eastAsia="仿宋_GB2312" w:cs="Times New Roman"/>
          <w:sz w:val="32"/>
          <w:szCs w:val="32"/>
        </w:rPr>
        <w:t>阅片结果、机构</w:t>
      </w:r>
      <w:r>
        <w:rPr>
          <w:rFonts w:ascii="Times New Roman" w:hAnsi="Times New Roman" w:eastAsia="仿宋_GB2312" w:cs="Times New Roman"/>
          <w:sz w:val="32"/>
          <w:szCs w:val="32"/>
        </w:rPr>
        <w:t>3</w:t>
      </w:r>
      <w:r>
        <w:rPr>
          <w:rFonts w:ascii="仿宋_GB2312" w:hAnsi="Times New Roman" w:eastAsia="仿宋_GB2312" w:cs="Times New Roman"/>
          <w:sz w:val="32"/>
          <w:szCs w:val="32"/>
        </w:rPr>
        <w:t>阅片结果与机构</w:t>
      </w:r>
      <w:r>
        <w:rPr>
          <w:rFonts w:ascii="Times New Roman" w:hAnsi="Times New Roman" w:eastAsia="仿宋_GB2312" w:cs="Times New Roman"/>
          <w:sz w:val="32"/>
          <w:szCs w:val="32"/>
        </w:rPr>
        <w:t>1</w:t>
      </w:r>
      <w:r>
        <w:rPr>
          <w:rFonts w:ascii="仿宋_GB2312" w:hAnsi="Times New Roman" w:eastAsia="仿宋_GB2312" w:cs="Times New Roman"/>
          <w:sz w:val="32"/>
          <w:szCs w:val="32"/>
        </w:rPr>
        <w:t>阅片结果。具体分析方法可参考</w:t>
      </w:r>
      <w:r>
        <w:rPr>
          <w:rFonts w:hint="eastAsia" w:ascii="仿宋_GB2312" w:hAnsi="Times New Roman" w:eastAsia="仿宋_GB2312"/>
          <w:sz w:val="32"/>
          <w:szCs w:val="32"/>
        </w:rPr>
        <w:t>本节</w:t>
      </w:r>
      <w:r>
        <w:rPr>
          <w:rFonts w:ascii="Times New Roman" w:hAnsi="Times New Roman" w:eastAsia="仿宋_GB2312" w:cs="Times New Roman"/>
          <w:sz w:val="32"/>
          <w:szCs w:val="32"/>
        </w:rPr>
        <w:t>2.1</w:t>
      </w:r>
      <w:r>
        <w:rPr>
          <w:rFonts w:hint="eastAsia" w:ascii="仿宋_GB2312" w:hAnsi="Times New Roman" w:eastAsia="仿宋_GB2312"/>
          <w:sz w:val="32"/>
          <w:szCs w:val="32"/>
        </w:rPr>
        <w:t>机构内同一</w:t>
      </w:r>
      <w:r>
        <w:rPr>
          <w:rFonts w:ascii="仿宋_GB2312" w:hAnsi="Times New Roman" w:eastAsia="仿宋_GB2312" w:cs="Times New Roman"/>
          <w:sz w:val="32"/>
          <w:szCs w:val="32"/>
        </w:rPr>
        <w:t>病理医师阅片一致性研究。</w:t>
      </w:r>
    </w:p>
    <w:p w14:paraId="07E7F60D">
      <w:pPr>
        <w:spacing w:line="520" w:lineRule="exact"/>
        <w:ind w:firstLine="640" w:firstLineChars="200"/>
        <w:rPr>
          <w:rFonts w:ascii="Times New Roman" w:hAnsi="Times New Roman" w:eastAsia="楷体_GB2312" w:cs="Times New Roman"/>
          <w:sz w:val="32"/>
          <w:szCs w:val="32"/>
        </w:rPr>
      </w:pPr>
      <w:r>
        <w:rPr>
          <w:rFonts w:ascii="楷体_GB2312" w:hAnsi="Times New Roman" w:eastAsia="楷体_GB2312" w:cs="Times New Roman"/>
          <w:sz w:val="32"/>
          <w:szCs w:val="32"/>
        </w:rPr>
        <w:t>（六）原始数据</w:t>
      </w:r>
    </w:p>
    <w:p w14:paraId="1DD759DC">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ascii="仿宋_GB2312" w:hAnsi="Times New Roman" w:eastAsia="仿宋_GB2312" w:cs="Times New Roman"/>
          <w:spacing w:val="4"/>
          <w:sz w:val="32"/>
          <w:szCs w:val="32"/>
        </w:rPr>
        <w:t>提交病例数据汇总表，内容应至少包括：性别、年龄、病理诊断结果、研究者判读结果等。</w:t>
      </w:r>
    </w:p>
    <w:p w14:paraId="4CF9414C">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ascii="仿宋_GB2312" w:hAnsi="Times New Roman" w:eastAsia="仿宋_GB2312" w:cs="Times New Roman"/>
          <w:sz w:val="32"/>
          <w:szCs w:val="32"/>
        </w:rPr>
        <w:t>提交入选样本染色代表性彩色图片，并对染色特点包括组织形态、染色强度和背景染色特点进行简要评述。</w:t>
      </w:r>
    </w:p>
    <w:p w14:paraId="1172E578">
      <w:pPr>
        <w:spacing w:line="520" w:lineRule="exact"/>
        <w:ind w:firstLine="640"/>
        <w:contextualSpacing/>
        <w:rPr>
          <w:rFonts w:ascii="Times New Roman" w:hAnsi="Times New Roman" w:eastAsia="楷体_GB2312" w:cs="Times New Roman"/>
          <w:sz w:val="32"/>
          <w:szCs w:val="32"/>
        </w:rPr>
      </w:pPr>
      <w:r>
        <w:rPr>
          <w:rFonts w:ascii="楷体_GB2312" w:hAnsi="Times New Roman" w:eastAsia="楷体_GB2312" w:cs="Times New Roman"/>
          <w:sz w:val="32"/>
          <w:szCs w:val="32"/>
        </w:rPr>
        <w:t>（七）偏倚控制</w:t>
      </w:r>
    </w:p>
    <w:p w14:paraId="5C236E4E">
      <w:pPr>
        <w:spacing w:line="520" w:lineRule="exact"/>
        <w:ind w:firstLine="640"/>
        <w:contextualSpacing/>
        <w:rPr>
          <w:rFonts w:ascii="Times New Roman" w:hAnsi="Times New Roman" w:eastAsia="仿宋_GB2312" w:cs="Times New Roman"/>
          <w:sz w:val="32"/>
          <w:szCs w:val="32"/>
        </w:rPr>
      </w:pPr>
      <w:r>
        <w:rPr>
          <w:rFonts w:ascii="仿宋_GB2312" w:hAnsi="Times New Roman" w:eastAsia="仿宋_GB2312" w:cs="Times New Roman"/>
          <w:sz w:val="32"/>
          <w:szCs w:val="32"/>
        </w:rPr>
        <w:t>为了控制临床试验的偏倚，各部分研究过程中应针对病例</w:t>
      </w:r>
      <w:r>
        <w:rPr>
          <w:rFonts w:ascii="Times New Roman" w:hAnsi="Times New Roman" w:eastAsia="仿宋_GB2312" w:cs="Times New Roman"/>
          <w:sz w:val="32"/>
          <w:szCs w:val="32"/>
        </w:rPr>
        <w:t>/</w:t>
      </w:r>
      <w:r>
        <w:rPr>
          <w:rFonts w:ascii="仿宋_GB2312" w:hAnsi="Times New Roman" w:eastAsia="仿宋_GB2312" w:cs="Times New Roman"/>
          <w:sz w:val="32"/>
          <w:szCs w:val="32"/>
        </w:rPr>
        <w:t>切片应进行设盲，使研究者在试验过程中不知晓受试者疾病诊断或其他相关检测等信息，从而避免引入偏倚。</w:t>
      </w:r>
    </w:p>
    <w:p w14:paraId="5E5B7FC0">
      <w:pPr>
        <w:spacing w:line="520" w:lineRule="exact"/>
        <w:ind w:firstLine="640"/>
        <w:contextualSpacing/>
        <w:rPr>
          <w:rFonts w:ascii="Times New Roman" w:hAnsi="Times New Roman" w:eastAsia="仿宋_GB2312" w:cs="Times New Roman"/>
          <w:sz w:val="32"/>
          <w:szCs w:val="32"/>
        </w:rPr>
      </w:pPr>
      <w:r>
        <w:rPr>
          <w:rFonts w:ascii="仿宋_GB2312" w:hAnsi="Times New Roman" w:eastAsia="仿宋_GB2312" w:cs="Times New Roman"/>
          <w:sz w:val="32"/>
          <w:szCs w:val="32"/>
        </w:rPr>
        <w:t>在进行同一病理医师阅片一致性研究过程中，病理医师在进行下一次阅片时应保留一段时间的记忆清除期（脱敏期），此段时间一般不少于两周。</w:t>
      </w:r>
    </w:p>
    <w:p w14:paraId="15D463C4">
      <w:pPr>
        <w:spacing w:line="520" w:lineRule="exact"/>
        <w:ind w:firstLine="640"/>
        <w:contextualSpacing/>
        <w:rPr>
          <w:rFonts w:ascii="Times New Roman" w:hAnsi="Times New Roman" w:eastAsia="仿宋_GB2312" w:cs="Times New Roman"/>
          <w:sz w:val="32"/>
          <w:szCs w:val="32"/>
        </w:rPr>
      </w:pPr>
      <w:r>
        <w:rPr>
          <w:rFonts w:ascii="仿宋_GB2312" w:hAnsi="Times New Roman" w:eastAsia="仿宋_GB2312" w:cs="Times New Roman"/>
          <w:sz w:val="32"/>
          <w:szCs w:val="32"/>
        </w:rPr>
        <w:t>同一病理医师阅片一致性研究过程中，每次阅片时建议人为纳入一定数量的不同的干扰病例。干扰病例应同时具有阳性和阴性病例，将干扰病例混入分析组中，使研究者同时针对分析组中的病例及干扰病例进行操作，但干扰病例结果不纳入统计分析。</w:t>
      </w:r>
    </w:p>
    <w:p w14:paraId="3E1C150F">
      <w:pPr>
        <w:spacing w:line="520" w:lineRule="exact"/>
        <w:ind w:firstLine="640"/>
        <w:contextualSpacing/>
        <w:rPr>
          <w:rFonts w:ascii="Times New Roman" w:hAnsi="Times New Roman" w:eastAsia="楷体_GB2312" w:cs="Times New Roman"/>
          <w:sz w:val="32"/>
          <w:szCs w:val="32"/>
        </w:rPr>
      </w:pPr>
      <w:r>
        <w:rPr>
          <w:rFonts w:ascii="楷体_GB2312" w:hAnsi="Times New Roman" w:eastAsia="楷体_GB2312" w:cs="Times New Roman"/>
          <w:sz w:val="32"/>
          <w:szCs w:val="32"/>
        </w:rPr>
        <w:t>（八）质量控制</w:t>
      </w:r>
    </w:p>
    <w:p w14:paraId="3959912F">
      <w:pPr>
        <w:spacing w:line="520" w:lineRule="exact"/>
        <w:ind w:firstLine="640"/>
        <w:rPr>
          <w:rFonts w:ascii="Times New Roman" w:hAnsi="Times New Roman" w:eastAsia="仿宋_GB2312" w:cs="Times New Roman"/>
          <w:sz w:val="32"/>
          <w:szCs w:val="32"/>
        </w:rPr>
      </w:pPr>
      <w:r>
        <w:rPr>
          <w:rFonts w:ascii="仿宋_GB2312" w:hAnsi="Times New Roman" w:eastAsia="仿宋_GB2312" w:cs="Times New Roman"/>
          <w:sz w:val="32"/>
          <w:szCs w:val="32"/>
        </w:rPr>
        <w:t>临床试验开始前，建议进行相关培训，以确保研究者熟悉并掌握相关试验方法的操作、仪器、技术性能等，最大限度控制试验误差。整个试验过程都应处于有效的质量控制下，最大限度保证试验数据的准确性及可重复性。</w:t>
      </w:r>
    </w:p>
    <w:p w14:paraId="7867027F">
      <w:pPr>
        <w:spacing w:line="520" w:lineRule="exact"/>
        <w:ind w:firstLine="640"/>
        <w:rPr>
          <w:rFonts w:ascii="Times New Roman" w:hAnsi="Times New Roman" w:eastAsia="仿宋_GB2312" w:cs="Times New Roman"/>
          <w:sz w:val="32"/>
          <w:szCs w:val="32"/>
        </w:rPr>
      </w:pPr>
      <w:r>
        <w:rPr>
          <w:rFonts w:ascii="仿宋_GB2312" w:hAnsi="Times New Roman" w:eastAsia="仿宋_GB2312" w:cs="Times New Roman"/>
          <w:sz w:val="32"/>
          <w:szCs w:val="32"/>
        </w:rPr>
        <w:t>临床试验中应制定严格的样本转运方案，确保样本转运过程不对临床试验产生影响，样本转运过程中应做好样本交接记录，各临床试验机构的样本应能够溯源。</w:t>
      </w:r>
    </w:p>
    <w:p w14:paraId="02E30513">
      <w:pPr>
        <w:spacing w:line="520" w:lineRule="exact"/>
        <w:ind w:firstLine="640"/>
        <w:rPr>
          <w:rFonts w:ascii="Times New Roman" w:hAnsi="Times New Roman" w:eastAsia="仿宋_GB2312" w:cs="Times New Roman"/>
          <w:sz w:val="32"/>
          <w:szCs w:val="32"/>
        </w:rPr>
      </w:pPr>
      <w:r>
        <w:rPr>
          <w:rFonts w:ascii="仿宋_GB2312" w:hAnsi="Times New Roman" w:eastAsia="仿宋_GB2312" w:cs="Times New Roman"/>
          <w:sz w:val="32"/>
          <w:szCs w:val="32"/>
        </w:rPr>
        <w:t>临床试验应严格按照产品说明书进行操作，应根据相关要求进行必要的</w:t>
      </w:r>
      <w:r>
        <w:rPr>
          <w:rFonts w:ascii="Times New Roman" w:hAnsi="Times New Roman" w:eastAsia="仿宋_GB2312" w:cs="Times New Roman"/>
          <w:sz w:val="32"/>
          <w:szCs w:val="32"/>
        </w:rPr>
        <w:t>HE</w:t>
      </w:r>
      <w:r>
        <w:rPr>
          <w:rFonts w:ascii="仿宋_GB2312" w:hAnsi="Times New Roman" w:eastAsia="仿宋_GB2312" w:cs="Times New Roman"/>
          <w:sz w:val="32"/>
          <w:szCs w:val="32"/>
        </w:rPr>
        <w:t>染色，应设置合理对照。</w:t>
      </w:r>
    </w:p>
    <w:p w14:paraId="73E182E2">
      <w:pPr>
        <w:spacing w:line="520" w:lineRule="exact"/>
        <w:ind w:firstLine="640"/>
        <w:rPr>
          <w:rFonts w:ascii="黑体" w:hAnsi="黑体" w:eastAsia="黑体"/>
          <w:sz w:val="32"/>
          <w:szCs w:val="32"/>
        </w:rPr>
      </w:pPr>
      <w:r>
        <w:rPr>
          <w:rFonts w:hint="eastAsia" w:ascii="黑体" w:hAnsi="黑体" w:eastAsia="黑体"/>
          <w:sz w:val="32"/>
          <w:szCs w:val="32"/>
        </w:rPr>
        <w:t>四、起草单位</w:t>
      </w:r>
    </w:p>
    <w:p w14:paraId="49BEE3AD">
      <w:pPr>
        <w:ind w:firstLine="640" w:firstLineChars="200"/>
        <w:rPr>
          <w:rFonts w:hint="eastAsia" w:ascii="Times New Roman" w:hAnsi="Times New Roman" w:eastAsia="仿宋_GB2312" w:cs="Times New Roman"/>
          <w:bCs/>
          <w:sz w:val="32"/>
          <w:szCs w:val="32"/>
        </w:rPr>
      </w:pPr>
      <w:r>
        <w:rPr>
          <w:rFonts w:hint="eastAsia" w:ascii="仿宋_GB2312" w:hAnsi="Times New Roman" w:eastAsia="仿宋_GB2312"/>
          <w:bCs/>
          <w:sz w:val="32"/>
          <w:szCs w:val="32"/>
        </w:rPr>
        <w:t>国家</w:t>
      </w:r>
      <w:r>
        <w:rPr>
          <w:rFonts w:ascii="仿宋_GB2312" w:hAnsi="Times New Roman" w:eastAsia="仿宋_GB2312" w:cs="Times New Roman"/>
          <w:bCs/>
          <w:sz w:val="32"/>
          <w:szCs w:val="32"/>
        </w:rPr>
        <w:t>药品监督管理</w:t>
      </w:r>
      <w:r>
        <w:rPr>
          <w:rFonts w:hint="eastAsia" w:ascii="仿宋_GB2312" w:hAnsi="Times New Roman" w:eastAsia="仿宋_GB2312"/>
          <w:bCs/>
          <w:sz w:val="32"/>
          <w:szCs w:val="32"/>
        </w:rPr>
        <w:t>局</w:t>
      </w:r>
      <w:r>
        <w:rPr>
          <w:rFonts w:ascii="仿宋_GB2312" w:hAnsi="Times New Roman" w:eastAsia="仿宋_GB2312" w:cs="Times New Roman"/>
          <w:bCs/>
          <w:sz w:val="32"/>
          <w:szCs w:val="32"/>
        </w:rPr>
        <w:t>医疗器械技术审评中心</w:t>
      </w:r>
      <w:r>
        <w:rPr>
          <w:rFonts w:hint="eastAsia" w:ascii="仿宋_GB2312" w:hAnsi="Times New Roman" w:eastAsia="仿宋_GB2312"/>
          <w:bCs/>
          <w:sz w:val="32"/>
          <w:szCs w:val="32"/>
        </w:rPr>
        <w:t>。</w:t>
      </w:r>
    </w:p>
    <w:p w14:paraId="454B0DCB">
      <w:pPr>
        <w:spacing w:line="520" w:lineRule="exact"/>
        <w:ind w:firstLine="640"/>
        <w:rPr>
          <w:rFonts w:ascii="黑体" w:hAnsi="黑体" w:eastAsia="黑体"/>
          <w:sz w:val="32"/>
          <w:szCs w:val="32"/>
        </w:rPr>
      </w:pPr>
      <w:r>
        <w:rPr>
          <w:rFonts w:hint="eastAsia" w:ascii="黑体" w:hAnsi="黑体" w:eastAsia="黑体"/>
          <w:sz w:val="32"/>
          <w:szCs w:val="32"/>
        </w:rPr>
        <w:t>五、参考文献</w:t>
      </w:r>
    </w:p>
    <w:p w14:paraId="6AF6F7F5">
      <w:pPr>
        <w:spacing w:line="520" w:lineRule="exact"/>
        <w:ind w:firstLine="640"/>
        <w:rPr>
          <w:rFonts w:hint="eastAsia" w:ascii="仿宋_GB2312" w:eastAsia="仿宋_GB2312"/>
          <w:sz w:val="32"/>
          <w:szCs w:val="32"/>
        </w:rPr>
      </w:pPr>
      <w:r>
        <w:rPr>
          <w:rFonts w:hint="eastAsia" w:ascii="仿宋_GB2312" w:eastAsia="仿宋_GB2312"/>
          <w:sz w:val="32"/>
          <w:szCs w:val="32"/>
        </w:rPr>
        <w:t>1.《体外诊断试剂临床试验技术指导原则》（国家药品监督管理局通告2021年第76号），2021年9月28日。</w:t>
      </w:r>
    </w:p>
    <w:p w14:paraId="671C45C0">
      <w:pPr>
        <w:spacing w:line="520" w:lineRule="exact"/>
        <w:ind w:firstLine="640"/>
        <w:rPr>
          <w:rFonts w:hint="eastAsia" w:ascii="仿宋_GB2312" w:eastAsia="仿宋_GB2312"/>
          <w:sz w:val="32"/>
          <w:szCs w:val="32"/>
        </w:rPr>
      </w:pPr>
      <w:r>
        <w:rPr>
          <w:rFonts w:hint="eastAsia" w:ascii="仿宋_GB2312" w:eastAsia="仿宋_GB2312"/>
          <w:sz w:val="32"/>
          <w:szCs w:val="32"/>
        </w:rPr>
        <w:t>2.Xiao-Hua Zhou，Nancy A.Obuchowski，Donna K.McClish. 诊断医学中的统计学方法（第二版） [M].北京:高等教育出版社，2016。</w:t>
      </w:r>
    </w:p>
    <w:p w14:paraId="7E58EB77">
      <w:pPr>
        <w:spacing w:line="520" w:lineRule="exact"/>
        <w:ind w:firstLine="640"/>
        <w:rPr>
          <w:rFonts w:hint="eastAsia" w:ascii="仿宋_GB2312" w:eastAsia="仿宋_GB2312"/>
          <w:sz w:val="32"/>
          <w:szCs w:val="32"/>
        </w:rPr>
      </w:pPr>
      <w:r>
        <w:rPr>
          <w:rFonts w:hint="eastAsia" w:ascii="仿宋_GB2312" w:eastAsia="仿宋_GB2312"/>
          <w:sz w:val="32"/>
          <w:szCs w:val="32"/>
        </w:rPr>
        <w:t>3.李卫.医疗器械临床试验统计方法（第二版） [M].北京:科学出版社，2016。</w:t>
      </w:r>
    </w:p>
    <w:p w14:paraId="0B8100D7">
      <w:pPr>
        <w:spacing w:line="520" w:lineRule="exact"/>
        <w:ind w:firstLine="640"/>
        <w:rPr>
          <w:rFonts w:hint="eastAsia" w:ascii="仿宋_GB2312" w:eastAsia="仿宋_GB2312"/>
          <w:sz w:val="32"/>
          <w:szCs w:val="32"/>
        </w:rPr>
      </w:pPr>
      <w:r>
        <w:rPr>
          <w:rFonts w:hint="eastAsia" w:ascii="仿宋_GB2312" w:eastAsia="仿宋_GB2312"/>
          <w:sz w:val="32"/>
          <w:szCs w:val="32"/>
        </w:rPr>
        <w:t xml:space="preserve"> </w:t>
      </w:r>
    </w:p>
    <w:p w14:paraId="3FE01509">
      <w:pPr>
        <w:spacing w:line="520" w:lineRule="exact"/>
        <w:ind w:firstLine="640" w:firstLineChars="200"/>
        <w:rPr>
          <w:rFonts w:hint="eastAsia"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p w14:paraId="1C4FA3DF">
      <w:r>
        <w:rPr>
          <w:rFonts w:hint="eastAsia"/>
        </w:rPr>
        <w:t xml:space="preserve"> </w:t>
      </w:r>
    </w:p>
    <w:p w14:paraId="47C28143"/>
    <w:p w14:paraId="58E0786B">
      <w:pPr>
        <w:spacing w:line="520" w:lineRule="exact"/>
        <w:jc w:val="left"/>
        <w:rPr>
          <w:rFonts w:hint="eastAsia" w:eastAsia="等线"/>
          <w:lang w:eastAsia="zh-CN"/>
        </w:rPr>
      </w:pPr>
    </w:p>
    <w:p w14:paraId="032288F5">
      <w:pPr>
        <w:spacing w:line="520" w:lineRule="exact"/>
        <w:jc w:val="center"/>
        <w:rPr>
          <w:rFonts w:hint="eastAsia" w:eastAsia="等线"/>
          <w:lang w:eastAsia="zh-CN"/>
        </w:rPr>
      </w:pPr>
    </w:p>
    <w:p w14:paraId="32C7DA66">
      <w:pPr>
        <w:spacing w:line="520" w:lineRule="exact"/>
        <w:jc w:val="center"/>
        <w:rPr>
          <w:rFonts w:hint="eastAsia" w:eastAsia="等线"/>
          <w:lang w:eastAsia="zh-CN"/>
        </w:rPr>
      </w:pPr>
      <w:r>
        <w:rPr>
          <w:rFonts w:hint="eastAsia" w:eastAsia="等线"/>
          <w:lang w:eastAsia="zh-CN"/>
        </w:rPr>
        <w:drawing>
          <wp:inline distT="0" distB="0" distL="114300" distR="114300">
            <wp:extent cx="5210175" cy="7343775"/>
            <wp:effectExtent l="0" t="0" r="9525" b="9525"/>
            <wp:docPr id="6" name="图片 6" descr="2"/>
            <wp:cNvGraphicFramePr/>
            <a:graphic xmlns:a="http://schemas.openxmlformats.org/drawingml/2006/main">
              <a:graphicData uri="http://schemas.openxmlformats.org/drawingml/2006/picture">
                <pic:pic xmlns:pic="http://schemas.openxmlformats.org/drawingml/2006/picture">
                  <pic:nvPicPr>
                    <pic:cNvPr id="6" name="图片 6" descr="2"/>
                    <pic:cNvPicPr/>
                  </pic:nvPicPr>
                  <pic:blipFill>
                    <a:blip r:embed="rId9"/>
                    <a:stretch>
                      <a:fillRect/>
                    </a:stretch>
                  </pic:blipFill>
                  <pic:spPr>
                    <a:xfrm>
                      <a:off x="0" y="0"/>
                      <a:ext cx="5210175" cy="734377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3047089-5842-452B-97E0-C98EBB1BE6B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ED31E3AF-B9E0-4F22-A2BB-37D1E48025EC}"/>
  </w:font>
  <w:font w:name="方正小标宋_GBK">
    <w:panose1 w:val="02000000000000000000"/>
    <w:charset w:val="86"/>
    <w:family w:val="script"/>
    <w:pitch w:val="default"/>
    <w:sig w:usb0="A00002BF" w:usb1="38CF7CFA" w:usb2="00082016" w:usb3="00000000" w:csb0="00040001" w:csb1="00000000"/>
    <w:embedRegular r:id="rId3" w:fontKey="{752D3503-D65E-47F9-A2A5-099945E7EB9D}"/>
  </w:font>
  <w:font w:name="仿宋_GB2312">
    <w:altName w:val="仿宋"/>
    <w:panose1 w:val="02010609030101010101"/>
    <w:charset w:val="86"/>
    <w:family w:val="modern"/>
    <w:pitch w:val="default"/>
    <w:sig w:usb0="00000000" w:usb1="00000000" w:usb2="00000010" w:usb3="00000000" w:csb0="00040000" w:csb1="00000000"/>
    <w:embedRegular r:id="rId4" w:fontKey="{15F47FF0-76B9-460A-B2F1-0CF4F6473F6D}"/>
  </w:font>
  <w:font w:name="楷体_GB2312">
    <w:altName w:val="楷体"/>
    <w:panose1 w:val="02010609030101010101"/>
    <w:charset w:val="86"/>
    <w:family w:val="modern"/>
    <w:pitch w:val="default"/>
    <w:sig w:usb0="00000000" w:usb1="00000000" w:usb2="00000010" w:usb3="00000000" w:csb0="00040000" w:csb1="00000000"/>
    <w:embedRegular r:id="rId5" w:fontKey="{6F9DF964-FF5D-4757-8A43-6FE8FCF22E9D}"/>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156"/>
    <w:rsid w:val="004142BF"/>
    <w:rsid w:val="0043594C"/>
    <w:rsid w:val="00723156"/>
    <w:rsid w:val="007320E3"/>
    <w:rsid w:val="008A6FE8"/>
    <w:rsid w:val="027A54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宋体"/>
      <w:kern w:val="2"/>
      <w:sz w:val="21"/>
      <w:szCs w:val="21"/>
      <w:lang w:val="en-US" w:eastAsia="zh-CN" w:bidi="ar-SA"/>
    </w:rPr>
  </w:style>
  <w:style w:type="character" w:default="1" w:styleId="3">
    <w:name w:val="Default Paragraph Font"/>
    <w:semiHidden/>
    <w:unhideWhenUsed/>
    <w:qFormat/>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5574</Words>
  <Characters>5843</Characters>
  <Lines>42</Lines>
  <Paragraphs>12</Paragraphs>
  <TotalTime>3</TotalTime>
  <ScaleCrop>false</ScaleCrop>
  <LinksUpToDate>false</LinksUpToDate>
  <CharactersWithSpaces>5890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2022-06-27T06:41:00Z</dcterms:created>
  <dc:creator>李冬冬</dc:creator>
  <cp:lastModifiedBy>太极箫客</cp:lastModifiedBy>
  <dcterms:modified xsi:type="dcterms:W3CDTF">2025-08-14T06:22:20Z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eyJoZGlkIjoiMDJiMzI3ODBiNTFmMWRjNDUyMjM1ZmZjODY5NDc2MWMiLCJ1c2VySWQiOiI0NTQ4Nzg1NzAifQ==</vt:lpwstr>
  </property>
  <property fmtid="{D5CDD505-2E9C-101B-9397-08002B2CF9AE}" pid="3" name="KSOProductBuildVer">
    <vt:lpwstr>2052-12.1.0.21915</vt:lpwstr>
  </property>
  <property fmtid="{D5CDD505-2E9C-101B-9397-08002B2CF9AE}" pid="4" name="ICV">
    <vt:lpwstr>BF63171ED32E4EFCB1A94FFDB2F4C63C_12</vt:lpwstr>
  </property>
</Properties>
</file>