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DB89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乙型肝炎病毒(HBV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DNA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PCR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AB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I7300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)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检侧标准操作程序</w:t>
      </w:r>
    </w:p>
    <w:p w14:paraId="344A62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一、INFORMATIONFORTEST检测信息</w:t>
      </w:r>
    </w:p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8"/>
        <w:gridCol w:w="6034"/>
      </w:tblGrid>
      <w:tr w14:paraId="2416A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8" w:type="dxa"/>
          </w:tcPr>
          <w:p w14:paraId="45BD79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left="0" w:leftChars="0" w:right="0" w:right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6034" w:type="dxa"/>
          </w:tcPr>
          <w:p w14:paraId="401F2D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left="0" w:leftChars="0" w:right="0" w:right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乙型肝炎病毒核酸</w:t>
            </w:r>
          </w:p>
        </w:tc>
      </w:tr>
      <w:tr w14:paraId="00CD7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8" w:type="dxa"/>
          </w:tcPr>
          <w:p w14:paraId="6C4C7D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left="0" w:leftChars="0" w:right="0" w:right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方法</w:t>
            </w:r>
          </w:p>
        </w:tc>
        <w:tc>
          <w:tcPr>
            <w:tcW w:w="6034" w:type="dxa"/>
          </w:tcPr>
          <w:p w14:paraId="59986D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left="0" w:leftChars="0" w:right="0" w:right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聚合酶链反应</w:t>
            </w:r>
          </w:p>
        </w:tc>
      </w:tr>
      <w:tr w14:paraId="4F006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8" w:type="dxa"/>
          </w:tcPr>
          <w:p w14:paraId="7173C8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left="0" w:leftChars="0" w:right="0" w:right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方法依据</w:t>
            </w:r>
          </w:p>
        </w:tc>
        <w:tc>
          <w:tcPr>
            <w:tcW w:w="6034" w:type="dxa"/>
          </w:tcPr>
          <w:p w14:paraId="7C46D1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left="0" w:leftChars="0" w:right="0" w:right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卫生部《全国临床检验操作规程》第三版（2006）第七篇第六章第一节</w:t>
            </w:r>
          </w:p>
        </w:tc>
      </w:tr>
    </w:tbl>
    <w:p w14:paraId="01EA54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二、ANALYTICALPRINCTPLE检测原理</w:t>
      </w:r>
    </w:p>
    <w:p w14:paraId="2BDFE7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3695700</wp:posOffset>
            </wp:positionV>
            <wp:extent cx="5145405" cy="2011680"/>
            <wp:effectExtent l="0" t="0" r="17145" b="7620"/>
            <wp:wrapNone/>
            <wp:docPr id="2" name="图片 2" descr="E:\PCR资料\PCR实验室操作流程\图库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PCR资料\PCR实验室操作流程\图库\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聚台酶链式反应(PCR〕可对特定核苷酸片段进行指数级的扩增，而实时荧光定量PCR技术，是指在PCR反应体系中加入荧光基团，利用荧光信号积累实时监测整个PCR进程，最后通过标准曲线对未知模板进行定量分析的方法。在实时荧光定量PCR反应中，引入了一种荧光化学物质，荧光物质有两种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荧光探针和荧光染料。我们目前是使用TaqMan荧光探针的检测原理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PCR扩增时在加入一对引物的同时加入一个特异性的荧光探针，该探针为一寡核苷酸，两端分别标记一个报告荧光基团和一个淬灭荧光基团。探针完整时，报告基团发射的荧光信号被淬灭基团吸收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PCR扩增时，Taq酶的5’一3’外切酶活性将探针酶切降解，使报告荧光基团和淬灭荧光基团分离，从而荧光监测系统可接收到荧光信号，即每扩增一条DNA链，就有一个荧光分子形成，荧光信号强度也等比例增加（图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一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）。这样就可以通过荧光强度变化监测产物量的变化，从而得到一条荧光扩增曲线图。</w:t>
      </w:r>
    </w:p>
    <w:p w14:paraId="6D627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F9A28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41C78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35332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5E5A2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42C31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三、操作步骤</w:t>
      </w:r>
    </w:p>
    <w:p w14:paraId="48DEE9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（一）试剂配制</w:t>
      </w:r>
    </w:p>
    <w:p w14:paraId="04F7D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1651000</wp:posOffset>
            </wp:positionV>
            <wp:extent cx="4105910" cy="3741420"/>
            <wp:effectExtent l="0" t="0" r="8890" b="11430"/>
            <wp:wrapNone/>
            <wp:docPr id="3" name="图片 3" descr="E:\PCR资料\PCR实验室操作流程\图库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PCR资料\PCR实验室操作流程\图库\图片2.png图片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进入试剂准备区，开启冰箱冷冻层取出HBV-DNA检测试剂盒。查看外包装盒(包括生产批号、有效期)，无误后拆开试剂盒，取出核酸提取液、反应液及Taq酶(核对核酸提取液、HBVPCR反应液及Taq酶管上批号与试剂外包装盒批号是否一致)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（图1）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，不一致则不可使用，需更换新的试剂。室温平衡20min，完全融化后2000rpm离心备用。</w:t>
      </w:r>
    </w:p>
    <w:p w14:paraId="5F497B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4D9C0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E32C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DE11A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83207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5F69D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F425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62AB1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CF525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77E89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E8A73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372AA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DDBA5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核酸提取液的分装</w:t>
      </w:r>
    </w:p>
    <w:p w14:paraId="2D8717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取0.5m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l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离心管架置于超净工作台内(开机前用紫外线消毒30分钟)，用右手拿起镊子逐个将离心管放入离心管架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注意应夹住离心管外壁，不能碰到管内壁)，摆放顺序为横列从左往右摆，竖列为从上往下隔行排，离心管个数为n(n=样本数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+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对照品+质控品)。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成后将镊子放回原位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</w:p>
    <w:p w14:paraId="67BECD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129540</wp:posOffset>
            </wp:positionV>
            <wp:extent cx="3961765" cy="2663825"/>
            <wp:effectExtent l="0" t="0" r="635" b="3175"/>
            <wp:wrapNone/>
            <wp:docPr id="4" name="图片 4" descr="E:\PCR资料\PCR实验室操作流程\图库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PCR资料\PCR实验室操作流程\图库\图片3.png图片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6FF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035AF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E020D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895B8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4F7B1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411F2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09550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E5915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用移液器准确吸取核酸提取液50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ul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分装至0.5m1离心管中(左上角第一排开始，从左住右依次加入）。因核酸提取液内含固体沉淀颗粒物，为使颗粒均匀分布，故每次取样时都要用移液器反复吸打3-4次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。分装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毕后将移液器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量程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归位。</w:t>
      </w:r>
    </w:p>
    <w:p w14:paraId="7583C8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19685</wp:posOffset>
            </wp:positionV>
            <wp:extent cx="4110355" cy="3137535"/>
            <wp:effectExtent l="0" t="0" r="4445" b="5715"/>
            <wp:wrapNone/>
            <wp:docPr id="5" name="图片 5" descr="E:\PCR资料\PCR实验室操作流程\图库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PCR资料\PCR实验室操作流程\图库\图片4.png图片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50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FCF36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F8EDB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0DE7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4ADC8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451BB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8939C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4E67F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D2EC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（3）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加完一架后用右手拿镊子将离心管拿起，左手大拇指和中指夹紧离心管下部，然后用食指将盖子盖上，顺序为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从右下角第一个开始，从右住左依次盖上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4），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离心管盖全部盖完后，通过传递窗转移至标本处理区。</w:t>
      </w:r>
    </w:p>
    <w:p w14:paraId="698BE0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147320</wp:posOffset>
            </wp:positionV>
            <wp:extent cx="4362450" cy="2894965"/>
            <wp:effectExtent l="0" t="0" r="0" b="635"/>
            <wp:wrapNone/>
            <wp:docPr id="6" name="图片 6" descr="E:\PCR资料\PCR实验室操作流程\图库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PCR资料\PCR实验室操作流程\图库\图片5.png图片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6CB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D9CD1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48DC4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41957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55F3D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00C69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87CE8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1F4BA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456D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HBV-DNA反应液的配制</w:t>
      </w:r>
    </w:p>
    <w:p w14:paraId="0DBA0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每批需设置空白对照、阴性对照、临界阳性对照（同时检测低值阳性质控品，则无需再检测临界阳性对照〕、阳性质控品、阳性标准品。所需每批需配制数n=样本数+对照品+阳性标准品+质控品，每个测试反应体系配制如下表：</w:t>
      </w:r>
    </w:p>
    <w:tbl>
      <w:tblPr>
        <w:tblStyle w:val="3"/>
        <w:tblpPr w:leftFromText="180" w:rightFromText="180" w:vertAnchor="text" w:horzAnchor="page" w:tblpX="1840" w:tblpY="499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BEC3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6EC67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right="0" w:right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试剂</w:t>
            </w:r>
          </w:p>
        </w:tc>
        <w:tc>
          <w:tcPr>
            <w:tcW w:w="2841" w:type="dxa"/>
          </w:tcPr>
          <w:p w14:paraId="50883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right="0" w:right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HBV PCR反应液</w:t>
            </w:r>
          </w:p>
        </w:tc>
        <w:tc>
          <w:tcPr>
            <w:tcW w:w="2841" w:type="dxa"/>
          </w:tcPr>
          <w:p w14:paraId="5FB14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right="0" w:right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Taq酶</w:t>
            </w:r>
          </w:p>
        </w:tc>
      </w:tr>
      <w:tr w14:paraId="1C71C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55A6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right="0" w:right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用量（ul）</w:t>
            </w:r>
          </w:p>
        </w:tc>
        <w:tc>
          <w:tcPr>
            <w:tcW w:w="2841" w:type="dxa"/>
          </w:tcPr>
          <w:p w14:paraId="43772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right="0" w:right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35.7</w:t>
            </w:r>
          </w:p>
        </w:tc>
        <w:tc>
          <w:tcPr>
            <w:tcW w:w="2841" w:type="dxa"/>
          </w:tcPr>
          <w:p w14:paraId="0B960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right="0" w:right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0.3</w:t>
            </w:r>
          </w:p>
        </w:tc>
      </w:tr>
    </w:tbl>
    <w:p w14:paraId="48E5EE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76185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每盒HBV-DNA试剂可检测32人份，根据每日需检测标本份数计算出每批所需HBV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PCR反应液和Taq酶用量（例有111人份需要进行检测，则有3盒试剂可直接使用10ul移液器将Taq酶加入HBV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PCR反应液中，另有111-3*32=15人份试剂需将HBV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PCR反应液和Taq酶使用移液器按反应体系比例吸取至1.5m1离心管中配制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5）。</w:t>
      </w:r>
    </w:p>
    <w:p w14:paraId="506967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AFC73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6A2B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99695</wp:posOffset>
            </wp:positionV>
            <wp:extent cx="3706495" cy="2757805"/>
            <wp:effectExtent l="0" t="0" r="8255" b="4445"/>
            <wp:wrapNone/>
            <wp:docPr id="8" name="图片 8" descr="E:\PCR资料\PCR实验室操作流程\图库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PCR资料\PCR实验室操作流程\图库\图片6.png图片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0F0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3FE80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2D07B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B1437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AC918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8CB6B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8959E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6772C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取出离心后备用的HBV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PCR反应液和Taq酶，按上述要求配制后用旋涡振荡器振荡混匀5-10sec，然后再用离心机2000rpm离心10sec备用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</w:p>
    <w:p w14:paraId="67E386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5267960" cy="2600325"/>
            <wp:effectExtent l="0" t="0" r="8890" b="9525"/>
            <wp:wrapNone/>
            <wp:docPr id="9" name="图片 9" descr="E:\PCR资料\PCR实验室操作流程\图库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PCR资料\PCR实验室操作流程\图库\图片7.png图片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F3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BE3C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4364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2F9B5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9CB88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2D0D1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4B2AD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（3）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从操作台面上拿取HBV-DHA试剂配制盒(可选用空余的200u1枪头盒)至超净工作台内，打开配制盒并用记号笔在相应的孔位右旁按顺序编号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7）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。编号规则为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样本扩增反应管对应的孔位按相应的样本流水号编写、阳性质控品反应管对应的孔位编“Q”（如有高值则标为H，低值为L)，阴性对照品孔位编“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”，临界阳性对照对应的孔位编“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±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”，空白对照对应的孔位编“B”，1号标准品对应的孔位编“S1”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2号标准品对应的孔位编“S2”，依此类推。</w:t>
      </w:r>
    </w:p>
    <w:p w14:paraId="1EB7A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175260</wp:posOffset>
            </wp:positionV>
            <wp:extent cx="4501515" cy="3433445"/>
            <wp:effectExtent l="0" t="0" r="13335" b="14605"/>
            <wp:wrapNone/>
            <wp:docPr id="10" name="图片 10" descr="E:\PCR资料\PCR实验室操作流程\图库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PCR资料\PCR实验室操作流程\图库\图片8.png图片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6FE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736C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63E27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9F371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50D60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5C66B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C4662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39400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9857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A8BCA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887095</wp:posOffset>
            </wp:positionV>
            <wp:extent cx="3558540" cy="2472690"/>
            <wp:effectExtent l="0" t="0" r="3810" b="3810"/>
            <wp:wrapNone/>
            <wp:docPr id="11" name="图片 11" descr="E:\PCR资料\PCR实验室操作流程\图库\图片9.png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PCR资料\PCR实验室操作流程\图库\图片9.png图片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（4）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编号完毕后，用右手拿起镊子夹起反应管(ABI7300使用的是八联一薄壁反应管，镊子应夹住反应管外壁，不可接触到内壁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8）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所示方向依次将所有反应管(反应管数=n)隔列摆放到配置盒上。</w:t>
      </w:r>
    </w:p>
    <w:p w14:paraId="3F03A3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6A20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881D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100D6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B8746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05AF6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C1F78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C4FF5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（5）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从离心机中取出已混好Taq酶的PCR反应液，用移液器(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量程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调至36ul)，准确吸取反应液并按从上到下、从左至右的顺序依次加至反应管中，注意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吸头应深入到反应管底部，放液时应缓慢，切勿形成气泡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（图9）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。全部加样完毕后将配制盒通过传递窗转移至样本处理区。</w:t>
      </w:r>
    </w:p>
    <w:p w14:paraId="7468ED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85090</wp:posOffset>
            </wp:positionV>
            <wp:extent cx="4528185" cy="3107690"/>
            <wp:effectExtent l="0" t="0" r="5715" b="16510"/>
            <wp:wrapNone/>
            <wp:docPr id="12" name="图片 12" descr="E:\PCR资料\PCR实验室操作流程\图库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PCR资料\PCR实验室操作流程\图库\图片10.png图片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30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B0B6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24B9AE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2E89A3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102813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52903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2835A1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30B12E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0DBE4F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（二）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标本处理</w:t>
      </w:r>
    </w:p>
    <w:p w14:paraId="771555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标本、质控品及对照品的处理</w:t>
      </w:r>
    </w:p>
    <w:p w14:paraId="000568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从冰箱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冷冻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室取出HBV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D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N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A阳性质控品、阴性对照品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室温平衡20min待其完全融化。</w:t>
      </w:r>
    </w:p>
    <w:p w14:paraId="2C804C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572135</wp:posOffset>
                </wp:positionV>
                <wp:extent cx="1662430" cy="1056005"/>
                <wp:effectExtent l="19050" t="19050" r="33020" b="2984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8260" y="6385560"/>
                          <a:ext cx="1662430" cy="10560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2A36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eastAsia="黑体"/>
                                <w:b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Outline w14:w="9525">
                                  <w14:solidFill>
                                    <w14:schemeClr w14:val="tx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Outline w14:w="9525">
                                  <w14:solidFill>
                                    <w14:schemeClr w14:val="tx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ADICON</w:t>
                            </w:r>
                          </w:p>
                          <w:p w14:paraId="4375351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eastAsia="黑体"/>
                                <w:b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Outline w14:w="9525">
                                  <w14:solidFill>
                                    <w14:schemeClr w14:val="tx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Outline w14:w="9525">
                                  <w14:solidFill>
                                    <w14:schemeClr w14:val="tx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 0001</w:t>
                            </w:r>
                          </w:p>
                          <w:p w14:paraId="78E25C1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eastAsia="黑体"/>
                                <w:b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Outline w14:w="9525">
                                  <w14:solidFill>
                                    <w14:schemeClr w14:val="tx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Outline w14:w="9525">
                                  <w14:solidFill>
                                    <w14:schemeClr w14:val="tx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2016-01-12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0.6pt;margin-top:45.05pt;height:83.15pt;width:130.9pt;z-index:251669504;v-text-anchor:middle;mso-width-relative:page;mso-height-relative:page;" filled="f" stroked="t" coordsize="21600,21600" o:gfxdata="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mbAbY9cAAAAKAQAADwAAAAAAAAABACAAAAAiAAAAZHJzL2Rv&#10;d25yZXYueG1sUEsBAhQAFAAAAAgAh07iQMxkYaF0AgAA4wQAAA4AAAAAAAAAAQAgAAAAJgEAAGRy&#10;cy9lMm9Eb2MueG1sUEsFBgAAAAAGAAYAWQEAAAwGAAAAAA==&#10;">
                <v:fill on="f" focussize="0,0"/>
                <v:stroke weight="3pt" color="#000000 [3213]" miterlimit="8" joinstyle="miter"/>
                <v:imagedata o:title=""/>
                <o:lock v:ext="edit" aspectratio="f"/>
                <v:textbox>
                  <w:txbxContent>
                    <w:p w14:paraId="3092A3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eastAsia="黑体"/>
                          <w:b/>
                          <w:color w:val="000000" w:themeColor="text1"/>
                          <w:sz w:val="30"/>
                          <w:szCs w:val="30"/>
                          <w:lang w:val="en-US" w:eastAsia="zh-CN"/>
                          <w14:textOutline w14:w="9525">
                            <w14:solidFill>
                              <w14:schemeClr w14:val="tx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sz w:val="30"/>
                          <w:szCs w:val="30"/>
                          <w:lang w:val="en-US" w:eastAsia="zh-CN"/>
                          <w14:textOutline w14:w="9525">
                            <w14:solidFill>
                              <w14:schemeClr w14:val="tx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ADICON</w:t>
                      </w:r>
                    </w:p>
                    <w:p w14:paraId="4375351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eastAsia="黑体"/>
                          <w:b/>
                          <w:color w:val="000000" w:themeColor="text1"/>
                          <w:sz w:val="30"/>
                          <w:szCs w:val="30"/>
                          <w:lang w:val="en-US" w:eastAsia="zh-CN"/>
                          <w14:textOutline w14:w="9525">
                            <w14:solidFill>
                              <w14:schemeClr w14:val="tx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sz w:val="30"/>
                          <w:szCs w:val="30"/>
                          <w:lang w:val="en-US" w:eastAsia="zh-CN"/>
                          <w14:textOutline w14:w="9525">
                            <w14:solidFill>
                              <w14:schemeClr w14:val="tx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 0001</w:t>
                      </w:r>
                    </w:p>
                    <w:p w14:paraId="78E25C1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eastAsia="黑体"/>
                          <w:b/>
                          <w:color w:val="000000" w:themeColor="text1"/>
                          <w:sz w:val="30"/>
                          <w:szCs w:val="30"/>
                          <w:lang w:val="en-US" w:eastAsia="zh-CN"/>
                          <w14:textOutline w14:w="9525">
                            <w14:solidFill>
                              <w14:schemeClr w14:val="tx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sz w:val="30"/>
                          <w:szCs w:val="30"/>
                          <w:lang w:val="en-US" w:eastAsia="zh-CN"/>
                          <w14:textOutline w14:w="9525">
                            <w14:solidFill>
                              <w14:schemeClr w14:val="tx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2016-01-12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核对标本和原始申请单的条形码和检验项目，无误后依次粘贴上相应的流水号，如</w:t>
      </w:r>
    </w:p>
    <w:p w14:paraId="11A6E2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3A690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8B42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00E72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从传递窗中取出试剂准备区分装好核酸提取液的离心管架，移至生物安全柜内在管盖上用记号笔写上阿拉伯数字1、2、3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、......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，阳性质控管标上“Q”（如有高值则标为H，低值为L)，阴性对照管标上“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”，临界阳性对照管标上“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±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’，。离心管盖上标记的是1，就表示该管要加入流水号为P0001的标本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图1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0）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</w:p>
    <w:p w14:paraId="304A7F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39ED9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900D7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131445</wp:posOffset>
            </wp:positionV>
            <wp:extent cx="5257800" cy="3496310"/>
            <wp:effectExtent l="0" t="0" r="0" b="8890"/>
            <wp:wrapNone/>
            <wp:docPr id="14" name="图片 14" descr="E:\PCR资料\PCR实验室操作流程\图库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PCR资料\PCR实验室操作流程\图库\图片11.png图片1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1E8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AD2FF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EEA60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C9A3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FD2E2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D7961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84362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349CC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45DB9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1CBC0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4AC1F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注意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每个离心管的编号方向都应朝向管口开启的方向。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图1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1）</w:t>
      </w:r>
    </w:p>
    <w:p w14:paraId="1424EE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EBCA6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B893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C4CE4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79246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3C0F6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D0EB6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6A7B2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C0240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4AE8F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-3357880</wp:posOffset>
            </wp:positionV>
            <wp:extent cx="5257800" cy="3562985"/>
            <wp:effectExtent l="0" t="0" r="0" b="18415"/>
            <wp:wrapNone/>
            <wp:docPr id="15" name="图片 15" descr="E:\PCR资料\PCR实验室操作流程\图库\图片12.png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PCR资料\PCR实验室操作流程\图库\图片12.png图片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819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AC235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2000885</wp:posOffset>
            </wp:positionV>
            <wp:extent cx="4131945" cy="2713990"/>
            <wp:effectExtent l="0" t="0" r="1905" b="10160"/>
            <wp:wrapNone/>
            <wp:docPr id="16" name="图片 16" descr="E:\PCR资料\PCR实验室操作流程\图库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PCR资料\PCR实验室操作流程\图库\图片13.png图片1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去除标本管盖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将标本从前处理取至标本准备区，按排列顺序依次去除样本管上的橡胶塞。具体操作为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在生物安全柜中，左手拿起血清管并固定，右手拇指和中指涅紧橡胶塞，右手食指轻轻顶住橡胶塞顶部凹面，逆时针方向轻轻旋下橡胶塞后废弃于装有消毒液的垃极桶（图1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。（注意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手指切勿接触到血清管口或碰触到血清，如手套上有血清则需及时跟换新的手套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待所有样本管盖都去除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毕后，也需更换新的手套。)</w:t>
      </w:r>
    </w:p>
    <w:p w14:paraId="44F678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2133C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539E9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8E48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2F10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4C78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6CC26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FD777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样本及对照品的处理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</w:p>
    <w:p w14:paraId="391B2B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892175</wp:posOffset>
            </wp:positionV>
            <wp:extent cx="4097655" cy="2878455"/>
            <wp:effectExtent l="0" t="0" r="17145" b="17145"/>
            <wp:wrapNone/>
            <wp:docPr id="17" name="图片 17" descr="E:\PCR资料\PCR实验室操作流程\图库\图片14.png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PCR资料\PCR实验室操作流程\图库\图片14.png图片1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a、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左手拿起样本，用量程为200u1调至50u1的移液器准确吸取样本(注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为保证样本的均一性和吸样准确，每次取样时需用移液器将样本吸打3-5次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吸样时移液器套筒不可接触到样本管内壁)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图1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3）</w:t>
      </w:r>
    </w:p>
    <w:p w14:paraId="61C3E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5F133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FBC6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11F0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8BE6C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C1E22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B55E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27ED5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645795</wp:posOffset>
            </wp:positionV>
            <wp:extent cx="4772025" cy="2962910"/>
            <wp:effectExtent l="0" t="0" r="9525" b="8890"/>
            <wp:wrapNone/>
            <wp:docPr id="18" name="图片 18" descr="E:\PCR资料\PCR实验室操作流程\图库\图片15.jpg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PCR资料\PCR实验室操作流程\图库\图片15.jpg图片1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b.吸样完毕后，将样本管放至另一试管架中(切勿不可将样本放回原试管架位)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图1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4）。</w:t>
      </w:r>
    </w:p>
    <w:p w14:paraId="791592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214C4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94033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30B6B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8514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93484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AAD20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E111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35487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A6CF3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c.再用左手按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前面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所述样本流水号和离心管编号的对应关系拿起相应的离心管，打开离心管盖(注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单手操作，食指和中指固定离心管，拇指稍向后上方发力打开管盖，手指切勿碰到离心管口和管盖内侧)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15）。</w:t>
      </w:r>
    </w:p>
    <w:p w14:paraId="75A0D3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1036A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CC278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D16F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DA1E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EC672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EA5F0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5A2E5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15443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-2995930</wp:posOffset>
            </wp:positionV>
            <wp:extent cx="4791075" cy="3201035"/>
            <wp:effectExtent l="0" t="0" r="9525" b="18415"/>
            <wp:wrapNone/>
            <wp:docPr id="19" name="图片 19" descr="E:\PCR资料\PCR实验室操作流程\图库\图片16.png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PCR资料\PCR实验室操作流程\图库\图片16.png图片1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C7A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d.管盖完全打开后，用左手食指、拇指和中指固定离心管，将吸头中的样本全部打入离心管底部，轻轻吸打混匀3-5次。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16）</w:t>
      </w:r>
    </w:p>
    <w:p w14:paraId="5824D1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358AD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0B9C9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6740D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EDAC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27D38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93C68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3E90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163EE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D19A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-3357245</wp:posOffset>
            </wp:positionV>
            <wp:extent cx="5269230" cy="3562350"/>
            <wp:effectExtent l="0" t="0" r="7620" b="0"/>
            <wp:wrapNone/>
            <wp:docPr id="20" name="图片 20" descr="E:\PCR资料\PCR实验室操作流程\图库\图片17.png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\PCR资料\PCR实验室操作流程\图库\图片17.png图片1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17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1449070</wp:posOffset>
            </wp:positionV>
            <wp:extent cx="4810760" cy="2913380"/>
            <wp:effectExtent l="0" t="0" r="8890" b="1270"/>
            <wp:wrapNone/>
            <wp:docPr id="21" name="图片 21" descr="E:\PCR资料\PCR实验室操作流程\图库\图片18.png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:\PCR资料\PCR实验室操作流程\图库\图片18.png图片1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e.加样完毕后弃枪头干盛有消毒液的垃极桶中(注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一个吸头只能用于一个样本的吸样，禁止使用一个吸头重复吸取不同样本)。同时盖上离心管盖并放回离心管架(放回的位置需另起一行，切不可放回原位)，继续处理下一个样本。对照品和质控品同病人样本一样处理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17）</w:t>
      </w:r>
    </w:p>
    <w:p w14:paraId="6AA4B9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6D6F8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50DF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03038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14973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64BE0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3DEA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4EBEC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f.待一架离心管全部加样完成后用振荡混匀器充分振荡混匀10-15秒。</w:t>
      </w:r>
    </w:p>
    <w:p w14:paraId="018A0B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g.左手将混匀后的离心管转移至恒温金属浴上(注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离心管需对称的放置在恒温金属浴相匹配的孔槽内)，用计时器计时，100℃误差不超过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±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1℃〕干浴10min(误差不超过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±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30sec)。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18）</w:t>
      </w:r>
    </w:p>
    <w:p w14:paraId="70F154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0FBA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C43D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D86CB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EB99C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10EBF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1EE52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E5BF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51228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FDF3B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-3300730</wp:posOffset>
            </wp:positionV>
            <wp:extent cx="5273675" cy="3512820"/>
            <wp:effectExtent l="0" t="0" r="3175" b="11430"/>
            <wp:wrapNone/>
            <wp:docPr id="22" name="图片 22" descr="E:\PCR资料\PCR实验室操作流程\图库\图片19.png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\PCR资料\PCR实验室操作流程\图库\图片19.png图片1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1C1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602615</wp:posOffset>
            </wp:positionV>
            <wp:extent cx="2730500" cy="2903220"/>
            <wp:effectExtent l="0" t="0" r="12700" b="11430"/>
            <wp:wrapNone/>
            <wp:docPr id="23" name="图片 23" descr="E:\PCR资料\PCR实验室操作流程\图库\图片20.png图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\PCR资料\PCR实验室操作流程\图库\图片20.png图片2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干浴时用离心管架置于加热的离心管上，防止离心管盖因加热爆开导致标本间的污染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19）。</w:t>
      </w:r>
    </w:p>
    <w:p w14:paraId="3B3BE1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28F39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8CBD1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7C8D3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6B1A0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184DD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F5C67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2C9E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h.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分钟后〔前后不超过半分钟)，右手用摄子夹起橡皮垫从恒温金属浴中拿出离心管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图2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0）。</w:t>
      </w:r>
    </w:p>
    <w:p w14:paraId="5429D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8255</wp:posOffset>
            </wp:positionV>
            <wp:extent cx="4943475" cy="3643630"/>
            <wp:effectExtent l="0" t="0" r="9525" b="13970"/>
            <wp:wrapNone/>
            <wp:docPr id="24" name="图片 24" descr="E:\PCR资料\PCR实验室操作流程\图库\图片21.png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\PCR资料\PCR实验室操作流程\图库\图片21.png图片2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85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E5633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F9893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EA82B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693B0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5CE8D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D27A4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3B008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4604B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C0E63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1028065</wp:posOffset>
            </wp:positionV>
            <wp:extent cx="4708525" cy="3189605"/>
            <wp:effectExtent l="0" t="0" r="15875" b="10795"/>
            <wp:wrapNone/>
            <wp:docPr id="25" name="图片 25" descr="E:\PCR资料\PCR实验室操作流程\图库\图片22.png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\PCR资料\PCR实验室操作流程\图库\图片22.png图片2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I.将上述离心管按顺序对称放入低温高速离心机转子孔内，摆放离心管时要将离心管开口朝内，盖上转子盖及离心机盖后，12,OOOrpm离心10min(注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离心时需在转子孔内放置0.5m1离心管专用适配器（图2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）。</w:t>
      </w:r>
    </w:p>
    <w:p w14:paraId="657190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CE41A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D123D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611E0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B817B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F918C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59B16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0859A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4A977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j.待离心结束后，取出离心管并按编号顺序依次摆放在离心管架上(参照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图1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0）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的排列方式)并4'C冰箱保存备用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若当夭不使用，则应保存在一20'C条件下，使用前置室温平衡20min，再以12,OOOrpm离心10min。</w:t>
      </w:r>
    </w:p>
    <w:p w14:paraId="3D15C8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51744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待全部样本加样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毕更换手套，左手用镊子夹起反应管盖的一侧的延伸段(不要碰到管盖)，然后用右手大拇指从左住右依次盖紧管盖(不要碰到其他未盖的反应管口)（如图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）。</w:t>
      </w:r>
    </w:p>
    <w:p w14:paraId="0C44BA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12065</wp:posOffset>
            </wp:positionV>
            <wp:extent cx="5269230" cy="3636645"/>
            <wp:effectExtent l="0" t="0" r="7620" b="1905"/>
            <wp:wrapNone/>
            <wp:docPr id="26" name="图片 26" descr="E:\PCR资料\PCR实验室操作流程\图库\图片23.png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\PCR资料\PCR实验室操作流程\图库\图片23.png图片2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339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17CC5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EDFC7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1C0C7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4FF70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A567D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F48C2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F78D8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B520C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928BE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将反应管连同试剂配置盒通过传递窗传至扩增分析区。</w:t>
      </w:r>
    </w:p>
    <w:p w14:paraId="7C6ECE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5D162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（三）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扩增分析</w:t>
      </w:r>
    </w:p>
    <w:p w14:paraId="70F5DC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打开扩增仪专用电脑，待电脑完全启动进入操作界面后再开启定量PCR仪主机电源。</w:t>
      </w:r>
    </w:p>
    <w:p w14:paraId="1A5829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按压托盘以打开它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23）。</w:t>
      </w:r>
    </w:p>
    <w:p w14:paraId="338970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4FF7E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7E4AE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E999C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C1755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CB203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9E342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-1966595</wp:posOffset>
            </wp:positionV>
            <wp:extent cx="2214245" cy="2185670"/>
            <wp:effectExtent l="0" t="0" r="14605" b="5080"/>
            <wp:wrapNone/>
            <wp:docPr id="27" name="图片 27" descr="E:\PCR资料\PCR实验室操作流程\图库\图片24.png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\PCR资料\PCR实验室操作流程\图库\图片24.png图片24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4E3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1189990</wp:posOffset>
            </wp:positionV>
            <wp:extent cx="5268595" cy="3571875"/>
            <wp:effectExtent l="0" t="0" r="8255" b="9525"/>
            <wp:wrapNone/>
            <wp:docPr id="28" name="图片 28" descr="E:\PCR资料\PCR实验室操作流程\图库\图片25.png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\PCR资料\PCR实验室操作流程\图库\图片25.png图片25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b.将反应管按顺序纵向放置放入反应板架(注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在反应管总数不足96个时，应对称的将反应管放置在反应板架上，两边放置要求尽可能对称，可以防止热盖下压时发生倾斜，也可以使各反应管受力和受热都比较均匀)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24）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</w:p>
    <w:p w14:paraId="3BBDAD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84F95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F11B4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46B40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F33BF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2E4FD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95EE4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23E3D7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8B626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7D484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5C526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c.按压托盘以关闭它。</w:t>
      </w:r>
    </w:p>
    <w:p w14:paraId="0ABFD6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center"/>
        <w:textAlignment w:val="auto"/>
        <w:outlineLvl w:val="9"/>
        <w:rPr>
          <w:rFonts w:hint="eastAsia" w:eastAsia="宋体"/>
          <w:lang w:eastAsia="zh-CN"/>
        </w:rPr>
      </w:pPr>
    </w:p>
    <w:p w14:paraId="1A3036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center"/>
        <w:textAlignment w:val="auto"/>
        <w:outlineLvl w:val="9"/>
        <w:rPr>
          <w:rFonts w:hint="eastAsia" w:eastAsia="宋体"/>
          <w:lang w:eastAsia="zh-CN"/>
        </w:rPr>
      </w:pPr>
    </w:p>
    <w:p w14:paraId="07C56D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/>
        <w:jc w:val="center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10175" cy="7343775"/>
            <wp:effectExtent l="0" t="0" r="9525" b="9525"/>
            <wp:docPr id="7" name="图片 7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5A468A"/>
    <w:multiLevelType w:val="singleLevel"/>
    <w:tmpl w:val="595A468A"/>
    <w:lvl w:ilvl="0" w:tentative="0">
      <w:start w:val="1"/>
      <w:numFmt w:val="lowerLetter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20708"/>
    <w:rsid w:val="063000FC"/>
    <w:rsid w:val="0EE02EBE"/>
    <w:rsid w:val="13CB1CE4"/>
    <w:rsid w:val="1B8E305F"/>
    <w:rsid w:val="26AF0B11"/>
    <w:rsid w:val="27027AF6"/>
    <w:rsid w:val="4A3A76A0"/>
    <w:rsid w:val="508A20DE"/>
    <w:rsid w:val="5EA9036F"/>
    <w:rsid w:val="5F5D78CF"/>
    <w:rsid w:val="6183046E"/>
    <w:rsid w:val="6EDC63B5"/>
    <w:rsid w:val="7C2E3119"/>
    <w:rsid w:val="7FBA69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3195</Words>
  <Characters>3543</Characters>
  <Lines>0</Lines>
  <Paragraphs>0</Paragraphs>
  <TotalTime>0</TotalTime>
  <ScaleCrop>false</ScaleCrop>
  <LinksUpToDate>false</LinksUpToDate>
  <CharactersWithSpaces>3552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太极箫客</cp:lastModifiedBy>
  <dcterms:modified xsi:type="dcterms:W3CDTF">2025-08-14T06:22:04Z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eyJoZGlkIjoiMDJiMzI3ODBiNTFmMWRjNDUyMjM1ZmZjODY5NDc2MWMiLCJ1c2VySWQiOiI0NTQ4Nzg1NzAifQ==</vt:lpwstr>
  </property>
  <property fmtid="{D5CDD505-2E9C-101B-9397-08002B2CF9AE}" pid="4" name="ICV">
    <vt:lpwstr>3ED5E171D973462784D6860A647390A0_12</vt:lpwstr>
  </property>
</Properties>
</file>