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AE48F">
      <w:bookmarkStart w:id="10" w:name="_GoBack"/>
      <w:bookmarkEnd w:id="10"/>
    </w:p>
    <w:p w14:paraId="5D8F1485"/>
    <w:p w14:paraId="55131299"/>
    <w:p w14:paraId="57BD6114">
      <w:pPr>
        <w:pStyle w:val="2"/>
      </w:pPr>
    </w:p>
    <w:p w14:paraId="174232E1"/>
    <w:p w14:paraId="61A6A9D1"/>
    <w:p w14:paraId="51CDAD16">
      <w:pPr>
        <w:autoSpaceDE w:val="0"/>
        <w:autoSpaceDN w:val="0"/>
        <w:adjustRightInd w:val="0"/>
        <w:rPr>
          <w:rFonts w:ascii="Times New Roman" w:hAnsi="Times New Roman" w:eastAsia="楷体_GB2312" w:cs="Times New Roman"/>
          <w:b/>
          <w:sz w:val="48"/>
          <w:szCs w:val="48"/>
        </w:rPr>
      </w:pPr>
      <w:r>
        <w:rPr>
          <w:rFonts w:ascii="Times New Roman" w:hAnsi="Times New Roman" w:eastAsia="黑体" w:cs="Times New Roman"/>
          <w:bCs/>
          <w:kern w:val="0"/>
          <w:sz w:val="52"/>
          <w:szCs w:val="52"/>
          <w:lang w:eastAsia="en-US"/>
        </w:rPr>
        <w:t xml:space="preserve">Post-market surveillance </w:t>
      </w:r>
      <w:r>
        <w:rPr>
          <w:rFonts w:hint="eastAsia" w:ascii="Times New Roman" w:hAnsi="Times New Roman" w:eastAsia="黑体" w:cs="Times New Roman"/>
          <w:bCs/>
          <w:kern w:val="0"/>
          <w:sz w:val="52"/>
          <w:szCs w:val="52"/>
        </w:rPr>
        <w:t>Plan</w:t>
      </w:r>
    </w:p>
    <w:p w14:paraId="5A760FFD"/>
    <w:p w14:paraId="7E50456F">
      <w:pPr>
        <w:rPr>
          <w:rFonts w:ascii="Cambria" w:hAnsi="Cambria" w:eastAsia="Cambria" w:cs="Cambria"/>
          <w:sz w:val="16"/>
          <w:szCs w:val="16"/>
        </w:rPr>
      </w:pPr>
    </w:p>
    <w:p w14:paraId="68849C12">
      <w:pPr>
        <w:pStyle w:val="2"/>
        <w:rPr>
          <w:rFonts w:ascii="Cambria" w:hAnsi="Cambria" w:eastAsia="Cambria" w:cs="Cambria"/>
          <w:color w:val="auto"/>
          <w:sz w:val="16"/>
          <w:szCs w:val="16"/>
        </w:rPr>
      </w:pPr>
    </w:p>
    <w:p w14:paraId="42645C58">
      <w:pPr>
        <w:pStyle w:val="2"/>
        <w:rPr>
          <w:rFonts w:ascii="Times New Roman" w:hAnsi="Times New Roman" w:cs="Times New Roman" w:eastAsiaTheme="minorEastAsia"/>
          <w:color w:val="auto"/>
          <w:kern w:val="2"/>
          <w:sz w:val="28"/>
          <w:szCs w:val="28"/>
          <w:lang w:eastAsia="zh-CN"/>
        </w:rPr>
      </w:pPr>
    </w:p>
    <w:p w14:paraId="1F3774D6">
      <w:pPr>
        <w:spacing w:line="480" w:lineRule="auto"/>
        <w:ind w:firstLine="562" w:firstLineChars="200"/>
        <w:jc w:val="left"/>
        <w:rPr>
          <w:b/>
          <w:bCs/>
          <w:sz w:val="28"/>
          <w:szCs w:val="28"/>
        </w:rPr>
      </w:pPr>
      <w:bookmarkStart w:id="0" w:name="OLE_LINK15"/>
      <w:bookmarkStart w:id="1" w:name="OLE_LINK14"/>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2D89F98E">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14:paraId="21377ED3">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14:paraId="69092E01">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p>
    <w:bookmarkEnd w:id="0"/>
    <w:bookmarkEnd w:id="1"/>
    <w:p w14:paraId="2036D5E6"/>
    <w:p w14:paraId="72B8A3DB">
      <w:pPr>
        <w:rPr>
          <w:rFonts w:ascii="Times New Roman" w:hAnsi="Times New Roman" w:cs="Times New Roman"/>
          <w:sz w:val="28"/>
          <w:szCs w:val="28"/>
          <w:u w:val="single"/>
        </w:rPr>
      </w:pPr>
    </w:p>
    <w:p w14:paraId="3072F774">
      <w:pPr>
        <w:pStyle w:val="2"/>
        <w:ind w:firstLine="560" w:firstLineChars="200"/>
        <w:rPr>
          <w:rFonts w:ascii="Cambria" w:hAnsi="Cambria" w:eastAsia="Cambria" w:cs="Cambria"/>
          <w:color w:val="auto"/>
          <w:sz w:val="28"/>
          <w:szCs w:val="28"/>
        </w:rPr>
      </w:pPr>
    </w:p>
    <w:p w14:paraId="458BF063">
      <w:pPr>
        <w:pStyle w:val="2"/>
        <w:rPr>
          <w:rFonts w:ascii="Cambria" w:hAnsi="Cambria" w:eastAsia="Cambria" w:cs="Cambria"/>
          <w:color w:val="auto"/>
          <w:sz w:val="28"/>
          <w:szCs w:val="28"/>
        </w:rPr>
      </w:pPr>
    </w:p>
    <w:p w14:paraId="2491D83D">
      <w:pPr>
        <w:widowControl/>
        <w:ind w:firstLine="1120" w:firstLineChars="400"/>
        <w:jc w:val="left"/>
        <w:rPr>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14:paraId="0A216093">
      <w:pPr>
        <w:pStyle w:val="8"/>
        <w:widowControl w:val="0"/>
        <w:autoSpaceDE w:val="0"/>
        <w:autoSpaceDN w:val="0"/>
        <w:adjustRightInd w:val="0"/>
        <w:spacing w:before="0" w:beforeAutospacing="0" w:after="0" w:afterAutospacing="0"/>
        <w:rPr>
          <w:rFonts w:eastAsia="宋体"/>
        </w:rPr>
      </w:pPr>
    </w:p>
    <w:p w14:paraId="3D8294A9">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14:paraId="558DE625">
      <w:pPr>
        <w:pStyle w:val="8"/>
        <w:widowControl w:val="0"/>
        <w:autoSpaceDE w:val="0"/>
        <w:autoSpaceDN w:val="0"/>
        <w:adjustRightInd w:val="0"/>
        <w:spacing w:before="0" w:beforeAutospacing="0" w:after="0" w:afterAutospacing="0"/>
        <w:rPr>
          <w:rFonts w:eastAsia="宋体"/>
        </w:rPr>
      </w:pPr>
    </w:p>
    <w:p w14:paraId="3FC2EF9C">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p w14:paraId="346F092B">
      <w:pPr>
        <w:pStyle w:val="8"/>
        <w:widowControl w:val="0"/>
        <w:autoSpaceDE w:val="0"/>
        <w:autoSpaceDN w:val="0"/>
        <w:adjustRightInd w:val="0"/>
        <w:spacing w:before="0" w:beforeAutospacing="0" w:after="0" w:afterAutospacing="0"/>
        <w:rPr>
          <w:rFonts w:eastAsia="宋体"/>
        </w:rPr>
      </w:pPr>
    </w:p>
    <w:p w14:paraId="22BF73C4">
      <w:pPr>
        <w:spacing w:line="360" w:lineRule="auto"/>
        <w:ind w:firstLine="1124" w:firstLineChars="400"/>
        <w:jc w:val="center"/>
        <w:rPr>
          <w:b/>
          <w:bCs/>
          <w:i/>
          <w:color w:val="0000CC"/>
          <w:sz w:val="28"/>
          <w:szCs w:val="28"/>
        </w:rPr>
      </w:pP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p>
    <w:p w14:paraId="25C8E213">
      <w:pPr>
        <w:rPr>
          <w:rFonts w:ascii="Times New Roman" w:hAnsi="Times New Roman" w:cs="Times New Roman"/>
          <w:b/>
          <w:bCs/>
          <w:sz w:val="24"/>
        </w:rPr>
      </w:pPr>
    </w:p>
    <w:p w14:paraId="2695AB66">
      <w:pPr>
        <w:rPr>
          <w:rFonts w:ascii="Times New Roman" w:hAnsi="Times New Roman" w:cs="Times New Roman"/>
          <w:b/>
          <w:bCs/>
          <w:sz w:val="24"/>
        </w:rPr>
      </w:pPr>
    </w:p>
    <w:p w14:paraId="56DD403F">
      <w:pPr>
        <w:rPr>
          <w:rFonts w:ascii="Times New Roman" w:hAnsi="Times New Roman" w:cs="Times New Roman"/>
          <w:b/>
          <w:bCs/>
          <w:sz w:val="24"/>
        </w:rPr>
      </w:pPr>
    </w:p>
    <w:p w14:paraId="00F682B6">
      <w:pPr>
        <w:rPr>
          <w:rFonts w:ascii="Times New Roman" w:hAnsi="Times New Roman" w:cs="Times New Roman"/>
          <w:bCs/>
          <w:sz w:val="24"/>
        </w:rPr>
      </w:pPr>
      <w:r>
        <w:rPr>
          <w:rFonts w:ascii="Times New Roman" w:hAnsi="Times New Roman" w:cs="Times New Roman"/>
          <w:b/>
          <w:bCs/>
          <w:sz w:val="24"/>
        </w:rPr>
        <w:t>Revision records:</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560"/>
        <w:gridCol w:w="1417"/>
        <w:gridCol w:w="1418"/>
      </w:tblGrid>
      <w:tr w14:paraId="43E12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101" w:type="dxa"/>
          </w:tcPr>
          <w:p w14:paraId="0C014115">
            <w:pPr>
              <w:spacing w:line="480" w:lineRule="auto"/>
              <w:rPr>
                <w:rFonts w:ascii="Times New Roman" w:hAnsi="Times New Roman" w:cs="Times New Roman"/>
                <w:b/>
                <w:bCs/>
                <w:szCs w:val="21"/>
              </w:rPr>
            </w:pPr>
            <w:r>
              <w:rPr>
                <w:rFonts w:ascii="Times New Roman" w:hAnsi="Times New Roman" w:cs="Times New Roman"/>
                <w:b/>
                <w:bCs/>
                <w:szCs w:val="21"/>
              </w:rPr>
              <w:t>Edition</w:t>
            </w:r>
          </w:p>
        </w:tc>
        <w:tc>
          <w:tcPr>
            <w:tcW w:w="1701" w:type="dxa"/>
          </w:tcPr>
          <w:p w14:paraId="272A889D">
            <w:pPr>
              <w:spacing w:line="480" w:lineRule="auto"/>
              <w:rPr>
                <w:rFonts w:ascii="Times New Roman" w:hAnsi="Times New Roman" w:cs="Times New Roman"/>
                <w:b/>
                <w:bCs/>
                <w:szCs w:val="21"/>
              </w:rPr>
            </w:pPr>
            <w:r>
              <w:rPr>
                <w:rFonts w:ascii="Times New Roman" w:hAnsi="Times New Roman" w:cs="Times New Roman"/>
                <w:b/>
                <w:bCs/>
                <w:szCs w:val="21"/>
              </w:rPr>
              <w:t>Effective Date</w:t>
            </w:r>
          </w:p>
        </w:tc>
        <w:tc>
          <w:tcPr>
            <w:tcW w:w="2409" w:type="dxa"/>
          </w:tcPr>
          <w:p w14:paraId="25C7C70A">
            <w:pPr>
              <w:spacing w:line="480" w:lineRule="auto"/>
              <w:rPr>
                <w:rFonts w:ascii="Times New Roman" w:hAnsi="Times New Roman" w:cs="Times New Roman"/>
                <w:b/>
                <w:bCs/>
                <w:szCs w:val="21"/>
              </w:rPr>
            </w:pPr>
            <w:r>
              <w:rPr>
                <w:rFonts w:ascii="Times New Roman" w:hAnsi="Times New Roman" w:cs="Times New Roman"/>
                <w:b/>
                <w:bCs/>
                <w:szCs w:val="21"/>
              </w:rPr>
              <w:t>Summary of revision</w:t>
            </w:r>
          </w:p>
        </w:tc>
        <w:tc>
          <w:tcPr>
            <w:tcW w:w="1560" w:type="dxa"/>
          </w:tcPr>
          <w:p w14:paraId="7C2B9E36">
            <w:pPr>
              <w:spacing w:line="480" w:lineRule="auto"/>
              <w:rPr>
                <w:rFonts w:ascii="Times New Roman" w:hAnsi="Times New Roman" w:cs="Times New Roman"/>
                <w:b/>
                <w:bCs/>
                <w:szCs w:val="21"/>
              </w:rPr>
            </w:pPr>
            <w:r>
              <w:rPr>
                <w:rFonts w:ascii="Times New Roman" w:hAnsi="Times New Roman" w:cs="Times New Roman"/>
                <w:b/>
                <w:bCs/>
                <w:szCs w:val="21"/>
              </w:rPr>
              <w:t>Approved by</w:t>
            </w:r>
          </w:p>
        </w:tc>
        <w:tc>
          <w:tcPr>
            <w:tcW w:w="1417" w:type="dxa"/>
          </w:tcPr>
          <w:p w14:paraId="3061826E">
            <w:pPr>
              <w:spacing w:line="480" w:lineRule="auto"/>
              <w:rPr>
                <w:rFonts w:ascii="Times New Roman" w:hAnsi="Times New Roman" w:cs="Times New Roman"/>
                <w:b/>
                <w:bCs/>
                <w:szCs w:val="21"/>
              </w:rPr>
            </w:pPr>
            <w:r>
              <w:rPr>
                <w:rFonts w:hint="eastAsia" w:ascii="Times New Roman" w:hAnsi="Times New Roman" w:cs="Times New Roman"/>
                <w:b/>
                <w:bCs/>
                <w:szCs w:val="21"/>
              </w:rPr>
              <w:t>Checked by</w:t>
            </w:r>
          </w:p>
        </w:tc>
        <w:tc>
          <w:tcPr>
            <w:tcW w:w="1418" w:type="dxa"/>
          </w:tcPr>
          <w:p w14:paraId="27D57B1F">
            <w:pPr>
              <w:spacing w:line="480" w:lineRule="auto"/>
              <w:rPr>
                <w:rFonts w:ascii="Times New Roman" w:hAnsi="Times New Roman" w:cs="Times New Roman"/>
                <w:b/>
                <w:bCs/>
                <w:szCs w:val="21"/>
              </w:rPr>
            </w:pPr>
            <w:r>
              <w:rPr>
                <w:rFonts w:ascii="Times New Roman" w:hAnsi="Times New Roman" w:cs="Times New Roman"/>
                <w:b/>
                <w:bCs/>
                <w:szCs w:val="21"/>
              </w:rPr>
              <w:t>Drafted</w:t>
            </w:r>
            <w:r>
              <w:rPr>
                <w:rFonts w:hint="eastAsia" w:ascii="Times New Roman" w:hAnsi="Times New Roman" w:cs="Times New Roman"/>
                <w:b/>
                <w:bCs/>
                <w:szCs w:val="21"/>
              </w:rPr>
              <w:t xml:space="preserve"> by</w:t>
            </w:r>
          </w:p>
        </w:tc>
      </w:tr>
      <w:tr w14:paraId="39CC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101" w:type="dxa"/>
          </w:tcPr>
          <w:p w14:paraId="2EB5A402">
            <w:pPr>
              <w:spacing w:line="360" w:lineRule="auto"/>
              <w:jc w:val="center"/>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701" w:type="dxa"/>
          </w:tcPr>
          <w:p w14:paraId="0961BAA5">
            <w:pPr>
              <w:spacing w:line="360" w:lineRule="auto"/>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409" w:type="dxa"/>
          </w:tcPr>
          <w:p w14:paraId="0541FE39">
            <w:pPr>
              <w:spacing w:line="360" w:lineRule="auto"/>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560" w:type="dxa"/>
          </w:tcPr>
          <w:p w14:paraId="4FC27F9D">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17" w:type="dxa"/>
          </w:tcPr>
          <w:p w14:paraId="73A678A2">
            <w:pPr>
              <w:spacing w:line="360" w:lineRule="auto"/>
              <w:jc w:val="center"/>
              <w:rPr>
                <w:rFonts w:ascii="Times New Roman" w:hAnsi="Times New Roman" w:eastAsia="宋体"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418" w:type="dxa"/>
            <w:vAlign w:val="center"/>
          </w:tcPr>
          <w:p w14:paraId="546ECD72">
            <w:pPr>
              <w:spacing w:line="360" w:lineRule="auto"/>
              <w:jc w:val="center"/>
              <w:rPr>
                <w:rFonts w:ascii="Times New Roman" w:hAnsi="Times New Roman" w:cs="Times New Roman"/>
                <w:bCs/>
                <w:szCs w:val="21"/>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14:paraId="7B30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725DD08F">
            <w:pPr>
              <w:spacing w:line="480" w:lineRule="auto"/>
              <w:jc w:val="center"/>
              <w:rPr>
                <w:rFonts w:ascii="Times New Roman" w:hAnsi="Times New Roman" w:cs="Times New Roman"/>
                <w:bCs/>
                <w:szCs w:val="21"/>
              </w:rPr>
            </w:pPr>
          </w:p>
        </w:tc>
        <w:tc>
          <w:tcPr>
            <w:tcW w:w="1701" w:type="dxa"/>
          </w:tcPr>
          <w:p w14:paraId="1416E73A">
            <w:pPr>
              <w:spacing w:line="480" w:lineRule="auto"/>
              <w:jc w:val="center"/>
              <w:rPr>
                <w:rFonts w:ascii="Times New Roman" w:hAnsi="Times New Roman" w:cs="Times New Roman"/>
                <w:bCs/>
                <w:szCs w:val="21"/>
              </w:rPr>
            </w:pPr>
          </w:p>
        </w:tc>
        <w:tc>
          <w:tcPr>
            <w:tcW w:w="2409" w:type="dxa"/>
          </w:tcPr>
          <w:p w14:paraId="4DB1577D">
            <w:pPr>
              <w:spacing w:line="480" w:lineRule="auto"/>
              <w:jc w:val="left"/>
              <w:rPr>
                <w:rFonts w:ascii="Times New Roman" w:hAnsi="Times New Roman" w:cs="Times New Roman"/>
                <w:bCs/>
                <w:szCs w:val="21"/>
              </w:rPr>
            </w:pPr>
          </w:p>
        </w:tc>
        <w:tc>
          <w:tcPr>
            <w:tcW w:w="1560" w:type="dxa"/>
          </w:tcPr>
          <w:p w14:paraId="277631D3">
            <w:pPr>
              <w:spacing w:line="480" w:lineRule="auto"/>
              <w:rPr>
                <w:rFonts w:ascii="Times New Roman" w:hAnsi="Times New Roman" w:cs="Times New Roman"/>
                <w:bCs/>
                <w:szCs w:val="21"/>
              </w:rPr>
            </w:pPr>
          </w:p>
        </w:tc>
        <w:tc>
          <w:tcPr>
            <w:tcW w:w="1417" w:type="dxa"/>
          </w:tcPr>
          <w:p w14:paraId="7C623634">
            <w:pPr>
              <w:spacing w:line="480" w:lineRule="auto"/>
              <w:rPr>
                <w:rFonts w:ascii="Times New Roman" w:hAnsi="Times New Roman" w:cs="Times New Roman"/>
                <w:bCs/>
                <w:szCs w:val="21"/>
              </w:rPr>
            </w:pPr>
          </w:p>
        </w:tc>
        <w:tc>
          <w:tcPr>
            <w:tcW w:w="1418" w:type="dxa"/>
          </w:tcPr>
          <w:p w14:paraId="5EC65ED4">
            <w:pPr>
              <w:spacing w:line="480" w:lineRule="auto"/>
              <w:rPr>
                <w:rFonts w:ascii="Times New Roman" w:hAnsi="Times New Roman" w:cs="Times New Roman"/>
                <w:bCs/>
                <w:szCs w:val="21"/>
              </w:rPr>
            </w:pPr>
          </w:p>
        </w:tc>
      </w:tr>
      <w:tr w14:paraId="000C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1872DD71">
            <w:pPr>
              <w:spacing w:line="480" w:lineRule="auto"/>
              <w:jc w:val="center"/>
              <w:rPr>
                <w:rFonts w:ascii="Times New Roman" w:hAnsi="Times New Roman" w:cs="Times New Roman"/>
                <w:bCs/>
                <w:szCs w:val="21"/>
              </w:rPr>
            </w:pPr>
          </w:p>
        </w:tc>
        <w:tc>
          <w:tcPr>
            <w:tcW w:w="1701" w:type="dxa"/>
          </w:tcPr>
          <w:p w14:paraId="09A5F13A">
            <w:pPr>
              <w:spacing w:line="480" w:lineRule="auto"/>
              <w:jc w:val="center"/>
              <w:rPr>
                <w:rFonts w:ascii="Times New Roman" w:hAnsi="Times New Roman" w:cs="Times New Roman"/>
                <w:bCs/>
                <w:szCs w:val="21"/>
              </w:rPr>
            </w:pPr>
          </w:p>
        </w:tc>
        <w:tc>
          <w:tcPr>
            <w:tcW w:w="2409" w:type="dxa"/>
          </w:tcPr>
          <w:p w14:paraId="3E23E1E3">
            <w:pPr>
              <w:spacing w:line="480" w:lineRule="auto"/>
              <w:jc w:val="left"/>
              <w:rPr>
                <w:rFonts w:ascii="Times New Roman" w:hAnsi="Times New Roman" w:cs="Times New Roman"/>
                <w:bCs/>
                <w:szCs w:val="21"/>
              </w:rPr>
            </w:pPr>
          </w:p>
        </w:tc>
        <w:tc>
          <w:tcPr>
            <w:tcW w:w="1560" w:type="dxa"/>
          </w:tcPr>
          <w:p w14:paraId="019D9491">
            <w:pPr>
              <w:spacing w:line="480" w:lineRule="auto"/>
              <w:rPr>
                <w:rFonts w:ascii="Times New Roman" w:hAnsi="Times New Roman" w:cs="Times New Roman"/>
                <w:bCs/>
                <w:szCs w:val="21"/>
              </w:rPr>
            </w:pPr>
          </w:p>
        </w:tc>
        <w:tc>
          <w:tcPr>
            <w:tcW w:w="1417" w:type="dxa"/>
          </w:tcPr>
          <w:p w14:paraId="15591CA6">
            <w:pPr>
              <w:spacing w:line="480" w:lineRule="auto"/>
              <w:rPr>
                <w:rFonts w:ascii="Times New Roman" w:hAnsi="Times New Roman" w:cs="Times New Roman"/>
                <w:bCs/>
                <w:szCs w:val="21"/>
              </w:rPr>
            </w:pPr>
          </w:p>
        </w:tc>
        <w:tc>
          <w:tcPr>
            <w:tcW w:w="1418" w:type="dxa"/>
          </w:tcPr>
          <w:p w14:paraId="16ACD8F6">
            <w:pPr>
              <w:spacing w:line="480" w:lineRule="auto"/>
              <w:rPr>
                <w:rFonts w:ascii="Times New Roman" w:hAnsi="Times New Roman" w:cs="Times New Roman"/>
                <w:bCs/>
                <w:szCs w:val="21"/>
              </w:rPr>
            </w:pPr>
          </w:p>
        </w:tc>
      </w:tr>
      <w:tr w14:paraId="4C85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696A0050">
            <w:pPr>
              <w:spacing w:line="480" w:lineRule="auto"/>
              <w:jc w:val="center"/>
              <w:rPr>
                <w:rFonts w:ascii="Times New Roman" w:hAnsi="Times New Roman" w:cs="Times New Roman"/>
                <w:bCs/>
                <w:szCs w:val="21"/>
              </w:rPr>
            </w:pPr>
          </w:p>
        </w:tc>
        <w:tc>
          <w:tcPr>
            <w:tcW w:w="1701" w:type="dxa"/>
          </w:tcPr>
          <w:p w14:paraId="229AFCDB">
            <w:pPr>
              <w:spacing w:line="480" w:lineRule="auto"/>
              <w:jc w:val="center"/>
              <w:rPr>
                <w:rFonts w:ascii="Times New Roman" w:hAnsi="Times New Roman" w:cs="Times New Roman"/>
                <w:bCs/>
                <w:szCs w:val="21"/>
              </w:rPr>
            </w:pPr>
          </w:p>
        </w:tc>
        <w:tc>
          <w:tcPr>
            <w:tcW w:w="2409" w:type="dxa"/>
          </w:tcPr>
          <w:p w14:paraId="2EE329C3">
            <w:pPr>
              <w:spacing w:line="480" w:lineRule="auto"/>
              <w:jc w:val="left"/>
              <w:rPr>
                <w:rFonts w:ascii="Times New Roman" w:hAnsi="Times New Roman" w:cs="Times New Roman"/>
                <w:bCs/>
                <w:szCs w:val="21"/>
              </w:rPr>
            </w:pPr>
          </w:p>
        </w:tc>
        <w:tc>
          <w:tcPr>
            <w:tcW w:w="1560" w:type="dxa"/>
          </w:tcPr>
          <w:p w14:paraId="5BC5ED43">
            <w:pPr>
              <w:spacing w:line="480" w:lineRule="auto"/>
              <w:rPr>
                <w:rFonts w:ascii="Times New Roman" w:hAnsi="Times New Roman" w:cs="Times New Roman"/>
                <w:bCs/>
                <w:szCs w:val="21"/>
              </w:rPr>
            </w:pPr>
          </w:p>
        </w:tc>
        <w:tc>
          <w:tcPr>
            <w:tcW w:w="1417" w:type="dxa"/>
          </w:tcPr>
          <w:p w14:paraId="532C11DC">
            <w:pPr>
              <w:spacing w:line="480" w:lineRule="auto"/>
              <w:rPr>
                <w:rFonts w:ascii="Times New Roman" w:hAnsi="Times New Roman" w:cs="Times New Roman"/>
                <w:bCs/>
                <w:szCs w:val="21"/>
              </w:rPr>
            </w:pPr>
          </w:p>
        </w:tc>
        <w:tc>
          <w:tcPr>
            <w:tcW w:w="1418" w:type="dxa"/>
          </w:tcPr>
          <w:p w14:paraId="5CB5FBB0">
            <w:pPr>
              <w:spacing w:line="480" w:lineRule="auto"/>
              <w:rPr>
                <w:rFonts w:ascii="Times New Roman" w:hAnsi="Times New Roman" w:cs="Times New Roman"/>
                <w:bCs/>
                <w:szCs w:val="21"/>
              </w:rPr>
            </w:pPr>
          </w:p>
        </w:tc>
      </w:tr>
      <w:tr w14:paraId="0840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37059577">
            <w:pPr>
              <w:spacing w:line="480" w:lineRule="auto"/>
              <w:jc w:val="center"/>
              <w:rPr>
                <w:rFonts w:ascii="Times New Roman" w:hAnsi="Times New Roman" w:cs="Times New Roman"/>
                <w:bCs/>
                <w:szCs w:val="21"/>
              </w:rPr>
            </w:pPr>
          </w:p>
        </w:tc>
        <w:tc>
          <w:tcPr>
            <w:tcW w:w="1701" w:type="dxa"/>
          </w:tcPr>
          <w:p w14:paraId="6C43B518">
            <w:pPr>
              <w:spacing w:line="480" w:lineRule="auto"/>
              <w:jc w:val="center"/>
              <w:rPr>
                <w:rFonts w:ascii="Times New Roman" w:hAnsi="Times New Roman" w:cs="Times New Roman"/>
                <w:bCs/>
                <w:szCs w:val="21"/>
              </w:rPr>
            </w:pPr>
          </w:p>
        </w:tc>
        <w:tc>
          <w:tcPr>
            <w:tcW w:w="2409" w:type="dxa"/>
          </w:tcPr>
          <w:p w14:paraId="7C8742C4">
            <w:pPr>
              <w:spacing w:line="480" w:lineRule="auto"/>
              <w:jc w:val="left"/>
              <w:rPr>
                <w:rFonts w:ascii="Times New Roman" w:hAnsi="Times New Roman" w:cs="Times New Roman"/>
                <w:bCs/>
                <w:szCs w:val="21"/>
              </w:rPr>
            </w:pPr>
          </w:p>
        </w:tc>
        <w:tc>
          <w:tcPr>
            <w:tcW w:w="1560" w:type="dxa"/>
          </w:tcPr>
          <w:p w14:paraId="6C194C84">
            <w:pPr>
              <w:spacing w:line="480" w:lineRule="auto"/>
              <w:rPr>
                <w:rFonts w:ascii="Times New Roman" w:hAnsi="Times New Roman" w:cs="Times New Roman"/>
                <w:bCs/>
                <w:szCs w:val="21"/>
              </w:rPr>
            </w:pPr>
          </w:p>
        </w:tc>
        <w:tc>
          <w:tcPr>
            <w:tcW w:w="1417" w:type="dxa"/>
          </w:tcPr>
          <w:p w14:paraId="219952C6">
            <w:pPr>
              <w:spacing w:line="480" w:lineRule="auto"/>
              <w:rPr>
                <w:rFonts w:ascii="Times New Roman" w:hAnsi="Times New Roman" w:cs="Times New Roman"/>
                <w:bCs/>
                <w:szCs w:val="21"/>
              </w:rPr>
            </w:pPr>
          </w:p>
        </w:tc>
        <w:tc>
          <w:tcPr>
            <w:tcW w:w="1418" w:type="dxa"/>
          </w:tcPr>
          <w:p w14:paraId="12094249">
            <w:pPr>
              <w:spacing w:line="480" w:lineRule="auto"/>
              <w:rPr>
                <w:rFonts w:ascii="Times New Roman" w:hAnsi="Times New Roman" w:cs="Times New Roman"/>
                <w:bCs/>
                <w:szCs w:val="21"/>
              </w:rPr>
            </w:pPr>
          </w:p>
        </w:tc>
      </w:tr>
    </w:tbl>
    <w:p w14:paraId="32812B3B">
      <w:pPr>
        <w:rPr>
          <w:rFonts w:ascii="Cambria" w:hAnsi="Cambria" w:eastAsia="Cambria" w:cs="Cambria"/>
          <w:sz w:val="16"/>
          <w:szCs w:val="16"/>
        </w:rPr>
      </w:pPr>
    </w:p>
    <w:p w14:paraId="20644DF4">
      <w:pPr>
        <w:rPr>
          <w:rFonts w:ascii="Cambria" w:hAnsi="Cambria" w:eastAsia="Cambria" w:cs="Cambria"/>
          <w:sz w:val="16"/>
          <w:szCs w:val="16"/>
        </w:rPr>
      </w:pPr>
    </w:p>
    <w:p w14:paraId="430F431C">
      <w:pPr>
        <w:rPr>
          <w:rFonts w:ascii="Cambria" w:hAnsi="Cambria" w:eastAsia="Cambria" w:cs="Cambria"/>
          <w:sz w:val="16"/>
          <w:szCs w:val="16"/>
        </w:rPr>
      </w:pPr>
    </w:p>
    <w:p w14:paraId="3B8E6F3A">
      <w:pPr>
        <w:rPr>
          <w:rFonts w:ascii="Cambria" w:hAnsi="Cambria" w:eastAsia="Cambria" w:cs="Cambria"/>
          <w:sz w:val="16"/>
          <w:szCs w:val="16"/>
        </w:rPr>
      </w:pPr>
    </w:p>
    <w:p w14:paraId="624DC6AE">
      <w:pPr>
        <w:rPr>
          <w:rFonts w:ascii="Cambria" w:hAnsi="Cambria" w:eastAsia="Cambria" w:cs="Cambria"/>
          <w:sz w:val="16"/>
          <w:szCs w:val="16"/>
        </w:rPr>
      </w:pPr>
    </w:p>
    <w:p w14:paraId="5CCBED68">
      <w:pPr>
        <w:rPr>
          <w:rFonts w:ascii="Cambria" w:hAnsi="Cambria" w:eastAsia="Cambria" w:cs="Cambria"/>
          <w:sz w:val="16"/>
          <w:szCs w:val="16"/>
        </w:rPr>
      </w:pPr>
    </w:p>
    <w:p w14:paraId="165F93B6">
      <w:pPr>
        <w:rPr>
          <w:rFonts w:ascii="Cambria" w:hAnsi="Cambria" w:eastAsia="Cambria" w:cs="Cambria"/>
          <w:sz w:val="16"/>
          <w:szCs w:val="16"/>
        </w:rPr>
      </w:pPr>
    </w:p>
    <w:p w14:paraId="6BB27A4A">
      <w:pPr>
        <w:rPr>
          <w:rFonts w:ascii="Cambria" w:hAnsi="Cambria" w:eastAsia="Cambria" w:cs="Cambria"/>
          <w:sz w:val="16"/>
          <w:szCs w:val="16"/>
        </w:rPr>
      </w:pPr>
    </w:p>
    <w:p w14:paraId="390A6C88">
      <w:pPr>
        <w:rPr>
          <w:rFonts w:ascii="Cambria" w:hAnsi="Cambria" w:eastAsia="Cambria" w:cs="Cambria"/>
          <w:sz w:val="16"/>
          <w:szCs w:val="16"/>
        </w:rPr>
      </w:pPr>
    </w:p>
    <w:p w14:paraId="5FF27CCA">
      <w:pPr>
        <w:rPr>
          <w:rFonts w:ascii="Cambria" w:hAnsi="Cambria" w:eastAsia="Cambria" w:cs="Cambria"/>
          <w:sz w:val="16"/>
          <w:szCs w:val="16"/>
        </w:rPr>
      </w:pPr>
    </w:p>
    <w:p w14:paraId="74AA33FC">
      <w:pPr>
        <w:rPr>
          <w:rFonts w:ascii="Cambria" w:hAnsi="Cambria" w:eastAsia="Cambria" w:cs="Cambria"/>
          <w:sz w:val="16"/>
          <w:szCs w:val="16"/>
        </w:rPr>
      </w:pPr>
    </w:p>
    <w:p w14:paraId="40994C3F">
      <w:pPr>
        <w:rPr>
          <w:rFonts w:ascii="Cambria" w:hAnsi="Cambria" w:eastAsia="Cambria" w:cs="Cambria"/>
          <w:sz w:val="16"/>
          <w:szCs w:val="16"/>
        </w:rPr>
      </w:pPr>
    </w:p>
    <w:p w14:paraId="540EF6E9">
      <w:pPr>
        <w:rPr>
          <w:rFonts w:ascii="Cambria" w:hAnsi="Cambria" w:eastAsia="Cambria" w:cs="Cambria"/>
          <w:sz w:val="16"/>
          <w:szCs w:val="16"/>
        </w:rPr>
      </w:pPr>
    </w:p>
    <w:p w14:paraId="5D23234E">
      <w:pPr>
        <w:rPr>
          <w:rFonts w:ascii="Cambria" w:hAnsi="Cambria" w:eastAsia="Cambria" w:cs="Cambria"/>
          <w:sz w:val="16"/>
          <w:szCs w:val="16"/>
        </w:rPr>
      </w:pPr>
    </w:p>
    <w:p w14:paraId="280E5F4C">
      <w:pPr>
        <w:rPr>
          <w:rFonts w:ascii="Cambria" w:hAnsi="Cambria" w:eastAsia="Cambria" w:cs="Cambria"/>
          <w:sz w:val="16"/>
          <w:szCs w:val="16"/>
        </w:rPr>
      </w:pPr>
    </w:p>
    <w:p w14:paraId="4A6AB908">
      <w:pPr>
        <w:rPr>
          <w:rFonts w:ascii="Cambria" w:hAnsi="Cambria" w:eastAsia="Cambria" w:cs="Cambria"/>
          <w:sz w:val="16"/>
          <w:szCs w:val="16"/>
        </w:rPr>
      </w:pPr>
    </w:p>
    <w:p w14:paraId="7B493A40">
      <w:pPr>
        <w:rPr>
          <w:rFonts w:ascii="Cambria" w:hAnsi="Cambria" w:eastAsia="Cambria" w:cs="Cambria"/>
          <w:sz w:val="16"/>
          <w:szCs w:val="16"/>
        </w:rPr>
      </w:pPr>
    </w:p>
    <w:p w14:paraId="434C9AFE">
      <w:pPr>
        <w:rPr>
          <w:rFonts w:ascii="Cambria" w:hAnsi="Cambria" w:eastAsia="Cambria" w:cs="Cambria"/>
          <w:sz w:val="16"/>
          <w:szCs w:val="16"/>
        </w:rPr>
      </w:pPr>
    </w:p>
    <w:p w14:paraId="6CE2D1EB">
      <w:pPr>
        <w:rPr>
          <w:rFonts w:ascii="Cambria" w:hAnsi="Cambria" w:eastAsia="Cambria" w:cs="Cambria"/>
          <w:sz w:val="16"/>
          <w:szCs w:val="16"/>
        </w:rPr>
      </w:pPr>
    </w:p>
    <w:p w14:paraId="549C27CB">
      <w:pPr>
        <w:rPr>
          <w:rFonts w:ascii="Cambria" w:hAnsi="Cambria" w:eastAsia="Cambria" w:cs="Cambria"/>
          <w:sz w:val="16"/>
          <w:szCs w:val="16"/>
        </w:rPr>
      </w:pPr>
    </w:p>
    <w:p w14:paraId="05AF87AB">
      <w:pPr>
        <w:rPr>
          <w:rFonts w:ascii="Cambria" w:hAnsi="Cambria" w:eastAsia="Cambria" w:cs="Cambria"/>
          <w:sz w:val="16"/>
          <w:szCs w:val="16"/>
        </w:rPr>
      </w:pPr>
    </w:p>
    <w:p w14:paraId="39F45455">
      <w:pPr>
        <w:rPr>
          <w:rFonts w:ascii="Cambria" w:hAnsi="Cambria" w:eastAsia="Cambria" w:cs="Cambria"/>
          <w:sz w:val="16"/>
          <w:szCs w:val="16"/>
        </w:rPr>
      </w:pPr>
    </w:p>
    <w:p w14:paraId="6D5416F8">
      <w:pPr>
        <w:rPr>
          <w:rFonts w:ascii="Cambria" w:hAnsi="Cambria" w:eastAsia="Cambria" w:cs="Cambria"/>
          <w:sz w:val="16"/>
          <w:szCs w:val="16"/>
        </w:rPr>
      </w:pPr>
    </w:p>
    <w:p w14:paraId="4E021CFB">
      <w:pPr>
        <w:spacing w:line="360" w:lineRule="auto"/>
        <w:jc w:val="left"/>
        <w:rPr>
          <w:rFonts w:ascii="Times New Roman" w:hAnsi="Times New Roman" w:cs="Times New Roman"/>
          <w:b/>
          <w:iCs/>
          <w:sz w:val="24"/>
          <w:szCs w:val="24"/>
        </w:rPr>
      </w:pPr>
    </w:p>
    <w:p w14:paraId="421EB0CF">
      <w:pPr>
        <w:pStyle w:val="2"/>
        <w:rPr>
          <w:rFonts w:ascii="Times New Roman" w:hAnsi="Times New Roman" w:cs="Times New Roman"/>
          <w:b/>
          <w:iCs/>
          <w:color w:val="auto"/>
          <w:lang w:eastAsia="zh-CN"/>
        </w:rPr>
      </w:pPr>
    </w:p>
    <w:p w14:paraId="2E71D70F">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14:paraId="60541677">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{填写PMS计划的目的}</w:t>
      </w:r>
    </w:p>
    <w:p w14:paraId="14EEC008">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（参考示例：The purpose of this PMS Plan is to collect and review experience that gained from devices they place on the market, make available on the market or put into service, to supervise the post market devices and to identify if any necessary corrective or preventive actions need to be applied immediately in order to protect the safety and health of patients or users.）</w:t>
      </w:r>
    </w:p>
    <w:p w14:paraId="26499C7E">
      <w:pPr>
        <w:tabs>
          <w:tab w:val="left" w:pos="425"/>
          <w:tab w:val="left" w:pos="10325"/>
        </w:tabs>
        <w:spacing w:before="31" w:beforeLines="10" w:after="62"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 xml:space="preserve">2 Scope </w:t>
      </w:r>
    </w:p>
    <w:p w14:paraId="71056057">
      <w:pPr>
        <w:pStyle w:val="2"/>
        <w:spacing w:line="360" w:lineRule="auto"/>
        <w:jc w:val="both"/>
        <w:rPr>
          <w:rFonts w:ascii="Times New Roman" w:hAnsi="Times New Roman" w:cs="Times New Roman"/>
          <w:i/>
          <w:iCs/>
          <w:color w:val="0000FF"/>
          <w:lang w:eastAsia="zh-CN"/>
        </w:rPr>
      </w:pPr>
      <w:bookmarkStart w:id="2" w:name="OLE_LINK13"/>
      <w:r>
        <w:rPr>
          <w:rFonts w:hint="eastAsia" w:ascii="Times New Roman" w:hAnsi="Times New Roman" w:cs="Times New Roman"/>
          <w:i/>
          <w:iCs/>
          <w:color w:val="0000FF"/>
          <w:lang w:eastAsia="zh-CN"/>
        </w:rPr>
        <w:t>{填写PMS计划使用范围}</w:t>
      </w:r>
    </w:p>
    <w:bookmarkEnd w:id="2"/>
    <w:p w14:paraId="764DF040">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（参考示例：This PMS plan is applicable to the post marketing surveillance process of the CE marked product (Medical Isolation Goggles) that produce by our company..）</w:t>
      </w:r>
    </w:p>
    <w:p w14:paraId="2706B0D3">
      <w:pPr>
        <w:tabs>
          <w:tab w:val="left" w:pos="0"/>
          <w:tab w:val="left" w:pos="216"/>
          <w:tab w:val="left" w:pos="10325"/>
        </w:tabs>
        <w:spacing w:line="360" w:lineRule="auto"/>
        <w:ind w:right="105" w:rightChars="50"/>
        <w:rPr>
          <w:rFonts w:ascii="Times New Roman" w:hAnsi="Times New Roman" w:cs="Times New Roman"/>
          <w:sz w:val="24"/>
          <w:szCs w:val="24"/>
        </w:rPr>
      </w:pPr>
    </w:p>
    <w:p w14:paraId="46BA65F2">
      <w:pPr>
        <w:numPr>
          <w:ilvl w:val="0"/>
          <w:numId w:val="1"/>
        </w:numPr>
        <w:tabs>
          <w:tab w:val="left" w:pos="425"/>
          <w:tab w:val="left" w:pos="10325"/>
        </w:tabs>
        <w:spacing w:before="31" w:beforeLines="10" w:after="62" w:afterLines="20" w:line="360" w:lineRule="auto"/>
        <w:ind w:left="62" w:right="105" w:rightChars="50"/>
        <w:rPr>
          <w:rFonts w:ascii="Times New Roman" w:hAnsi="Times New Roman" w:cs="Times New Roman"/>
          <w:b/>
          <w:bCs/>
          <w:sz w:val="24"/>
          <w:szCs w:val="24"/>
        </w:rPr>
      </w:pPr>
      <w:r>
        <w:rPr>
          <w:rFonts w:ascii="Times New Roman" w:hAnsi="Times New Roman" w:cs="Times New Roman"/>
          <w:b/>
          <w:bCs/>
          <w:sz w:val="24"/>
          <w:szCs w:val="24"/>
        </w:rPr>
        <w:t>Duties</w:t>
      </w:r>
    </w:p>
    <w:p w14:paraId="77E5BFD7">
      <w:pPr>
        <w:pStyle w:val="2"/>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14:paraId="43FD8D85">
      <w:pPr>
        <w:pStyle w:val="2"/>
        <w:rPr>
          <w:color w:val="auto"/>
          <w:lang w:eastAsia="zh-CN"/>
        </w:rPr>
      </w:pPr>
    </w:p>
    <w:p w14:paraId="712B0F3D">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14:paraId="1BF494E4">
      <w:pPr>
        <w:pStyle w:val="2"/>
        <w:spacing w:line="360" w:lineRule="auto"/>
        <w:jc w:val="both"/>
        <w:rPr>
          <w:rFonts w:ascii="Times New Roman" w:hAnsi="Times New Roman" w:cs="Times New Roman"/>
          <w:b/>
          <w:bCs/>
          <w:color w:val="auto"/>
          <w:lang w:eastAsia="zh-CN"/>
        </w:rPr>
      </w:pPr>
    </w:p>
    <w:p w14:paraId="1100C0E1">
      <w:pPr>
        <w:pStyle w:val="2"/>
        <w:spacing w:line="360" w:lineRule="auto"/>
        <w:jc w:val="both"/>
        <w:rPr>
          <w:rFonts w:ascii="Times New Roman" w:hAnsi="Times New Roman" w:cs="Times New Roman"/>
          <w:i/>
          <w:iCs/>
          <w:color w:val="0000FF"/>
          <w:lang w:eastAsia="zh-CN"/>
        </w:rPr>
      </w:pPr>
      <w:bookmarkStart w:id="3" w:name="OLE_LINK17"/>
      <w:r>
        <w:rPr>
          <w:rFonts w:hint="eastAsia" w:ascii="Times New Roman" w:hAnsi="Times New Roman" w:cs="Times New Roman"/>
          <w:i/>
          <w:iCs/>
          <w:color w:val="0000FF"/>
          <w:lang w:eastAsia="zh-CN"/>
        </w:rPr>
        <w:t>{对授权代表的职责进行描述}</w:t>
      </w:r>
    </w:p>
    <w:bookmarkEnd w:id="3"/>
    <w:p w14:paraId="64F4273E">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（参考示例：When receiving customer complaints or other information related to the use of the devices after put on the market, notify the manufacturer and assist the manufacturer to deal with those problems, and submit initial reports, findings and final reports to the competent authorities of the country in the EU.）</w:t>
      </w:r>
    </w:p>
    <w:p w14:paraId="05925583">
      <w:pPr>
        <w:pStyle w:val="2"/>
        <w:spacing w:line="360" w:lineRule="auto"/>
        <w:jc w:val="both"/>
        <w:rPr>
          <w:rFonts w:ascii="Times New Roman" w:hAnsi="Times New Roman" w:cs="Times New Roman"/>
          <w:i/>
          <w:iCs/>
          <w:color w:val="0000FF"/>
          <w:lang w:eastAsia="zh-CN"/>
        </w:rPr>
      </w:pPr>
    </w:p>
    <w:p w14:paraId="59E729DA">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14:paraId="143D70EE">
      <w:pPr>
        <w:pStyle w:val="2"/>
        <w:spacing w:line="360" w:lineRule="auto"/>
        <w:jc w:val="both"/>
        <w:rPr>
          <w:rFonts w:ascii="Times New Roman" w:hAnsi="Times New Roman" w:cs="Times New Roman"/>
          <w:i/>
          <w:iCs/>
          <w:color w:val="0000FF"/>
          <w:lang w:eastAsia="zh-CN"/>
        </w:rPr>
      </w:pPr>
      <w:bookmarkStart w:id="4" w:name="OLE_LINK44"/>
      <w:bookmarkStart w:id="5" w:name="OLE_LINK45"/>
      <w:r>
        <w:rPr>
          <w:rFonts w:hint="eastAsia" w:ascii="Times New Roman" w:hAnsi="Times New Roman" w:cs="Times New Roman"/>
          <w:i/>
          <w:iCs/>
          <w:color w:val="0000FF"/>
          <w:lang w:eastAsia="zh-CN"/>
        </w:rPr>
        <w:t>{对经销商的职责进行描述}</w:t>
      </w:r>
    </w:p>
    <w:p w14:paraId="1422210C">
      <w:pPr>
        <w:pStyle w:val="2"/>
        <w:spacing w:line="360" w:lineRule="auto"/>
        <w:jc w:val="both"/>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（参考示例：Deliver customer complaints and other information related to the use of the devices after put on the market to the manufacturer, and keep the sales records of the products）</w:t>
      </w:r>
    </w:p>
    <w:bookmarkEnd w:id="4"/>
    <w:bookmarkEnd w:id="5"/>
    <w:p w14:paraId="7C5A80E1">
      <w:pPr>
        <w:pStyle w:val="2"/>
        <w:spacing w:line="360" w:lineRule="auto"/>
        <w:jc w:val="both"/>
        <w:rPr>
          <w:rFonts w:ascii="Times New Roman" w:hAnsi="Times New Roman" w:cs="Times New Roman"/>
          <w:b/>
          <w:bCs/>
          <w:color w:val="auto"/>
          <w:lang w:eastAsia="zh-CN"/>
        </w:rPr>
      </w:pPr>
    </w:p>
    <w:p w14:paraId="370F286E">
      <w:pPr>
        <w:tabs>
          <w:tab w:val="left" w:pos="425"/>
          <w:tab w:val="left" w:pos="10325"/>
        </w:tabs>
        <w:spacing w:line="360" w:lineRule="auto"/>
        <w:ind w:right="105" w:rightChars="50"/>
        <w:rPr>
          <w:rFonts w:ascii="Times New Roman" w:hAnsi="Times New Roman" w:cs="Times New Roman"/>
          <w:sz w:val="24"/>
          <w:szCs w:val="24"/>
        </w:rPr>
      </w:pPr>
      <w:r>
        <w:rPr>
          <w:rFonts w:hint="eastAsia" w:ascii="Times New Roman" w:hAnsi="Times New Roman" w:eastAsia="黑体" w:cs="Times New Roman"/>
          <w:b/>
          <w:bCs/>
          <w:sz w:val="24"/>
          <w:szCs w:val="24"/>
        </w:rPr>
        <w:t>4.</w:t>
      </w:r>
      <w:r>
        <w:rPr>
          <w:rFonts w:ascii="Times New Roman" w:hAnsi="Times New Roman" w:eastAsia="黑体" w:cs="Times New Roman"/>
          <w:b/>
          <w:bCs/>
          <w:sz w:val="24"/>
          <w:szCs w:val="24"/>
        </w:rPr>
        <w:t>Working Plan</w:t>
      </w:r>
    </w:p>
    <w:p w14:paraId="5B8EE4FE">
      <w:pPr>
        <w:tabs>
          <w:tab w:val="left" w:pos="480"/>
          <w:tab w:val="left" w:pos="785"/>
          <w:tab w:val="left" w:pos="10325"/>
        </w:tabs>
        <w:spacing w:line="360" w:lineRule="auto"/>
        <w:ind w:right="105" w:rightChars="50"/>
        <w:rPr>
          <w:rFonts w:ascii="Times New Roman" w:hAnsi="Times New Roman" w:eastAsia="黑体" w:cs="Times New Roman"/>
          <w:b/>
          <w:sz w:val="24"/>
          <w:szCs w:val="24"/>
        </w:rPr>
      </w:pPr>
      <w:r>
        <w:rPr>
          <w:rFonts w:hint="eastAsia" w:ascii="Times New Roman" w:hAnsi="Times New Roman" w:cs="Times New Roman"/>
          <w:b/>
          <w:bCs/>
          <w:sz w:val="24"/>
          <w:szCs w:val="24"/>
        </w:rPr>
        <w:t xml:space="preserve">4.1 </w:t>
      </w:r>
      <w:r>
        <w:rPr>
          <w:rFonts w:ascii="Times New Roman" w:hAnsi="Times New Roman" w:cs="Times New Roman"/>
          <w:b/>
          <w:bCs/>
          <w:sz w:val="24"/>
          <w:szCs w:val="24"/>
        </w:rPr>
        <w:t>Definitions</w:t>
      </w:r>
    </w:p>
    <w:p w14:paraId="13F3C6BB">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b/>
          <w:bCs/>
          <w:sz w:val="24"/>
          <w:szCs w:val="24"/>
        </w:rPr>
        <w:t xml:space="preserve">4.1.1 </w:t>
      </w:r>
      <w:r>
        <w:rPr>
          <w:rFonts w:ascii="Times New Roman" w:hAnsi="Times New Roman" w:cs="Times New Roman"/>
          <w:b/>
          <w:bCs/>
          <w:sz w:val="24"/>
          <w:szCs w:val="24"/>
        </w:rPr>
        <w:t>Authorised Representative：</w:t>
      </w:r>
      <w:r>
        <w:rPr>
          <w:rFonts w:hint="eastAsia" w:ascii="Times New Roman" w:hAnsi="Times New Roman" w:cs="Times New Roman"/>
          <w:sz w:val="24"/>
          <w:szCs w:val="24"/>
        </w:rPr>
        <w:t>M</w:t>
      </w:r>
      <w:r>
        <w:rPr>
          <w:rFonts w:ascii="Times New Roman" w:hAnsi="Times New Roman" w:cs="Times New Roman"/>
          <w:sz w:val="24"/>
          <w:szCs w:val="24"/>
        </w:rPr>
        <w:t>eans any natural or legal person established within the Union who has received and accepted a written mandate from a manufacturer, located outside the Union, to act on the manufacturer's behalf in relation to specified tasks with regard to the latter's obligations under this Regulation.</w:t>
      </w:r>
    </w:p>
    <w:p w14:paraId="0A1BC157">
      <w:pPr>
        <w:pStyle w:val="2"/>
      </w:pPr>
    </w:p>
    <w:p w14:paraId="65D4CC11">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b/>
          <w:bCs/>
          <w:sz w:val="24"/>
          <w:szCs w:val="24"/>
        </w:rPr>
        <w:t xml:space="preserve">4.1.2 </w:t>
      </w:r>
      <w:r>
        <w:rPr>
          <w:rFonts w:ascii="Times New Roman" w:hAnsi="Times New Roman" w:cs="Times New Roman"/>
          <w:b/>
          <w:bCs/>
          <w:sz w:val="24"/>
          <w:szCs w:val="24"/>
        </w:rPr>
        <w:t>Corrective Action：</w:t>
      </w:r>
      <w:r>
        <w:rPr>
          <w:rFonts w:hint="eastAsia" w:ascii="Times New Roman" w:hAnsi="Times New Roman" w:cs="Times New Roman"/>
          <w:sz w:val="24"/>
          <w:szCs w:val="24"/>
        </w:rPr>
        <w:t>M</w:t>
      </w:r>
      <w:r>
        <w:rPr>
          <w:rFonts w:ascii="Times New Roman" w:hAnsi="Times New Roman" w:cs="Times New Roman"/>
          <w:sz w:val="24"/>
          <w:szCs w:val="24"/>
        </w:rPr>
        <w:t>eans action taken to eliminate the cause of a potential or actual non-conformity or other undesirable situation</w:t>
      </w:r>
    </w:p>
    <w:p w14:paraId="2FA5A17C">
      <w:pPr>
        <w:pStyle w:val="2"/>
        <w:rPr>
          <w:lang w:eastAsia="zh-CN"/>
        </w:rPr>
      </w:pPr>
    </w:p>
    <w:p w14:paraId="0030EED0">
      <w:pPr>
        <w:tabs>
          <w:tab w:val="left" w:pos="480"/>
          <w:tab w:val="left" w:pos="1208"/>
        </w:tabs>
        <w:spacing w:line="360" w:lineRule="auto"/>
        <w:ind w:right="105" w:rightChars="50"/>
        <w:rPr>
          <w:rFonts w:ascii="Times New Roman" w:hAnsi="Times New Roman" w:eastAsia="宋体" w:cs="Times New Roman"/>
          <w:bCs/>
          <w:sz w:val="24"/>
          <w:szCs w:val="24"/>
        </w:rPr>
      </w:pPr>
      <w:r>
        <w:rPr>
          <w:rFonts w:hint="eastAsia" w:ascii="Times New Roman" w:hAnsi="Times New Roman" w:eastAsia="宋体" w:cs="Times New Roman"/>
          <w:b/>
          <w:sz w:val="24"/>
          <w:szCs w:val="24"/>
        </w:rPr>
        <w:t xml:space="preserve">4.1.3 </w:t>
      </w:r>
      <w:r>
        <w:rPr>
          <w:rFonts w:ascii="Times New Roman" w:hAnsi="Times New Roman" w:eastAsia="宋体" w:cs="Times New Roman"/>
          <w:b/>
          <w:sz w:val="24"/>
          <w:szCs w:val="24"/>
        </w:rPr>
        <w:t>Field Safety Corrective Action：</w:t>
      </w:r>
      <w:r>
        <w:rPr>
          <w:rFonts w:hint="eastAsia" w:ascii="Times New Roman" w:hAnsi="Times New Roman" w:eastAsia="宋体" w:cs="Times New Roman"/>
          <w:bCs/>
          <w:sz w:val="24"/>
          <w:szCs w:val="24"/>
        </w:rPr>
        <w:t>M</w:t>
      </w:r>
      <w:r>
        <w:rPr>
          <w:rFonts w:ascii="Times New Roman" w:hAnsi="Times New Roman" w:eastAsia="宋体" w:cs="Times New Roman"/>
          <w:bCs/>
          <w:sz w:val="24"/>
          <w:szCs w:val="24"/>
        </w:rPr>
        <w:t>eans corrective action taken by a manufacturer for technical or medical reasons to prevent or reduce the risk of a serious incident in relation to a device made available on the market</w:t>
      </w:r>
    </w:p>
    <w:p w14:paraId="70465017">
      <w:pPr>
        <w:pStyle w:val="2"/>
        <w:rPr>
          <w:lang w:eastAsia="zh-CN"/>
        </w:rPr>
      </w:pPr>
    </w:p>
    <w:p w14:paraId="547B7AD7">
      <w:pPr>
        <w:tabs>
          <w:tab w:val="left" w:pos="480"/>
          <w:tab w:val="left" w:pos="785"/>
          <w:tab w:val="left" w:pos="10325"/>
        </w:tabs>
        <w:spacing w:line="360" w:lineRule="auto"/>
        <w:ind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4.2 </w:t>
      </w:r>
      <w:r>
        <w:rPr>
          <w:rFonts w:ascii="Times New Roman" w:hAnsi="Times New Roman" w:cs="Times New Roman"/>
          <w:b/>
          <w:bCs/>
          <w:sz w:val="24"/>
          <w:szCs w:val="24"/>
        </w:rPr>
        <w:t>Information Collection</w:t>
      </w:r>
    </w:p>
    <w:p w14:paraId="20247555">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4.2.1 </w:t>
      </w:r>
      <w:r>
        <w:rPr>
          <w:rFonts w:ascii="Times New Roman" w:hAnsi="Times New Roman" w:cs="Times New Roman"/>
          <w:sz w:val="24"/>
          <w:szCs w:val="24"/>
        </w:rPr>
        <w:t>Sales department could gather, record and analyse relevant data on the quality, performance and safety of a device throughout its entire lifetime, and to drawing the necessary conclusions and to determining, implementing and monitoring any preventive and corrective actions.</w:t>
      </w:r>
    </w:p>
    <w:p w14:paraId="31B5EE95">
      <w:pPr>
        <w:pStyle w:val="2"/>
        <w:rPr>
          <w:lang w:eastAsia="zh-CN"/>
        </w:rPr>
      </w:pPr>
    </w:p>
    <w:p w14:paraId="2B8EA684">
      <w:pPr>
        <w:tabs>
          <w:tab w:val="left" w:pos="480"/>
          <w:tab w:val="left" w:pos="1208"/>
        </w:tabs>
        <w:spacing w:line="360" w:lineRule="auto"/>
        <w:ind w:right="105" w:rightChars="50"/>
        <w:rPr>
          <w:rFonts w:ascii="Times New Roman" w:hAnsi="Times New Roman" w:eastAsia="宋体" w:cs="Times New Roman"/>
          <w:sz w:val="24"/>
          <w:szCs w:val="24"/>
        </w:rPr>
      </w:pPr>
      <w:r>
        <w:rPr>
          <w:rFonts w:hint="eastAsia" w:ascii="Times New Roman" w:hAnsi="Times New Roman" w:cs="Times New Roman"/>
          <w:sz w:val="24"/>
          <w:szCs w:val="24"/>
        </w:rPr>
        <w:t xml:space="preserve">4.2.2 </w:t>
      </w:r>
      <w:r>
        <w:rPr>
          <w:rFonts w:ascii="Times New Roman" w:hAnsi="Times New Roman" w:cs="Times New Roman"/>
          <w:sz w:val="24"/>
          <w:szCs w:val="24"/>
        </w:rPr>
        <w:t xml:space="preserve">Information after the device on the market: </w:t>
      </w:r>
      <w:r>
        <w:rPr>
          <w:rFonts w:ascii="Times New Roman" w:hAnsi="Times New Roman" w:eastAsia="宋体" w:cs="Times New Roman"/>
          <w:sz w:val="24"/>
          <w:szCs w:val="24"/>
        </w:rPr>
        <w:t>expert users groups, customer surveys, customer complaints and warranty claims, post CE-market clinical trials, literature reviews, user feed-back other than complaints, either direct to manufacturer or via sales force, device tracking/implant registries, user reactions during training</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programmes ect.</w:t>
      </w:r>
    </w:p>
    <w:p w14:paraId="1A96EE5F">
      <w:pPr>
        <w:pStyle w:val="2"/>
        <w:rPr>
          <w:lang w:eastAsia="zh-CN"/>
        </w:rPr>
      </w:pPr>
    </w:p>
    <w:p w14:paraId="2B4372E0">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4.2.3 </w:t>
      </w:r>
      <w:r>
        <w:rPr>
          <w:rFonts w:ascii="Times New Roman" w:hAnsi="Times New Roman" w:cs="Times New Roman"/>
          <w:sz w:val="24"/>
          <w:szCs w:val="24"/>
        </w:rPr>
        <w:t xml:space="preserve">Distributor and </w:t>
      </w:r>
      <w:bookmarkStart w:id="6" w:name="OLE_LINK6"/>
      <w:r>
        <w:rPr>
          <w:rFonts w:ascii="Times New Roman" w:hAnsi="Times New Roman" w:cs="Times New Roman"/>
          <w:sz w:val="24"/>
          <w:szCs w:val="24"/>
        </w:rPr>
        <w:t>Authorised Representative</w:t>
      </w:r>
      <w:bookmarkEnd w:id="6"/>
      <w:r>
        <w:rPr>
          <w:rFonts w:ascii="Times New Roman" w:hAnsi="Times New Roman" w:cs="Times New Roman"/>
          <w:sz w:val="24"/>
          <w:szCs w:val="24"/>
        </w:rPr>
        <w:t xml:space="preserve"> should collect customer complaint information in time, and other information related to the use of the devices after put on the market, and deliver it to the sales department</w:t>
      </w:r>
      <w:r>
        <w:rPr>
          <w:rFonts w:hint="eastAsia" w:ascii="Times New Roman" w:hAnsi="Times New Roman" w:cs="Times New Roman"/>
          <w:sz w:val="24"/>
          <w:szCs w:val="24"/>
        </w:rPr>
        <w:t>.</w:t>
      </w:r>
    </w:p>
    <w:p w14:paraId="559AD656">
      <w:pPr>
        <w:pStyle w:val="2"/>
        <w:rPr>
          <w:lang w:eastAsia="zh-CN"/>
        </w:rPr>
      </w:pPr>
    </w:p>
    <w:p w14:paraId="301D8EB7">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4.2.4 </w:t>
      </w:r>
      <w:r>
        <w:rPr>
          <w:rFonts w:ascii="Times New Roman" w:hAnsi="Times New Roman" w:cs="Times New Roman"/>
          <w:sz w:val="24"/>
          <w:szCs w:val="24"/>
        </w:rPr>
        <w:t xml:space="preserve">If, in the course of the post-market surveillance, a need for </w:t>
      </w:r>
      <w:bookmarkStart w:id="7" w:name="OLE_LINK3"/>
      <w:r>
        <w:rPr>
          <w:rFonts w:ascii="Times New Roman" w:hAnsi="Times New Roman" w:cs="Times New Roman"/>
          <w:sz w:val="24"/>
          <w:szCs w:val="24"/>
        </w:rPr>
        <w:t>preventive or corrective action or both</w:t>
      </w:r>
      <w:bookmarkEnd w:id="7"/>
      <w:r>
        <w:rPr>
          <w:rFonts w:ascii="Times New Roman" w:hAnsi="Times New Roman" w:cs="Times New Roman"/>
          <w:sz w:val="24"/>
          <w:szCs w:val="24"/>
        </w:rPr>
        <w:t xml:space="preserve"> is identified, the manufacturer shall implement the appropriate measures and inform the competent authorities concerned.</w:t>
      </w:r>
    </w:p>
    <w:p w14:paraId="78F8C46A">
      <w:pPr>
        <w:pStyle w:val="2"/>
        <w:rPr>
          <w:lang w:eastAsia="zh-CN"/>
        </w:rPr>
      </w:pPr>
    </w:p>
    <w:p w14:paraId="7A9410B6">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4.2.5 </w:t>
      </w:r>
      <w:r>
        <w:rPr>
          <w:rFonts w:ascii="Times New Roman" w:hAnsi="Times New Roman" w:cs="Times New Roman"/>
          <w:sz w:val="24"/>
          <w:szCs w:val="24"/>
        </w:rPr>
        <w:t xml:space="preserve">Sources of </w:t>
      </w:r>
      <w:r>
        <w:rPr>
          <w:rFonts w:hint="eastAsia" w:ascii="Times New Roman" w:hAnsi="Times New Roman" w:cs="Times New Roman"/>
          <w:sz w:val="24"/>
          <w:szCs w:val="24"/>
        </w:rPr>
        <w:t xml:space="preserve"> </w:t>
      </w:r>
      <w:r>
        <w:rPr>
          <w:rFonts w:ascii="Times New Roman" w:hAnsi="Times New Roman" w:cs="Times New Roman"/>
          <w:sz w:val="24"/>
          <w:szCs w:val="24"/>
        </w:rPr>
        <w:t>PMS information：</w:t>
      </w:r>
    </w:p>
    <w:p w14:paraId="1D52203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xml:space="preserve">- </w:t>
      </w:r>
      <w:bookmarkStart w:id="8" w:name="OLE_LINK5"/>
      <w:r>
        <w:rPr>
          <w:rFonts w:ascii="Times New Roman" w:hAnsi="Times New Roman" w:cs="Times New Roman"/>
          <w:sz w:val="24"/>
          <w:szCs w:val="24"/>
        </w:rPr>
        <w:t>expert users groups (focus groups)</w:t>
      </w:r>
      <w:bookmarkEnd w:id="8"/>
    </w:p>
    <w:p w14:paraId="72AA887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surveys</w:t>
      </w:r>
    </w:p>
    <w:p w14:paraId="134216B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complaints and warranty claims</w:t>
      </w:r>
    </w:p>
    <w:p w14:paraId="696D800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post CE-market clinical trials</w:t>
      </w:r>
    </w:p>
    <w:p w14:paraId="28D4A24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literature reviews</w:t>
      </w:r>
    </w:p>
    <w:p w14:paraId="006301B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feed-back other than complaints, either direct to manufacturer or via sales force</w:t>
      </w:r>
    </w:p>
    <w:p w14:paraId="7145CDF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device tracking/implant registries</w:t>
      </w:r>
    </w:p>
    <w:p w14:paraId="1DFAE8E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reactions during training programmes</w:t>
      </w:r>
    </w:p>
    <w:p w14:paraId="3DC4BC8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other bodies (e.g. the CA)</w:t>
      </w:r>
    </w:p>
    <w:p w14:paraId="3F80869E">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the media</w:t>
      </w:r>
    </w:p>
    <w:p w14:paraId="40B92880">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manufacturer</w:t>
      </w:r>
    </w:p>
    <w:p w14:paraId="1A538CD2">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maintenance/service reports and</w:t>
      </w:r>
    </w:p>
    <w:p w14:paraId="124E115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retrieval studies on explants or trade-ins</w:t>
      </w:r>
    </w:p>
    <w:p w14:paraId="57FCAB52">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in-house testing</w:t>
      </w:r>
    </w:p>
    <w:p w14:paraId="13454BC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failure analysis</w:t>
      </w:r>
    </w:p>
    <w:p w14:paraId="64789C61">
      <w:pPr>
        <w:pStyle w:val="2"/>
        <w:rPr>
          <w:lang w:eastAsia="zh-CN"/>
        </w:rPr>
      </w:pPr>
    </w:p>
    <w:p w14:paraId="021430F3">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4.2.6 </w:t>
      </w:r>
      <w:r>
        <w:rPr>
          <w:rFonts w:ascii="Times New Roman" w:hAnsi="Times New Roman" w:cs="Times New Roman"/>
          <w:sz w:val="24"/>
          <w:szCs w:val="24"/>
        </w:rPr>
        <w:t>Possible achievements of a manufacturer PMS system</w:t>
      </w:r>
    </w:p>
    <w:p w14:paraId="5BA6897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detection of manufacturing problems</w:t>
      </w:r>
    </w:p>
    <w:p w14:paraId="1EF51E2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product quality improvement</w:t>
      </w:r>
    </w:p>
    <w:p w14:paraId="3C92D9A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confirmation (or otherwise) of risk analysis</w:t>
      </w:r>
    </w:p>
    <w:p w14:paraId="68B4651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14:paraId="6B97B8A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changing performance trends</w:t>
      </w:r>
    </w:p>
    <w:p w14:paraId="3694354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14:paraId="6ECC2D9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indications of use</w:t>
      </w:r>
    </w:p>
    <w:p w14:paraId="29FD18E6">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instructions for use</w:t>
      </w:r>
    </w:p>
    <w:p w14:paraId="6DB107E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training needed for users</w:t>
      </w:r>
    </w:p>
    <w:p w14:paraId="3B88BBF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use with other devices</w:t>
      </w:r>
    </w:p>
    <w:p w14:paraId="079F3884">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customer satisfaction</w:t>
      </w:r>
    </w:p>
    <w:p w14:paraId="0247CE4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identification of vigilance reports</w:t>
      </w:r>
    </w:p>
    <w:p w14:paraId="17C09D8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14:paraId="536939C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continuing market viability</w:t>
      </w:r>
    </w:p>
    <w:p w14:paraId="06DAC5C4">
      <w:pPr>
        <w:pStyle w:val="2"/>
        <w:rPr>
          <w:lang w:eastAsia="zh-CN"/>
        </w:rPr>
      </w:pPr>
    </w:p>
    <w:p w14:paraId="11E19958">
      <w:pPr>
        <w:tabs>
          <w:tab w:val="left" w:pos="480"/>
          <w:tab w:val="left" w:pos="1208"/>
        </w:tabs>
        <w:spacing w:line="360" w:lineRule="auto"/>
        <w:ind w:left="357" w:right="105" w:rightChars="50"/>
        <w:rPr>
          <w:rFonts w:ascii="Times New Roman" w:hAnsi="Times New Roman" w:cs="Times New Roman"/>
          <w:sz w:val="24"/>
          <w:szCs w:val="24"/>
        </w:rPr>
      </w:pPr>
      <w:r>
        <w:rPr>
          <w:rFonts w:hint="eastAsia" w:ascii="Times New Roman" w:hAnsi="Times New Roman" w:cs="Times New Roman"/>
          <w:sz w:val="24"/>
          <w:szCs w:val="24"/>
        </w:rPr>
        <w:t xml:space="preserve">4.2.7 </w:t>
      </w:r>
      <w:r>
        <w:rPr>
          <w:rFonts w:ascii="Times New Roman" w:hAnsi="Times New Roman" w:cs="Times New Roman"/>
          <w:sz w:val="24"/>
          <w:szCs w:val="24"/>
        </w:rPr>
        <w:t>Data gathered shall in particular be used:</w:t>
      </w:r>
    </w:p>
    <w:p w14:paraId="16C46DBC">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14:paraId="08B27195">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to update the design and manufacturing information, the instructions for use and the labelling;</w:t>
      </w:r>
    </w:p>
    <w:p w14:paraId="40BC2204">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(c) to update the clinical evaluation;</w:t>
      </w:r>
    </w:p>
    <w:p w14:paraId="0C71D8D6">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14:paraId="06983401">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(e) for the identification of needs for preventive, corrective or field safety corrective action;</w:t>
      </w:r>
    </w:p>
    <w:p w14:paraId="180FCEED">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performance and safety of the device;</w:t>
      </w:r>
    </w:p>
    <w:p w14:paraId="3182154B">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14:paraId="6677A4C0">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(h) to detect and report trends in accordance with vigilance system.</w:t>
      </w:r>
    </w:p>
    <w:p w14:paraId="16F85708">
      <w:pPr>
        <w:pStyle w:val="2"/>
        <w:rPr>
          <w:lang w:eastAsia="zh-CN"/>
        </w:rPr>
      </w:pPr>
    </w:p>
    <w:p w14:paraId="502F9C5B">
      <w:pPr>
        <w:tabs>
          <w:tab w:val="left" w:pos="480"/>
          <w:tab w:val="left" w:pos="785"/>
          <w:tab w:val="left" w:pos="10325"/>
        </w:tabs>
        <w:spacing w:before="31" w:beforeLines="10" w:after="62" w:afterLines="20" w:line="360" w:lineRule="auto"/>
        <w:ind w:left="244"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4.3 </w:t>
      </w:r>
      <w:r>
        <w:rPr>
          <w:rFonts w:ascii="Times New Roman" w:hAnsi="Times New Roman" w:cs="Times New Roman"/>
          <w:b/>
          <w:bCs/>
          <w:sz w:val="24"/>
          <w:szCs w:val="24"/>
        </w:rPr>
        <w:t xml:space="preserve">Post-market surveillance plan </w:t>
      </w:r>
    </w:p>
    <w:p w14:paraId="4D8E2FB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{填写上市后的监管计划}</w:t>
      </w:r>
    </w:p>
    <w:p w14:paraId="62C9657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（参考示例：Quality department shall be responsible for drawing up post-market surveillance plan, this plan should prove that it fulfil the obligations stipulated in the coordination assessment process of clinical research.</w:t>
      </w:r>
    </w:p>
    <w:p w14:paraId="63461B8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 address the collection and utilization of available information</w:t>
      </w:r>
    </w:p>
    <w:p w14:paraId="139A3A8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relate to serious incident, including information from PSURs, and field safety corrective action；</w:t>
      </w:r>
    </w:p>
    <w:p w14:paraId="1EC4CB0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-records referring to non-serious incidents and data on any undesirable side-effects;</w:t>
      </w:r>
    </w:p>
    <w:p w14:paraId="7EAE826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from trend reporting;</w:t>
      </w:r>
    </w:p>
    <w:p w14:paraId="07CE34C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-relevant specialist or technical literature, databases and/or registers;</w:t>
      </w:r>
    </w:p>
    <w:p w14:paraId="0CCAFA4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-information, including feedbacks and complaints, provided by users, distributors and importers; and</w:t>
      </w:r>
    </w:p>
    <w:p w14:paraId="61F03CA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-publicly available information about similar medical devices.</w:t>
      </w:r>
    </w:p>
    <w:p w14:paraId="58548C3E">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i/>
          <w:iCs/>
          <w:color w:val="0000FF"/>
          <w:kern w:val="2"/>
          <w:lang w:eastAsia="zh-CN"/>
        </w:rPr>
        <w:t>After collect the available information, The relevant personnel should fill in the below Table.）</w:t>
      </w:r>
    </w:p>
    <w:p w14:paraId="3E9506BB">
      <w:pPr>
        <w:spacing w:line="360" w:lineRule="auto"/>
        <w:ind w:left="420" w:leftChars="200"/>
        <w:jc w:val="center"/>
        <w:rPr>
          <w:rFonts w:ascii="Times New Roman" w:hAnsi="Times New Roman" w:cs="Times New Roman"/>
          <w:b/>
          <w:bCs/>
          <w:i/>
          <w:color w:val="0000FF"/>
          <w:sz w:val="24"/>
          <w:szCs w:val="24"/>
        </w:rPr>
      </w:pPr>
      <w:r>
        <w:rPr>
          <w:rFonts w:hint="eastAsia" w:ascii="Times New Roman" w:hAnsi="Times New Roman" w:cs="Times New Roman"/>
          <w:b/>
          <w:bCs/>
          <w:i/>
          <w:color w:val="0000FF"/>
          <w:sz w:val="24"/>
          <w:szCs w:val="24"/>
        </w:rPr>
        <w:t>Table 1 PMS information collection and assessment</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18"/>
        <w:gridCol w:w="1357"/>
        <w:gridCol w:w="1237"/>
        <w:gridCol w:w="1350"/>
        <w:gridCol w:w="1238"/>
        <w:gridCol w:w="1100"/>
      </w:tblGrid>
      <w:tr w14:paraId="11FA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6301676">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Items</w:t>
            </w:r>
          </w:p>
        </w:tc>
        <w:tc>
          <w:tcPr>
            <w:tcW w:w="1218" w:type="dxa"/>
          </w:tcPr>
          <w:p w14:paraId="2DDAA79A">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Sources of PMS information</w:t>
            </w:r>
          </w:p>
        </w:tc>
        <w:tc>
          <w:tcPr>
            <w:tcW w:w="1357" w:type="dxa"/>
          </w:tcPr>
          <w:p w14:paraId="385C86CD">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Description</w:t>
            </w:r>
          </w:p>
        </w:tc>
        <w:tc>
          <w:tcPr>
            <w:tcW w:w="1237" w:type="dxa"/>
          </w:tcPr>
          <w:p w14:paraId="50AC47BB">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Investigation</w:t>
            </w:r>
          </w:p>
          <w:p w14:paraId="7C48A1ED">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(analysis) Results</w:t>
            </w:r>
          </w:p>
        </w:tc>
        <w:tc>
          <w:tcPr>
            <w:tcW w:w="1350" w:type="dxa"/>
          </w:tcPr>
          <w:p w14:paraId="09790EDE">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Measurements</w:t>
            </w:r>
          </w:p>
        </w:tc>
        <w:tc>
          <w:tcPr>
            <w:tcW w:w="1238" w:type="dxa"/>
          </w:tcPr>
          <w:p w14:paraId="043C013E">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New risks identification (Y/N)</w:t>
            </w:r>
          </w:p>
        </w:tc>
        <w:tc>
          <w:tcPr>
            <w:tcW w:w="1100" w:type="dxa"/>
          </w:tcPr>
          <w:p w14:paraId="0D08498B">
            <w:pPr>
              <w:spacing w:line="360" w:lineRule="auto"/>
              <w:rPr>
                <w:rFonts w:ascii="Times New Roman" w:hAnsi="Times New Roman" w:cs="Times New Roman"/>
                <w:b/>
                <w:bCs/>
                <w:i/>
                <w:color w:val="0000FF"/>
                <w:sz w:val="24"/>
                <w:szCs w:val="24"/>
              </w:rPr>
            </w:pPr>
            <w:r>
              <w:rPr>
                <w:rFonts w:ascii="Times New Roman" w:hAnsi="Times New Roman" w:cs="Times New Roman"/>
                <w:b/>
                <w:bCs/>
                <w:i/>
                <w:color w:val="0000FF"/>
                <w:sz w:val="24"/>
                <w:szCs w:val="24"/>
              </w:rPr>
              <w:t>Comments</w:t>
            </w:r>
          </w:p>
        </w:tc>
      </w:tr>
      <w:tr w14:paraId="0A7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37C9F59">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Manufacture problem</w:t>
            </w:r>
          </w:p>
        </w:tc>
        <w:tc>
          <w:tcPr>
            <w:tcW w:w="1218" w:type="dxa"/>
          </w:tcPr>
          <w:p w14:paraId="1EFA035C">
            <w:pPr>
              <w:spacing w:line="360" w:lineRule="auto"/>
              <w:rPr>
                <w:rFonts w:ascii="Times New Roman" w:hAnsi="Times New Roman" w:eastAsia="宋体" w:cs="Times New Roman"/>
                <w:i/>
                <w:color w:val="0000FF"/>
                <w:sz w:val="24"/>
                <w:szCs w:val="24"/>
              </w:rPr>
            </w:pPr>
          </w:p>
        </w:tc>
        <w:tc>
          <w:tcPr>
            <w:tcW w:w="1357" w:type="dxa"/>
          </w:tcPr>
          <w:p w14:paraId="785F94B8">
            <w:pPr>
              <w:spacing w:line="360" w:lineRule="auto"/>
              <w:rPr>
                <w:rFonts w:ascii="Times New Roman" w:hAnsi="Times New Roman" w:cs="Times New Roman"/>
                <w:i/>
                <w:color w:val="0000FF"/>
                <w:sz w:val="24"/>
                <w:szCs w:val="24"/>
              </w:rPr>
            </w:pPr>
          </w:p>
        </w:tc>
        <w:tc>
          <w:tcPr>
            <w:tcW w:w="1237" w:type="dxa"/>
          </w:tcPr>
          <w:p w14:paraId="05D94ECF">
            <w:pPr>
              <w:spacing w:line="360" w:lineRule="auto"/>
              <w:rPr>
                <w:rFonts w:ascii="Times New Roman" w:hAnsi="Times New Roman" w:cs="Times New Roman"/>
                <w:i/>
                <w:color w:val="0000FF"/>
                <w:sz w:val="24"/>
                <w:szCs w:val="24"/>
              </w:rPr>
            </w:pPr>
          </w:p>
        </w:tc>
        <w:tc>
          <w:tcPr>
            <w:tcW w:w="1350" w:type="dxa"/>
          </w:tcPr>
          <w:p w14:paraId="7CB10754">
            <w:pPr>
              <w:spacing w:line="360" w:lineRule="auto"/>
              <w:rPr>
                <w:rFonts w:ascii="Times New Roman" w:hAnsi="Times New Roman" w:cs="Times New Roman"/>
                <w:i/>
                <w:color w:val="0000FF"/>
                <w:sz w:val="24"/>
                <w:szCs w:val="24"/>
              </w:rPr>
            </w:pPr>
          </w:p>
        </w:tc>
        <w:tc>
          <w:tcPr>
            <w:tcW w:w="1238" w:type="dxa"/>
          </w:tcPr>
          <w:p w14:paraId="2E732132">
            <w:pPr>
              <w:spacing w:line="360" w:lineRule="auto"/>
              <w:rPr>
                <w:rFonts w:ascii="Times New Roman" w:hAnsi="Times New Roman" w:eastAsia="宋体" w:cs="Times New Roman"/>
                <w:i/>
                <w:color w:val="0000FF"/>
                <w:sz w:val="24"/>
                <w:szCs w:val="24"/>
              </w:rPr>
            </w:pPr>
          </w:p>
        </w:tc>
        <w:tc>
          <w:tcPr>
            <w:tcW w:w="1100" w:type="dxa"/>
          </w:tcPr>
          <w:p w14:paraId="11CD426D">
            <w:pPr>
              <w:spacing w:line="360" w:lineRule="auto"/>
              <w:rPr>
                <w:rFonts w:ascii="Times New Roman" w:hAnsi="Times New Roman" w:cs="Times New Roman"/>
                <w:i/>
                <w:color w:val="0000FF"/>
                <w:sz w:val="24"/>
                <w:szCs w:val="24"/>
              </w:rPr>
            </w:pPr>
          </w:p>
        </w:tc>
      </w:tr>
      <w:tr w14:paraId="2DB6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45672C7">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 xml:space="preserve">quality improvement </w:t>
            </w:r>
          </w:p>
        </w:tc>
        <w:tc>
          <w:tcPr>
            <w:tcW w:w="1218" w:type="dxa"/>
          </w:tcPr>
          <w:p w14:paraId="037DFA56">
            <w:pPr>
              <w:spacing w:line="360" w:lineRule="auto"/>
              <w:rPr>
                <w:rFonts w:ascii="Times New Roman" w:hAnsi="Times New Roman" w:cs="Times New Roman"/>
                <w:i/>
                <w:color w:val="0000FF"/>
                <w:sz w:val="24"/>
                <w:szCs w:val="24"/>
              </w:rPr>
            </w:pPr>
          </w:p>
        </w:tc>
        <w:tc>
          <w:tcPr>
            <w:tcW w:w="1357" w:type="dxa"/>
          </w:tcPr>
          <w:p w14:paraId="12F97802">
            <w:pPr>
              <w:spacing w:line="360" w:lineRule="auto"/>
              <w:rPr>
                <w:rFonts w:ascii="Times New Roman" w:hAnsi="Times New Roman" w:cs="Times New Roman"/>
                <w:i/>
                <w:color w:val="0000FF"/>
                <w:sz w:val="24"/>
                <w:szCs w:val="24"/>
              </w:rPr>
            </w:pPr>
          </w:p>
        </w:tc>
        <w:tc>
          <w:tcPr>
            <w:tcW w:w="1237" w:type="dxa"/>
          </w:tcPr>
          <w:p w14:paraId="077D9223">
            <w:pPr>
              <w:spacing w:line="360" w:lineRule="auto"/>
              <w:rPr>
                <w:rFonts w:ascii="Times New Roman" w:hAnsi="Times New Roman" w:cs="Times New Roman"/>
                <w:i/>
                <w:color w:val="0000FF"/>
                <w:sz w:val="24"/>
                <w:szCs w:val="24"/>
              </w:rPr>
            </w:pPr>
          </w:p>
        </w:tc>
        <w:tc>
          <w:tcPr>
            <w:tcW w:w="1350" w:type="dxa"/>
          </w:tcPr>
          <w:p w14:paraId="775BFF09">
            <w:pPr>
              <w:spacing w:line="360" w:lineRule="auto"/>
              <w:rPr>
                <w:rFonts w:ascii="Times New Roman" w:hAnsi="Times New Roman" w:cs="Times New Roman"/>
                <w:i/>
                <w:color w:val="0000FF"/>
                <w:sz w:val="24"/>
                <w:szCs w:val="24"/>
              </w:rPr>
            </w:pPr>
          </w:p>
        </w:tc>
        <w:tc>
          <w:tcPr>
            <w:tcW w:w="1238" w:type="dxa"/>
          </w:tcPr>
          <w:p w14:paraId="1F53F090">
            <w:pPr>
              <w:spacing w:line="360" w:lineRule="auto"/>
              <w:rPr>
                <w:rFonts w:ascii="Times New Roman" w:hAnsi="Times New Roman" w:eastAsia="宋体" w:cs="Times New Roman"/>
                <w:i/>
                <w:color w:val="0000FF"/>
                <w:sz w:val="24"/>
                <w:szCs w:val="24"/>
              </w:rPr>
            </w:pPr>
          </w:p>
        </w:tc>
        <w:tc>
          <w:tcPr>
            <w:tcW w:w="1100" w:type="dxa"/>
          </w:tcPr>
          <w:p w14:paraId="72407430">
            <w:pPr>
              <w:spacing w:line="360" w:lineRule="auto"/>
              <w:rPr>
                <w:rFonts w:ascii="Times New Roman" w:hAnsi="Times New Roman" w:cs="Times New Roman"/>
                <w:i/>
                <w:color w:val="0000FF"/>
                <w:sz w:val="24"/>
                <w:szCs w:val="24"/>
              </w:rPr>
            </w:pPr>
          </w:p>
        </w:tc>
      </w:tr>
      <w:tr w14:paraId="12CF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764E1E0">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Determine the result of risk management or on the contrary</w:t>
            </w:r>
          </w:p>
        </w:tc>
        <w:tc>
          <w:tcPr>
            <w:tcW w:w="1218" w:type="dxa"/>
          </w:tcPr>
          <w:p w14:paraId="043A188F">
            <w:pPr>
              <w:spacing w:line="360" w:lineRule="auto"/>
              <w:rPr>
                <w:rFonts w:ascii="Times New Roman" w:hAnsi="Times New Roman" w:cs="Times New Roman"/>
                <w:i/>
                <w:color w:val="0000FF"/>
                <w:sz w:val="24"/>
                <w:szCs w:val="24"/>
              </w:rPr>
            </w:pPr>
          </w:p>
        </w:tc>
        <w:tc>
          <w:tcPr>
            <w:tcW w:w="1357" w:type="dxa"/>
          </w:tcPr>
          <w:p w14:paraId="43CCD2AE">
            <w:pPr>
              <w:spacing w:line="360" w:lineRule="auto"/>
              <w:rPr>
                <w:rFonts w:ascii="Times New Roman" w:hAnsi="Times New Roman" w:cs="Times New Roman"/>
                <w:i/>
                <w:color w:val="0000FF"/>
                <w:sz w:val="24"/>
                <w:szCs w:val="24"/>
              </w:rPr>
            </w:pPr>
          </w:p>
        </w:tc>
        <w:tc>
          <w:tcPr>
            <w:tcW w:w="1237" w:type="dxa"/>
          </w:tcPr>
          <w:p w14:paraId="23BB47E9">
            <w:pPr>
              <w:spacing w:line="360" w:lineRule="auto"/>
              <w:rPr>
                <w:rFonts w:ascii="Times New Roman" w:hAnsi="Times New Roman" w:cs="Times New Roman"/>
                <w:i/>
                <w:color w:val="0000FF"/>
                <w:sz w:val="24"/>
                <w:szCs w:val="24"/>
              </w:rPr>
            </w:pPr>
          </w:p>
        </w:tc>
        <w:tc>
          <w:tcPr>
            <w:tcW w:w="1350" w:type="dxa"/>
          </w:tcPr>
          <w:p w14:paraId="62C2824B">
            <w:pPr>
              <w:spacing w:line="360" w:lineRule="auto"/>
              <w:rPr>
                <w:rFonts w:ascii="Times New Roman" w:hAnsi="Times New Roman" w:cs="Times New Roman"/>
                <w:i/>
                <w:color w:val="0000FF"/>
                <w:sz w:val="24"/>
                <w:szCs w:val="24"/>
              </w:rPr>
            </w:pPr>
          </w:p>
        </w:tc>
        <w:tc>
          <w:tcPr>
            <w:tcW w:w="1238" w:type="dxa"/>
          </w:tcPr>
          <w:p w14:paraId="5B0D707B">
            <w:pPr>
              <w:spacing w:line="360" w:lineRule="auto"/>
              <w:rPr>
                <w:rFonts w:ascii="Times New Roman" w:hAnsi="Times New Roman" w:cs="Times New Roman"/>
                <w:i/>
                <w:color w:val="0000FF"/>
                <w:sz w:val="24"/>
                <w:szCs w:val="24"/>
              </w:rPr>
            </w:pPr>
          </w:p>
        </w:tc>
        <w:tc>
          <w:tcPr>
            <w:tcW w:w="1100" w:type="dxa"/>
          </w:tcPr>
          <w:p w14:paraId="2DA0F47A">
            <w:pPr>
              <w:spacing w:line="360" w:lineRule="auto"/>
              <w:rPr>
                <w:rFonts w:ascii="Times New Roman" w:hAnsi="Times New Roman" w:cs="Times New Roman"/>
                <w:i/>
                <w:color w:val="0000FF"/>
                <w:sz w:val="24"/>
                <w:szCs w:val="24"/>
              </w:rPr>
            </w:pPr>
          </w:p>
        </w:tc>
      </w:tr>
      <w:tr w14:paraId="4F72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7D245FD">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Long-term performance, reliability, and/or chronic complications</w:t>
            </w:r>
          </w:p>
        </w:tc>
        <w:tc>
          <w:tcPr>
            <w:tcW w:w="1218" w:type="dxa"/>
          </w:tcPr>
          <w:p w14:paraId="68D3DB44">
            <w:pPr>
              <w:spacing w:line="360" w:lineRule="auto"/>
              <w:rPr>
                <w:rFonts w:ascii="Times New Roman" w:hAnsi="Times New Roman" w:cs="Times New Roman"/>
                <w:i/>
                <w:color w:val="0000FF"/>
                <w:sz w:val="24"/>
                <w:szCs w:val="24"/>
              </w:rPr>
            </w:pPr>
          </w:p>
        </w:tc>
        <w:tc>
          <w:tcPr>
            <w:tcW w:w="1357" w:type="dxa"/>
          </w:tcPr>
          <w:p w14:paraId="228FB02C">
            <w:pPr>
              <w:spacing w:line="360" w:lineRule="auto"/>
              <w:rPr>
                <w:rFonts w:ascii="Times New Roman" w:hAnsi="Times New Roman" w:cs="Times New Roman"/>
                <w:i/>
                <w:color w:val="0000FF"/>
                <w:sz w:val="24"/>
                <w:szCs w:val="24"/>
              </w:rPr>
            </w:pPr>
          </w:p>
        </w:tc>
        <w:tc>
          <w:tcPr>
            <w:tcW w:w="1237" w:type="dxa"/>
          </w:tcPr>
          <w:p w14:paraId="7D66541C">
            <w:pPr>
              <w:spacing w:line="360" w:lineRule="auto"/>
              <w:rPr>
                <w:rFonts w:ascii="Times New Roman" w:hAnsi="Times New Roman" w:cs="Times New Roman"/>
                <w:i/>
                <w:color w:val="0000FF"/>
                <w:sz w:val="24"/>
                <w:szCs w:val="24"/>
              </w:rPr>
            </w:pPr>
          </w:p>
        </w:tc>
        <w:tc>
          <w:tcPr>
            <w:tcW w:w="1350" w:type="dxa"/>
          </w:tcPr>
          <w:p w14:paraId="59B5A4FD">
            <w:pPr>
              <w:spacing w:line="360" w:lineRule="auto"/>
              <w:rPr>
                <w:rFonts w:ascii="Times New Roman" w:hAnsi="Times New Roman" w:cs="Times New Roman"/>
                <w:i/>
                <w:color w:val="0000FF"/>
                <w:sz w:val="24"/>
                <w:szCs w:val="24"/>
              </w:rPr>
            </w:pPr>
          </w:p>
        </w:tc>
        <w:tc>
          <w:tcPr>
            <w:tcW w:w="1238" w:type="dxa"/>
          </w:tcPr>
          <w:p w14:paraId="288770A1">
            <w:pPr>
              <w:spacing w:line="360" w:lineRule="auto"/>
              <w:rPr>
                <w:rFonts w:ascii="Times New Roman" w:hAnsi="Times New Roman" w:cs="Times New Roman"/>
                <w:i/>
                <w:color w:val="0000FF"/>
                <w:sz w:val="24"/>
                <w:szCs w:val="24"/>
              </w:rPr>
            </w:pPr>
          </w:p>
        </w:tc>
        <w:tc>
          <w:tcPr>
            <w:tcW w:w="1100" w:type="dxa"/>
          </w:tcPr>
          <w:p w14:paraId="6EF8877C">
            <w:pPr>
              <w:spacing w:line="360" w:lineRule="auto"/>
              <w:rPr>
                <w:rFonts w:ascii="Times New Roman" w:hAnsi="Times New Roman" w:cs="Times New Roman"/>
                <w:i/>
                <w:color w:val="0000FF"/>
                <w:sz w:val="24"/>
                <w:szCs w:val="24"/>
              </w:rPr>
            </w:pPr>
          </w:p>
        </w:tc>
      </w:tr>
      <w:tr w14:paraId="76B7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797F5BE">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performance trend</w:t>
            </w:r>
          </w:p>
        </w:tc>
        <w:tc>
          <w:tcPr>
            <w:tcW w:w="1218" w:type="dxa"/>
          </w:tcPr>
          <w:p w14:paraId="1BBB60D4">
            <w:pPr>
              <w:spacing w:line="360" w:lineRule="auto"/>
              <w:rPr>
                <w:rFonts w:ascii="Times New Roman" w:hAnsi="Times New Roman" w:cs="Times New Roman"/>
                <w:i/>
                <w:color w:val="0000FF"/>
                <w:sz w:val="24"/>
                <w:szCs w:val="24"/>
              </w:rPr>
            </w:pPr>
          </w:p>
        </w:tc>
        <w:tc>
          <w:tcPr>
            <w:tcW w:w="1357" w:type="dxa"/>
          </w:tcPr>
          <w:p w14:paraId="7E7E6095">
            <w:pPr>
              <w:spacing w:line="360" w:lineRule="auto"/>
              <w:rPr>
                <w:rFonts w:ascii="Times New Roman" w:hAnsi="Times New Roman" w:cs="Times New Roman"/>
                <w:i/>
                <w:color w:val="0000FF"/>
                <w:sz w:val="24"/>
                <w:szCs w:val="24"/>
              </w:rPr>
            </w:pPr>
          </w:p>
        </w:tc>
        <w:tc>
          <w:tcPr>
            <w:tcW w:w="1237" w:type="dxa"/>
          </w:tcPr>
          <w:p w14:paraId="514C1D7A">
            <w:pPr>
              <w:spacing w:line="360" w:lineRule="auto"/>
              <w:rPr>
                <w:rFonts w:ascii="Times New Roman" w:hAnsi="Times New Roman" w:cs="Times New Roman"/>
                <w:i/>
                <w:color w:val="0000FF"/>
                <w:sz w:val="24"/>
                <w:szCs w:val="24"/>
              </w:rPr>
            </w:pPr>
          </w:p>
        </w:tc>
        <w:tc>
          <w:tcPr>
            <w:tcW w:w="1350" w:type="dxa"/>
          </w:tcPr>
          <w:p w14:paraId="7013BA24">
            <w:pPr>
              <w:spacing w:line="360" w:lineRule="auto"/>
              <w:rPr>
                <w:rFonts w:ascii="Times New Roman" w:hAnsi="Times New Roman" w:cs="Times New Roman"/>
                <w:i/>
                <w:color w:val="0000FF"/>
                <w:sz w:val="24"/>
                <w:szCs w:val="24"/>
              </w:rPr>
            </w:pPr>
          </w:p>
        </w:tc>
        <w:tc>
          <w:tcPr>
            <w:tcW w:w="1238" w:type="dxa"/>
          </w:tcPr>
          <w:p w14:paraId="3FD8FBB4">
            <w:pPr>
              <w:spacing w:line="360" w:lineRule="auto"/>
              <w:rPr>
                <w:rFonts w:ascii="Times New Roman" w:hAnsi="Times New Roman" w:cs="Times New Roman"/>
                <w:i/>
                <w:color w:val="0000FF"/>
                <w:sz w:val="24"/>
                <w:szCs w:val="24"/>
              </w:rPr>
            </w:pPr>
          </w:p>
        </w:tc>
        <w:tc>
          <w:tcPr>
            <w:tcW w:w="1100" w:type="dxa"/>
          </w:tcPr>
          <w:p w14:paraId="023CEF5A">
            <w:pPr>
              <w:spacing w:line="360" w:lineRule="auto"/>
              <w:rPr>
                <w:rFonts w:ascii="Times New Roman" w:hAnsi="Times New Roman" w:cs="Times New Roman"/>
                <w:i/>
                <w:color w:val="0000FF"/>
                <w:sz w:val="24"/>
                <w:szCs w:val="24"/>
              </w:rPr>
            </w:pPr>
          </w:p>
        </w:tc>
      </w:tr>
      <w:tr w14:paraId="348C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6159FC0">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Performance different when using by different population</w:t>
            </w:r>
          </w:p>
        </w:tc>
        <w:tc>
          <w:tcPr>
            <w:tcW w:w="1218" w:type="dxa"/>
          </w:tcPr>
          <w:p w14:paraId="669E82A8">
            <w:pPr>
              <w:spacing w:line="360" w:lineRule="auto"/>
              <w:rPr>
                <w:rFonts w:ascii="Times New Roman" w:hAnsi="Times New Roman" w:cs="Times New Roman"/>
                <w:i/>
                <w:color w:val="0000FF"/>
                <w:sz w:val="24"/>
                <w:szCs w:val="24"/>
              </w:rPr>
            </w:pPr>
          </w:p>
        </w:tc>
        <w:tc>
          <w:tcPr>
            <w:tcW w:w="1357" w:type="dxa"/>
          </w:tcPr>
          <w:p w14:paraId="6A07552C">
            <w:pPr>
              <w:spacing w:line="360" w:lineRule="auto"/>
              <w:rPr>
                <w:rFonts w:ascii="Times New Roman" w:hAnsi="Times New Roman" w:cs="Times New Roman"/>
                <w:i/>
                <w:color w:val="0000FF"/>
                <w:sz w:val="24"/>
                <w:szCs w:val="24"/>
              </w:rPr>
            </w:pPr>
          </w:p>
        </w:tc>
        <w:tc>
          <w:tcPr>
            <w:tcW w:w="1237" w:type="dxa"/>
          </w:tcPr>
          <w:p w14:paraId="365B79A3">
            <w:pPr>
              <w:spacing w:line="360" w:lineRule="auto"/>
              <w:rPr>
                <w:rFonts w:ascii="Times New Roman" w:hAnsi="Times New Roman" w:cs="Times New Roman"/>
                <w:i/>
                <w:color w:val="0000FF"/>
                <w:sz w:val="24"/>
                <w:szCs w:val="24"/>
              </w:rPr>
            </w:pPr>
          </w:p>
        </w:tc>
        <w:tc>
          <w:tcPr>
            <w:tcW w:w="1350" w:type="dxa"/>
          </w:tcPr>
          <w:p w14:paraId="6E563755">
            <w:pPr>
              <w:spacing w:line="360" w:lineRule="auto"/>
              <w:rPr>
                <w:rFonts w:ascii="Times New Roman" w:hAnsi="Times New Roman" w:cs="Times New Roman"/>
                <w:i/>
                <w:color w:val="0000FF"/>
                <w:sz w:val="24"/>
                <w:szCs w:val="24"/>
              </w:rPr>
            </w:pPr>
          </w:p>
        </w:tc>
        <w:tc>
          <w:tcPr>
            <w:tcW w:w="1238" w:type="dxa"/>
          </w:tcPr>
          <w:p w14:paraId="7C959EE7">
            <w:pPr>
              <w:spacing w:line="360" w:lineRule="auto"/>
              <w:rPr>
                <w:rFonts w:ascii="Times New Roman" w:hAnsi="Times New Roman" w:cs="Times New Roman"/>
                <w:i/>
                <w:color w:val="0000FF"/>
                <w:sz w:val="24"/>
                <w:szCs w:val="24"/>
              </w:rPr>
            </w:pPr>
          </w:p>
        </w:tc>
        <w:tc>
          <w:tcPr>
            <w:tcW w:w="1100" w:type="dxa"/>
          </w:tcPr>
          <w:p w14:paraId="12FDFAD5">
            <w:pPr>
              <w:spacing w:line="360" w:lineRule="auto"/>
              <w:rPr>
                <w:rFonts w:ascii="Times New Roman" w:hAnsi="Times New Roman" w:cs="Times New Roman"/>
                <w:i/>
                <w:color w:val="0000FF"/>
                <w:sz w:val="24"/>
                <w:szCs w:val="24"/>
              </w:rPr>
            </w:pPr>
          </w:p>
        </w:tc>
      </w:tr>
      <w:tr w14:paraId="2C16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C5941A5">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 xml:space="preserve">Feedback about product Indications for use </w:t>
            </w:r>
          </w:p>
        </w:tc>
        <w:tc>
          <w:tcPr>
            <w:tcW w:w="1218" w:type="dxa"/>
          </w:tcPr>
          <w:p w14:paraId="573818F4">
            <w:pPr>
              <w:spacing w:line="360" w:lineRule="auto"/>
              <w:rPr>
                <w:rFonts w:ascii="Times New Roman" w:hAnsi="Times New Roman" w:cs="Times New Roman"/>
                <w:i/>
                <w:color w:val="0000FF"/>
                <w:sz w:val="24"/>
                <w:szCs w:val="24"/>
              </w:rPr>
            </w:pPr>
          </w:p>
        </w:tc>
        <w:tc>
          <w:tcPr>
            <w:tcW w:w="1357" w:type="dxa"/>
          </w:tcPr>
          <w:p w14:paraId="1E222375">
            <w:pPr>
              <w:spacing w:line="360" w:lineRule="auto"/>
              <w:rPr>
                <w:rFonts w:ascii="Times New Roman" w:hAnsi="Times New Roman" w:cs="Times New Roman"/>
                <w:i/>
                <w:color w:val="0000FF"/>
                <w:sz w:val="24"/>
                <w:szCs w:val="24"/>
              </w:rPr>
            </w:pPr>
          </w:p>
        </w:tc>
        <w:tc>
          <w:tcPr>
            <w:tcW w:w="1237" w:type="dxa"/>
          </w:tcPr>
          <w:p w14:paraId="1EB6F8AD">
            <w:pPr>
              <w:spacing w:line="360" w:lineRule="auto"/>
              <w:rPr>
                <w:rFonts w:ascii="Times New Roman" w:hAnsi="Times New Roman" w:cs="Times New Roman"/>
                <w:i/>
                <w:color w:val="0000FF"/>
                <w:sz w:val="24"/>
                <w:szCs w:val="24"/>
              </w:rPr>
            </w:pPr>
          </w:p>
        </w:tc>
        <w:tc>
          <w:tcPr>
            <w:tcW w:w="1350" w:type="dxa"/>
          </w:tcPr>
          <w:p w14:paraId="6C6ECF06">
            <w:pPr>
              <w:spacing w:line="360" w:lineRule="auto"/>
              <w:rPr>
                <w:rFonts w:ascii="Times New Roman" w:hAnsi="Times New Roman" w:cs="Times New Roman"/>
                <w:i/>
                <w:color w:val="0000FF"/>
                <w:sz w:val="24"/>
                <w:szCs w:val="24"/>
              </w:rPr>
            </w:pPr>
          </w:p>
        </w:tc>
        <w:tc>
          <w:tcPr>
            <w:tcW w:w="1238" w:type="dxa"/>
          </w:tcPr>
          <w:p w14:paraId="720912A3">
            <w:pPr>
              <w:spacing w:line="360" w:lineRule="auto"/>
              <w:rPr>
                <w:rFonts w:ascii="Times New Roman" w:hAnsi="Times New Roman" w:cs="Times New Roman"/>
                <w:i/>
                <w:color w:val="0000FF"/>
                <w:sz w:val="24"/>
                <w:szCs w:val="24"/>
              </w:rPr>
            </w:pPr>
          </w:p>
        </w:tc>
        <w:tc>
          <w:tcPr>
            <w:tcW w:w="1100" w:type="dxa"/>
          </w:tcPr>
          <w:p w14:paraId="611CE1FC">
            <w:pPr>
              <w:spacing w:line="360" w:lineRule="auto"/>
              <w:rPr>
                <w:rFonts w:ascii="Times New Roman" w:hAnsi="Times New Roman" w:cs="Times New Roman"/>
                <w:i/>
                <w:color w:val="0000FF"/>
                <w:sz w:val="24"/>
                <w:szCs w:val="24"/>
              </w:rPr>
            </w:pPr>
          </w:p>
        </w:tc>
      </w:tr>
      <w:tr w14:paraId="2238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56A6206">
            <w:pPr>
              <w:pStyle w:val="8"/>
              <w:spacing w:before="0" w:beforeAutospacing="0" w:after="0" w:afterAutospacing="0" w:line="360" w:lineRule="auto"/>
              <w:rPr>
                <w:rFonts w:ascii="Times New Roman" w:hAnsi="Times New Roman" w:cs="Times New Roman"/>
                <w:i/>
                <w:color w:val="0000FF"/>
              </w:rPr>
            </w:pPr>
            <w:bookmarkStart w:id="9" w:name="OLE_LINK2"/>
            <w:r>
              <w:rPr>
                <w:rFonts w:ascii="Times New Roman" w:hAnsi="Times New Roman" w:eastAsia="仿宋" w:cs="Times New Roman"/>
                <w:i/>
                <w:color w:val="0000FF"/>
              </w:rPr>
              <w:t xml:space="preserve">Feedback about </w:t>
            </w:r>
            <w:bookmarkEnd w:id="9"/>
            <w:r>
              <w:rPr>
                <w:rFonts w:ascii="Times New Roman" w:hAnsi="Times New Roman" w:eastAsia="仿宋" w:cs="Times New Roman"/>
                <w:i/>
                <w:color w:val="0000FF"/>
              </w:rPr>
              <w:t>user’s manual</w:t>
            </w:r>
          </w:p>
        </w:tc>
        <w:tc>
          <w:tcPr>
            <w:tcW w:w="1218" w:type="dxa"/>
          </w:tcPr>
          <w:p w14:paraId="0D3F7898">
            <w:pPr>
              <w:spacing w:line="360" w:lineRule="auto"/>
              <w:rPr>
                <w:rFonts w:ascii="Times New Roman" w:hAnsi="Times New Roman" w:cs="Times New Roman"/>
                <w:i/>
                <w:color w:val="0000FF"/>
                <w:sz w:val="24"/>
                <w:szCs w:val="24"/>
              </w:rPr>
            </w:pPr>
          </w:p>
        </w:tc>
        <w:tc>
          <w:tcPr>
            <w:tcW w:w="1357" w:type="dxa"/>
          </w:tcPr>
          <w:p w14:paraId="57020ECC">
            <w:pPr>
              <w:spacing w:line="360" w:lineRule="auto"/>
              <w:rPr>
                <w:rFonts w:ascii="Times New Roman" w:hAnsi="Times New Roman" w:cs="Times New Roman"/>
                <w:i/>
                <w:color w:val="0000FF"/>
                <w:sz w:val="24"/>
                <w:szCs w:val="24"/>
              </w:rPr>
            </w:pPr>
          </w:p>
        </w:tc>
        <w:tc>
          <w:tcPr>
            <w:tcW w:w="1237" w:type="dxa"/>
          </w:tcPr>
          <w:p w14:paraId="04FE8F11">
            <w:pPr>
              <w:spacing w:line="360" w:lineRule="auto"/>
              <w:rPr>
                <w:rFonts w:ascii="Times New Roman" w:hAnsi="Times New Roman" w:cs="Times New Roman"/>
                <w:i/>
                <w:color w:val="0000FF"/>
                <w:sz w:val="24"/>
                <w:szCs w:val="24"/>
              </w:rPr>
            </w:pPr>
          </w:p>
        </w:tc>
        <w:tc>
          <w:tcPr>
            <w:tcW w:w="1350" w:type="dxa"/>
          </w:tcPr>
          <w:p w14:paraId="34C32251">
            <w:pPr>
              <w:spacing w:line="360" w:lineRule="auto"/>
              <w:rPr>
                <w:rFonts w:ascii="Times New Roman" w:hAnsi="Times New Roman" w:cs="Times New Roman"/>
                <w:i/>
                <w:color w:val="0000FF"/>
                <w:sz w:val="24"/>
                <w:szCs w:val="24"/>
              </w:rPr>
            </w:pPr>
          </w:p>
        </w:tc>
        <w:tc>
          <w:tcPr>
            <w:tcW w:w="1238" w:type="dxa"/>
          </w:tcPr>
          <w:p w14:paraId="3D085E89">
            <w:pPr>
              <w:spacing w:line="360" w:lineRule="auto"/>
              <w:rPr>
                <w:rFonts w:ascii="Times New Roman" w:hAnsi="Times New Roman" w:cs="Times New Roman"/>
                <w:i/>
                <w:color w:val="0000FF"/>
                <w:sz w:val="24"/>
                <w:szCs w:val="24"/>
              </w:rPr>
            </w:pPr>
          </w:p>
        </w:tc>
        <w:tc>
          <w:tcPr>
            <w:tcW w:w="1100" w:type="dxa"/>
          </w:tcPr>
          <w:p w14:paraId="051F70D6">
            <w:pPr>
              <w:spacing w:line="360" w:lineRule="auto"/>
              <w:rPr>
                <w:rFonts w:ascii="Times New Roman" w:hAnsi="Times New Roman" w:cs="Times New Roman"/>
                <w:i/>
                <w:color w:val="0000FF"/>
                <w:sz w:val="24"/>
                <w:szCs w:val="24"/>
              </w:rPr>
            </w:pPr>
          </w:p>
        </w:tc>
      </w:tr>
      <w:tr w14:paraId="35F0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87A7398">
            <w:pPr>
              <w:pStyle w:val="8"/>
              <w:spacing w:before="0" w:beforeAutospacing="0" w:after="0" w:afterAutospacing="0" w:line="360" w:lineRule="auto"/>
              <w:rPr>
                <w:rFonts w:ascii="Times New Roman" w:hAnsi="Times New Roman" w:cs="Times New Roman"/>
                <w:i/>
                <w:color w:val="0000FF"/>
              </w:rPr>
            </w:pPr>
            <w:r>
              <w:rPr>
                <w:rFonts w:ascii="Times New Roman" w:hAnsi="Times New Roman" w:eastAsia="仿宋" w:cs="Times New Roman"/>
                <w:i/>
                <w:color w:val="0000FF"/>
              </w:rPr>
              <w:t>Feedback about User training needs</w:t>
            </w:r>
          </w:p>
        </w:tc>
        <w:tc>
          <w:tcPr>
            <w:tcW w:w="1218" w:type="dxa"/>
          </w:tcPr>
          <w:p w14:paraId="3CB18402">
            <w:pPr>
              <w:spacing w:line="360" w:lineRule="auto"/>
              <w:rPr>
                <w:rFonts w:ascii="Times New Roman" w:hAnsi="Times New Roman" w:cs="Times New Roman"/>
                <w:i/>
                <w:color w:val="0000FF"/>
                <w:sz w:val="24"/>
                <w:szCs w:val="24"/>
              </w:rPr>
            </w:pPr>
          </w:p>
        </w:tc>
        <w:tc>
          <w:tcPr>
            <w:tcW w:w="1357" w:type="dxa"/>
          </w:tcPr>
          <w:p w14:paraId="012208E3">
            <w:pPr>
              <w:spacing w:line="360" w:lineRule="auto"/>
              <w:rPr>
                <w:rFonts w:ascii="Times New Roman" w:hAnsi="Times New Roman" w:cs="Times New Roman"/>
                <w:i/>
                <w:color w:val="0000FF"/>
                <w:sz w:val="24"/>
                <w:szCs w:val="24"/>
              </w:rPr>
            </w:pPr>
          </w:p>
        </w:tc>
        <w:tc>
          <w:tcPr>
            <w:tcW w:w="1237" w:type="dxa"/>
          </w:tcPr>
          <w:p w14:paraId="11BB9CDF">
            <w:pPr>
              <w:spacing w:line="360" w:lineRule="auto"/>
              <w:rPr>
                <w:rFonts w:ascii="Times New Roman" w:hAnsi="Times New Roman" w:cs="Times New Roman"/>
                <w:i/>
                <w:color w:val="0000FF"/>
                <w:sz w:val="24"/>
                <w:szCs w:val="24"/>
              </w:rPr>
            </w:pPr>
          </w:p>
        </w:tc>
        <w:tc>
          <w:tcPr>
            <w:tcW w:w="1350" w:type="dxa"/>
          </w:tcPr>
          <w:p w14:paraId="657DD786">
            <w:pPr>
              <w:spacing w:line="360" w:lineRule="auto"/>
              <w:rPr>
                <w:rFonts w:ascii="Times New Roman" w:hAnsi="Times New Roman" w:cs="Times New Roman"/>
                <w:i/>
                <w:color w:val="0000FF"/>
                <w:sz w:val="24"/>
                <w:szCs w:val="24"/>
              </w:rPr>
            </w:pPr>
          </w:p>
        </w:tc>
        <w:tc>
          <w:tcPr>
            <w:tcW w:w="1238" w:type="dxa"/>
          </w:tcPr>
          <w:p w14:paraId="27C22415">
            <w:pPr>
              <w:spacing w:line="360" w:lineRule="auto"/>
              <w:rPr>
                <w:rFonts w:ascii="Times New Roman" w:hAnsi="Times New Roman" w:cs="Times New Roman"/>
                <w:i/>
                <w:color w:val="0000FF"/>
                <w:sz w:val="24"/>
                <w:szCs w:val="24"/>
              </w:rPr>
            </w:pPr>
          </w:p>
        </w:tc>
        <w:tc>
          <w:tcPr>
            <w:tcW w:w="1100" w:type="dxa"/>
          </w:tcPr>
          <w:p w14:paraId="5DEF071A">
            <w:pPr>
              <w:spacing w:line="360" w:lineRule="auto"/>
              <w:rPr>
                <w:rFonts w:ascii="Times New Roman" w:hAnsi="Times New Roman" w:cs="Times New Roman"/>
                <w:i/>
                <w:color w:val="0000FF"/>
                <w:sz w:val="24"/>
                <w:szCs w:val="24"/>
              </w:rPr>
            </w:pPr>
          </w:p>
        </w:tc>
      </w:tr>
      <w:tr w14:paraId="74B5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63102E22">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Feedback about product using combined with other medical device</w:t>
            </w:r>
          </w:p>
        </w:tc>
        <w:tc>
          <w:tcPr>
            <w:tcW w:w="1218" w:type="dxa"/>
          </w:tcPr>
          <w:p w14:paraId="7EC6AB7C">
            <w:pPr>
              <w:spacing w:line="360" w:lineRule="auto"/>
              <w:rPr>
                <w:rFonts w:ascii="Times New Roman" w:hAnsi="Times New Roman" w:cs="Times New Roman"/>
                <w:i/>
                <w:color w:val="0000FF"/>
                <w:sz w:val="24"/>
                <w:szCs w:val="24"/>
              </w:rPr>
            </w:pPr>
          </w:p>
        </w:tc>
        <w:tc>
          <w:tcPr>
            <w:tcW w:w="1357" w:type="dxa"/>
          </w:tcPr>
          <w:p w14:paraId="26ADABC9">
            <w:pPr>
              <w:spacing w:line="360" w:lineRule="auto"/>
              <w:rPr>
                <w:rFonts w:ascii="Times New Roman" w:hAnsi="Times New Roman" w:cs="Times New Roman"/>
                <w:i/>
                <w:color w:val="0000FF"/>
                <w:sz w:val="24"/>
                <w:szCs w:val="24"/>
              </w:rPr>
            </w:pPr>
          </w:p>
        </w:tc>
        <w:tc>
          <w:tcPr>
            <w:tcW w:w="1237" w:type="dxa"/>
          </w:tcPr>
          <w:p w14:paraId="6FA3FBAF">
            <w:pPr>
              <w:spacing w:line="360" w:lineRule="auto"/>
              <w:rPr>
                <w:rFonts w:ascii="Times New Roman" w:hAnsi="Times New Roman" w:cs="Times New Roman"/>
                <w:i/>
                <w:color w:val="0000FF"/>
                <w:sz w:val="24"/>
                <w:szCs w:val="24"/>
              </w:rPr>
            </w:pPr>
          </w:p>
        </w:tc>
        <w:tc>
          <w:tcPr>
            <w:tcW w:w="1350" w:type="dxa"/>
          </w:tcPr>
          <w:p w14:paraId="00FB5539">
            <w:pPr>
              <w:spacing w:line="360" w:lineRule="auto"/>
              <w:rPr>
                <w:rFonts w:ascii="Times New Roman" w:hAnsi="Times New Roman" w:cs="Times New Roman"/>
                <w:i/>
                <w:color w:val="0000FF"/>
                <w:sz w:val="24"/>
                <w:szCs w:val="24"/>
              </w:rPr>
            </w:pPr>
          </w:p>
        </w:tc>
        <w:tc>
          <w:tcPr>
            <w:tcW w:w="1238" w:type="dxa"/>
          </w:tcPr>
          <w:p w14:paraId="45012DDE">
            <w:pPr>
              <w:spacing w:line="360" w:lineRule="auto"/>
              <w:rPr>
                <w:rFonts w:ascii="Times New Roman" w:hAnsi="Times New Roman" w:cs="Times New Roman"/>
                <w:i/>
                <w:color w:val="0000FF"/>
                <w:sz w:val="24"/>
                <w:szCs w:val="24"/>
              </w:rPr>
            </w:pPr>
          </w:p>
        </w:tc>
        <w:tc>
          <w:tcPr>
            <w:tcW w:w="1100" w:type="dxa"/>
          </w:tcPr>
          <w:p w14:paraId="59498666">
            <w:pPr>
              <w:spacing w:line="360" w:lineRule="auto"/>
              <w:rPr>
                <w:rFonts w:ascii="Times New Roman" w:hAnsi="Times New Roman" w:cs="Times New Roman"/>
                <w:i/>
                <w:color w:val="0000FF"/>
                <w:sz w:val="24"/>
                <w:szCs w:val="24"/>
              </w:rPr>
            </w:pPr>
          </w:p>
        </w:tc>
      </w:tr>
      <w:tr w14:paraId="2DE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00" w:type="dxa"/>
          </w:tcPr>
          <w:p w14:paraId="7F71C378">
            <w:pPr>
              <w:widowControl/>
              <w:spacing w:line="360" w:lineRule="auto"/>
              <w:rPr>
                <w:rFonts w:ascii="Times New Roman" w:hAnsi="Times New Roman" w:eastAsia="仿宋" w:cs="Times New Roman"/>
                <w:i/>
                <w:color w:val="0000FF"/>
                <w:kern w:val="0"/>
                <w:sz w:val="24"/>
                <w:szCs w:val="24"/>
              </w:rPr>
            </w:pPr>
            <w:r>
              <w:rPr>
                <w:rFonts w:hint="eastAsia" w:ascii="Times New Roman" w:hAnsi="Times New Roman" w:eastAsia="仿宋" w:cs="Times New Roman"/>
                <w:i/>
                <w:color w:val="0000FF"/>
                <w:kern w:val="0"/>
                <w:sz w:val="24"/>
                <w:szCs w:val="24"/>
              </w:rPr>
              <w:t>C</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ustomers</w:t>
            </w:r>
            <w:r>
              <w:rPr>
                <w:rFonts w:ascii="Times New Roman" w:hAnsi="Times New Roman" w:eastAsia="仿宋" w:cs="Times New Roman"/>
                <w:i/>
                <w:color w:val="0000FF"/>
                <w:kern w:val="0"/>
                <w:sz w:val="24"/>
                <w:szCs w:val="24"/>
              </w:rPr>
              <w:fldChar w:fldCharType="end"/>
            </w:r>
            <w:r>
              <w:rPr>
                <w:rFonts w:ascii="Times New Roman" w:hAnsi="Times New Roman" w:eastAsia="仿宋" w:cs="Times New Roman"/>
                <w:i/>
                <w:color w:val="0000FF"/>
                <w:kern w:val="0"/>
                <w:sz w:val="24"/>
                <w:szCs w:val="24"/>
              </w:rPr>
              <w:t> </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satisfaction</w:t>
            </w:r>
            <w:r>
              <w:rPr>
                <w:rFonts w:ascii="Times New Roman" w:hAnsi="Times New Roman" w:eastAsia="仿宋" w:cs="Times New Roman"/>
                <w:i/>
                <w:color w:val="0000FF"/>
                <w:kern w:val="0"/>
                <w:sz w:val="24"/>
                <w:szCs w:val="24"/>
              </w:rPr>
              <w:fldChar w:fldCharType="end"/>
            </w:r>
            <w:r>
              <w:rPr>
                <w:rFonts w:ascii="Times New Roman" w:hAnsi="Times New Roman" w:eastAsia="仿宋" w:cs="Times New Roman"/>
                <w:i/>
                <w:color w:val="0000FF"/>
                <w:kern w:val="0"/>
                <w:sz w:val="24"/>
                <w:szCs w:val="24"/>
              </w:rPr>
              <w:t> </w:t>
            </w:r>
            <w:r>
              <w:fldChar w:fldCharType="begin"/>
            </w:r>
            <w:r>
              <w:instrText xml:space="preserve"> HYPERLINK "D:/Program%20Files/Youdao/Dict/6.3.69.8341/resultui/frame/javascript:void(0);" </w:instrText>
            </w:r>
            <w:r>
              <w:fldChar w:fldCharType="separate"/>
            </w:r>
            <w:r>
              <w:rPr>
                <w:rFonts w:ascii="Times New Roman" w:hAnsi="Times New Roman" w:eastAsia="仿宋" w:cs="Times New Roman"/>
                <w:i/>
                <w:color w:val="0000FF"/>
                <w:kern w:val="0"/>
                <w:sz w:val="24"/>
                <w:szCs w:val="24"/>
              </w:rPr>
              <w:t>degree</w:t>
            </w:r>
            <w:r>
              <w:rPr>
                <w:rFonts w:ascii="Times New Roman" w:hAnsi="Times New Roman" w:eastAsia="仿宋" w:cs="Times New Roman"/>
                <w:i/>
                <w:color w:val="0000FF"/>
                <w:kern w:val="0"/>
                <w:sz w:val="24"/>
                <w:szCs w:val="24"/>
              </w:rPr>
              <w:fldChar w:fldCharType="end"/>
            </w:r>
          </w:p>
        </w:tc>
        <w:tc>
          <w:tcPr>
            <w:tcW w:w="1218" w:type="dxa"/>
          </w:tcPr>
          <w:p w14:paraId="4A64DABD">
            <w:pPr>
              <w:spacing w:line="360" w:lineRule="auto"/>
              <w:rPr>
                <w:rFonts w:ascii="Times New Roman" w:hAnsi="Times New Roman" w:cs="Times New Roman"/>
                <w:i/>
                <w:color w:val="0000FF"/>
                <w:sz w:val="24"/>
                <w:szCs w:val="24"/>
              </w:rPr>
            </w:pPr>
          </w:p>
        </w:tc>
        <w:tc>
          <w:tcPr>
            <w:tcW w:w="1357" w:type="dxa"/>
          </w:tcPr>
          <w:p w14:paraId="1A286026">
            <w:pPr>
              <w:spacing w:line="360" w:lineRule="auto"/>
              <w:rPr>
                <w:rFonts w:ascii="Times New Roman" w:hAnsi="Times New Roman" w:cs="Times New Roman"/>
                <w:i/>
                <w:color w:val="0000FF"/>
                <w:sz w:val="24"/>
                <w:szCs w:val="24"/>
              </w:rPr>
            </w:pPr>
          </w:p>
        </w:tc>
        <w:tc>
          <w:tcPr>
            <w:tcW w:w="1237" w:type="dxa"/>
          </w:tcPr>
          <w:p w14:paraId="19FD6354">
            <w:pPr>
              <w:spacing w:line="360" w:lineRule="auto"/>
              <w:rPr>
                <w:rFonts w:ascii="Times New Roman" w:hAnsi="Times New Roman" w:cs="Times New Roman"/>
                <w:i/>
                <w:color w:val="0000FF"/>
                <w:sz w:val="24"/>
                <w:szCs w:val="24"/>
              </w:rPr>
            </w:pPr>
          </w:p>
        </w:tc>
        <w:tc>
          <w:tcPr>
            <w:tcW w:w="1350" w:type="dxa"/>
          </w:tcPr>
          <w:p w14:paraId="28D858F8">
            <w:pPr>
              <w:spacing w:line="360" w:lineRule="auto"/>
              <w:rPr>
                <w:rFonts w:ascii="Times New Roman" w:hAnsi="Times New Roman" w:cs="Times New Roman"/>
                <w:i/>
                <w:color w:val="0000FF"/>
                <w:sz w:val="24"/>
                <w:szCs w:val="24"/>
              </w:rPr>
            </w:pPr>
          </w:p>
        </w:tc>
        <w:tc>
          <w:tcPr>
            <w:tcW w:w="1238" w:type="dxa"/>
          </w:tcPr>
          <w:p w14:paraId="0ED9F890">
            <w:pPr>
              <w:spacing w:line="360" w:lineRule="auto"/>
              <w:rPr>
                <w:rFonts w:ascii="Times New Roman" w:hAnsi="Times New Roman" w:eastAsia="宋体" w:cs="Times New Roman"/>
                <w:i/>
                <w:color w:val="0000FF"/>
                <w:sz w:val="24"/>
                <w:szCs w:val="24"/>
              </w:rPr>
            </w:pPr>
          </w:p>
        </w:tc>
        <w:tc>
          <w:tcPr>
            <w:tcW w:w="1100" w:type="dxa"/>
          </w:tcPr>
          <w:p w14:paraId="5B217750">
            <w:pPr>
              <w:spacing w:line="360" w:lineRule="auto"/>
              <w:rPr>
                <w:rFonts w:ascii="Times New Roman" w:hAnsi="Times New Roman" w:cs="Times New Roman"/>
                <w:i/>
                <w:color w:val="0000FF"/>
                <w:sz w:val="24"/>
                <w:szCs w:val="24"/>
              </w:rPr>
            </w:pPr>
          </w:p>
        </w:tc>
      </w:tr>
      <w:tr w14:paraId="5757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32D4C625">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Vigilance report</w:t>
            </w:r>
          </w:p>
        </w:tc>
        <w:tc>
          <w:tcPr>
            <w:tcW w:w="1218" w:type="dxa"/>
          </w:tcPr>
          <w:p w14:paraId="27C24A37">
            <w:pPr>
              <w:spacing w:line="360" w:lineRule="auto"/>
              <w:rPr>
                <w:rFonts w:ascii="Times New Roman" w:hAnsi="Times New Roman" w:cs="Times New Roman"/>
                <w:i/>
                <w:color w:val="0000FF"/>
                <w:sz w:val="24"/>
                <w:szCs w:val="24"/>
              </w:rPr>
            </w:pPr>
          </w:p>
        </w:tc>
        <w:tc>
          <w:tcPr>
            <w:tcW w:w="1357" w:type="dxa"/>
          </w:tcPr>
          <w:p w14:paraId="63A5F27A">
            <w:pPr>
              <w:spacing w:line="360" w:lineRule="auto"/>
              <w:rPr>
                <w:rFonts w:ascii="Times New Roman" w:hAnsi="Times New Roman" w:cs="Times New Roman"/>
                <w:i/>
                <w:color w:val="0000FF"/>
                <w:sz w:val="24"/>
                <w:szCs w:val="24"/>
              </w:rPr>
            </w:pPr>
          </w:p>
        </w:tc>
        <w:tc>
          <w:tcPr>
            <w:tcW w:w="1237" w:type="dxa"/>
          </w:tcPr>
          <w:p w14:paraId="70540BA2">
            <w:pPr>
              <w:spacing w:line="360" w:lineRule="auto"/>
              <w:rPr>
                <w:rFonts w:ascii="Times New Roman" w:hAnsi="Times New Roman" w:cs="Times New Roman"/>
                <w:i/>
                <w:color w:val="0000FF"/>
                <w:sz w:val="24"/>
                <w:szCs w:val="24"/>
              </w:rPr>
            </w:pPr>
          </w:p>
        </w:tc>
        <w:tc>
          <w:tcPr>
            <w:tcW w:w="1350" w:type="dxa"/>
          </w:tcPr>
          <w:p w14:paraId="634F3378">
            <w:pPr>
              <w:spacing w:line="360" w:lineRule="auto"/>
              <w:rPr>
                <w:rFonts w:ascii="Times New Roman" w:hAnsi="Times New Roman" w:cs="Times New Roman"/>
                <w:i/>
                <w:color w:val="0000FF"/>
                <w:sz w:val="24"/>
                <w:szCs w:val="24"/>
              </w:rPr>
            </w:pPr>
          </w:p>
        </w:tc>
        <w:tc>
          <w:tcPr>
            <w:tcW w:w="1238" w:type="dxa"/>
          </w:tcPr>
          <w:p w14:paraId="707678E7">
            <w:pPr>
              <w:spacing w:line="360" w:lineRule="auto"/>
              <w:rPr>
                <w:rFonts w:ascii="Times New Roman" w:hAnsi="Times New Roman" w:cs="Times New Roman"/>
                <w:i/>
                <w:color w:val="0000FF"/>
                <w:sz w:val="24"/>
                <w:szCs w:val="24"/>
              </w:rPr>
            </w:pPr>
          </w:p>
        </w:tc>
        <w:tc>
          <w:tcPr>
            <w:tcW w:w="1100" w:type="dxa"/>
          </w:tcPr>
          <w:p w14:paraId="0C092EDB">
            <w:pPr>
              <w:spacing w:line="360" w:lineRule="auto"/>
              <w:rPr>
                <w:rFonts w:ascii="Times New Roman" w:hAnsi="Times New Roman" w:cs="Times New Roman"/>
                <w:i/>
                <w:color w:val="0000FF"/>
                <w:sz w:val="24"/>
                <w:szCs w:val="24"/>
              </w:rPr>
            </w:pPr>
          </w:p>
        </w:tc>
      </w:tr>
      <w:tr w14:paraId="72C6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97D8E8F">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Product User error</w:t>
            </w:r>
          </w:p>
        </w:tc>
        <w:tc>
          <w:tcPr>
            <w:tcW w:w="1218" w:type="dxa"/>
          </w:tcPr>
          <w:p w14:paraId="70D2F251">
            <w:pPr>
              <w:spacing w:line="360" w:lineRule="auto"/>
              <w:rPr>
                <w:rFonts w:ascii="Times New Roman" w:hAnsi="Times New Roman" w:cs="Times New Roman"/>
                <w:i/>
                <w:color w:val="0000FF"/>
                <w:sz w:val="24"/>
                <w:szCs w:val="24"/>
              </w:rPr>
            </w:pPr>
          </w:p>
        </w:tc>
        <w:tc>
          <w:tcPr>
            <w:tcW w:w="1357" w:type="dxa"/>
          </w:tcPr>
          <w:p w14:paraId="67A6FC9E">
            <w:pPr>
              <w:spacing w:line="360" w:lineRule="auto"/>
              <w:rPr>
                <w:rFonts w:ascii="Times New Roman" w:hAnsi="Times New Roman" w:cs="Times New Roman"/>
                <w:i/>
                <w:color w:val="0000FF"/>
                <w:sz w:val="24"/>
                <w:szCs w:val="24"/>
              </w:rPr>
            </w:pPr>
          </w:p>
        </w:tc>
        <w:tc>
          <w:tcPr>
            <w:tcW w:w="1237" w:type="dxa"/>
          </w:tcPr>
          <w:p w14:paraId="0C362885">
            <w:pPr>
              <w:spacing w:line="360" w:lineRule="auto"/>
              <w:rPr>
                <w:rFonts w:ascii="Times New Roman" w:hAnsi="Times New Roman" w:cs="Times New Roman"/>
                <w:i/>
                <w:color w:val="0000FF"/>
                <w:sz w:val="24"/>
                <w:szCs w:val="24"/>
              </w:rPr>
            </w:pPr>
          </w:p>
        </w:tc>
        <w:tc>
          <w:tcPr>
            <w:tcW w:w="1350" w:type="dxa"/>
          </w:tcPr>
          <w:p w14:paraId="14BD381B">
            <w:pPr>
              <w:spacing w:line="360" w:lineRule="auto"/>
              <w:rPr>
                <w:rFonts w:ascii="Times New Roman" w:hAnsi="Times New Roman" w:cs="Times New Roman"/>
                <w:i/>
                <w:color w:val="0000FF"/>
                <w:sz w:val="24"/>
                <w:szCs w:val="24"/>
              </w:rPr>
            </w:pPr>
          </w:p>
        </w:tc>
        <w:tc>
          <w:tcPr>
            <w:tcW w:w="1238" w:type="dxa"/>
          </w:tcPr>
          <w:p w14:paraId="3A1E29B8">
            <w:pPr>
              <w:spacing w:line="360" w:lineRule="auto"/>
              <w:rPr>
                <w:rFonts w:ascii="Times New Roman" w:hAnsi="Times New Roman" w:cs="Times New Roman"/>
                <w:i/>
                <w:color w:val="0000FF"/>
                <w:sz w:val="24"/>
                <w:szCs w:val="24"/>
              </w:rPr>
            </w:pPr>
          </w:p>
        </w:tc>
        <w:tc>
          <w:tcPr>
            <w:tcW w:w="1100" w:type="dxa"/>
          </w:tcPr>
          <w:p w14:paraId="32333D61">
            <w:pPr>
              <w:spacing w:line="360" w:lineRule="auto"/>
              <w:rPr>
                <w:rFonts w:ascii="Times New Roman" w:hAnsi="Times New Roman" w:cs="Times New Roman"/>
                <w:i/>
                <w:color w:val="0000FF"/>
                <w:sz w:val="24"/>
                <w:szCs w:val="24"/>
              </w:rPr>
            </w:pPr>
          </w:p>
        </w:tc>
      </w:tr>
      <w:tr w14:paraId="742F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374C9E8">
            <w:pPr>
              <w:pStyle w:val="8"/>
              <w:spacing w:before="0" w:beforeAutospacing="0" w:after="0" w:afterAutospacing="0" w:line="360" w:lineRule="auto"/>
              <w:rPr>
                <w:rFonts w:ascii="Times New Roman" w:hAnsi="Times New Roman" w:eastAsia="仿宋" w:cs="Times New Roman"/>
                <w:i/>
                <w:color w:val="0000FF"/>
              </w:rPr>
            </w:pPr>
            <w:r>
              <w:rPr>
                <w:rFonts w:ascii="Times New Roman" w:hAnsi="Times New Roman" w:eastAsia="仿宋" w:cs="Times New Roman"/>
                <w:i/>
                <w:color w:val="0000FF"/>
              </w:rPr>
              <w:t>Feedback about product Continued viability</w:t>
            </w:r>
          </w:p>
        </w:tc>
        <w:tc>
          <w:tcPr>
            <w:tcW w:w="1218" w:type="dxa"/>
          </w:tcPr>
          <w:p w14:paraId="7272A537">
            <w:pPr>
              <w:spacing w:line="360" w:lineRule="auto"/>
              <w:rPr>
                <w:rFonts w:ascii="Times New Roman" w:hAnsi="Times New Roman" w:cs="Times New Roman"/>
                <w:i/>
                <w:color w:val="0000FF"/>
                <w:sz w:val="24"/>
                <w:szCs w:val="24"/>
              </w:rPr>
            </w:pPr>
          </w:p>
        </w:tc>
        <w:tc>
          <w:tcPr>
            <w:tcW w:w="1357" w:type="dxa"/>
          </w:tcPr>
          <w:p w14:paraId="33392A50">
            <w:pPr>
              <w:spacing w:line="360" w:lineRule="auto"/>
              <w:rPr>
                <w:rFonts w:ascii="Times New Roman" w:hAnsi="Times New Roman" w:cs="Times New Roman"/>
                <w:i/>
                <w:color w:val="0000FF"/>
                <w:sz w:val="24"/>
                <w:szCs w:val="24"/>
              </w:rPr>
            </w:pPr>
          </w:p>
        </w:tc>
        <w:tc>
          <w:tcPr>
            <w:tcW w:w="1237" w:type="dxa"/>
          </w:tcPr>
          <w:p w14:paraId="3319184E">
            <w:pPr>
              <w:spacing w:line="360" w:lineRule="auto"/>
              <w:rPr>
                <w:rFonts w:ascii="Times New Roman" w:hAnsi="Times New Roman" w:cs="Times New Roman"/>
                <w:i/>
                <w:color w:val="0000FF"/>
                <w:sz w:val="24"/>
                <w:szCs w:val="24"/>
              </w:rPr>
            </w:pPr>
          </w:p>
        </w:tc>
        <w:tc>
          <w:tcPr>
            <w:tcW w:w="1350" w:type="dxa"/>
          </w:tcPr>
          <w:p w14:paraId="64C6289F">
            <w:pPr>
              <w:spacing w:line="360" w:lineRule="auto"/>
              <w:rPr>
                <w:rFonts w:ascii="Times New Roman" w:hAnsi="Times New Roman" w:cs="Times New Roman"/>
                <w:i/>
                <w:color w:val="0000FF"/>
                <w:sz w:val="24"/>
                <w:szCs w:val="24"/>
              </w:rPr>
            </w:pPr>
          </w:p>
        </w:tc>
        <w:tc>
          <w:tcPr>
            <w:tcW w:w="1238" w:type="dxa"/>
          </w:tcPr>
          <w:p w14:paraId="2111561F">
            <w:pPr>
              <w:spacing w:line="360" w:lineRule="auto"/>
              <w:rPr>
                <w:rFonts w:ascii="Times New Roman" w:hAnsi="Times New Roman" w:cs="Times New Roman"/>
                <w:i/>
                <w:color w:val="0000FF"/>
                <w:sz w:val="24"/>
                <w:szCs w:val="24"/>
              </w:rPr>
            </w:pPr>
          </w:p>
        </w:tc>
        <w:tc>
          <w:tcPr>
            <w:tcW w:w="1100" w:type="dxa"/>
          </w:tcPr>
          <w:p w14:paraId="3121AE7E">
            <w:pPr>
              <w:spacing w:line="360" w:lineRule="auto"/>
              <w:rPr>
                <w:rFonts w:ascii="Times New Roman" w:hAnsi="Times New Roman" w:cs="Times New Roman"/>
                <w:i/>
                <w:color w:val="0000FF"/>
                <w:sz w:val="24"/>
                <w:szCs w:val="24"/>
              </w:rPr>
            </w:pPr>
          </w:p>
        </w:tc>
      </w:tr>
    </w:tbl>
    <w:p w14:paraId="6AB18F9B">
      <w:pPr>
        <w:pStyle w:val="2"/>
        <w:spacing w:line="360" w:lineRule="auto"/>
        <w:rPr>
          <w:rFonts w:ascii="Times New Roman" w:hAnsi="Times New Roman" w:cs="Times New Roman"/>
          <w:color w:val="auto"/>
          <w:lang w:eastAsia="zh-CN"/>
        </w:rPr>
      </w:pPr>
      <w:r>
        <w:rPr>
          <w:rFonts w:hint="eastAsia" w:ascii="Times New Roman" w:hAnsi="Times New Roman" w:cs="Times New Roman"/>
          <w:color w:val="auto"/>
          <w:lang w:eastAsia="zh-CN"/>
        </w:rPr>
        <w:t>）</w:t>
      </w:r>
    </w:p>
    <w:p w14:paraId="38DF25B8">
      <w:pPr>
        <w:pStyle w:val="2"/>
        <w:spacing w:line="360" w:lineRule="auto"/>
        <w:rPr>
          <w:rFonts w:ascii="Times New Roman" w:hAnsi="Times New Roman" w:cs="Times New Roman"/>
          <w:color w:val="auto"/>
          <w:lang w:eastAsia="zh-CN"/>
        </w:rPr>
      </w:pPr>
    </w:p>
    <w:p w14:paraId="63B6D9B6">
      <w:pPr>
        <w:numPr>
          <w:ilvl w:val="2"/>
          <w:numId w:val="3"/>
        </w:numPr>
        <w:tabs>
          <w:tab w:val="left" w:pos="1248"/>
          <w:tab w:val="clear" w:pos="0"/>
        </w:tabs>
        <w:snapToGrid w:val="0"/>
        <w:spacing w:before="78" w:beforeLines="25" w:line="360" w:lineRule="auto"/>
        <w:rPr>
          <w:rFonts w:ascii="Times New Roman" w:hAnsi="Times New Roman" w:cs="Times New Roman"/>
          <w:sz w:val="24"/>
          <w:szCs w:val="24"/>
        </w:rPr>
      </w:pPr>
      <w:r>
        <w:rPr>
          <w:rFonts w:ascii="Times New Roman" w:hAnsi="Times New Roman" w:eastAsia="宋体" w:cs="Times New Roman"/>
          <w:sz w:val="24"/>
          <w:szCs w:val="24"/>
        </w:rPr>
        <w:t>The main contents of post-market surveillance plan:</w:t>
      </w:r>
    </w:p>
    <w:p w14:paraId="78CAFB1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{填写上市后监管计划的主要内容}</w:t>
      </w:r>
    </w:p>
    <w:p w14:paraId="1E0FE21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（参考示例：(b.1) proactive and systematic process to collect any information referred to in point (a)</w:t>
      </w:r>
    </w:p>
    <w:p w14:paraId="6260AD4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process shall allow a correct characterisation of the performance of the devices and shall also allow a comparison to be made between the device and similar products available on the market;</w:t>
      </w:r>
    </w:p>
    <w:p w14:paraId="31E41D0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corresponding process can be applied to collect the available information, but not limited to:</w:t>
      </w:r>
    </w:p>
    <w:p w14:paraId="1739D9F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Arrange relevant person responsible for periodical analysis the information referred to in point (a) , respectively, and evaluate and conclude that if the information had effect on performance of the devices and if the information allows a comparison to be made between the device and similar products available on the market;</w:t>
      </w:r>
    </w:p>
    <w:p w14:paraId="216C1627">
      <w:pPr>
        <w:pStyle w:val="2"/>
        <w:spacing w:line="360" w:lineRule="auto"/>
        <w:rPr>
          <w:rFonts w:ascii="Times New Roman" w:hAnsi="Times New Roman" w:cs="Times New Roman"/>
          <w:i/>
          <w:iCs/>
          <w:color w:val="0000FF"/>
          <w:kern w:val="2"/>
          <w:lang w:eastAsia="zh-CN"/>
        </w:rPr>
      </w:pPr>
    </w:p>
    <w:p w14:paraId="4A9A90D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(b.2) effective and appropriate methods and processes to assess the collected data</w:t>
      </w:r>
    </w:p>
    <w:p w14:paraId="26B3443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processes to assess the collected data can be referred to &lt;clinical evaluation report&gt;</w:t>
      </w:r>
    </w:p>
    <w:p w14:paraId="464C25EE">
      <w:pPr>
        <w:pStyle w:val="2"/>
        <w:spacing w:line="360" w:lineRule="auto"/>
        <w:rPr>
          <w:rFonts w:ascii="Times New Roman" w:hAnsi="Times New Roman" w:cs="Times New Roman"/>
          <w:i/>
          <w:iCs/>
          <w:color w:val="0000FF"/>
          <w:kern w:val="2"/>
          <w:lang w:eastAsia="zh-CN"/>
        </w:rPr>
      </w:pPr>
    </w:p>
    <w:p w14:paraId="7257E74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(b.3) suitable indicators and threshold values that shall be used in the continuous reassessment of the benefit risk analysis and of the risk management</w:t>
      </w:r>
    </w:p>
    <w:p w14:paraId="3150D4D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indicators and threshold values that shall be used in the continuous reassessment of the benefit risk analysis and of the risk management can be referred to &lt;Risk management Control Procedures&gt;,&lt;Risk management document&gt; ,&lt;clinical evaluation report&gt;</w:t>
      </w:r>
    </w:p>
    <w:p w14:paraId="0501A5DB">
      <w:pPr>
        <w:pStyle w:val="2"/>
        <w:spacing w:line="360" w:lineRule="auto"/>
        <w:rPr>
          <w:rFonts w:ascii="Times New Roman" w:hAnsi="Times New Roman" w:cs="Times New Roman"/>
          <w:i/>
          <w:iCs/>
          <w:color w:val="0000FF"/>
          <w:kern w:val="2"/>
          <w:lang w:eastAsia="zh-CN"/>
        </w:rPr>
      </w:pPr>
    </w:p>
    <w:p w14:paraId="2B44780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(b.4) effective and appropriate methods and tools to investigate complaints and analyse market-related experience collected in the field</w:t>
      </w:r>
    </w:p>
    <w:p w14:paraId="7CBEA57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tools to investigate complaints and analyse market-related experience collected in the field can be referred to &lt; Service Control Program&gt;, &lt;clinical evaluation report&gt;</w:t>
      </w:r>
    </w:p>
    <w:p w14:paraId="38DE09FD">
      <w:pPr>
        <w:pStyle w:val="2"/>
        <w:spacing w:line="360" w:lineRule="auto"/>
        <w:rPr>
          <w:rFonts w:ascii="Times New Roman" w:hAnsi="Times New Roman" w:cs="Times New Roman"/>
          <w:i/>
          <w:iCs/>
          <w:color w:val="0000FF"/>
          <w:kern w:val="2"/>
          <w:lang w:eastAsia="zh-CN"/>
        </w:rPr>
      </w:pPr>
    </w:p>
    <w:p w14:paraId="3932074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(b.5) methods and protocols to manage the events subject to the trend report; including the methods and protocols to be used to establish any statistically significant increase in the frequency or severity of incidents as well as the observation period</w:t>
      </w:r>
    </w:p>
    <w:p w14:paraId="4F4D020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protocols to manage the events subject to the trend report can be referred to &lt; Continuous improvement procedures&gt;&lt;Adverse event handling and reporting control procedures&gt;&lt;Monitor and measure equipment control procedures&gt;</w:t>
      </w:r>
    </w:p>
    <w:p w14:paraId="5852E5CF">
      <w:pPr>
        <w:pStyle w:val="2"/>
        <w:spacing w:line="360" w:lineRule="auto"/>
        <w:rPr>
          <w:rFonts w:ascii="Times New Roman" w:hAnsi="Times New Roman" w:cs="Times New Roman"/>
          <w:i/>
          <w:iCs/>
          <w:color w:val="0000FF"/>
          <w:kern w:val="2"/>
          <w:lang w:eastAsia="zh-CN"/>
        </w:rPr>
      </w:pPr>
    </w:p>
    <w:p w14:paraId="7F47234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(b.6) methods and protocols to communicate effectively with competent authorities, notified bodies, economic operators and users</w:t>
      </w:r>
    </w:p>
    <w:p w14:paraId="6721E01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methods and protocols to communicate with competent authorities, notified bodies, economic operators and users can be referred to &lt; Feedback control program&gt;</w:t>
      </w:r>
    </w:p>
    <w:p w14:paraId="199DD4B4">
      <w:pPr>
        <w:pStyle w:val="2"/>
        <w:spacing w:line="360" w:lineRule="auto"/>
        <w:rPr>
          <w:rFonts w:ascii="Times New Roman" w:hAnsi="Times New Roman" w:cs="Times New Roman"/>
          <w:i/>
          <w:iCs/>
          <w:color w:val="0000FF"/>
          <w:kern w:val="2"/>
          <w:lang w:eastAsia="zh-CN"/>
        </w:rPr>
      </w:pPr>
    </w:p>
    <w:p w14:paraId="56F5BFC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(b.6) reference to procedures to fulfil the manufacturers obligations laid down in Articles 83, 84 and 86</w:t>
      </w:r>
    </w:p>
    <w:p w14:paraId="2CCB0C9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procedures to fulfil the manufacturers obligations laid down in Articles 83, 84 and 86 is referred to &lt; Post-market surveillance control Procedure&gt;</w:t>
      </w:r>
    </w:p>
    <w:p w14:paraId="04AEA16D">
      <w:pPr>
        <w:pStyle w:val="2"/>
        <w:spacing w:line="360" w:lineRule="auto"/>
        <w:rPr>
          <w:rFonts w:ascii="Times New Roman" w:hAnsi="Times New Roman" w:cs="Times New Roman"/>
          <w:i/>
          <w:iCs/>
          <w:color w:val="0000FF"/>
          <w:kern w:val="2"/>
          <w:lang w:eastAsia="zh-CN"/>
        </w:rPr>
      </w:pPr>
    </w:p>
    <w:p w14:paraId="3A73784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(b.7) systematic procedures to identify and initiate appropriate measures including corrective actions</w:t>
      </w:r>
    </w:p>
    <w:p w14:paraId="7ADA705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The procedures to identify and initiate appropriate measures including corrective actions can be referred to &lt; Corrective and Preventive Measures Control Procedures&gt;</w:t>
      </w:r>
    </w:p>
    <w:p w14:paraId="2915BCE9">
      <w:pPr>
        <w:pStyle w:val="2"/>
        <w:spacing w:line="360" w:lineRule="auto"/>
        <w:rPr>
          <w:rFonts w:ascii="Times New Roman" w:hAnsi="Times New Roman" w:cs="Times New Roman"/>
          <w:i/>
          <w:iCs/>
          <w:color w:val="0000FF"/>
          <w:kern w:val="2"/>
          <w:lang w:eastAsia="zh-CN"/>
        </w:rPr>
      </w:pPr>
    </w:p>
    <w:p w14:paraId="41FD0CB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(b.8) effective tools to trace and identify devices for which corrective actions might be necessary</w:t>
      </w:r>
    </w:p>
    <w:p w14:paraId="23DE7D3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 The tools to trace and identify devices for which corrective actions might be necessary can be referred to &lt;Corrective and preventive action control procedures&gt;&lt;Vigilance System Control Procedures&gt;</w:t>
      </w:r>
    </w:p>
    <w:p w14:paraId="29755BB4">
      <w:pPr>
        <w:pStyle w:val="2"/>
        <w:spacing w:line="360" w:lineRule="auto"/>
        <w:rPr>
          <w:rFonts w:ascii="Times New Roman" w:hAnsi="Times New Roman" w:cs="Times New Roman"/>
          <w:i/>
          <w:iCs/>
          <w:color w:val="0000FF"/>
          <w:kern w:val="2"/>
          <w:lang w:eastAsia="zh-CN"/>
        </w:rPr>
      </w:pPr>
    </w:p>
    <w:p w14:paraId="164BC3E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(b.8) a PMCF plan, or a justification as to why a PMCF is not applicable</w:t>
      </w:r>
    </w:p>
    <w:p w14:paraId="73A6977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Because the device have been tested according to EN166，GB 14866, and comply with these standards. The safety and performance of the device can be verified.</w:t>
      </w:r>
    </w:p>
    <w:p w14:paraId="590E367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 additional, the technology of the device is a long-standing technology, and the device had performed clinical evaluation, we conduct appropriate post-market surveillance activities. And we have collected many clinical data to conduct clinical evaluation, including clinical literature, clinical experience. The clinical evaluation report has been explained the long-term safety and clinical performance of the device.</w:t>
      </w:r>
    </w:p>
    <w:p w14:paraId="114CDCA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So，the PMCF studies were no required for the device.）</w:t>
      </w:r>
    </w:p>
    <w:p w14:paraId="4CB9056C">
      <w:pPr>
        <w:pStyle w:val="2"/>
        <w:spacing w:line="360" w:lineRule="auto"/>
        <w:jc w:val="both"/>
        <w:rPr>
          <w:rFonts w:ascii="Times New Roman" w:hAnsi="Times New Roman" w:cs="Times New Roman"/>
          <w:color w:val="auto"/>
          <w:kern w:val="2"/>
          <w:lang w:eastAsia="zh-CN"/>
        </w:rPr>
      </w:pPr>
    </w:p>
    <w:p w14:paraId="7111E084">
      <w:pPr>
        <w:tabs>
          <w:tab w:val="left" w:pos="480"/>
          <w:tab w:val="left" w:pos="785"/>
          <w:tab w:val="left" w:pos="10325"/>
        </w:tabs>
        <w:spacing w:before="31" w:beforeLines="10" w:after="62" w:afterLines="20" w:line="360" w:lineRule="auto"/>
        <w:ind w:right="105" w:rightChars="50"/>
        <w:rPr>
          <w:rFonts w:ascii="Times New Roman" w:hAnsi="Times New Roman" w:cs="Times New Roman"/>
          <w:sz w:val="24"/>
          <w:szCs w:val="24"/>
        </w:rPr>
      </w:pPr>
      <w:r>
        <w:rPr>
          <w:rFonts w:hint="eastAsia" w:ascii="Times New Roman" w:hAnsi="Times New Roman" w:eastAsia="黑体" w:cs="Times New Roman"/>
          <w:b/>
          <w:sz w:val="24"/>
          <w:szCs w:val="24"/>
        </w:rPr>
        <w:t>4.4 PMS</w:t>
      </w:r>
      <w:r>
        <w:rPr>
          <w:rFonts w:ascii="Times New Roman" w:hAnsi="Times New Roman" w:eastAsia="黑体" w:cs="Times New Roman"/>
          <w:b/>
          <w:sz w:val="24"/>
          <w:szCs w:val="24"/>
        </w:rPr>
        <w:t xml:space="preserve"> Report</w:t>
      </w:r>
    </w:p>
    <w:p w14:paraId="55DF1173">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{对PMS报告进行描述}</w:t>
      </w:r>
    </w:p>
    <w:p w14:paraId="69AD5F63">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（参考示例：A PMS report will be prepared to summarize the results and conclusions of the analysis of all of the data from the market. This report will be updated when necessary, for example the intended benefits are not achieved or there is a change in the benefit-risk balance. The report can be requested by the CA at any time. </w:t>
      </w:r>
    </w:p>
    <w:p w14:paraId="3B314769">
      <w:pPr>
        <w:pStyle w:val="2"/>
        <w:spacing w:line="360" w:lineRule="auto"/>
        <w:jc w:val="both"/>
        <w:rPr>
          <w:rFonts w:ascii="Times New Roman" w:hAnsi="Times New Roman" w:cs="Times New Roman"/>
          <w:i/>
          <w:iCs/>
          <w:color w:val="0000FF"/>
          <w:kern w:val="2"/>
          <w:lang w:eastAsia="zh-CN"/>
        </w:rPr>
      </w:pPr>
    </w:p>
    <w:p w14:paraId="6C8D56F1">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Data gathered from PMS system must be used to actively update the clinical evaluation, benefit-risk </w:t>
      </w:r>
    </w:p>
    <w:p w14:paraId="054D468D">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determination, improve risk management, as well as other technical documentation on a regular basis. ）</w:t>
      </w:r>
    </w:p>
    <w:p w14:paraId="00985163">
      <w:pPr>
        <w:pStyle w:val="2"/>
        <w:rPr>
          <w:color w:val="auto"/>
          <w:lang w:eastAsia="zh-CN"/>
        </w:rPr>
      </w:pPr>
    </w:p>
    <w:p w14:paraId="6E770559">
      <w:pPr>
        <w:tabs>
          <w:tab w:val="left" w:pos="425"/>
          <w:tab w:val="left" w:pos="10325"/>
        </w:tabs>
        <w:spacing w:before="31" w:beforeLines="10" w:after="62"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5. Related documents</w:t>
      </w:r>
    </w:p>
    <w:p w14:paraId="671524F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{填写与PMS相关的文档}</w:t>
      </w:r>
    </w:p>
    <w:p w14:paraId="3138D47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（参考示例：Post-market surveillance control Procedure</w:t>
      </w:r>
    </w:p>
    <w:p w14:paraId="6C3B381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Corrective and Preventive Measures Control Procedures</w:t>
      </w:r>
    </w:p>
    <w:p w14:paraId="36E47F6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Vigilance System Control Procedures</w:t>
      </w:r>
    </w:p>
    <w:p w14:paraId="76F9A98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Risk management Control Procedures</w:t>
      </w:r>
    </w:p>
    <w:p w14:paraId="62E88E1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control procedures</w:t>
      </w:r>
    </w:p>
    <w:p w14:paraId="0E9F9BC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Continuous improvement procedures</w:t>
      </w:r>
    </w:p>
    <w:p w14:paraId="1C27636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Adverse event handling and reporting control procedures</w:t>
      </w:r>
    </w:p>
    <w:p w14:paraId="2E1D3EE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Monitor and measure equipment control procedures）</w:t>
      </w:r>
    </w:p>
    <w:p w14:paraId="366AD1FC">
      <w:pPr>
        <w:rPr>
          <w:rFonts w:hint="eastAsia" w:eastAsia="宋体"/>
          <w:lang w:eastAsia="zh-CN"/>
        </w:rPr>
      </w:pPr>
    </w:p>
    <w:p w14:paraId="6BBA4107">
      <w:pPr>
        <w:pStyle w:val="2"/>
        <w:jc w:val="center"/>
        <w:rPr>
          <w:rFonts w:hint="eastAsia"/>
          <w:lang w:eastAsia="zh-CN"/>
        </w:rPr>
      </w:pPr>
    </w:p>
    <w:p w14:paraId="069E246B">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B2D">
    <w:pPr>
      <w:pStyle w:val="6"/>
      <w:tabs>
        <w:tab w:val="left" w:pos="6391"/>
        <w:tab w:val="clear" w:pos="4153"/>
      </w:tabs>
      <w:rPr>
        <w:rFonts w:ascii="宋体" w:hAnsi="宋体" w:eastAsia="宋体" w:cs="宋体"/>
        <w:b/>
        <w:bCs/>
      </w:rPr>
    </w:pPr>
  </w:p>
  <w:p w14:paraId="0144D5E9">
    <w:pPr>
      <w:pStyle w:val="6"/>
      <w:tabs>
        <w:tab w:val="left" w:pos="6391"/>
        <w:tab w:val="clear" w:pos="4153"/>
      </w:tabs>
    </w:pPr>
    <w:r>
      <w:rPr>
        <w:rFonts w:hint="eastAsia" w:ascii="宋体" w:hAnsi="宋体" w:eastAsia="宋体" w:cs="宋体"/>
        <w:b/>
        <w:bCs/>
      </w:rPr>
      <w:t>专业带去价值，服务赢来美誉!                                   模板仅供参考，请以法规要求为准。</w:t>
    </w: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C90BD22">
                <w:pPr>
                  <w:pStyle w:val="6"/>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330B8"/>
    <w:multiLevelType w:val="singleLevel"/>
    <w:tmpl w:val="E24330B8"/>
    <w:lvl w:ilvl="0" w:tentative="0">
      <w:start w:val="1"/>
      <w:numFmt w:val="lowerLetter"/>
      <w:suff w:val="space"/>
      <w:lvlText w:val="(%1)"/>
      <w:lvlJc w:val="left"/>
    </w:lvl>
  </w:abstractNum>
  <w:abstractNum w:abstractNumId="1">
    <w:nsid w:val="09DEFB51"/>
    <w:multiLevelType w:val="multilevel"/>
    <w:tmpl w:val="09DEFB51"/>
    <w:lvl w:ilvl="0" w:tentative="0">
      <w:start w:val="1"/>
      <w:numFmt w:val="decimal"/>
      <w:lvlText w:val="%1"/>
      <w:lvlJc w:val="left"/>
      <w:pPr>
        <w:tabs>
          <w:tab w:val="left" w:pos="0"/>
        </w:tabs>
        <w:ind w:left="681" w:hanging="568"/>
      </w:pPr>
    </w:lvl>
    <w:lvl w:ilvl="1" w:tentative="0">
      <w:start w:val="1"/>
      <w:numFmt w:val="decimal"/>
      <w:lvlText w:val="%1.%2."/>
      <w:lvlJc w:val="left"/>
      <w:pPr>
        <w:tabs>
          <w:tab w:val="left" w:pos="0"/>
        </w:tabs>
        <w:ind w:left="681" w:hanging="568"/>
      </w:pPr>
      <w:rPr>
        <w:rFonts w:hint="default" w:ascii="Times New Roman" w:hAnsi="Times New Roman" w:eastAsia="Times New Roman" w:cs="Times New Roman"/>
        <w:spacing w:val="-2"/>
        <w:w w:val="100"/>
        <w:sz w:val="21"/>
        <w:szCs w:val="21"/>
      </w:rPr>
    </w:lvl>
    <w:lvl w:ilvl="2" w:tentative="0">
      <w:start w:val="1"/>
      <w:numFmt w:val="lowerLetter"/>
      <w:lvlText w:val="(%3)"/>
      <w:lvlJc w:val="left"/>
      <w:pPr>
        <w:tabs>
          <w:tab w:val="left" w:pos="0"/>
        </w:tabs>
        <w:ind w:left="1248" w:hanging="567"/>
      </w:pPr>
      <w:rPr>
        <w:rFonts w:hint="default" w:ascii="Times New Roman" w:hAnsi="Times New Roman" w:eastAsia="Times New Roman" w:cs="Times New Roman"/>
        <w:spacing w:val="-2"/>
        <w:w w:val="100"/>
        <w:sz w:val="21"/>
        <w:szCs w:val="21"/>
      </w:rPr>
    </w:lvl>
    <w:lvl w:ilvl="3" w:tentative="0">
      <w:start w:val="1"/>
      <w:numFmt w:val="bullet"/>
      <w:lvlText w:val="-"/>
      <w:lvlJc w:val="left"/>
      <w:pPr>
        <w:tabs>
          <w:tab w:val="left" w:pos="0"/>
        </w:tabs>
        <w:ind w:left="1815" w:hanging="568"/>
      </w:pPr>
      <w:rPr>
        <w:rFonts w:hint="default" w:ascii="Times New Roman" w:hAnsi="Times New Roman" w:eastAsia="Times New Roman" w:cs="Times New Roman"/>
        <w:spacing w:val="-2"/>
        <w:w w:val="100"/>
        <w:sz w:val="24"/>
        <w:szCs w:val="24"/>
      </w:rPr>
    </w:lvl>
    <w:lvl w:ilvl="4" w:tentative="0">
      <w:start w:val="1"/>
      <w:numFmt w:val="bullet"/>
      <w:lvlText w:val="•"/>
      <w:lvlJc w:val="left"/>
      <w:pPr>
        <w:tabs>
          <w:tab w:val="left" w:pos="0"/>
        </w:tabs>
        <w:ind w:left="3831" w:hanging="568"/>
      </w:pPr>
    </w:lvl>
    <w:lvl w:ilvl="5" w:tentative="0">
      <w:start w:val="1"/>
      <w:numFmt w:val="bullet"/>
      <w:lvlText w:val="•"/>
      <w:lvlJc w:val="left"/>
      <w:pPr>
        <w:tabs>
          <w:tab w:val="left" w:pos="0"/>
        </w:tabs>
        <w:ind w:left="4837" w:hanging="568"/>
      </w:pPr>
    </w:lvl>
    <w:lvl w:ilvl="6" w:tentative="0">
      <w:start w:val="1"/>
      <w:numFmt w:val="bullet"/>
      <w:lvlText w:val="•"/>
      <w:lvlJc w:val="left"/>
      <w:pPr>
        <w:tabs>
          <w:tab w:val="left" w:pos="0"/>
        </w:tabs>
        <w:ind w:left="5843" w:hanging="568"/>
      </w:pPr>
    </w:lvl>
    <w:lvl w:ilvl="7" w:tentative="0">
      <w:start w:val="1"/>
      <w:numFmt w:val="bullet"/>
      <w:lvlText w:val="•"/>
      <w:lvlJc w:val="left"/>
      <w:pPr>
        <w:tabs>
          <w:tab w:val="left" w:pos="0"/>
        </w:tabs>
        <w:ind w:left="6849" w:hanging="568"/>
      </w:pPr>
    </w:lvl>
    <w:lvl w:ilvl="8" w:tentative="0">
      <w:start w:val="1"/>
      <w:numFmt w:val="bullet"/>
      <w:lvlText w:val="•"/>
      <w:lvlJc w:val="left"/>
      <w:pPr>
        <w:tabs>
          <w:tab w:val="left" w:pos="0"/>
        </w:tabs>
        <w:ind w:left="7855" w:hanging="568"/>
      </w:pPr>
    </w:lvl>
  </w:abstractNum>
  <w:abstractNum w:abstractNumId="2">
    <w:nsid w:val="5AEA7D8F"/>
    <w:multiLevelType w:val="multilevel"/>
    <w:tmpl w:val="5AEA7D8F"/>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101EA"/>
    <w:rsid w:val="000129BC"/>
    <w:rsid w:val="00021783"/>
    <w:rsid w:val="00037083"/>
    <w:rsid w:val="0005076D"/>
    <w:rsid w:val="00054836"/>
    <w:rsid w:val="00063259"/>
    <w:rsid w:val="00065925"/>
    <w:rsid w:val="000814C6"/>
    <w:rsid w:val="000F5420"/>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21519B"/>
    <w:rsid w:val="002153AA"/>
    <w:rsid w:val="00220581"/>
    <w:rsid w:val="00232D4F"/>
    <w:rsid w:val="00242661"/>
    <w:rsid w:val="00247290"/>
    <w:rsid w:val="00266473"/>
    <w:rsid w:val="00273E0D"/>
    <w:rsid w:val="002768ED"/>
    <w:rsid w:val="00284AAD"/>
    <w:rsid w:val="00284EB3"/>
    <w:rsid w:val="002A0552"/>
    <w:rsid w:val="002A1FA5"/>
    <w:rsid w:val="002B1CF5"/>
    <w:rsid w:val="002B7012"/>
    <w:rsid w:val="002C3651"/>
    <w:rsid w:val="002C6EA9"/>
    <w:rsid w:val="002E0195"/>
    <w:rsid w:val="002E7100"/>
    <w:rsid w:val="00312FE9"/>
    <w:rsid w:val="0031394C"/>
    <w:rsid w:val="00313DDD"/>
    <w:rsid w:val="00350631"/>
    <w:rsid w:val="00352B80"/>
    <w:rsid w:val="00353A16"/>
    <w:rsid w:val="00355DB0"/>
    <w:rsid w:val="0035602B"/>
    <w:rsid w:val="00365DE5"/>
    <w:rsid w:val="0038670B"/>
    <w:rsid w:val="0039351D"/>
    <w:rsid w:val="00397482"/>
    <w:rsid w:val="003C1B91"/>
    <w:rsid w:val="003D2DFC"/>
    <w:rsid w:val="00427112"/>
    <w:rsid w:val="00442963"/>
    <w:rsid w:val="00452714"/>
    <w:rsid w:val="004550D8"/>
    <w:rsid w:val="00480523"/>
    <w:rsid w:val="00497177"/>
    <w:rsid w:val="004A02EB"/>
    <w:rsid w:val="004C4B56"/>
    <w:rsid w:val="004D4BCF"/>
    <w:rsid w:val="004D5948"/>
    <w:rsid w:val="004D6AE4"/>
    <w:rsid w:val="004E3E3C"/>
    <w:rsid w:val="005026D5"/>
    <w:rsid w:val="00524D39"/>
    <w:rsid w:val="00530718"/>
    <w:rsid w:val="00551AC4"/>
    <w:rsid w:val="00571210"/>
    <w:rsid w:val="00574537"/>
    <w:rsid w:val="00597A4F"/>
    <w:rsid w:val="005A2D8A"/>
    <w:rsid w:val="005A5519"/>
    <w:rsid w:val="005A670C"/>
    <w:rsid w:val="005B6D7C"/>
    <w:rsid w:val="005F151C"/>
    <w:rsid w:val="00604A9B"/>
    <w:rsid w:val="00625480"/>
    <w:rsid w:val="00633530"/>
    <w:rsid w:val="0063426B"/>
    <w:rsid w:val="00655F3F"/>
    <w:rsid w:val="0066016E"/>
    <w:rsid w:val="006643CD"/>
    <w:rsid w:val="006656E3"/>
    <w:rsid w:val="006873EE"/>
    <w:rsid w:val="006A05C1"/>
    <w:rsid w:val="006C54E3"/>
    <w:rsid w:val="006D5009"/>
    <w:rsid w:val="006D52A6"/>
    <w:rsid w:val="006D5B64"/>
    <w:rsid w:val="00710C34"/>
    <w:rsid w:val="00714D5D"/>
    <w:rsid w:val="00720DEA"/>
    <w:rsid w:val="00736A2C"/>
    <w:rsid w:val="00752AB5"/>
    <w:rsid w:val="007575D6"/>
    <w:rsid w:val="0078241B"/>
    <w:rsid w:val="007B6F7B"/>
    <w:rsid w:val="007C136A"/>
    <w:rsid w:val="007D1A34"/>
    <w:rsid w:val="007D2F00"/>
    <w:rsid w:val="007E0EEB"/>
    <w:rsid w:val="007E4493"/>
    <w:rsid w:val="007F4DA8"/>
    <w:rsid w:val="0081641C"/>
    <w:rsid w:val="00862EDC"/>
    <w:rsid w:val="00865AA2"/>
    <w:rsid w:val="00880EBB"/>
    <w:rsid w:val="00884FDC"/>
    <w:rsid w:val="00887889"/>
    <w:rsid w:val="00890EB1"/>
    <w:rsid w:val="008A4D1D"/>
    <w:rsid w:val="00915322"/>
    <w:rsid w:val="009245C9"/>
    <w:rsid w:val="009478D9"/>
    <w:rsid w:val="0098691B"/>
    <w:rsid w:val="009A7B2C"/>
    <w:rsid w:val="009B4411"/>
    <w:rsid w:val="009C0051"/>
    <w:rsid w:val="00A0374D"/>
    <w:rsid w:val="00A149DE"/>
    <w:rsid w:val="00A150B9"/>
    <w:rsid w:val="00A177D5"/>
    <w:rsid w:val="00A263D4"/>
    <w:rsid w:val="00A31F03"/>
    <w:rsid w:val="00A511FA"/>
    <w:rsid w:val="00A51CF6"/>
    <w:rsid w:val="00A65063"/>
    <w:rsid w:val="00A77941"/>
    <w:rsid w:val="00A8472F"/>
    <w:rsid w:val="00AA60B9"/>
    <w:rsid w:val="00AD5B4E"/>
    <w:rsid w:val="00AE4E22"/>
    <w:rsid w:val="00AF03A8"/>
    <w:rsid w:val="00B011E7"/>
    <w:rsid w:val="00B0165D"/>
    <w:rsid w:val="00B02699"/>
    <w:rsid w:val="00B24E3A"/>
    <w:rsid w:val="00B255EB"/>
    <w:rsid w:val="00B410AE"/>
    <w:rsid w:val="00B42D61"/>
    <w:rsid w:val="00B51495"/>
    <w:rsid w:val="00B56EC5"/>
    <w:rsid w:val="00B60D3F"/>
    <w:rsid w:val="00B615FE"/>
    <w:rsid w:val="00BA094B"/>
    <w:rsid w:val="00BA3945"/>
    <w:rsid w:val="00BB2341"/>
    <w:rsid w:val="00BB7F4F"/>
    <w:rsid w:val="00BF1528"/>
    <w:rsid w:val="00C07251"/>
    <w:rsid w:val="00C10D01"/>
    <w:rsid w:val="00C1322E"/>
    <w:rsid w:val="00C13C33"/>
    <w:rsid w:val="00C24854"/>
    <w:rsid w:val="00C516CA"/>
    <w:rsid w:val="00C72A00"/>
    <w:rsid w:val="00CA16B8"/>
    <w:rsid w:val="00CA60E7"/>
    <w:rsid w:val="00CB119C"/>
    <w:rsid w:val="00CC68D7"/>
    <w:rsid w:val="00CE389D"/>
    <w:rsid w:val="00D5510F"/>
    <w:rsid w:val="00D74315"/>
    <w:rsid w:val="00D81CCB"/>
    <w:rsid w:val="00D936B0"/>
    <w:rsid w:val="00D979F6"/>
    <w:rsid w:val="00DB0604"/>
    <w:rsid w:val="00DD4F98"/>
    <w:rsid w:val="00DD56D4"/>
    <w:rsid w:val="00E03749"/>
    <w:rsid w:val="00E13114"/>
    <w:rsid w:val="00E230C9"/>
    <w:rsid w:val="00E34E95"/>
    <w:rsid w:val="00E360D4"/>
    <w:rsid w:val="00EC12C5"/>
    <w:rsid w:val="00EC4803"/>
    <w:rsid w:val="00EC70AE"/>
    <w:rsid w:val="00EE2DD4"/>
    <w:rsid w:val="00EF3EAC"/>
    <w:rsid w:val="00EF5A19"/>
    <w:rsid w:val="00F246E4"/>
    <w:rsid w:val="00F3005D"/>
    <w:rsid w:val="00F465FA"/>
    <w:rsid w:val="00F510FC"/>
    <w:rsid w:val="00F73A78"/>
    <w:rsid w:val="00F83792"/>
    <w:rsid w:val="00F9788E"/>
    <w:rsid w:val="00FA7329"/>
    <w:rsid w:val="00FA7FC9"/>
    <w:rsid w:val="00FB3DF4"/>
    <w:rsid w:val="00FC14EC"/>
    <w:rsid w:val="00FC240A"/>
    <w:rsid w:val="00FE09EC"/>
    <w:rsid w:val="01112945"/>
    <w:rsid w:val="01D86CD0"/>
    <w:rsid w:val="01DD79A1"/>
    <w:rsid w:val="03A41962"/>
    <w:rsid w:val="06212C44"/>
    <w:rsid w:val="065E3AA2"/>
    <w:rsid w:val="06AB19A1"/>
    <w:rsid w:val="08DA58FE"/>
    <w:rsid w:val="09912AA5"/>
    <w:rsid w:val="0A1849E6"/>
    <w:rsid w:val="0A441F91"/>
    <w:rsid w:val="0AD9207D"/>
    <w:rsid w:val="0CEF0702"/>
    <w:rsid w:val="10E858C3"/>
    <w:rsid w:val="122D5CBD"/>
    <w:rsid w:val="15F46F61"/>
    <w:rsid w:val="15FC3D1C"/>
    <w:rsid w:val="170214EB"/>
    <w:rsid w:val="17047C0F"/>
    <w:rsid w:val="1871639D"/>
    <w:rsid w:val="187B1ECA"/>
    <w:rsid w:val="19DC22BC"/>
    <w:rsid w:val="1A902929"/>
    <w:rsid w:val="1C1B624E"/>
    <w:rsid w:val="1D6423C6"/>
    <w:rsid w:val="1D7D6B45"/>
    <w:rsid w:val="1D965171"/>
    <w:rsid w:val="1EA156C2"/>
    <w:rsid w:val="1EA717AE"/>
    <w:rsid w:val="1EE57558"/>
    <w:rsid w:val="1F252329"/>
    <w:rsid w:val="1F625236"/>
    <w:rsid w:val="1FDE5BD5"/>
    <w:rsid w:val="203E109B"/>
    <w:rsid w:val="20477737"/>
    <w:rsid w:val="224E53B7"/>
    <w:rsid w:val="231F5EC6"/>
    <w:rsid w:val="235A43DA"/>
    <w:rsid w:val="245D0791"/>
    <w:rsid w:val="269767A2"/>
    <w:rsid w:val="269F282B"/>
    <w:rsid w:val="28491188"/>
    <w:rsid w:val="28E57F87"/>
    <w:rsid w:val="29617D71"/>
    <w:rsid w:val="2CCE3BAD"/>
    <w:rsid w:val="2D8D2BEC"/>
    <w:rsid w:val="2EA83F8C"/>
    <w:rsid w:val="2F7D59B2"/>
    <w:rsid w:val="312D1DCC"/>
    <w:rsid w:val="315C3543"/>
    <w:rsid w:val="326412CE"/>
    <w:rsid w:val="3306754F"/>
    <w:rsid w:val="33BF2BF9"/>
    <w:rsid w:val="33DB7140"/>
    <w:rsid w:val="340A0F88"/>
    <w:rsid w:val="34BF38B6"/>
    <w:rsid w:val="35040B37"/>
    <w:rsid w:val="38701098"/>
    <w:rsid w:val="38E14208"/>
    <w:rsid w:val="3A2B6593"/>
    <w:rsid w:val="3C766927"/>
    <w:rsid w:val="3D7725E5"/>
    <w:rsid w:val="3DB235FA"/>
    <w:rsid w:val="3E376C2E"/>
    <w:rsid w:val="3E621DBA"/>
    <w:rsid w:val="3F4E7D69"/>
    <w:rsid w:val="40B45AFD"/>
    <w:rsid w:val="427954E3"/>
    <w:rsid w:val="434F28D5"/>
    <w:rsid w:val="446B3DCC"/>
    <w:rsid w:val="44F86EB3"/>
    <w:rsid w:val="45AD7ACF"/>
    <w:rsid w:val="463B3C16"/>
    <w:rsid w:val="4686742C"/>
    <w:rsid w:val="46E70DA9"/>
    <w:rsid w:val="47352213"/>
    <w:rsid w:val="476E4903"/>
    <w:rsid w:val="47C44257"/>
    <w:rsid w:val="494E7FCA"/>
    <w:rsid w:val="4BE26B69"/>
    <w:rsid w:val="4C296A22"/>
    <w:rsid w:val="4CBE596D"/>
    <w:rsid w:val="4CCE06E1"/>
    <w:rsid w:val="4DB96398"/>
    <w:rsid w:val="50042530"/>
    <w:rsid w:val="50197DE0"/>
    <w:rsid w:val="513C052C"/>
    <w:rsid w:val="514F07F2"/>
    <w:rsid w:val="52DC0147"/>
    <w:rsid w:val="532F7C9D"/>
    <w:rsid w:val="536D799A"/>
    <w:rsid w:val="557C1051"/>
    <w:rsid w:val="5678662B"/>
    <w:rsid w:val="56977B36"/>
    <w:rsid w:val="57D65228"/>
    <w:rsid w:val="5A0474BA"/>
    <w:rsid w:val="5CB6388F"/>
    <w:rsid w:val="5CD90B33"/>
    <w:rsid w:val="5D8579FF"/>
    <w:rsid w:val="5D8B1502"/>
    <w:rsid w:val="5DB34A36"/>
    <w:rsid w:val="5EB84EFB"/>
    <w:rsid w:val="5FFC3A54"/>
    <w:rsid w:val="61EE0E5C"/>
    <w:rsid w:val="62F36A57"/>
    <w:rsid w:val="648862D4"/>
    <w:rsid w:val="648D6221"/>
    <w:rsid w:val="67166162"/>
    <w:rsid w:val="685A5F18"/>
    <w:rsid w:val="688667D3"/>
    <w:rsid w:val="68A8688E"/>
    <w:rsid w:val="68CA5666"/>
    <w:rsid w:val="68CD649A"/>
    <w:rsid w:val="6A3600CD"/>
    <w:rsid w:val="6C785554"/>
    <w:rsid w:val="6CE21404"/>
    <w:rsid w:val="6DA50C70"/>
    <w:rsid w:val="6DEA768D"/>
    <w:rsid w:val="6E8B0003"/>
    <w:rsid w:val="6E995677"/>
    <w:rsid w:val="6EDC59F5"/>
    <w:rsid w:val="6F4966DD"/>
    <w:rsid w:val="6F8B4E3E"/>
    <w:rsid w:val="70327744"/>
    <w:rsid w:val="73651FFD"/>
    <w:rsid w:val="75202178"/>
    <w:rsid w:val="7545475F"/>
    <w:rsid w:val="75C06A1E"/>
    <w:rsid w:val="77C8180E"/>
    <w:rsid w:val="77DC64CA"/>
    <w:rsid w:val="77E71603"/>
    <w:rsid w:val="783F261F"/>
    <w:rsid w:val="78E12786"/>
    <w:rsid w:val="794C5CF8"/>
    <w:rsid w:val="79646B99"/>
    <w:rsid w:val="79917AC7"/>
    <w:rsid w:val="7A306663"/>
    <w:rsid w:val="7A6A7A61"/>
    <w:rsid w:val="7E3B3DE7"/>
    <w:rsid w:val="7E42496D"/>
    <w:rsid w:val="7F174B2A"/>
    <w:rsid w:val="7F5B5A88"/>
    <w:rsid w:val="7FC46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paragraph" w:styleId="3">
    <w:name w:val="annotation text"/>
    <w:basedOn w:val="1"/>
    <w:link w:val="22"/>
    <w:unhideWhenUsed/>
    <w:qFormat/>
    <w:uiPriority w:val="99"/>
    <w:pPr>
      <w:jc w:val="left"/>
    </w:pPr>
  </w:style>
  <w:style w:type="paragraph" w:styleId="4">
    <w:name w:val="Body Text Indent"/>
    <w:basedOn w:val="1"/>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eastAsia="Times New Roman"/>
      <w:kern w:val="0"/>
      <w:sz w:val="24"/>
      <w:szCs w:val="24"/>
    </w:rPr>
  </w:style>
  <w:style w:type="paragraph" w:styleId="9">
    <w:name w:val="annotation subject"/>
    <w:basedOn w:val="3"/>
    <w:next w:val="3"/>
    <w:link w:val="23"/>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FollowedHyperlink"/>
    <w:basedOn w:val="12"/>
    <w:unhideWhenUsed/>
    <w:qFormat/>
    <w:uiPriority w:val="99"/>
    <w:rPr>
      <w:color w:val="003399"/>
      <w:u w:val="none"/>
    </w:rPr>
  </w:style>
  <w:style w:type="character" w:styleId="15">
    <w:name w:val="Hyperlink"/>
    <w:basedOn w:val="12"/>
    <w:unhideWhenUsed/>
    <w:qFormat/>
    <w:uiPriority w:val="99"/>
    <w:rPr>
      <w:color w:val="0045AD"/>
      <w:u w:val="none"/>
    </w:rPr>
  </w:style>
  <w:style w:type="character" w:styleId="16">
    <w:name w:val="annotation reference"/>
    <w:basedOn w:val="12"/>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apple-converted-space"/>
    <w:basedOn w:val="12"/>
    <w:qFormat/>
    <w:uiPriority w:val="0"/>
  </w:style>
  <w:style w:type="character" w:customStyle="1" w:styleId="20">
    <w:name w:val="web-item2"/>
    <w:qFormat/>
    <w:uiPriority w:val="0"/>
    <w:rPr>
      <w:sz w:val="18"/>
      <w:szCs w:val="18"/>
    </w:rPr>
  </w:style>
  <w:style w:type="character" w:customStyle="1" w:styleId="21">
    <w:name w:val="批注框文本 字符"/>
    <w:basedOn w:val="12"/>
    <w:link w:val="5"/>
    <w:semiHidden/>
    <w:qFormat/>
    <w:uiPriority w:val="99"/>
    <w:rPr>
      <w:kern w:val="2"/>
      <w:sz w:val="18"/>
      <w:szCs w:val="18"/>
    </w:rPr>
  </w:style>
  <w:style w:type="character" w:customStyle="1" w:styleId="22">
    <w:name w:val="批注文字 字符"/>
    <w:basedOn w:val="12"/>
    <w:link w:val="3"/>
    <w:semiHidden/>
    <w:qFormat/>
    <w:uiPriority w:val="99"/>
    <w:rPr>
      <w:kern w:val="2"/>
      <w:sz w:val="21"/>
      <w:szCs w:val="22"/>
    </w:rPr>
  </w:style>
  <w:style w:type="character" w:customStyle="1" w:styleId="23">
    <w:name w:val="批注主题 字符"/>
    <w:basedOn w:val="22"/>
    <w:link w:val="9"/>
    <w:semiHidden/>
    <w:qFormat/>
    <w:uiPriority w:val="99"/>
    <w:rPr>
      <w:b/>
      <w:bCs/>
      <w:kern w:val="2"/>
      <w:sz w:val="21"/>
      <w:szCs w:val="22"/>
    </w:rPr>
  </w:style>
  <w:style w:type="paragraph" w:customStyle="1" w:styleId="24">
    <w:name w:val="Table Paragraph"/>
    <w:basedOn w:val="1"/>
    <w:qFormat/>
    <w:uiPriority w:val="1"/>
  </w:style>
  <w:style w:type="paragraph" w:customStyle="1" w:styleId="25">
    <w:name w:val="_Style 2"/>
    <w:basedOn w:val="1"/>
    <w:qFormat/>
    <w:uiPriority w:val="34"/>
    <w:pPr>
      <w:ind w:firstLine="420" w:firstLineChars="200"/>
    </w:pPr>
  </w:style>
  <w:style w:type="paragraph" w:styleId="26">
    <w:name w:val="List Paragraph"/>
    <w:basedOn w:val="1"/>
    <w:qFormat/>
    <w:uiPriority w:val="99"/>
    <w:pPr>
      <w:ind w:firstLine="420" w:firstLineChars="200"/>
    </w:pPr>
  </w:style>
  <w:style w:type="paragraph" w:customStyle="1" w:styleId="2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4B4C3-D79D-465C-A011-1AE12B1BE6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2031</Words>
  <Characters>10256</Characters>
  <Lines>88</Lines>
  <Paragraphs>24</Paragraphs>
  <TotalTime>3</TotalTime>
  <ScaleCrop>false</ScaleCrop>
  <LinksUpToDate>false</LinksUpToDate>
  <CharactersWithSpaces>11808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2015-06-30T10:30:00Z</dcterms:created>
  <dc:creator>龙德</dc:creator>
  <cp:lastModifiedBy>太极箫客</cp:lastModifiedBy>
  <dcterms:modified xsi:type="dcterms:W3CDTF">2025-08-14T06:21:01Z</dcterms:modified>
  <dc:subject>医械宝模板仅供参考，具体以法规要求为准。需要更多医械宝信息请联系龙德。</dc:subject>
  <dc:title>医械宝模板</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ACB9491DFE114B0697BEF2E692783352</vt:lpwstr>
  </property>
  <property fmtid="{D5CDD505-2E9C-101B-9397-08002B2CF9AE}" pid="4" name="KSOTemplateDocerSaveRecord">
    <vt:lpwstr>eyJoZGlkIjoiMDJiMzI3ODBiNTFmMWRjNDUyMjM1ZmZjODY5NDc2MWMiLCJ1c2VySWQiOiI0NTQ4Nzg1NzAifQ==</vt:lpwstr>
  </property>
</Properties>
</file>