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outset" w:color="auto" w:sz="6" w:space="0"/>
          <w:left w:val="none" w:color="auto" w:sz="0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1678"/>
        <w:gridCol w:w="5500"/>
        <w:gridCol w:w="1328"/>
      </w:tblGrid>
      <w:tr w14:paraId="23F03D59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3390D29A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Reference</w:t>
            </w:r>
          </w:p>
        </w:tc>
        <w:tc>
          <w:tcPr>
            <w:tcW w:w="4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5E10F4AF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Title</w:t>
            </w:r>
          </w:p>
        </w:tc>
        <w:tc>
          <w:tcPr>
            <w:tcW w:w="15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56BEAA70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Publication</w:t>
            </w:r>
          </w:p>
        </w:tc>
      </w:tr>
      <w:tr w14:paraId="136722BA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71F9D0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"https://ec.europa.eu/health/sites/health/files/md_sector/docs/md_mdcg_2020_18_en.pdf"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2020-18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65BD8F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MDCG Position Paper on UDI assignment for Spectacle lenses &amp; Ready readers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9F5AF9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December 2020</w:t>
            </w:r>
          </w:p>
        </w:tc>
      </w:tr>
      <w:tr w14:paraId="6A6EA01B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DF1546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"https://ec.europa.eu/health/sites/health/files/md_sector/docs/md_mdcg_2019_2_gui_udi_dev_en.pdf"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2019-2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E935CC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application of UDI rules to device-part of products referred to in article 1(8), 1(9) and 1(10) of Regulation 745/2017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355DC5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February 2019</w:t>
            </w:r>
          </w:p>
        </w:tc>
      </w:tr>
      <w:tr w14:paraId="22C41E04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106EDE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"https://ec.europa.eu/health/sites/health/files/md_sector/docs/md_mdcg_2019_1_budi_rules_ie_en.pdf"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2019-1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9A33DC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MDCG guiding principles for issuing entities rules on basic UDI-DI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DCA776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January 2019</w:t>
            </w:r>
          </w:p>
        </w:tc>
      </w:tr>
      <w:tr w14:paraId="54D557AB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EF0D1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"https://ec.europa.eu/health/sites/health/files/md_sector/docs/md_mdcg_2018_7_languages_en.pdf"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2018-7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3DE513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Provisional considerations regarding language issues associated with the UDI database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FDD74A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October 2018</w:t>
            </w:r>
          </w:p>
        </w:tc>
      </w:tr>
      <w:tr w14:paraId="722B10A5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18180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"https://ec.europa.eu/health/sites/health/files/md_sector/docs/md_mdcg_2018_6_art16_en.pdf"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2018-6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DA6E6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Clarifications of UDI related responsibilities in relation to article 16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EE1F90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October 2018</w:t>
            </w:r>
          </w:p>
        </w:tc>
      </w:tr>
      <w:tr w14:paraId="6CAC7066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EE2ECE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"https://ec.europa.eu/health/sites/health/files/md_sector/docs/md_mdcg_2018_5_software_en.pdf"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2018-5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8EC16F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UDI assignment to medical device software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1B4144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October 2018</w:t>
            </w:r>
          </w:p>
        </w:tc>
      </w:tr>
      <w:tr w14:paraId="0AD5C19D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37B1F9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"https://ec.europa.eu/health/sites/health/files/md_sector/docs/md_mdcg_2018_4_udi_core_spp_en.pdf"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2018-4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56004D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Definitions/descriptions and formats of the UDI core elements for systems or procedure packs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B61304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October 2018</w:t>
            </w:r>
          </w:p>
        </w:tc>
      </w:tr>
      <w:tr w14:paraId="7F3E4E54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64BF8B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"https://ec.europa.eu/health/sites/health/files/md_sector/docs/md_2018-3-guidance-udi-spp_en.pdf"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2018-3 Rev.1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376D4A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UDI for systems and procedure packs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C683EE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June 2020</w:t>
            </w:r>
          </w:p>
        </w:tc>
      </w:tr>
      <w:tr w14:paraId="7EB4DDE9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E49CD1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"https://ec.europa.eu/health/sites/health/files/md_sector/docs/md_mdcg_2018_2_nomenclature_en.pdf"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2018-2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7EB4D5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Future EU medical device nomenclature - Description of requirements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597680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March 2018</w:t>
            </w:r>
          </w:p>
        </w:tc>
      </w:tr>
      <w:tr w14:paraId="11DA7401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EB65B3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"https://ec.europa.eu/health/sites/health/files/md_sector/docs/md_mdcg_2018-1_guidance_udi-di_en.pdf"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2018-1 v3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7825E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basic UDI-DI and changes to UDI-DI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0CB41A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March 2020</w:t>
            </w:r>
          </w:p>
        </w:tc>
      </w:tr>
    </w:tbl>
    <w:p w14:paraId="2AD16F40">
      <w:pPr>
        <w:widowControl/>
        <w:shd w:val="clear" w:color="auto" w:fill="FFFFFF"/>
        <w:spacing w:before="180" w:after="60" w:line="264" w:lineRule="atLeast"/>
        <w:outlineLvl w:val="2"/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</w:pPr>
      <w:r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  <w:t>EUDAMED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none" w:color="auto" w:sz="0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1605"/>
        <w:gridCol w:w="5613"/>
        <w:gridCol w:w="1288"/>
      </w:tblGrid>
      <w:tr w14:paraId="35014942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20A1EA20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Reference</w:t>
            </w:r>
          </w:p>
        </w:tc>
        <w:tc>
          <w:tcPr>
            <w:tcW w:w="4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058CA74E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Title</w:t>
            </w:r>
          </w:p>
        </w:tc>
        <w:tc>
          <w:tcPr>
            <w:tcW w:w="15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2F1C273C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Publication</w:t>
            </w:r>
          </w:p>
        </w:tc>
      </w:tr>
      <w:tr w14:paraId="3721DF8E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65EEB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"https://ec.europa.eu/health/sites/health/files/md_sector/docs/2020-15-position-paper-actor-registration-module_en.pdf"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2020-15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E250FE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MDCG Position Paper on the use of the EUDAMED actor registration module and of the Single Registration Number (SRN) in the Member States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15E0A4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August 2020</w:t>
            </w:r>
          </w:p>
        </w:tc>
      </w:tr>
      <w:tr w14:paraId="157955E6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0DDB85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"https://ec.europa.eu/health/sites/health/files/md_sector/docs/md_mdcg_2019_5_legacy_devices_registration_eudamed_en.pdf"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2019-5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4E574F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Registration of legacy devices in EUDAMED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153ED1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April 2019</w:t>
            </w:r>
          </w:p>
        </w:tc>
      </w:tr>
      <w:tr w14:paraId="2E5FDB28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F7DAE9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"https://ec.europa.eu/health/sites/health/files/md_sector/docs/md_mdcg_2019_4_devices_registration_eudamed_en.pdf"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2019-4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416E8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Timelines for registration of device data elements in EUDAMED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FC3242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April 2019</w:t>
            </w:r>
          </w:p>
        </w:tc>
      </w:tr>
    </w:tbl>
    <w:p w14:paraId="41C15E9D">
      <w:pPr>
        <w:widowControl/>
        <w:shd w:val="clear" w:color="auto" w:fill="FFFFFF"/>
        <w:spacing w:before="180" w:after="60" w:line="264" w:lineRule="atLeast"/>
        <w:outlineLvl w:val="2"/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</w:pPr>
      <w:r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  <w:t>European Medical Device Nomenclature (EMDN)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none" w:color="auto" w:sz="0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6000"/>
        <w:gridCol w:w="2464"/>
      </w:tblGrid>
      <w:tr w14:paraId="7E9314F3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tblHeader/>
        </w:trPr>
        <w:tc>
          <w:tcPr>
            <w:tcW w:w="6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6B4D7DF3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Title</w:t>
            </w:r>
          </w:p>
        </w:tc>
        <w:tc>
          <w:tcPr>
            <w:tcW w:w="2464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3D5CFD95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Publication</w:t>
            </w:r>
          </w:p>
        </w:tc>
      </w:tr>
      <w:tr w14:paraId="2C0337B2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B2E3BC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"https://ec.europa.eu/health/sites/health/files/md_sector/docs/md_emdn_eudamed_nomenclature_en.pdf"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The EMDN – The nomenclature of use in EUDAMED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2464" w:type="dxa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59474F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January 2020</w:t>
            </w:r>
          </w:p>
        </w:tc>
      </w:tr>
      <w:tr w14:paraId="57E6C95A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DD54D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"https://ec.europa.eu/health/sites/health/files/md_sector/docs/md_cnd_general_principles_en.pdf"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The CND nomenclature – Background and general principles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2464" w:type="dxa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BF46B2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January 2020</w:t>
            </w:r>
          </w:p>
        </w:tc>
      </w:tr>
    </w:tbl>
    <w:p w14:paraId="0ED90D24">
      <w:pPr>
        <w:widowControl/>
        <w:shd w:val="clear" w:color="auto" w:fill="FFFFFF"/>
        <w:spacing w:before="180" w:after="60" w:line="264" w:lineRule="atLeast"/>
        <w:outlineLvl w:val="2"/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</w:pPr>
      <w:r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  <w:t>Notified bodies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none" w:color="auto" w:sz="0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1234"/>
        <w:gridCol w:w="6152"/>
        <w:gridCol w:w="1120"/>
      </w:tblGrid>
      <w:tr w14:paraId="14630630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1A1A340C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Reference</w:t>
            </w:r>
          </w:p>
        </w:tc>
        <w:tc>
          <w:tcPr>
            <w:tcW w:w="4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5E35E3FC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Title</w:t>
            </w:r>
          </w:p>
        </w:tc>
        <w:tc>
          <w:tcPr>
            <w:tcW w:w="15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2698FF00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Publication</w:t>
            </w:r>
          </w:p>
        </w:tc>
      </w:tr>
      <w:tr w14:paraId="1C2D719A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1A4646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"https://ec.europa.eu/health/sites/health/files/md_sector/docs/md_2020-17-guidance-mdcg-qa_en.pdf"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2020-17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5FF412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Questions and Answers related to MDCG 2020-4:</w:t>
            </w: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br w:type="textWrapping"/>
            </w: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“Guidance on temporary extraordinary measures related to medical device notified body audits during COVID-19 quarantine orders and travel restrictions”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084119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December 2020</w:t>
            </w:r>
          </w:p>
        </w:tc>
      </w:tr>
      <w:tr w14:paraId="282E3370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61772E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"https://ec.europa.eu/health/sites/health/files/md_sector/docs/md_2020-14-guidance-mdsap_en.pdf"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2020-14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D67BB2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for notified bodies on the use of MDSAP audit reports in the context of surveillance audits carried out under the Medical Devices Regulation (MDR)/In Vitro Diagnostic medical devices Regulation (IVDR)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D3E67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August 2020</w:t>
            </w:r>
          </w:p>
        </w:tc>
      </w:tr>
      <w:tr w14:paraId="7DF05A89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B6E07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"https://ec.europa.eu/health/sites/health/files/md_sector/docs/md_mdcg_2020-12_guidance_transitional_provisions_en.pdf"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2020-12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EC1F35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transitional provisions for consultations of authorities on devices incorporating a substance which may be considered a medicinal product and which has action ancillary to that of the device, as well as on devices manufactured using TSE susceptible animal tissues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D996D2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June 2020</w:t>
            </w:r>
          </w:p>
        </w:tc>
      </w:tr>
      <w:tr w14:paraId="5CC6939E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953980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"https://ec.europa.eu/health/sites/health/files/md_sector/docs/md_mdcg_2020-11_guidance_renewal_designation_en.pdf"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2020-11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2F56A3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the renewal of designation and monitoring of notified bodies under Directives 90/385/EEC and 93/42/EEC to be performed in accordance with Commission Implementing Regulation (EU) 2020/666 amending Commission Implementing Regulation (EU) 920/2013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9AFA76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May 2020</w:t>
            </w:r>
          </w:p>
        </w:tc>
      </w:tr>
      <w:tr w14:paraId="21B28930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666119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"https://ec.europa.eu/health/sites/health/files/md_sector/docs/md_mdcg_2020_4_nb_audits_covid-19_en.pdf"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2020-4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CA2E9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temporary extraordinary measures related to medical device notified body audits during COVID-19 quarantine orders and travel restrictions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1B3DEE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April 2020</w:t>
            </w:r>
          </w:p>
        </w:tc>
      </w:tr>
      <w:tr w14:paraId="0134F297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A70EFC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"https://ec.europa.eu/health/sites/health/files/md_sector/docs/md_mdcg_guidance_significant_changes_annexes_en.pdf"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2020-3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11C27B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significant changes regarding the transitional provision under Article 120 of the MDR with regard to devices covered by certificates according to MDD or AIMDD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20014D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March 2020</w:t>
            </w:r>
          </w:p>
        </w:tc>
      </w:tr>
      <w:tr w14:paraId="064EB93B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32BB66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"https://ec.europa.eu/health/sites/health/files/md_sector/docs/md_mdcg_2019_14_mdr_codes_en.pdf"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2019-14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24A29B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Explanatory note on MDR codes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5C8B84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December 2019</w:t>
            </w:r>
          </w:p>
        </w:tc>
      </w:tr>
      <w:tr w14:paraId="2289ACA4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C04A83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"https://ec.europa.eu/health/sites/health/files/md_sector/docs/md_mdcg_2019_13_sampling_mdr_ivdr_en.pdf"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2019-13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26E2A9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sampling of devices for the assessment of the technical documentation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B7C493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December 2019</w:t>
            </w:r>
          </w:p>
        </w:tc>
      </w:tr>
      <w:tr w14:paraId="547F4186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BBAA23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"https://ec.europa.eu/health/sites/health/files/md_sector/docs/md_mdcg_key_information_form_en.docx"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2019-12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F961DA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Designating authority's final assessment form: Key information (EN)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F9AF4F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October 2019</w:t>
            </w:r>
          </w:p>
        </w:tc>
      </w:tr>
      <w:tr w14:paraId="33BDE3CC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F0F983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"https://ec.europa.eu/health/sites/health/files/md_sector/docs/md_application-transitional-provisions-certificates_en.pdf"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2019-10 rev.1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341C72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Application of transitional provisions concerning validity of certificates issued in accordance to the directives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E1CAE3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October 2019</w:t>
            </w:r>
          </w:p>
        </w:tc>
      </w:tr>
      <w:tr w14:paraId="6B686F84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6C2672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"https://ec.europa.eu/health/sites/health/files/md_sector/docs/md_mdcg_qa_requirements_notified_bodies_en.pdf"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2019-6 v2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DF5D08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Questions and answers: Requirements relating to notified bodies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77212E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October2019</w:t>
            </w:r>
          </w:p>
        </w:tc>
      </w:tr>
      <w:tr w14:paraId="725B82D2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9E18AD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"https://ec.europa.eu/health/sites/health/files/md_sector/docs/md_mdcg_2018_8_crf_transfer_en.pdf"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2018-8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BC4FE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content of the certificates, voluntary certificate transfers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1125E0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November 2018</w:t>
            </w:r>
          </w:p>
        </w:tc>
      </w:tr>
      <w:tr w14:paraId="328AC307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F90F2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"https://ec.europa.eu/health/sites/health/files/md_sector/docs/md_mdcg_2017_2_nbog_bpg_en.pdf"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NBOG BPG 2017-2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A8C97D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Best practice guidance on the information required for personnel involved in conformity assessment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96C030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February 2018</w:t>
            </w:r>
          </w:p>
        </w:tc>
      </w:tr>
      <w:tr w14:paraId="4F90753D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D98E9C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"https://ec.europa.eu/health/sites/health/files/md_sector/docs/md_mdcg_2017_1_nbog_bpg_en.pdf"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NBOG BPG 2017-1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9DABB8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Best practice guidance on designation and notification of conformity assessment bodies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DFFE58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February 2018</w:t>
            </w:r>
          </w:p>
        </w:tc>
      </w:tr>
      <w:tr w14:paraId="01EA2519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C0CB38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"https://ec.europa.eu/health/sites/health/files/md_sector/docs/md_mdcg_2017_8_nbog_mdr_en.doc"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NBOG F 2017-8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FA8F8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Review of qualification for the authorisation of personnel (IVDR)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E7AE34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February 2018</w:t>
            </w:r>
          </w:p>
        </w:tc>
      </w:tr>
      <w:tr w14:paraId="3BCA5101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F8C4B1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"https://ec.europa.eu/health/sites/health/files/md_sector/docs/md_mdcg_2017_7_nbog_mdr_en.doc"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NBOG F 2017-7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305F7C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Review of qualification for the authorisation of personnel (MDR)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4758EA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February 2018</w:t>
            </w:r>
          </w:p>
        </w:tc>
      </w:tr>
      <w:tr w14:paraId="6CA41BAE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A8030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"https://ec.europa.eu/health/sites/health/files/md_sector/docs/md_mdcg_2017_6_nbog_mdr_en.docx"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NBOG F 2017-6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83622A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Preliminary assessment review template (IVDR)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05AEC8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February 2018</w:t>
            </w:r>
          </w:p>
        </w:tc>
      </w:tr>
      <w:tr w14:paraId="7B7ADFA7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460CCD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"https://ec.europa.eu/health/sites/health/files/md_sector/docs/md_mdcg_2017_5_nbog_mdr_en.docx"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NBOG F 2017-5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FFA5BA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Preliminary assessment review template (MDR)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FE78E6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February 2018</w:t>
            </w:r>
          </w:p>
        </w:tc>
      </w:tr>
      <w:tr w14:paraId="3A128A6B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664BB3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"https://ec.europa.eu/health/sites/health/files/md_sector/docs/md_mdcg_2017_4_nbog_mdr_en.docx"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NBOG F 2017-4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10093F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Applied-for scope of designation and notification of a conformity assessment body – Regulation (EU) 2017/746 (IVDR)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9EA16A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February 2018</w:t>
            </w:r>
          </w:p>
        </w:tc>
      </w:tr>
      <w:tr w14:paraId="5FDC7C04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900014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"https://ec.europa.eu/health/sites/health/files/md_sector/docs/md_mdcg_2017_3_nbog_mdr_en.docx"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NBOG F 2017-3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D17C7D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Applied-for scope of designation and notification of a conformity assessment body – Regulation (EU) 2017/745 (MDR)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D5CA4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February 2018</w:t>
            </w:r>
          </w:p>
        </w:tc>
      </w:tr>
      <w:tr w14:paraId="166FA339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1FBD5E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"https://ec.europa.eu/health/sites/health/files/md_sector/docs/md_mdcg_2017_2_nbog_mdr_en.docx"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NBOG F 2017-2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248DAB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Application form to be submitted by a conformity assessment body when applying for designation as a notified body under the in vitro diagnostic devices regulation (IVDR)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81D09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February 2018</w:t>
            </w:r>
          </w:p>
        </w:tc>
      </w:tr>
      <w:tr w14:paraId="0CABD812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EC76DE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"https://ec.europa.eu/health/sites/health/files/md_sector/docs/md_mdcg_2017_1_nbog_mdr_en.docx"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NBOG F 2017-1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226D14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Application form to be submitted by a conformity assessment body when applying for designation as notified body under the medical devices regulation (MDR)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25A7A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February 2018</w:t>
            </w:r>
          </w:p>
        </w:tc>
      </w:tr>
    </w:tbl>
    <w:p w14:paraId="379EFD94">
      <w:pPr>
        <w:widowControl/>
        <w:shd w:val="clear" w:color="auto" w:fill="FFFFFF"/>
        <w:spacing w:before="180" w:after="60" w:line="264" w:lineRule="atLeast"/>
        <w:outlineLvl w:val="2"/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</w:pPr>
      <w:r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  <w:t>Clinical investigation and evaluation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none" w:color="auto" w:sz="0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2000"/>
        <w:gridCol w:w="4000"/>
        <w:gridCol w:w="2464"/>
      </w:tblGrid>
      <w:tr w14:paraId="35D14ACD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64BEF3FB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Reference</w:t>
            </w:r>
          </w:p>
        </w:tc>
        <w:tc>
          <w:tcPr>
            <w:tcW w:w="4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2810BCD3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Title</w:t>
            </w:r>
          </w:p>
        </w:tc>
        <w:tc>
          <w:tcPr>
            <w:tcW w:w="2464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6E7BBBDA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Publication</w:t>
            </w:r>
          </w:p>
        </w:tc>
      </w:tr>
      <w:tr w14:paraId="5C2FC4D9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CA6F37">
            <w:pPr>
              <w:widowControl/>
              <w:spacing w:after="10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"https://ec.europa.eu/health/sites/health/files/md_sector/docs/md_2020-13-cea-report-template_en.pdf"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2020-13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 - </w:t>
            </w:r>
            <w:r>
              <w:fldChar w:fldCharType="begin"/>
            </w:r>
            <w:r>
              <w:instrText xml:space="preserve"> HYPERLINK "https://ec.europa.eu/health/sites/health/files/md_sector/docs/md_2020-13-cea-report-template_en.docx"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Word version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46B9A5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Clinical evaluation assessment report template</w:t>
            </w:r>
          </w:p>
        </w:tc>
        <w:tc>
          <w:tcPr>
            <w:tcW w:w="2464" w:type="dxa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63FE8F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July 2020</w:t>
            </w:r>
          </w:p>
        </w:tc>
      </w:tr>
      <w:tr w14:paraId="46715AC0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711AC0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"https://ec.europa.eu/health/sites/health/files/md_sector/docs/md_mdcg_2020-10-2_guidance_safety_report_form_en.xlsx"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2020-10/2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  <w:p w14:paraId="7759B252">
            <w:pPr>
              <w:widowControl/>
              <w:spacing w:after="10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"https://ec.europa.eu/health/sites/health/files/md_sector/docs/md_mdcg_2020-10-1_guidance_safety_reporting_en.pdf"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2020-10/1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FF88A6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safety reporting in clinical investigations</w:t>
            </w: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br w:type="textWrapping"/>
            </w: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Appendix: Clinical investigation summary safety report form</w:t>
            </w:r>
          </w:p>
        </w:tc>
        <w:tc>
          <w:tcPr>
            <w:tcW w:w="2464" w:type="dxa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1E2D9E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May 2020</w:t>
            </w: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br w:type="textWrapping"/>
            </w: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May 2020</w:t>
            </w:r>
          </w:p>
        </w:tc>
      </w:tr>
      <w:tr w14:paraId="6C28182D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D9D60B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"https://ec.europa.eu/health/sites/health/files/md_sector/docs/md_mdcg_2020_8_guidance_pmcf_evaluation_report_en.pdf"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2020-8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310F12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PMCF evaluation report template</w:t>
            </w:r>
          </w:p>
        </w:tc>
        <w:tc>
          <w:tcPr>
            <w:tcW w:w="2464" w:type="dxa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8859ED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April 2020</w:t>
            </w:r>
          </w:p>
        </w:tc>
      </w:tr>
      <w:tr w14:paraId="518D5DBA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FAE16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"https://ec.europa.eu/health/sites/health/files/md_sector/docs/md_mdcg_2020_7_guidance_pmcf_plan_template_en.pdf"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2020-7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DEB6CE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PMCF plan template</w:t>
            </w:r>
          </w:p>
        </w:tc>
        <w:tc>
          <w:tcPr>
            <w:tcW w:w="2464" w:type="dxa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06B876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April 2020</w:t>
            </w:r>
          </w:p>
        </w:tc>
      </w:tr>
      <w:tr w14:paraId="4F51A9E5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286B0D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"https://ec.europa.eu/health/sites/health/files/md_sector/docs/md_mdcg_2020_6_guidance_sufficient_clinical_evidence_en.pdf"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2020-6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017790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sufficient clinical evidence for legacy devices</w:t>
            </w:r>
          </w:p>
        </w:tc>
        <w:tc>
          <w:tcPr>
            <w:tcW w:w="2464" w:type="dxa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4DD71A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April 2020</w:t>
            </w:r>
          </w:p>
        </w:tc>
      </w:tr>
      <w:tr w14:paraId="78E700C1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23C7BD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"https://ec.europa.eu/health/sites/health/files/md_sector/docs/md_mdcg_2020_5_guidance_clinical_evaluation_equivalence_en.pdf"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2020-5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843800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clinical evaluation – Equivalence</w:t>
            </w:r>
          </w:p>
        </w:tc>
        <w:tc>
          <w:tcPr>
            <w:tcW w:w="2464" w:type="dxa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336C9B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April 2020</w:t>
            </w:r>
          </w:p>
        </w:tc>
      </w:tr>
      <w:tr w14:paraId="4BBDA55A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C03C44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"https://ec.europa.eu/health/sites/health/files/md_sector/docs/md_mdcg_2019_9_sscp_en.pdf"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2019-9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F4687C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Summary of safety and clinical performance</w:t>
            </w:r>
          </w:p>
        </w:tc>
        <w:tc>
          <w:tcPr>
            <w:tcW w:w="2464" w:type="dxa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B74EC7"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August 2019</w:t>
            </w:r>
          </w:p>
        </w:tc>
      </w:tr>
    </w:tbl>
    <w:p w14:paraId="30BC8648">
      <w:pPr>
        <w:widowControl/>
        <w:shd w:val="clear" w:color="auto" w:fill="FFFFFF"/>
        <w:spacing w:before="180" w:after="60" w:line="264" w:lineRule="atLeast"/>
        <w:outlineLvl w:val="2"/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</w:pPr>
      <w:r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  <w:t>New technologies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none" w:color="auto" w:sz="0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1894"/>
        <w:gridCol w:w="5169"/>
        <w:gridCol w:w="1443"/>
      </w:tblGrid>
      <w:tr w14:paraId="0BF687EA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6774E144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Reference</w:t>
            </w:r>
          </w:p>
        </w:tc>
        <w:tc>
          <w:tcPr>
            <w:tcW w:w="4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00985C70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Title</w:t>
            </w:r>
          </w:p>
        </w:tc>
        <w:tc>
          <w:tcPr>
            <w:tcW w:w="15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511D9661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Publication</w:t>
            </w:r>
          </w:p>
        </w:tc>
      </w:tr>
      <w:tr w14:paraId="47013B1C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C10F4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"https://ec.europa.eu/health/sites/health/files/md_sector/docs/md_mdcg_2020_1_guidance_clinic_eva_md_software_en.pdf"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2020-1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F6A3AB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clinical evaluation (MDR) / Performance evaluation (IVDR) of medical device software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1B5264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March 2020</w:t>
            </w:r>
          </w:p>
        </w:tc>
      </w:tr>
      <w:tr w14:paraId="64B6F7AB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9ECA01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"https://ec.europa.eu/health/sites/health/files/md_sector/docs/md_cybersecurity_en.pdf"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2019-16 rev.1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960D89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cybersecurity for medical devices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286ABA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December 2019</w:t>
            </w:r>
          </w:p>
        </w:tc>
      </w:tr>
      <w:tr w14:paraId="08F84BAC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D7E991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"https://ec.europa.eu/health/sites/health/files/md_sector/docs/md_mdcg_2019_11_guidance_qualification_classification_software_en.pdf"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2019-11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4AE6E8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Qualification and classification of software - Regulation (EU) 2017/745 and Regulation (EU) 2017/746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58B982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October 2019</w:t>
            </w:r>
          </w:p>
        </w:tc>
      </w:tr>
    </w:tbl>
    <w:p w14:paraId="38A8EA4D">
      <w:pPr>
        <w:widowControl/>
        <w:shd w:val="clear" w:color="auto" w:fill="FFFFFF"/>
        <w:spacing w:before="180" w:after="60" w:line="264" w:lineRule="atLeast"/>
        <w:outlineLvl w:val="2"/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</w:pPr>
      <w:r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  <w:t>Other topics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none" w:color="auto" w:sz="0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1491"/>
        <w:gridCol w:w="5788"/>
        <w:gridCol w:w="1227"/>
      </w:tblGrid>
      <w:tr w14:paraId="365CCBCA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7A53084C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Reference</w:t>
            </w:r>
          </w:p>
        </w:tc>
        <w:tc>
          <w:tcPr>
            <w:tcW w:w="4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0ABFB202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Title</w:t>
            </w:r>
          </w:p>
        </w:tc>
        <w:tc>
          <w:tcPr>
            <w:tcW w:w="15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1B75D792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Publication</w:t>
            </w:r>
          </w:p>
        </w:tc>
      </w:tr>
      <w:tr w14:paraId="4EA8B75A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3267CC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"https://ec.europa.eu/health/sites/health/files/md_sector/docs/md_mdcg_2020_guidance_classification_ivd-md_en.pdf"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2020-16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BD64DF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Classification Rules for in vitro Diagnostic Medical Devices under Regulation (EU) 2017/746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7B0EC4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November 2020</w:t>
            </w:r>
          </w:p>
        </w:tc>
      </w:tr>
      <w:tr w14:paraId="2ECE506D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B6F7C2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"https://ec.europa.eu/health/sites/health/files/md_sector/docs/md_mdcg_2020-9_regulatory_requirements_ventilators_en.pdf"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2020-9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E3D64A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Regulatory requirements for ventilators and related accessories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57A38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April 2020</w:t>
            </w:r>
          </w:p>
        </w:tc>
      </w:tr>
      <w:tr w14:paraId="7DBA6A0B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D4C538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"https://ec.europa.eu/health/sites/health/files/md_sector/docs/md_transitional-provisions-art-3-and-4_en.pdf"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2020-2 rev.1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FEBDC8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Class I transitional provisions under Article 120 (3 and 4) – (MDR)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4F1B56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March 2020</w:t>
            </w:r>
          </w:p>
        </w:tc>
      </w:tr>
      <w:tr w14:paraId="49217FF3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E0AD32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"https://ec.europa.eu/health/sites/health/files/md_sector/docs/md_guidance-manufacturers_en.pdf"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2019-15 rev.1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D34005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notes for manufacturers of class I medical devices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0B2716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December 2019</w:t>
            </w:r>
          </w:p>
        </w:tc>
      </w:tr>
      <w:tr w14:paraId="07D42016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08A2DE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"https://ec.europa.eu/health/sites/health/files/md_sector/docs/md_mdcg_2019_8_implant_guidance_card_en.pdf"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2019-8 v2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CD2EED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document implant card on the application of Article 18 Regulation (EU) 2017/745 on medical devices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B458C5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March 2020</w:t>
            </w:r>
          </w:p>
        </w:tc>
      </w:tr>
      <w:tr w14:paraId="4E3F1D84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545D9B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"https://ec.europa.eu/health/sites/health/files/md_sector/docs/md_mdcg_2019_7_guidance_art15_mdr_ivdr_en.pdf"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2019-7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61946A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Guidance on article 15 of the medical device regulation (MDR) and in vitro diagnostic device regulation (IVDR) on a ‘person responsible for regulatory compliance’ (PRRC)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C4441F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June 2019</w:t>
            </w:r>
          </w:p>
        </w:tc>
      </w:tr>
      <w:tr w14:paraId="0DE167B8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99DF3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"https://ec.europa.eu/health/sites/health/files/md_sector/docs/md_mdcg_2019_3_rev1_cecp_en.pdf"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MDCG 2019-3 rev.1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2A0738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Interpretation of article 54(2)b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99F94C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April 2020</w:t>
            </w:r>
          </w:p>
        </w:tc>
      </w:tr>
    </w:tbl>
    <w:p w14:paraId="0B65E799">
      <w:pPr>
        <w:widowControl/>
        <w:shd w:val="clear" w:color="auto" w:fill="FFFFFF"/>
        <w:spacing w:before="180" w:after="60" w:line="264" w:lineRule="atLeast"/>
        <w:outlineLvl w:val="2"/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</w:pPr>
      <w:r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  <w:t>Commission guidance documents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none" w:color="auto" w:sz="0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175"/>
        <w:gridCol w:w="1331"/>
      </w:tblGrid>
      <w:tr w14:paraId="78E96593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tblHeader/>
        </w:trPr>
        <w:tc>
          <w:tcPr>
            <w:tcW w:w="6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3A2D5D95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Title</w:t>
            </w:r>
          </w:p>
        </w:tc>
        <w:tc>
          <w:tcPr>
            <w:tcW w:w="15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5995DCF7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Publication</w:t>
            </w:r>
          </w:p>
        </w:tc>
      </w:tr>
      <w:tr w14:paraId="487B18D6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C59F5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"https://ec.europa.eu/health/sites/health/files/md_sector/docs/md_mdcg_qa_conformity_assessment_en.pdf"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Conformity assessment procedures for protective equipment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3E94CA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July 2020</w:t>
            </w:r>
          </w:p>
        </w:tc>
      </w:tr>
      <w:tr w14:paraId="30946615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F867B4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"https://ec.europa.eu/health/sites/health/files/md_sector/docs/md_mdcg_qa_conformity_documents_en.pdf"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How to verify that medical devices and personal protective equipment can be lawfully placed on the EU market and thus purchased and used – also in the COVID-19 context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D79821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May 2020</w:t>
            </w:r>
          </w:p>
        </w:tc>
      </w:tr>
      <w:tr w14:paraId="63DCFEBD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929AB5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"https://ec.europa.eu/health/sites/health/files/md_sector/docs/md_guidance-reg-req-med-face-masks.pdf"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Guidance on regulatory requirements for medical face masks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740775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June 2020</w:t>
            </w:r>
          </w:p>
        </w:tc>
      </w:tr>
      <w:tr w14:paraId="515FDEAF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9AB3D6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"https://ec.europa.eu/health/sites/health/files/md_sector/docs/md_mdcg_guidance_md_qa_covid-19_en.pdf"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Guidance on medical devices, active implantable medical devices and in vitro diagnostic medical devices in the COVID-19 context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FEE13E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April 2020</w:t>
            </w:r>
          </w:p>
        </w:tc>
      </w:tr>
      <w:tr w14:paraId="732DAB26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092701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"https://ec.europa.eu/health/sites/health/files/md_sector/docs/md_mdcg_qa_3d_ppp_covid-19_en.pdf"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Conformity assessment procedures for 3D printing and 3D printed products to be used in a medical context for COVID-19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D16AA0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April 2020</w:t>
            </w:r>
          </w:p>
        </w:tc>
      </w:tr>
    </w:tbl>
    <w:p w14:paraId="2B556799">
      <w:pPr>
        <w:widowControl/>
        <w:shd w:val="clear" w:color="auto" w:fill="FFFFFF"/>
        <w:spacing w:before="180" w:after="60" w:line="264" w:lineRule="atLeast"/>
        <w:outlineLvl w:val="2"/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</w:pPr>
      <w:r>
        <w:rPr>
          <w:rFonts w:ascii="Arial" w:hAnsi="Arial" w:eastAsia="宋体" w:cs="Arial"/>
          <w:b/>
          <w:bCs/>
          <w:color w:val="0065A2"/>
          <w:kern w:val="0"/>
          <w:sz w:val="34"/>
          <w:szCs w:val="34"/>
        </w:rPr>
        <w:t>Other guidance documents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none" w:color="auto" w:sz="0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1674"/>
        <w:gridCol w:w="5507"/>
        <w:gridCol w:w="1325"/>
      </w:tblGrid>
      <w:tr w14:paraId="2BBEE368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261A7032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Reference</w:t>
            </w:r>
          </w:p>
        </w:tc>
        <w:tc>
          <w:tcPr>
            <w:tcW w:w="40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032FEC4B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Title</w:t>
            </w:r>
          </w:p>
        </w:tc>
        <w:tc>
          <w:tcPr>
            <w:tcW w:w="1500" w:type="dxa"/>
            <w:tcBorders>
              <w:top w:val="nil"/>
              <w:left w:val="outset" w:color="auto" w:sz="6" w:space="0"/>
              <w:bottom w:val="single" w:color="CADCE9" w:sz="4" w:space="0"/>
              <w:right w:val="nil"/>
            </w:tcBorders>
            <w:shd w:val="clear" w:color="auto" w:fill="E3ECF3"/>
            <w:tcMar>
              <w:top w:w="50" w:type="dxa"/>
              <w:left w:w="100" w:type="dxa"/>
              <w:bottom w:w="70" w:type="dxa"/>
              <w:right w:w="100" w:type="dxa"/>
            </w:tcMar>
            <w:vAlign w:val="center"/>
          </w:tcPr>
          <w:p w14:paraId="5B1FB5A8">
            <w:pPr>
              <w:widowControl/>
              <w:spacing w:before="150"/>
              <w:jc w:val="left"/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5887A2"/>
                <w:kern w:val="0"/>
                <w:sz w:val="12"/>
                <w:szCs w:val="12"/>
              </w:rPr>
              <w:t>Publication</w:t>
            </w:r>
          </w:p>
        </w:tc>
      </w:tr>
      <w:tr w14:paraId="4F7A6969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60DC06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"https://ec.europa.eu/health/sites/health/files/scientific_committees/scheer/docs/scheer_o_015.pdf"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SCHEER guidelines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DA63E6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Guidelines on the benefit-risk assessment of the presence of phthalates in certain medical devices</w:t>
            </w: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br w:type="textWrapping"/>
            </w: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covering phthalates which are carcinogenic, mutagenic, toxic to reproduction (CMR) or have endocrine-disrupting (ED) properties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8FB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09CEE5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June 2019</w:t>
            </w:r>
          </w:p>
        </w:tc>
      </w:tr>
      <w:tr w14:paraId="68C444EF">
        <w:tblPrEx>
          <w:tblBorders>
            <w:top w:val="outset" w:color="auto" w:sz="6" w:space="0"/>
            <w:left w:val="none" w:color="auto" w:sz="0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" w:type="dxa"/>
            <w:left w:w="10" w:type="dxa"/>
            <w:bottom w:w="10" w:type="dxa"/>
            <w:right w:w="10" w:type="dxa"/>
          </w:tblCellMar>
        </w:tblPrEx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39D198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"https://ec.europa.eu/health/sites/health/files/md_sector/docs/md_mdcg_camd_mdr_en.pdf" \t "_blank" </w:instrText>
            </w:r>
            <w:r>
              <w:fldChar w:fldCharType="separate"/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t>CAMD FAQ</w:t>
            </w:r>
            <w:r>
              <w:rPr>
                <w:rFonts w:ascii="Arial" w:hAnsi="Arial" w:eastAsia="宋体" w:cs="Arial"/>
                <w:color w:val="3983BB"/>
                <w:kern w:val="0"/>
                <w:sz w:val="1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7185E2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CAMD MDR/IVDR Transition Subgroup: FAQ – MDR Transitional provisions</w:t>
            </w:r>
          </w:p>
        </w:tc>
        <w:tc>
          <w:tcPr>
            <w:tcW w:w="0" w:type="auto"/>
            <w:tcBorders>
              <w:top w:val="single" w:color="ECF1F5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CF0D47">
            <w:pPr>
              <w:widowControl/>
              <w:spacing w:before="150"/>
              <w:jc w:val="left"/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666666"/>
                <w:kern w:val="0"/>
                <w:sz w:val="12"/>
                <w:szCs w:val="12"/>
              </w:rPr>
              <w:t>January 2018</w:t>
            </w:r>
          </w:p>
        </w:tc>
      </w:tr>
    </w:tbl>
    <w:p w14:paraId="18D242FB"/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1E4"/>
    <w:rsid w:val="002829FC"/>
    <w:rsid w:val="006901E4"/>
    <w:rsid w:val="006F4435"/>
    <w:rsid w:val="00A16694"/>
    <w:rsid w:val="1E3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817</Words>
  <Characters>4848</Characters>
  <Lines>112</Lines>
  <Paragraphs>31</Paragraphs>
  <TotalTime>2</TotalTime>
  <ScaleCrop>false</ScaleCrop>
  <LinksUpToDate>false</LinksUpToDate>
  <CharactersWithSpaces>5506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2021-01-12T13:50:00Z</dcterms:created>
  <dc:creator>Windows 用户</dc:creator>
  <cp:lastModifiedBy>太极箫客</cp:lastModifiedBy>
  <dcterms:modified xsi:type="dcterms:W3CDTF">2025-08-14T06:20:19Z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50A4DE0E469A428CBED67F94EEF3D5B9_12</vt:lpwstr>
  </property>
</Properties>
</file>