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AA191">
      <w:pPr>
        <w:widowControl/>
        <w:jc w:val="center"/>
        <w:rPr>
          <w:rFonts w:ascii="&amp;quot" w:hAnsi="&amp;quot" w:eastAsia="宋体" w:cs="宋体"/>
          <w:b/>
          <w:bCs/>
          <w:color w:val="222222"/>
          <w:kern w:val="0"/>
          <w:sz w:val="26"/>
          <w:szCs w:val="26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bCs/>
        </w:rPr>
        <w:t>IVDR上市后性能跟踪PMPF解析</w:t>
      </w:r>
    </w:p>
    <w:p w14:paraId="2CE863FF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" w:hAnsi="&amp;quot" w:eastAsia="宋体" w:cs="宋体"/>
          <w:b/>
          <w:bCs/>
          <w:color w:val="222222"/>
          <w:kern w:val="0"/>
          <w:sz w:val="26"/>
          <w:szCs w:val="26"/>
        </w:rPr>
        <w:t>上市后性能跟踪的作用</w:t>
      </w:r>
    </w:p>
    <w:p w14:paraId="6A510839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AlibabaPuHuiTiR" w:hAnsi="AlibabaPuHuiTiR" w:eastAsia="宋体" w:cs="宋体"/>
          <w:b/>
          <w:bCs/>
          <w:color w:val="FF0000"/>
          <w:kern w:val="0"/>
          <w:sz w:val="23"/>
          <w:szCs w:val="23"/>
        </w:rPr>
        <w:t>IVDR</w:t>
      </w:r>
      <w:r>
        <w:rPr>
          <w:rFonts w:ascii="AlibabaPuHuiTiR" w:hAnsi="AlibabaPuHuiTiR" w:eastAsia="宋体" w:cs="宋体"/>
          <w:color w:val="212121"/>
          <w:kern w:val="0"/>
          <w:sz w:val="23"/>
          <w:szCs w:val="23"/>
        </w:rPr>
        <w:t>加强了上市前阶段进行性能评估的要求。此外，IVDR要求制造商在产品整个生命周期中持续监测产品性能。因此，在产品上市后阶段，需要开展上市后性能跟踪PMPF。而PMPF是上市后监督（以下简称PMS）的重要组成部分。产品一旦上市，PMS系统将主动和被动地收集产品的使用经验。IVDR要求制订PMS计划，并由制造商在其他经济运营商的帮助下执行，目的是</w:t>
      </w:r>
      <w:r>
        <w:rPr>
          <w:rFonts w:ascii="AlibabaPuHuiTiR" w:hAnsi="AlibabaPuHuiTiR" w:eastAsia="宋体" w:cs="宋体"/>
          <w:b/>
          <w:bCs/>
          <w:color w:val="212121"/>
          <w:kern w:val="0"/>
          <w:sz w:val="23"/>
          <w:szCs w:val="23"/>
        </w:rPr>
        <w:t>确定制造商是否需要采取纠正措施以提高设备的安全性和性能。</w:t>
      </w:r>
      <w:r>
        <w:rPr>
          <w:rFonts w:ascii="AlibabaPuHuiTiR" w:hAnsi="AlibabaPuHuiTiR" w:eastAsia="宋体" w:cs="宋体"/>
          <w:color w:val="212121"/>
          <w:kern w:val="0"/>
          <w:sz w:val="23"/>
          <w:szCs w:val="23"/>
        </w:rPr>
        <w:t>同样的，产品上市后PMPF将</w:t>
      </w:r>
      <w:r>
        <w:rPr>
          <w:rFonts w:ascii="AlibabaPuHuiTiR" w:hAnsi="AlibabaPuHuiTiR" w:eastAsia="宋体" w:cs="宋体"/>
          <w:b/>
          <w:bCs/>
          <w:color w:val="212121"/>
          <w:kern w:val="0"/>
          <w:sz w:val="23"/>
          <w:szCs w:val="23"/>
        </w:rPr>
        <w:t>持续收集与产品性能相关的所有数据，识别新的或突发的风险，并保持受益-风险比的可接受性</w:t>
      </w:r>
      <w:r>
        <w:rPr>
          <w:rFonts w:ascii="AlibabaPuHuiTiR" w:hAnsi="AlibabaPuHuiTiR" w:eastAsia="宋体" w:cs="宋体"/>
          <w:color w:val="212121"/>
          <w:kern w:val="0"/>
          <w:sz w:val="23"/>
          <w:szCs w:val="23"/>
        </w:rPr>
        <w:t>。PMPF通过对性能评价的持续跟踪，确保PMPF反映了当前技术水平。</w:t>
      </w:r>
    </w:p>
    <w:p w14:paraId="41B563B3"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 w14:paraId="66BEA091"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 w14:paraId="3A22D303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" w:hAnsi="&amp;quot" w:eastAsia="宋体" w:cs="宋体"/>
          <w:b/>
          <w:bCs/>
          <w:color w:val="222222"/>
          <w:kern w:val="0"/>
          <w:sz w:val="26"/>
          <w:szCs w:val="26"/>
        </w:rPr>
        <w:t>上市后性能跟踪的目标</w:t>
      </w:r>
    </w:p>
    <w:p w14:paraId="6505E8FD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" w:hAnsi="&amp;quot" w:eastAsia="宋体" w:cs="宋体"/>
          <w:color w:val="222222"/>
          <w:kern w:val="0"/>
          <w:sz w:val="26"/>
          <w:szCs w:val="26"/>
        </w:rPr>
        <w:t>① 确认产品在生命周期中的</w:t>
      </w:r>
      <w:r>
        <w:rPr>
          <w:rFonts w:ascii="&amp;quot" w:hAnsi="&amp;quot" w:eastAsia="宋体" w:cs="宋体"/>
          <w:b/>
          <w:bCs/>
          <w:color w:val="222222"/>
          <w:kern w:val="0"/>
          <w:sz w:val="26"/>
          <w:szCs w:val="26"/>
        </w:rPr>
        <w:t>安全和性能</w:t>
      </w:r>
      <w:r>
        <w:rPr>
          <w:rFonts w:ascii="&amp;quot" w:hAnsi="&amp;quot" w:eastAsia="宋体" w:cs="宋体"/>
          <w:color w:val="222222"/>
          <w:kern w:val="0"/>
          <w:sz w:val="26"/>
          <w:szCs w:val="26"/>
        </w:rPr>
        <w:t>；</w:t>
      </w:r>
    </w:p>
    <w:p w14:paraId="2EC81604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" w:hAnsi="&amp;quot" w:eastAsia="宋体" w:cs="宋体"/>
          <w:color w:val="222222"/>
          <w:kern w:val="0"/>
          <w:sz w:val="26"/>
          <w:szCs w:val="26"/>
        </w:rPr>
        <w:t>② 识别之前未知的</w:t>
      </w:r>
      <w:r>
        <w:rPr>
          <w:rFonts w:ascii="&amp;quot" w:hAnsi="&amp;quot" w:eastAsia="宋体" w:cs="宋体"/>
          <w:b/>
          <w:bCs/>
          <w:color w:val="222222"/>
          <w:kern w:val="0"/>
          <w:sz w:val="26"/>
          <w:szCs w:val="26"/>
        </w:rPr>
        <w:t>风险、性能限制、禁忌症</w:t>
      </w:r>
      <w:r>
        <w:rPr>
          <w:rFonts w:ascii="&amp;quot" w:hAnsi="&amp;quot" w:eastAsia="宋体" w:cs="宋体"/>
          <w:color w:val="222222"/>
          <w:kern w:val="0"/>
          <w:sz w:val="26"/>
          <w:szCs w:val="26"/>
        </w:rPr>
        <w:t>；</w:t>
      </w:r>
    </w:p>
    <w:p w14:paraId="4D0164B4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" w:hAnsi="&amp;quot" w:eastAsia="宋体" w:cs="宋体"/>
          <w:color w:val="222222"/>
          <w:kern w:val="0"/>
          <w:sz w:val="26"/>
          <w:szCs w:val="26"/>
        </w:rPr>
        <w:t>③ 根据事实证据识别分析</w:t>
      </w:r>
      <w:r>
        <w:rPr>
          <w:rFonts w:ascii="&amp;quot" w:hAnsi="&amp;quot" w:eastAsia="宋体" w:cs="宋体"/>
          <w:b/>
          <w:bCs/>
          <w:color w:val="222222"/>
          <w:kern w:val="0"/>
          <w:sz w:val="26"/>
          <w:szCs w:val="26"/>
        </w:rPr>
        <w:t>突发风险</w:t>
      </w:r>
      <w:r>
        <w:rPr>
          <w:rFonts w:ascii="&amp;quot" w:hAnsi="&amp;quot" w:eastAsia="宋体" w:cs="宋体"/>
          <w:color w:val="222222"/>
          <w:kern w:val="0"/>
          <w:sz w:val="26"/>
          <w:szCs w:val="26"/>
        </w:rPr>
        <w:t>；</w:t>
      </w:r>
    </w:p>
    <w:p w14:paraId="498131A5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" w:hAnsi="&amp;quot" w:eastAsia="宋体" w:cs="宋体"/>
          <w:color w:val="222222"/>
          <w:kern w:val="0"/>
          <w:sz w:val="26"/>
          <w:szCs w:val="26"/>
        </w:rPr>
        <w:t>④ 确保</w:t>
      </w:r>
      <w:r>
        <w:rPr>
          <w:rFonts w:ascii="&amp;quot" w:hAnsi="&amp;quot" w:eastAsia="宋体" w:cs="宋体"/>
          <w:b/>
          <w:bCs/>
          <w:color w:val="222222"/>
          <w:kern w:val="0"/>
          <w:sz w:val="26"/>
          <w:szCs w:val="26"/>
        </w:rPr>
        <w:t>临床证据</w:t>
      </w:r>
      <w:r>
        <w:rPr>
          <w:rFonts w:ascii="&amp;quot" w:hAnsi="&amp;quot" w:eastAsia="宋体" w:cs="宋体"/>
          <w:color w:val="222222"/>
          <w:kern w:val="0"/>
          <w:sz w:val="26"/>
          <w:szCs w:val="26"/>
        </w:rPr>
        <w:t>、</w:t>
      </w:r>
      <w:r>
        <w:rPr>
          <w:rFonts w:ascii="&amp;quot" w:hAnsi="&amp;quot" w:eastAsia="宋体" w:cs="宋体"/>
          <w:b/>
          <w:bCs/>
          <w:color w:val="222222"/>
          <w:kern w:val="0"/>
          <w:sz w:val="26"/>
          <w:szCs w:val="26"/>
        </w:rPr>
        <w:t>风险收益比</w:t>
      </w:r>
      <w:r>
        <w:rPr>
          <w:rFonts w:ascii="&amp;quot" w:hAnsi="&amp;quot" w:eastAsia="宋体" w:cs="宋体"/>
          <w:color w:val="222222"/>
          <w:kern w:val="0"/>
          <w:sz w:val="26"/>
          <w:szCs w:val="26"/>
        </w:rPr>
        <w:t>的可接受性；</w:t>
      </w:r>
    </w:p>
    <w:p w14:paraId="7C5A6220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" w:hAnsi="&amp;quot" w:eastAsia="宋体" w:cs="宋体"/>
          <w:color w:val="222222"/>
          <w:kern w:val="0"/>
          <w:sz w:val="26"/>
          <w:szCs w:val="26"/>
        </w:rPr>
        <w:t>⑤ 识别产品可能的</w:t>
      </w:r>
      <w:r>
        <w:rPr>
          <w:rFonts w:ascii="&amp;quot" w:hAnsi="&amp;quot" w:eastAsia="宋体" w:cs="宋体"/>
          <w:b/>
          <w:bCs/>
          <w:color w:val="222222"/>
          <w:kern w:val="0"/>
          <w:sz w:val="26"/>
          <w:szCs w:val="26"/>
        </w:rPr>
        <w:t>误用</w:t>
      </w:r>
      <w:r>
        <w:rPr>
          <w:rFonts w:ascii="&amp;quot" w:hAnsi="&amp;quot" w:eastAsia="宋体" w:cs="宋体"/>
          <w:color w:val="222222"/>
          <w:kern w:val="0"/>
          <w:sz w:val="26"/>
          <w:szCs w:val="26"/>
        </w:rPr>
        <w:t>。</w:t>
      </w:r>
    </w:p>
    <w:p w14:paraId="32736800"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 w14:paraId="1069A3F1"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 w14:paraId="3FC30328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&amp;quot" w:hAnsi="&amp;quot" w:eastAsia="宋体" w:cs="宋体"/>
          <w:b/>
          <w:bCs/>
          <w:color w:val="222222"/>
          <w:kern w:val="0"/>
          <w:sz w:val="26"/>
          <w:szCs w:val="26"/>
        </w:rPr>
        <w:t>上市后性能跟踪的内容</w:t>
      </w:r>
    </w:p>
    <w:p w14:paraId="375CEE9F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AlibabaPuHuiTiR" w:hAnsi="AlibabaPuHuiTiR" w:eastAsia="宋体" w:cs="宋体"/>
          <w:color w:val="212121"/>
          <w:kern w:val="0"/>
          <w:sz w:val="23"/>
          <w:szCs w:val="23"/>
        </w:rPr>
        <w:t>PMPF计划作为PMS的一部分，二者都是</w:t>
      </w:r>
      <w:r>
        <w:rPr>
          <w:rFonts w:ascii="AlibabaPuHuiTiR" w:hAnsi="AlibabaPuHuiTiR" w:eastAsia="宋体" w:cs="宋体"/>
          <w:b/>
          <w:bCs/>
          <w:color w:val="212121"/>
          <w:kern w:val="0"/>
          <w:sz w:val="23"/>
          <w:szCs w:val="23"/>
        </w:rPr>
        <w:t>产品技术文档的重要组成</w:t>
      </w:r>
      <w:r>
        <w:rPr>
          <w:rFonts w:ascii="AlibabaPuHuiTiR" w:hAnsi="AlibabaPuHuiTiR" w:eastAsia="宋体" w:cs="宋体"/>
          <w:color w:val="212121"/>
          <w:kern w:val="0"/>
          <w:sz w:val="23"/>
          <w:szCs w:val="23"/>
        </w:rPr>
        <w:t>。</w:t>
      </w:r>
      <w:r>
        <w:rPr>
          <w:rFonts w:ascii="AlibabaPuHuiTiR" w:hAnsi="AlibabaPuHuiTiR" w:eastAsia="宋体" w:cs="宋体"/>
          <w:b/>
          <w:bCs/>
          <w:color w:val="212121"/>
          <w:kern w:val="0"/>
          <w:sz w:val="23"/>
          <w:szCs w:val="23"/>
        </w:rPr>
        <w:t>PMPF计划</w:t>
      </w:r>
      <w:r>
        <w:rPr>
          <w:rFonts w:ascii="AlibabaPuHuiTiR" w:hAnsi="AlibabaPuHuiTiR" w:eastAsia="宋体" w:cs="宋体"/>
          <w:color w:val="212121"/>
          <w:kern w:val="0"/>
          <w:sz w:val="23"/>
          <w:szCs w:val="23"/>
        </w:rPr>
        <w:t>一旦开始实施，就必须建立</w:t>
      </w:r>
      <w:r>
        <w:rPr>
          <w:rFonts w:ascii="AlibabaPuHuiTiR" w:hAnsi="AlibabaPuHuiTiR" w:eastAsia="宋体" w:cs="宋体"/>
          <w:b/>
          <w:bCs/>
          <w:color w:val="212121"/>
          <w:kern w:val="0"/>
          <w:sz w:val="23"/>
          <w:szCs w:val="23"/>
        </w:rPr>
        <w:t>PMPF报告</w:t>
      </w:r>
      <w:r>
        <w:rPr>
          <w:rFonts w:ascii="AlibabaPuHuiTiR" w:hAnsi="AlibabaPuHuiTiR" w:eastAsia="宋体" w:cs="宋体"/>
          <w:color w:val="212121"/>
          <w:kern w:val="0"/>
          <w:sz w:val="23"/>
          <w:szCs w:val="23"/>
        </w:rPr>
        <w:t>，</w:t>
      </w:r>
      <w:r>
        <w:rPr>
          <w:rFonts w:ascii="AlibabaPuHuiTiR" w:hAnsi="AlibabaPuHuiTiR" w:eastAsia="宋体" w:cs="宋体"/>
          <w:b/>
          <w:bCs/>
          <w:color w:val="212121"/>
          <w:kern w:val="0"/>
          <w:sz w:val="23"/>
          <w:szCs w:val="23"/>
        </w:rPr>
        <w:t>PMPF的结论</w:t>
      </w:r>
      <w:r>
        <w:rPr>
          <w:rFonts w:ascii="AlibabaPuHuiTiR" w:hAnsi="AlibabaPuHuiTiR" w:eastAsia="宋体" w:cs="宋体"/>
          <w:color w:val="212121"/>
          <w:kern w:val="0"/>
          <w:sz w:val="23"/>
          <w:szCs w:val="23"/>
        </w:rPr>
        <w:t>也需要出现于性能评价报告中。此外，制造商应将PMS和PMPF计划整合至质量体系文件中。IVDR附录XIII part B部分，规定有详细的PMPF系统的建立步骤。制订PMPF计划时，可采用不同方式，例:使用同一个计划覆盖多个产品或产品族，或为每个产品建立PMPF计划。选择何种形式，取决于所覆盖产品的类型。</w:t>
      </w:r>
      <w:r>
        <w:rPr>
          <w:rFonts w:ascii="AlibabaPuHuiTiR" w:hAnsi="AlibabaPuHuiTiR" w:eastAsia="宋体" w:cs="宋体"/>
          <w:color w:val="212121"/>
          <w:kern w:val="0"/>
          <w:sz w:val="23"/>
          <w:szCs w:val="23"/>
        </w:rPr>
        <w:br w:type="textWrapping"/>
      </w:r>
      <w:r>
        <w:rPr>
          <w:rFonts w:ascii="AlibabaPuHuiTiR" w:hAnsi="AlibabaPuHuiTiR" w:eastAsia="宋体" w:cs="宋体"/>
          <w:color w:val="212121"/>
          <w:kern w:val="0"/>
          <w:sz w:val="23"/>
          <w:szCs w:val="23"/>
        </w:rPr>
        <w:br w:type="textWrapping"/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AlibabaPuHuiTiR" w:hAnsi="AlibabaPuHuiTiR" w:eastAsia="宋体" w:cs="宋体"/>
          <w:b/>
          <w:bCs/>
          <w:kern w:val="0"/>
          <w:szCs w:val="21"/>
        </w:rPr>
        <w:t>上市后性能跟踪的更新</w:t>
      </w:r>
    </w:p>
    <w:p w14:paraId="40C068A1">
      <w:pPr>
        <w:rPr>
          <w:rFonts w:hint="eastAsia"/>
        </w:rPr>
      </w:pPr>
      <w:r>
        <w:rPr>
          <w:rFonts w:ascii="AlibabaPuHuiTiR" w:hAnsi="AlibabaPuHuiTiR" w:eastAsia="宋体" w:cs="宋体"/>
          <w:color w:val="212121"/>
          <w:kern w:val="0"/>
          <w:sz w:val="23"/>
          <w:szCs w:val="23"/>
        </w:rPr>
        <w:t>PMPF结论应被包含在性能评价报告中。而对高风险产品(C类\D类)，性能评价报告至少每年需要更新一次，PMPF报告也应进行相应的每年更新，PMPF报告的重要更新还需要被包含于PSUR和SSP中，应在必要时进行及时更新。可见，在文档管理过程中，相关文件需依照IVDR法规及时更新。因此，</w:t>
      </w:r>
      <w:r>
        <w:rPr>
          <w:rFonts w:ascii="AlibabaPuHuiTiR" w:hAnsi="AlibabaPuHuiTiR" w:eastAsia="宋体" w:cs="宋体"/>
          <w:color w:val="000000"/>
          <w:kern w:val="0"/>
          <w:sz w:val="23"/>
          <w:szCs w:val="23"/>
        </w:rPr>
        <w:t>建立健全的PMPF计划就显得尤为重要</w:t>
      </w:r>
      <w:r>
        <w:rPr>
          <w:rFonts w:ascii="AlibabaPuHuiTiR" w:hAnsi="AlibabaPuHuiTiR" w:eastAsia="宋体" w:cs="宋体"/>
          <w:color w:val="212121"/>
          <w:kern w:val="0"/>
          <w:sz w:val="23"/>
          <w:szCs w:val="23"/>
        </w:rPr>
        <w:t>。</w:t>
      </w:r>
    </w:p>
    <w:p w14:paraId="081D0F8C">
      <w:pPr>
        <w:widowControl/>
        <w:jc w:val="center"/>
        <w:rPr>
          <w:rFonts w:hint="eastAsia" w:eastAsia="等线"/>
          <w:lang w:eastAsia="zh-CN"/>
        </w:rPr>
      </w:pPr>
    </w:p>
    <w:p w14:paraId="029BCA90">
      <w:pPr>
        <w:widowControl/>
        <w:jc w:val="center"/>
        <w:rPr>
          <w:rFonts w:hint="eastAsia" w:eastAsia="等线"/>
          <w:lang w:eastAsia="zh-CN"/>
        </w:rPr>
      </w:pPr>
    </w:p>
    <w:p w14:paraId="63E820C0">
      <w:pPr>
        <w:widowControl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libabaPuHuiTi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AD"/>
    <w:rsid w:val="00100E20"/>
    <w:rsid w:val="007A71AD"/>
    <w:rsid w:val="00822939"/>
    <w:rsid w:val="00854554"/>
    <w:rsid w:val="2A59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715</Words>
  <Characters>810</Characters>
  <Lines>5</Lines>
  <Paragraphs>1</Paragraphs>
  <TotalTime>1</TotalTime>
  <ScaleCrop>false</ScaleCrop>
  <LinksUpToDate>false</LinksUpToDate>
  <CharactersWithSpaces>817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2024-07-16T02:40:00Z</dcterms:created>
  <dc:creator>健春 韩</dc:creator>
  <cp:lastModifiedBy>太极箫客</cp:lastModifiedBy>
  <dcterms:modified xsi:type="dcterms:W3CDTF">2025-08-14T06:19:47Z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37DA76166E5F441C9B52EB14703D4900_12</vt:lpwstr>
  </property>
</Properties>
</file>