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F485D">
      <w:pPr>
        <w:spacing w:line="288" w:lineRule="auto"/>
        <w:jc w:val="center"/>
        <w:rPr>
          <w:rFonts w:ascii="Arial" w:hAnsi="Arial" w:eastAsia="宋体" w:cs="Arial"/>
          <w:b/>
          <w:sz w:val="72"/>
          <w:szCs w:val="72"/>
        </w:rPr>
      </w:pPr>
      <w:bookmarkStart w:id="29" w:name="_GoBack"/>
      <w:bookmarkEnd w:id="29"/>
      <w:r>
        <w:rPr>
          <w:rFonts w:ascii="Arial" w:hAnsi="Arial" w:eastAsia="宋体" w:cs="Arial"/>
          <w:b/>
          <w:sz w:val="72"/>
          <w:szCs w:val="72"/>
        </w:rPr>
        <w:t>IRB、临床研究者和申办方</w:t>
      </w:r>
      <w:r>
        <w:rPr>
          <w:rFonts w:hint="eastAsia" w:ascii="Arial" w:hAnsi="Arial" w:eastAsia="宋体" w:cs="Arial"/>
          <w:b/>
          <w:sz w:val="72"/>
          <w:szCs w:val="72"/>
        </w:rPr>
        <w:br w:type="textWrapping"/>
      </w:r>
      <w:r>
        <w:rPr>
          <w:rFonts w:ascii="Arial" w:hAnsi="Arial" w:eastAsia="宋体" w:cs="Arial"/>
          <w:b/>
          <w:sz w:val="72"/>
          <w:szCs w:val="72"/>
        </w:rPr>
        <w:t>信息表指南</w:t>
      </w:r>
    </w:p>
    <w:p w14:paraId="0F619213">
      <w:pPr>
        <w:spacing w:line="288" w:lineRule="auto"/>
        <w:jc w:val="center"/>
        <w:rPr>
          <w:rFonts w:ascii="Arial" w:hAnsi="Arial" w:eastAsia="宋体" w:cs="Arial"/>
          <w:b/>
          <w:sz w:val="52"/>
          <w:szCs w:val="52"/>
        </w:rPr>
      </w:pPr>
      <w:r>
        <w:rPr>
          <w:rFonts w:ascii="Arial" w:hAnsi="Arial" w:eastAsia="宋体" w:cs="Arial"/>
          <w:b/>
          <w:sz w:val="52"/>
          <w:szCs w:val="52"/>
        </w:rPr>
        <w:t>关于医疗器械的常见问题</w:t>
      </w:r>
    </w:p>
    <w:p w14:paraId="4EF2FC3C">
      <w:pPr>
        <w:pStyle w:val="44"/>
        <w:spacing w:after="0" w:line="288" w:lineRule="auto"/>
        <w:jc w:val="center"/>
        <w:rPr>
          <w:rFonts w:ascii="Arial" w:hAnsi="Arial" w:eastAsia="宋体" w:cs="Arial"/>
          <w:b w:val="0"/>
          <w:i/>
          <w:color w:val="000000" w:themeColor="text1"/>
          <w:sz w:val="21"/>
          <w:szCs w:val="21"/>
          <w14:textFill>
            <w14:solidFill>
              <w14:schemeClr w14:val="tx1"/>
            </w14:solidFill>
          </w14:textFill>
        </w:rPr>
      </w:pPr>
      <w:r>
        <w:rPr>
          <w:rFonts w:ascii="Arial" w:hAnsi="Arial" w:eastAsia="宋体" w:cs="Arial"/>
          <w:b w:val="0"/>
          <w:i/>
          <w:color w:val="000000" w:themeColor="text1"/>
          <w:sz w:val="21"/>
          <w:szCs w:val="21"/>
          <w14:textFill>
            <w14:solidFill>
              <w14:schemeClr w14:val="tx1"/>
            </w14:solidFill>
          </w14:textFill>
        </w:rPr>
        <w:t>其他副本可</w:t>
      </w:r>
      <w:r>
        <w:rPr>
          <w:rFonts w:hint="eastAsia" w:ascii="Arial" w:hAnsi="Arial" w:eastAsia="宋体" w:cs="Arial"/>
          <w:b w:val="0"/>
          <w:i/>
          <w:color w:val="000000" w:themeColor="text1"/>
          <w:sz w:val="21"/>
          <w:szCs w:val="21"/>
          <w14:textFill>
            <w14:solidFill>
              <w14:schemeClr w14:val="tx1"/>
            </w14:solidFill>
          </w14:textFill>
        </w:rPr>
        <w:t>通过以下方式获得</w:t>
      </w:r>
      <w:r>
        <w:rPr>
          <w:rFonts w:ascii="Arial" w:hAnsi="Arial" w:eastAsia="宋体" w:cs="Arial"/>
          <w:b w:val="0"/>
          <w:i/>
          <w:color w:val="000000" w:themeColor="text1"/>
          <w:sz w:val="21"/>
          <w:szCs w:val="21"/>
          <w14:textFill>
            <w14:solidFill>
              <w14:schemeClr w14:val="tx1"/>
            </w14:solidFill>
          </w14:textFill>
        </w:rPr>
        <w:t>：</w:t>
      </w:r>
    </w:p>
    <w:p w14:paraId="18022AA2">
      <w:pPr>
        <w:pStyle w:val="44"/>
        <w:spacing w:after="0" w:line="288" w:lineRule="auto"/>
        <w:jc w:val="center"/>
        <w:rPr>
          <w:rFonts w:ascii="Arial" w:hAnsi="Arial" w:eastAsia="宋体" w:cs="Arial"/>
          <w:b w:val="0"/>
          <w:i/>
          <w:color w:val="000000" w:themeColor="text1"/>
          <w:sz w:val="21"/>
          <w:szCs w:val="21"/>
          <w14:textFill>
            <w14:solidFill>
              <w14:schemeClr w14:val="tx1"/>
            </w14:solidFill>
          </w14:textFill>
        </w:rPr>
      </w:pPr>
    </w:p>
    <w:p w14:paraId="4DF0EE47">
      <w:pPr>
        <w:pStyle w:val="44"/>
        <w:spacing w:after="0" w:line="288" w:lineRule="auto"/>
        <w:jc w:val="center"/>
        <w:rPr>
          <w:rFonts w:ascii="Arial" w:hAnsi="Arial" w:eastAsia="宋体" w:cs="Arial"/>
          <w:b w:val="0"/>
          <w:color w:val="000000" w:themeColor="text1"/>
          <w:sz w:val="21"/>
          <w:szCs w:val="21"/>
          <w14:textFill>
            <w14:solidFill>
              <w14:schemeClr w14:val="tx1"/>
            </w14:solidFill>
          </w14:textFill>
        </w:rPr>
      </w:pPr>
      <w:r>
        <w:rPr>
          <w:rFonts w:ascii="Arial" w:hAnsi="Arial" w:eastAsia="宋体" w:cs="Arial"/>
          <w:b w:val="0"/>
          <w:color w:val="000000" w:themeColor="text1"/>
          <w:sz w:val="21"/>
          <w:szCs w:val="21"/>
          <w14:textFill>
            <w14:solidFill>
              <w14:schemeClr w14:val="tx1"/>
            </w14:solidFill>
          </w14:textFill>
        </w:rPr>
        <w:t>良好临床实践办公室</w:t>
      </w:r>
      <w:r>
        <w:rPr>
          <w:rFonts w:ascii="Arial" w:hAnsi="Arial" w:eastAsia="宋体" w:cs="Arial"/>
          <w:b w:val="0"/>
          <w:color w:val="000000" w:themeColor="text1"/>
          <w:sz w:val="21"/>
          <w:szCs w:val="21"/>
          <w14:textFill>
            <w14:solidFill>
              <w14:schemeClr w14:val="tx1"/>
            </w14:solidFill>
          </w14:textFill>
        </w:rPr>
        <w:br w:type="textWrapping"/>
      </w:r>
      <w:r>
        <w:rPr>
          <w:rFonts w:ascii="Arial" w:hAnsi="Arial" w:eastAsia="宋体" w:cs="Arial"/>
          <w:b w:val="0"/>
          <w:color w:val="000000" w:themeColor="text1"/>
          <w:sz w:val="21"/>
          <w:szCs w:val="21"/>
          <w14:textFill>
            <w14:solidFill>
              <w14:schemeClr w14:val="tx1"/>
            </w14:solidFill>
          </w14:textFill>
        </w:rPr>
        <w:t>特殊医疗项目办公室，</w:t>
      </w:r>
      <w:r>
        <w:rPr>
          <w:rFonts w:hint="eastAsia" w:ascii="Arial" w:hAnsi="Arial" w:eastAsia="宋体" w:cs="Arial"/>
          <w:b w:val="0"/>
          <w:color w:val="000000" w:themeColor="text1"/>
          <w:sz w:val="21"/>
          <w:szCs w:val="21"/>
          <w14:textFill>
            <w14:solidFill>
              <w14:schemeClr w14:val="tx1"/>
            </w14:solidFill>
          </w14:textFill>
        </w:rPr>
        <w:t>委员</w:t>
      </w:r>
      <w:r>
        <w:rPr>
          <w:rFonts w:ascii="Arial" w:hAnsi="Arial" w:eastAsia="宋体" w:cs="Arial"/>
          <w:b w:val="0"/>
          <w:color w:val="000000" w:themeColor="text1"/>
          <w:sz w:val="21"/>
          <w:szCs w:val="21"/>
          <w14:textFill>
            <w14:solidFill>
              <w14:schemeClr w14:val="tx1"/>
            </w14:solidFill>
          </w14:textFill>
        </w:rPr>
        <w:t>办公室</w:t>
      </w:r>
    </w:p>
    <w:p w14:paraId="0E5A996C">
      <w:pPr>
        <w:pStyle w:val="44"/>
        <w:shd w:val="clear" w:color="auto" w:fill="auto"/>
        <w:spacing w:after="0" w:line="288" w:lineRule="auto"/>
        <w:jc w:val="center"/>
        <w:rPr>
          <w:rFonts w:ascii="Arial" w:hAnsi="Arial" w:eastAsia="宋体" w:cs="Arial"/>
          <w:b w:val="0"/>
          <w:color w:val="000000" w:themeColor="text1"/>
          <w:sz w:val="21"/>
          <w:szCs w:val="21"/>
          <w14:textFill>
            <w14:solidFill>
              <w14:schemeClr w14:val="tx1"/>
            </w14:solidFill>
          </w14:textFill>
        </w:rPr>
      </w:pPr>
      <w:r>
        <w:rPr>
          <w:rFonts w:ascii="Arial" w:hAnsi="Arial" w:eastAsia="宋体" w:cs="Arial"/>
          <w:b w:val="0"/>
          <w:color w:val="000000" w:themeColor="text1"/>
          <w:sz w:val="21"/>
          <w:szCs w:val="21"/>
          <w14:textFill>
            <w14:solidFill>
              <w14:schemeClr w14:val="tx1"/>
            </w14:solidFill>
          </w14:textFill>
        </w:rPr>
        <w:t>食品药品监督管理局</w:t>
      </w:r>
    </w:p>
    <w:p w14:paraId="671D8654">
      <w:pPr>
        <w:pStyle w:val="46"/>
        <w:shd w:val="clear" w:color="auto" w:fill="auto"/>
        <w:spacing w:line="288" w:lineRule="auto"/>
        <w:rPr>
          <w:rFonts w:ascii="Arial" w:hAnsi="Arial" w:eastAsia="宋体" w:cs="Arial"/>
          <w:i w:val="0"/>
          <w:color w:val="000000" w:themeColor="text1"/>
          <w:sz w:val="21"/>
          <w:szCs w:val="21"/>
          <w14:textFill>
            <w14:solidFill>
              <w14:schemeClr w14:val="tx1"/>
            </w14:solidFill>
          </w14:textFill>
        </w:rPr>
      </w:pPr>
      <w:r>
        <w:rPr>
          <w:rFonts w:ascii="Arial" w:hAnsi="Arial" w:eastAsia="宋体" w:cs="Arial"/>
          <w:i w:val="0"/>
          <w:color w:val="000000" w:themeColor="text1"/>
          <w:sz w:val="21"/>
          <w:szCs w:val="21"/>
          <w14:textFill>
            <w14:solidFill>
              <w14:schemeClr w14:val="tx1"/>
            </w14:solidFill>
          </w14:textFill>
        </w:rPr>
        <w:t>10903 New Hampshire Ave., WO32-5129</w:t>
      </w:r>
      <w:r>
        <w:rPr>
          <w:rFonts w:ascii="Arial" w:hAnsi="Arial" w:eastAsia="宋体" w:cs="Arial"/>
          <w:i w:val="0"/>
          <w:color w:val="000000" w:themeColor="text1"/>
          <w:sz w:val="21"/>
          <w:szCs w:val="21"/>
          <w14:textFill>
            <w14:solidFill>
              <w14:schemeClr w14:val="tx1"/>
            </w14:solidFill>
          </w14:textFill>
        </w:rPr>
        <w:br w:type="textWrapping"/>
      </w:r>
      <w:r>
        <w:rPr>
          <w:rFonts w:ascii="Arial" w:hAnsi="Arial" w:eastAsia="宋体" w:cs="Arial"/>
          <w:i w:val="0"/>
          <w:color w:val="000000" w:themeColor="text1"/>
          <w:sz w:val="21"/>
          <w:szCs w:val="21"/>
          <w14:textFill>
            <w14:solidFill>
              <w14:schemeClr w14:val="tx1"/>
            </w14:solidFill>
          </w14:textFill>
        </w:rPr>
        <w:t>Silver Spring, MD 20993-5129</w:t>
      </w:r>
      <w:r>
        <w:rPr>
          <w:rFonts w:ascii="Arial" w:hAnsi="Arial" w:eastAsia="宋体" w:cs="Arial"/>
          <w:i w:val="0"/>
          <w:color w:val="000000" w:themeColor="text1"/>
          <w:sz w:val="21"/>
          <w:szCs w:val="21"/>
          <w14:textFill>
            <w14:solidFill>
              <w14:schemeClr w14:val="tx1"/>
            </w14:solidFill>
          </w14:textFill>
        </w:rPr>
        <w:br w:type="textWrapping"/>
      </w:r>
      <w:r>
        <w:rPr>
          <w:rFonts w:ascii="Arial" w:hAnsi="Arial" w:eastAsia="宋体" w:cs="Arial"/>
          <w:i w:val="0"/>
          <w:color w:val="000000" w:themeColor="text1"/>
          <w:sz w:val="21"/>
          <w:szCs w:val="21"/>
          <w14:textFill>
            <w14:solidFill>
              <w14:schemeClr w14:val="tx1"/>
            </w14:solidFill>
          </w14:textFill>
        </w:rPr>
        <w:t>（电话） （301）-796-8340</w:t>
      </w:r>
      <w:r>
        <w:rPr>
          <w:rFonts w:hint="eastAsia" w:ascii="Arial" w:hAnsi="Arial" w:eastAsia="宋体" w:cs="Arial"/>
          <w:i w:val="0"/>
          <w:color w:val="000000" w:themeColor="text1"/>
          <w:sz w:val="21"/>
          <w:szCs w:val="21"/>
          <w14:textFill>
            <w14:solidFill>
              <w14:schemeClr w14:val="tx1"/>
            </w14:solidFill>
          </w14:textFill>
        </w:rPr>
        <w:br w:type="textWrapping"/>
      </w:r>
      <w:r>
        <w:fldChar w:fldCharType="begin"/>
      </w:r>
      <w:r>
        <w:instrText xml:space="preserve"> HYPERLINK "http://www.fda.gov/downloads/RegulatoryInformation/Guidances/UCM127067.pdf" </w:instrText>
      </w:r>
      <w:r>
        <w:fldChar w:fldCharType="separate"/>
      </w:r>
      <w:r>
        <w:rPr>
          <w:rStyle w:val="23"/>
          <w:rFonts w:ascii="Arial" w:hAnsi="Arial" w:eastAsia="宋体" w:cs="Arial"/>
          <w:i w:val="0"/>
          <w:color w:val="000000" w:themeColor="text1"/>
          <w:sz w:val="21"/>
          <w:szCs w:val="21"/>
          <w:u w:val="none"/>
          <w14:textFill>
            <w14:solidFill>
              <w14:schemeClr w14:val="tx1"/>
            </w14:solidFill>
          </w14:textFill>
        </w:rPr>
        <w:t>http://www.fda.gov/downloads/RegulatoryInformation/Guidances/UCM127067.pdf</w:t>
      </w:r>
      <w:r>
        <w:rPr>
          <w:rStyle w:val="23"/>
          <w:rFonts w:ascii="Arial" w:hAnsi="Arial" w:eastAsia="宋体" w:cs="Arial"/>
          <w:i w:val="0"/>
          <w:color w:val="000000" w:themeColor="text1"/>
          <w:sz w:val="21"/>
          <w:szCs w:val="21"/>
          <w:u w:val="none"/>
          <w14:textFill>
            <w14:solidFill>
              <w14:schemeClr w14:val="tx1"/>
            </w14:solidFill>
          </w14:textFill>
        </w:rPr>
        <w:fldChar w:fldCharType="end"/>
      </w:r>
    </w:p>
    <w:p w14:paraId="6BBE66EF">
      <w:pPr>
        <w:pStyle w:val="44"/>
        <w:spacing w:after="0" w:line="288" w:lineRule="auto"/>
        <w:jc w:val="center"/>
        <w:rPr>
          <w:rFonts w:ascii="Arial" w:hAnsi="Arial" w:eastAsia="宋体" w:cs="Arial"/>
          <w:b w:val="0"/>
          <w:color w:val="000000" w:themeColor="text1"/>
          <w:sz w:val="21"/>
          <w:szCs w:val="21"/>
          <w14:textFill>
            <w14:solidFill>
              <w14:schemeClr w14:val="tx1"/>
            </w14:solidFill>
          </w14:textFill>
        </w:rPr>
      </w:pPr>
      <w:r>
        <w:rPr>
          <w:rFonts w:ascii="Arial" w:hAnsi="Arial" w:eastAsia="宋体" w:cs="Arial"/>
          <w:b w:val="0"/>
          <w:color w:val="000000" w:themeColor="text1"/>
          <w:sz w:val="21"/>
          <w:szCs w:val="21"/>
          <w14:textFill>
            <w14:solidFill>
              <w14:schemeClr w14:val="tx1"/>
            </w14:solidFill>
          </w14:textFill>
        </w:rPr>
        <w:t>或</w:t>
      </w:r>
    </w:p>
    <w:p w14:paraId="6927F794">
      <w:pPr>
        <w:pStyle w:val="44"/>
        <w:spacing w:after="0" w:line="288" w:lineRule="auto"/>
        <w:jc w:val="center"/>
        <w:rPr>
          <w:rFonts w:ascii="Arial" w:hAnsi="Arial" w:eastAsia="宋体" w:cs="Arial"/>
          <w:b w:val="0"/>
          <w:color w:val="000000" w:themeColor="text1"/>
          <w:sz w:val="21"/>
          <w:szCs w:val="21"/>
          <w14:textFill>
            <w14:solidFill>
              <w14:schemeClr w14:val="tx1"/>
            </w14:solidFill>
          </w14:textFill>
        </w:rPr>
      </w:pPr>
    </w:p>
    <w:p w14:paraId="7A99AE3C">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r>
        <w:rPr>
          <w:rFonts w:ascii="Arial" w:hAnsi="Arial" w:eastAsia="宋体" w:cs="Arial"/>
          <w:b w:val="0"/>
          <w:bCs w:val="0"/>
          <w:iCs/>
          <w:color w:val="000000" w:themeColor="text1"/>
          <w:sz w:val="21"/>
          <w:szCs w:val="21"/>
          <w14:textFill>
            <w14:solidFill>
              <w14:schemeClr w14:val="tx1"/>
            </w14:solidFill>
          </w14:textFill>
        </w:rPr>
        <w:t>小制造商、国际和消费者援助司</w:t>
      </w:r>
    </w:p>
    <w:p w14:paraId="6F46207D">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r>
        <w:rPr>
          <w:rFonts w:ascii="Arial" w:hAnsi="Arial" w:eastAsia="宋体" w:cs="Arial"/>
          <w:b w:val="0"/>
          <w:bCs w:val="0"/>
          <w:iCs/>
          <w:color w:val="000000" w:themeColor="text1"/>
          <w:sz w:val="21"/>
          <w:szCs w:val="21"/>
          <w14:textFill>
            <w14:solidFill>
              <w14:schemeClr w14:val="tx1"/>
            </w14:solidFill>
          </w14:textFill>
        </w:rPr>
        <w:t>交流、教育和放射项目办公室</w:t>
      </w:r>
    </w:p>
    <w:p w14:paraId="3D11004C">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r>
        <w:rPr>
          <w:rFonts w:ascii="Arial" w:hAnsi="Arial" w:eastAsia="宋体" w:cs="Arial"/>
          <w:b w:val="0"/>
          <w:bCs w:val="0"/>
          <w:iCs/>
          <w:color w:val="000000" w:themeColor="text1"/>
          <w:sz w:val="21"/>
          <w:szCs w:val="21"/>
          <w14:textFill>
            <w14:solidFill>
              <w14:schemeClr w14:val="tx1"/>
            </w14:solidFill>
          </w14:textFill>
        </w:rPr>
        <w:t>器械和放射卫生中心</w:t>
      </w:r>
    </w:p>
    <w:p w14:paraId="0F067645">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r>
        <w:rPr>
          <w:rFonts w:ascii="Arial" w:hAnsi="Arial" w:eastAsia="宋体" w:cs="Arial"/>
          <w:b w:val="0"/>
          <w:bCs w:val="0"/>
          <w:iCs/>
          <w:color w:val="000000" w:themeColor="text1"/>
          <w:sz w:val="21"/>
          <w:szCs w:val="21"/>
          <w14:textFill>
            <w14:solidFill>
              <w14:schemeClr w14:val="tx1"/>
            </w14:solidFill>
          </w14:textFill>
        </w:rPr>
        <w:t>食品药品监督管理局</w:t>
      </w:r>
    </w:p>
    <w:p w14:paraId="1AC86393">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r>
        <w:rPr>
          <w:rFonts w:ascii="Arial" w:hAnsi="Arial" w:eastAsia="宋体" w:cs="Arial"/>
          <w:b w:val="0"/>
          <w:bCs w:val="0"/>
          <w:iCs/>
          <w:color w:val="000000" w:themeColor="text1"/>
          <w:sz w:val="21"/>
          <w:szCs w:val="21"/>
          <w14:textFill>
            <w14:solidFill>
              <w14:schemeClr w14:val="tx1"/>
            </w14:solidFill>
          </w14:textFill>
        </w:rPr>
        <w:t>10903 New Hampshire Ave., WO66-4521</w:t>
      </w:r>
      <w:r>
        <w:rPr>
          <w:rFonts w:ascii="Arial" w:hAnsi="Arial" w:eastAsia="宋体" w:cs="Arial"/>
          <w:b w:val="0"/>
          <w:bCs w:val="0"/>
          <w:iCs/>
          <w:color w:val="000000" w:themeColor="text1"/>
          <w:sz w:val="21"/>
          <w:szCs w:val="21"/>
          <w14:textFill>
            <w14:solidFill>
              <w14:schemeClr w14:val="tx1"/>
            </w14:solidFill>
          </w14:textFill>
        </w:rPr>
        <w:br w:type="textWrapping"/>
      </w:r>
      <w:r>
        <w:rPr>
          <w:rFonts w:ascii="Arial" w:hAnsi="Arial" w:eastAsia="宋体" w:cs="Arial"/>
          <w:b w:val="0"/>
          <w:bCs w:val="0"/>
          <w:iCs/>
          <w:color w:val="000000" w:themeColor="text1"/>
          <w:sz w:val="21"/>
          <w:szCs w:val="21"/>
          <w14:textFill>
            <w14:solidFill>
              <w14:schemeClr w14:val="tx1"/>
            </w14:solidFill>
          </w14:textFill>
        </w:rPr>
        <w:t>Silver Spring, MD 20993</w:t>
      </w:r>
      <w:r>
        <w:rPr>
          <w:rFonts w:ascii="Arial" w:hAnsi="Arial" w:eastAsia="宋体" w:cs="Arial"/>
          <w:b w:val="0"/>
          <w:bCs w:val="0"/>
          <w:iCs/>
          <w:color w:val="000000" w:themeColor="text1"/>
          <w:sz w:val="21"/>
          <w:szCs w:val="21"/>
          <w14:textFill>
            <w14:solidFill>
              <w14:schemeClr w14:val="tx1"/>
            </w14:solidFill>
          </w14:textFill>
        </w:rPr>
        <w:br w:type="textWrapping"/>
      </w:r>
      <w:r>
        <w:rPr>
          <w:rFonts w:ascii="Arial" w:hAnsi="Arial" w:eastAsia="宋体" w:cs="Arial"/>
          <w:b w:val="0"/>
          <w:bCs w:val="0"/>
          <w:iCs/>
          <w:color w:val="000000" w:themeColor="text1"/>
          <w:sz w:val="21"/>
          <w:szCs w:val="21"/>
          <w14:textFill>
            <w14:solidFill>
              <w14:schemeClr w14:val="tx1"/>
            </w14:solidFill>
          </w14:textFill>
        </w:rPr>
        <w:t>电话: 1-80</w:t>
      </w:r>
      <w:r>
        <w:fldChar w:fldCharType="begin"/>
      </w:r>
      <w:r>
        <w:instrText xml:space="preserve"> HYPERLINK "http://www.fda.gov/cdrh" </w:instrText>
      </w:r>
      <w:r>
        <w:fldChar w:fldCharType="separate"/>
      </w:r>
      <w:r>
        <w:rPr>
          <w:rFonts w:ascii="Arial" w:hAnsi="Arial" w:eastAsia="宋体" w:cs="Arial"/>
          <w:b w:val="0"/>
          <w:bCs w:val="0"/>
          <w:iCs/>
          <w:color w:val="000000" w:themeColor="text1"/>
          <w:sz w:val="21"/>
          <w:szCs w:val="21"/>
          <w14:textFill>
            <w14:solidFill>
              <w14:schemeClr w14:val="tx1"/>
            </w14:solidFill>
          </w14:textFill>
        </w:rPr>
        <w:t>0-638-2041 或 301-</w:t>
      </w:r>
      <w:r>
        <w:rPr>
          <w:rFonts w:ascii="Arial" w:hAnsi="Arial" w:eastAsia="宋体" w:cs="Arial"/>
          <w:b w:val="0"/>
          <w:bCs w:val="0"/>
          <w:iCs/>
          <w:color w:val="000000" w:themeColor="text1"/>
          <w:sz w:val="21"/>
          <w:szCs w:val="21"/>
          <w14:textFill>
            <w14:solidFill>
              <w14:schemeClr w14:val="tx1"/>
            </w14:solidFill>
          </w14:textFill>
        </w:rPr>
        <w:fldChar w:fldCharType="end"/>
      </w:r>
      <w:r>
        <w:rPr>
          <w:rFonts w:ascii="Arial" w:hAnsi="Arial" w:eastAsia="宋体" w:cs="Arial"/>
          <w:b w:val="0"/>
          <w:bCs w:val="0"/>
          <w:iCs/>
          <w:color w:val="000000" w:themeColor="text1"/>
          <w:sz w:val="21"/>
          <w:szCs w:val="21"/>
          <w14:textFill>
            <w14:solidFill>
              <w14:schemeClr w14:val="tx1"/>
            </w14:solidFill>
          </w14:textFill>
        </w:rPr>
        <w:t>796-7100</w:t>
      </w:r>
      <w:r>
        <w:rPr>
          <w:rFonts w:ascii="Arial" w:hAnsi="Arial" w:eastAsia="宋体" w:cs="Arial"/>
          <w:b w:val="0"/>
          <w:bCs w:val="0"/>
          <w:iCs/>
          <w:color w:val="000000" w:themeColor="text1"/>
          <w:sz w:val="21"/>
          <w:szCs w:val="21"/>
          <w14:textFill>
            <w14:solidFill>
              <w14:schemeClr w14:val="tx1"/>
            </w14:solidFill>
          </w14:textFill>
        </w:rPr>
        <w:br w:type="textWrapping"/>
      </w:r>
      <w:r>
        <w:fldChar w:fldCharType="begin"/>
      </w:r>
      <w:r>
        <w:instrText xml:space="preserve"> HYPERLINK "mailto:dsmica@fda.hhs.gov" </w:instrText>
      </w:r>
      <w:r>
        <w:fldChar w:fldCharType="separate"/>
      </w:r>
      <w:r>
        <w:rPr>
          <w:rFonts w:ascii="Arial" w:hAnsi="Arial" w:eastAsia="宋体" w:cs="Arial"/>
          <w:b w:val="0"/>
          <w:bCs w:val="0"/>
          <w:iCs/>
          <w:color w:val="000000" w:themeColor="text1"/>
          <w:sz w:val="21"/>
          <w:szCs w:val="21"/>
          <w14:textFill>
            <w14:solidFill>
              <w14:schemeClr w14:val="tx1"/>
            </w14:solidFill>
          </w14:textFill>
        </w:rPr>
        <w:t>dsmica@fda.hhs.gov</w:t>
      </w:r>
      <w:r>
        <w:rPr>
          <w:rFonts w:ascii="Arial" w:hAnsi="Arial" w:eastAsia="宋体" w:cs="Arial"/>
          <w:b w:val="0"/>
          <w:bCs w:val="0"/>
          <w:iCs/>
          <w:color w:val="000000" w:themeColor="text1"/>
          <w:sz w:val="21"/>
          <w:szCs w:val="21"/>
          <w14:textFill>
            <w14:solidFill>
              <w14:schemeClr w14:val="tx1"/>
            </w14:solidFill>
          </w14:textFill>
        </w:rPr>
        <w:fldChar w:fldCharType="end"/>
      </w:r>
    </w:p>
    <w:p w14:paraId="27510656">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p>
    <w:p w14:paraId="6880CD87">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r>
        <w:rPr>
          <w:rFonts w:ascii="Arial" w:hAnsi="Arial" w:eastAsia="宋体" w:cs="Arial"/>
          <w:b w:val="0"/>
          <w:bCs w:val="0"/>
          <w:iCs/>
          <w:color w:val="000000" w:themeColor="text1"/>
          <w:sz w:val="21"/>
          <w:szCs w:val="21"/>
          <w14:textFill>
            <w14:solidFill>
              <w14:schemeClr w14:val="tx1"/>
            </w14:solidFill>
          </w14:textFill>
        </w:rPr>
        <w:t>或</w:t>
      </w:r>
    </w:p>
    <w:p w14:paraId="69CA317C">
      <w:pPr>
        <w:pStyle w:val="44"/>
        <w:spacing w:after="0" w:line="288" w:lineRule="auto"/>
        <w:jc w:val="center"/>
        <w:rPr>
          <w:rFonts w:ascii="Arial" w:hAnsi="Arial" w:eastAsia="宋体" w:cs="Arial"/>
          <w:b w:val="0"/>
          <w:bCs w:val="0"/>
          <w:iCs/>
          <w:color w:val="000000" w:themeColor="text1"/>
          <w:sz w:val="21"/>
          <w:szCs w:val="21"/>
          <w14:textFill>
            <w14:solidFill>
              <w14:schemeClr w14:val="tx1"/>
            </w14:solidFill>
          </w14:textFill>
        </w:rPr>
      </w:pPr>
    </w:p>
    <w:p w14:paraId="6BE05582">
      <w:pPr>
        <w:pStyle w:val="44"/>
        <w:spacing w:after="0" w:line="288" w:lineRule="auto"/>
        <w:jc w:val="center"/>
        <w:rPr>
          <w:rFonts w:ascii="Arial" w:hAnsi="Arial" w:eastAsia="宋体" w:cs="Arial"/>
          <w:b w:val="0"/>
          <w:color w:val="000000" w:themeColor="text1"/>
          <w:sz w:val="21"/>
          <w:szCs w:val="21"/>
          <w14:textFill>
            <w14:solidFill>
              <w14:schemeClr w14:val="tx1"/>
            </w14:solidFill>
          </w14:textFill>
        </w:rPr>
      </w:pPr>
      <w:r>
        <w:rPr>
          <w:rFonts w:ascii="Arial" w:hAnsi="Arial" w:eastAsia="宋体" w:cs="Arial"/>
          <w:b w:val="0"/>
          <w:color w:val="000000" w:themeColor="text1"/>
          <w:sz w:val="21"/>
          <w:szCs w:val="21"/>
          <w14:textFill>
            <w14:solidFill>
              <w14:schemeClr w14:val="tx1"/>
            </w14:solidFill>
          </w14:textFill>
        </w:rPr>
        <w:t>交流、培训和制造商协助办公室，（HFM-40）</w:t>
      </w:r>
    </w:p>
    <w:p w14:paraId="7EC8D63B">
      <w:pPr>
        <w:pStyle w:val="44"/>
        <w:shd w:val="clear" w:color="auto" w:fill="auto"/>
        <w:spacing w:after="0" w:line="288" w:lineRule="auto"/>
        <w:jc w:val="center"/>
        <w:rPr>
          <w:rFonts w:ascii="Arial" w:hAnsi="Arial" w:eastAsia="宋体" w:cs="Arial"/>
          <w:b w:val="0"/>
          <w:color w:val="000000" w:themeColor="text1"/>
          <w:sz w:val="21"/>
          <w:szCs w:val="21"/>
          <w14:textFill>
            <w14:solidFill>
              <w14:schemeClr w14:val="tx1"/>
            </w14:solidFill>
          </w14:textFill>
        </w:rPr>
      </w:pPr>
      <w:r>
        <w:rPr>
          <w:rFonts w:ascii="Arial" w:hAnsi="Arial" w:eastAsia="宋体" w:cs="Arial"/>
          <w:b w:val="0"/>
          <w:color w:val="000000" w:themeColor="text1"/>
          <w:sz w:val="21"/>
          <w:szCs w:val="21"/>
          <w14:textFill>
            <w14:solidFill>
              <w14:schemeClr w14:val="tx1"/>
            </w14:solidFill>
          </w14:textFill>
        </w:rPr>
        <w:t>生物制剂评估和研究中心</w:t>
      </w:r>
    </w:p>
    <w:p w14:paraId="3675C600">
      <w:pPr>
        <w:pStyle w:val="46"/>
        <w:shd w:val="clear" w:color="auto" w:fill="auto"/>
        <w:spacing w:line="288" w:lineRule="auto"/>
        <w:rPr>
          <w:rFonts w:ascii="Arial" w:hAnsi="Arial" w:eastAsia="宋体" w:cs="Arial"/>
          <w:i w:val="0"/>
          <w:color w:val="000000" w:themeColor="text1"/>
          <w:sz w:val="21"/>
          <w:szCs w:val="21"/>
          <w14:textFill>
            <w14:solidFill>
              <w14:schemeClr w14:val="tx1"/>
            </w14:solidFill>
          </w14:textFill>
        </w:rPr>
      </w:pPr>
      <w:r>
        <w:rPr>
          <w:rFonts w:ascii="Arial" w:hAnsi="Arial" w:eastAsia="宋体" w:cs="Arial"/>
          <w:i w:val="0"/>
          <w:color w:val="000000" w:themeColor="text1"/>
          <w:sz w:val="21"/>
          <w:szCs w:val="21"/>
          <w14:textFill>
            <w14:solidFill>
              <w14:schemeClr w14:val="tx1"/>
            </w14:solidFill>
          </w14:textFill>
        </w:rPr>
        <w:t>食品药品监督管理局</w:t>
      </w:r>
      <w:r>
        <w:rPr>
          <w:rFonts w:ascii="Arial" w:hAnsi="Arial" w:eastAsia="宋体" w:cs="Arial"/>
          <w:i w:val="0"/>
          <w:color w:val="000000" w:themeColor="text1"/>
          <w:sz w:val="21"/>
          <w:szCs w:val="21"/>
          <w14:textFill>
            <w14:solidFill>
              <w14:schemeClr w14:val="tx1"/>
            </w14:solidFill>
          </w14:textFill>
        </w:rPr>
        <w:br w:type="textWrapping"/>
      </w:r>
      <w:r>
        <w:rPr>
          <w:rFonts w:ascii="Arial" w:hAnsi="Arial" w:eastAsia="宋体" w:cs="Arial"/>
          <w:i w:val="0"/>
          <w:color w:val="000000" w:themeColor="text1"/>
          <w:sz w:val="21"/>
          <w:szCs w:val="21"/>
          <w14:textFill>
            <w14:solidFill>
              <w14:schemeClr w14:val="tx1"/>
            </w14:solidFill>
          </w14:textFill>
        </w:rPr>
        <w:t>1401 Rockville Pike, Rockville, MD 20852-1448</w:t>
      </w:r>
      <w:r>
        <w:rPr>
          <w:rFonts w:ascii="Arial" w:hAnsi="Arial" w:eastAsia="宋体" w:cs="Arial"/>
          <w:i w:val="0"/>
          <w:color w:val="000000" w:themeColor="text1"/>
          <w:sz w:val="21"/>
          <w:szCs w:val="21"/>
          <w14:textFill>
            <w14:solidFill>
              <w14:schemeClr w14:val="tx1"/>
            </w14:solidFill>
          </w14:textFill>
        </w:rPr>
        <w:br w:type="textWrapping"/>
      </w:r>
      <w:r>
        <w:rPr>
          <w:rFonts w:ascii="Arial" w:hAnsi="Arial" w:eastAsia="宋体" w:cs="Arial"/>
          <w:i w:val="0"/>
          <w:color w:val="000000" w:themeColor="text1"/>
          <w:sz w:val="21"/>
          <w:szCs w:val="21"/>
          <w14:textFill>
            <w14:solidFill>
              <w14:schemeClr w14:val="tx1"/>
            </w14:solidFill>
          </w14:textFill>
        </w:rPr>
        <w:t>电话：1-800-835-4709 或 301-827-1800</w:t>
      </w:r>
    </w:p>
    <w:p w14:paraId="32E71BD4">
      <w:pPr>
        <w:pStyle w:val="46"/>
        <w:shd w:val="clear" w:color="auto" w:fill="auto"/>
        <w:spacing w:after="0" w:line="288" w:lineRule="auto"/>
        <w:rPr>
          <w:rFonts w:ascii="Arial" w:hAnsi="Arial" w:eastAsia="宋体" w:cs="Arial"/>
          <w:i w:val="0"/>
          <w:color w:val="000000" w:themeColor="text1"/>
          <w:sz w:val="21"/>
          <w:szCs w:val="21"/>
          <w14:textFill>
            <w14:solidFill>
              <w14:schemeClr w14:val="tx1"/>
            </w14:solidFill>
          </w14:textFill>
        </w:rPr>
      </w:pPr>
      <w:r>
        <w:fldChar w:fldCharType="begin"/>
      </w:r>
      <w:r>
        <w:instrText xml:space="preserve"> HYPERLINK "http://www.fda.gov/BiologicsBloodVaccines/GuidanceComplianceRegulatoryInformation/default.htm" </w:instrText>
      </w:r>
      <w:r>
        <w:fldChar w:fldCharType="separate"/>
      </w:r>
      <w:r>
        <w:rPr>
          <w:rStyle w:val="23"/>
          <w:rFonts w:ascii="Arial" w:hAnsi="Arial" w:eastAsia="宋体" w:cs="Arial"/>
          <w:i w:val="0"/>
          <w:color w:val="000000" w:themeColor="text1"/>
          <w:sz w:val="21"/>
          <w:szCs w:val="21"/>
          <w:u w:val="none"/>
          <w14:textFill>
            <w14:solidFill>
              <w14:schemeClr w14:val="tx1"/>
            </w14:solidFill>
          </w14:textFill>
        </w:rPr>
        <w:t>http://www.fda.gov/BiologicsBloodVaccines/GuidanceComplianceRegulatoryInformation/default.htm</w:t>
      </w:r>
      <w:r>
        <w:rPr>
          <w:rStyle w:val="23"/>
          <w:rFonts w:ascii="Arial" w:hAnsi="Arial" w:eastAsia="宋体" w:cs="Arial"/>
          <w:i w:val="0"/>
          <w:color w:val="000000" w:themeColor="text1"/>
          <w:sz w:val="21"/>
          <w:szCs w:val="21"/>
          <w:u w:val="none"/>
          <w14:textFill>
            <w14:solidFill>
              <w14:schemeClr w14:val="tx1"/>
            </w14:solidFill>
          </w14:textFill>
        </w:rPr>
        <w:fldChar w:fldCharType="end"/>
      </w:r>
    </w:p>
    <w:p w14:paraId="4B45EA4B">
      <w:pPr>
        <w:pStyle w:val="44"/>
        <w:shd w:val="clear" w:color="auto" w:fill="auto"/>
        <w:spacing w:after="0" w:line="288" w:lineRule="auto"/>
        <w:jc w:val="center"/>
        <w:rPr>
          <w:rFonts w:ascii="Arial" w:hAnsi="Arial" w:eastAsia="宋体" w:cs="Arial"/>
          <w:b w:val="0"/>
          <w:sz w:val="21"/>
          <w:szCs w:val="21"/>
        </w:rPr>
      </w:pPr>
    </w:p>
    <w:p w14:paraId="7F25B77F">
      <w:pPr>
        <w:pStyle w:val="44"/>
        <w:spacing w:after="0" w:line="288" w:lineRule="auto"/>
        <w:jc w:val="center"/>
        <w:rPr>
          <w:rFonts w:ascii="Arial" w:hAnsi="Arial" w:eastAsia="宋体" w:cs="Arial"/>
          <w:sz w:val="21"/>
          <w:szCs w:val="21"/>
        </w:rPr>
      </w:pPr>
      <w:r>
        <w:rPr>
          <w:rFonts w:ascii="Arial" w:hAnsi="Arial" w:eastAsia="宋体" w:cs="Arial"/>
          <w:sz w:val="21"/>
          <w:szCs w:val="21"/>
        </w:rPr>
        <w:t>美国卫生和人类服务署</w:t>
      </w:r>
    </w:p>
    <w:p w14:paraId="53F90767">
      <w:pPr>
        <w:pStyle w:val="44"/>
        <w:spacing w:after="0" w:line="288" w:lineRule="auto"/>
        <w:jc w:val="center"/>
        <w:rPr>
          <w:rFonts w:ascii="Arial" w:hAnsi="Arial" w:eastAsia="宋体" w:cs="Arial"/>
          <w:sz w:val="21"/>
          <w:szCs w:val="21"/>
        </w:rPr>
      </w:pPr>
      <w:r>
        <w:rPr>
          <w:rFonts w:ascii="Arial" w:hAnsi="Arial" w:eastAsia="宋体" w:cs="Arial"/>
          <w:sz w:val="21"/>
          <w:szCs w:val="21"/>
        </w:rPr>
        <w:t>食品药品监督管理局</w:t>
      </w:r>
    </w:p>
    <w:p w14:paraId="369B43AD">
      <w:pPr>
        <w:pStyle w:val="44"/>
        <w:shd w:val="clear" w:color="auto" w:fill="auto"/>
        <w:spacing w:after="0" w:line="288" w:lineRule="auto"/>
        <w:jc w:val="center"/>
        <w:rPr>
          <w:rFonts w:ascii="Arial" w:hAnsi="Arial" w:eastAsia="宋体" w:cs="Arial"/>
          <w:sz w:val="21"/>
          <w:szCs w:val="21"/>
        </w:rPr>
      </w:pPr>
      <w:r>
        <w:rPr>
          <w:rFonts w:ascii="Arial" w:hAnsi="Arial" w:eastAsia="宋体" w:cs="Arial"/>
          <w:sz w:val="21"/>
          <w:szCs w:val="21"/>
        </w:rPr>
        <w:t>器械和放射卫生中心</w:t>
      </w:r>
    </w:p>
    <w:p w14:paraId="4C9666DD">
      <w:pPr>
        <w:pStyle w:val="44"/>
        <w:spacing w:after="0" w:line="288" w:lineRule="auto"/>
        <w:jc w:val="center"/>
        <w:rPr>
          <w:rFonts w:ascii="Arial" w:hAnsi="Arial" w:eastAsia="宋体" w:cs="Arial"/>
          <w:sz w:val="21"/>
          <w:szCs w:val="21"/>
        </w:rPr>
      </w:pPr>
      <w:r>
        <w:rPr>
          <w:rFonts w:ascii="Arial" w:hAnsi="Arial" w:eastAsia="宋体" w:cs="Arial"/>
          <w:sz w:val="21"/>
          <w:szCs w:val="21"/>
        </w:rPr>
        <w:t>生物制剂评估和研究中心</w:t>
      </w:r>
    </w:p>
    <w:p w14:paraId="29E5D91E">
      <w:pPr>
        <w:pStyle w:val="44"/>
        <w:shd w:val="clear" w:color="auto" w:fill="auto"/>
        <w:spacing w:after="0" w:line="288" w:lineRule="auto"/>
        <w:jc w:val="center"/>
        <w:rPr>
          <w:rFonts w:ascii="Arial" w:hAnsi="Arial" w:eastAsia="宋体" w:cs="Arial"/>
          <w:sz w:val="21"/>
          <w:szCs w:val="21"/>
        </w:rPr>
      </w:pPr>
    </w:p>
    <w:p w14:paraId="3E4F2EE6">
      <w:pPr>
        <w:pStyle w:val="44"/>
        <w:shd w:val="clear" w:color="auto" w:fill="auto"/>
        <w:spacing w:after="0" w:line="288" w:lineRule="auto"/>
        <w:jc w:val="center"/>
        <w:rPr>
          <w:rFonts w:ascii="Arial" w:hAnsi="Arial" w:eastAsia="宋体" w:cs="Arial"/>
          <w:b w:val="0"/>
        </w:rPr>
      </w:pPr>
      <w:r>
        <w:rPr>
          <w:rFonts w:ascii="Arial" w:hAnsi="Arial" w:eastAsia="宋体" w:cs="Arial"/>
          <w:sz w:val="21"/>
          <w:szCs w:val="21"/>
        </w:rPr>
        <w:t>2006年1月</w:t>
      </w:r>
      <w:r>
        <w:rPr>
          <w:rFonts w:ascii="Arial" w:hAnsi="Arial" w:eastAsia="宋体" w:cs="Arial"/>
          <w:b w:val="0"/>
        </w:rPr>
        <w:br w:type="page"/>
      </w:r>
    </w:p>
    <w:p w14:paraId="10D1A25F">
      <w:pPr>
        <w:spacing w:line="300" w:lineRule="auto"/>
        <w:jc w:val="center"/>
        <w:rPr>
          <w:rFonts w:ascii="Arial" w:hAnsi="Arial" w:eastAsia="宋体" w:cs="Arial"/>
          <w:b/>
          <w:sz w:val="28"/>
          <w:szCs w:val="28"/>
        </w:rPr>
      </w:pPr>
      <w:r>
        <w:rPr>
          <w:rFonts w:ascii="Arial" w:hAnsi="Arial" w:eastAsia="宋体" w:cs="Arial"/>
          <w:b/>
          <w:sz w:val="28"/>
          <w:szCs w:val="28"/>
        </w:rPr>
        <w:t>目录</w:t>
      </w:r>
    </w:p>
    <w:sdt>
      <w:sdtPr>
        <w:rPr>
          <w:rFonts w:asciiTheme="minorHAnsi" w:hAnsiTheme="minorHAnsi" w:eastAsiaTheme="minorEastAsia" w:cstheme="minorBidi"/>
          <w:bCs w:val="0"/>
          <w:color w:val="auto"/>
          <w:sz w:val="24"/>
          <w:szCs w:val="21"/>
          <w:lang w:val="zh-CN"/>
        </w:rPr>
        <w:id w:val="-843309209"/>
        <w:docPartObj>
          <w:docPartGallery w:val="Table of Contents"/>
          <w:docPartUnique/>
        </w:docPartObj>
      </w:sdtPr>
      <w:sdtEndPr>
        <w:rPr>
          <w:rFonts w:asciiTheme="minorHAnsi" w:hAnsiTheme="minorHAnsi" w:eastAsiaTheme="minorEastAsia" w:cstheme="minorBidi"/>
          <w:b/>
          <w:bCs w:val="0"/>
          <w:color w:val="auto"/>
          <w:sz w:val="24"/>
          <w:szCs w:val="21"/>
          <w:lang w:val="zh-CN"/>
        </w:rPr>
      </w:sdtEndPr>
      <w:sdtContent>
        <w:p w14:paraId="3633D7EB">
          <w:pPr>
            <w:pStyle w:val="57"/>
            <w:snapToGrid w:val="0"/>
            <w:spacing w:before="0" w:line="300" w:lineRule="auto"/>
          </w:pPr>
        </w:p>
        <w:p w14:paraId="73150E5C">
          <w:pPr>
            <w:pStyle w:val="3"/>
            <w:tabs>
              <w:tab w:val="left" w:pos="420"/>
              <w:tab w:val="right" w:leader="dot" w:pos="9628"/>
            </w:tabs>
            <w:rPr>
              <w:b w:val="0"/>
              <w:kern w:val="2"/>
              <w:sz w:val="21"/>
              <w:szCs w:val="22"/>
            </w:rPr>
          </w:pPr>
          <w:r>
            <w:rPr>
              <w:b w:val="0"/>
            </w:rPr>
            <w:fldChar w:fldCharType="begin"/>
          </w:r>
          <w:r>
            <w:rPr>
              <w:b w:val="0"/>
            </w:rPr>
            <w:instrText xml:space="preserve"> TOC \o "1-3" \h \z \u </w:instrText>
          </w:r>
          <w:r>
            <w:rPr>
              <w:b w:val="0"/>
            </w:rPr>
            <w:fldChar w:fldCharType="separate"/>
          </w:r>
          <w:r>
            <w:fldChar w:fldCharType="begin"/>
          </w:r>
          <w:r>
            <w:instrText xml:space="preserve"> HYPERLINK \l "_Toc498524829" </w:instrText>
          </w:r>
          <w:r>
            <w:fldChar w:fldCharType="separate"/>
          </w:r>
          <w:r>
            <w:rPr>
              <w:rStyle w:val="23"/>
              <w:rFonts w:ascii="Arial" w:hAnsi="Arial" w:eastAsia="宋体" w:cs="Arial"/>
            </w:rPr>
            <w:t>I.</w:t>
          </w:r>
          <w:r>
            <w:rPr>
              <w:b w:val="0"/>
              <w:kern w:val="2"/>
              <w:sz w:val="21"/>
              <w:szCs w:val="22"/>
            </w:rPr>
            <w:tab/>
          </w:r>
          <w:r>
            <w:rPr>
              <w:rStyle w:val="23"/>
              <w:rFonts w:hint="eastAsia" w:ascii="Arial" w:hAnsi="Arial" w:eastAsia="宋体" w:cs="Arial"/>
            </w:rPr>
            <w:t>简介</w:t>
          </w:r>
          <w:r>
            <w:tab/>
          </w:r>
          <w:r>
            <w:fldChar w:fldCharType="begin"/>
          </w:r>
          <w:r>
            <w:instrText xml:space="preserve"> PAGEREF _Toc498524829 \h </w:instrText>
          </w:r>
          <w:r>
            <w:fldChar w:fldCharType="separate"/>
          </w:r>
          <w:r>
            <w:t>1</w:t>
          </w:r>
          <w:r>
            <w:fldChar w:fldCharType="end"/>
          </w:r>
          <w:r>
            <w:fldChar w:fldCharType="end"/>
          </w:r>
        </w:p>
        <w:p w14:paraId="157C7138">
          <w:pPr>
            <w:pStyle w:val="3"/>
            <w:tabs>
              <w:tab w:val="left" w:pos="420"/>
              <w:tab w:val="right" w:leader="dot" w:pos="9628"/>
            </w:tabs>
            <w:rPr>
              <w:b w:val="0"/>
              <w:kern w:val="2"/>
              <w:sz w:val="21"/>
              <w:szCs w:val="22"/>
            </w:rPr>
          </w:pPr>
          <w:r>
            <w:fldChar w:fldCharType="begin"/>
          </w:r>
          <w:r>
            <w:instrText xml:space="preserve"> HYPERLINK \l "_Toc498524830" </w:instrText>
          </w:r>
          <w:r>
            <w:fldChar w:fldCharType="separate"/>
          </w:r>
          <w:r>
            <w:rPr>
              <w:rStyle w:val="23"/>
              <w:rFonts w:ascii="Arial" w:hAnsi="Arial" w:eastAsia="宋体" w:cs="Arial"/>
            </w:rPr>
            <w:t>II.</w:t>
          </w:r>
          <w:r>
            <w:rPr>
              <w:b w:val="0"/>
              <w:kern w:val="2"/>
              <w:sz w:val="21"/>
              <w:szCs w:val="22"/>
            </w:rPr>
            <w:tab/>
          </w:r>
          <w:r>
            <w:rPr>
              <w:rStyle w:val="23"/>
              <w:rFonts w:hint="eastAsia" w:ascii="Arial" w:hAnsi="Arial" w:eastAsia="宋体" w:cs="Arial"/>
            </w:rPr>
            <w:t>关于医疗器械的常见问题</w:t>
          </w:r>
          <w:r>
            <w:tab/>
          </w:r>
          <w:r>
            <w:fldChar w:fldCharType="begin"/>
          </w:r>
          <w:r>
            <w:instrText xml:space="preserve"> PAGEREF _Toc498524830 \h </w:instrText>
          </w:r>
          <w:r>
            <w:fldChar w:fldCharType="separate"/>
          </w:r>
          <w:r>
            <w:t>1</w:t>
          </w:r>
          <w:r>
            <w:fldChar w:fldCharType="end"/>
          </w:r>
          <w:r>
            <w:fldChar w:fldCharType="end"/>
          </w:r>
        </w:p>
        <w:p w14:paraId="6AB42E8A">
          <w:pPr>
            <w:pStyle w:val="18"/>
            <w:tabs>
              <w:tab w:val="left" w:pos="840"/>
              <w:tab w:val="right" w:leader="dot" w:pos="9628"/>
            </w:tabs>
            <w:ind w:left="480"/>
            <w:rPr>
              <w:b w:val="0"/>
              <w:kern w:val="2"/>
              <w:sz w:val="21"/>
              <w:szCs w:val="22"/>
            </w:rPr>
          </w:pPr>
          <w:r>
            <w:fldChar w:fldCharType="begin"/>
          </w:r>
          <w:r>
            <w:instrText xml:space="preserve"> HYPERLINK \l "_Toc498524831" </w:instrText>
          </w:r>
          <w:r>
            <w:fldChar w:fldCharType="separate"/>
          </w:r>
          <w:r>
            <w:rPr>
              <w:rStyle w:val="23"/>
              <w:rFonts w:ascii="Arial" w:hAnsi="Arial" w:eastAsia="宋体" w:cs="Arial"/>
            </w:rPr>
            <w:t>1.</w:t>
          </w:r>
          <w:r>
            <w:rPr>
              <w:b w:val="0"/>
              <w:kern w:val="2"/>
              <w:sz w:val="21"/>
              <w:szCs w:val="22"/>
            </w:rPr>
            <w:tab/>
          </w:r>
          <w:r>
            <w:rPr>
              <w:rStyle w:val="23"/>
              <w:rFonts w:hint="eastAsia" w:ascii="Arial" w:hAnsi="Arial" w:eastAsia="宋体" w:cs="Arial"/>
            </w:rPr>
            <w:t>什么是医疗器械？</w:t>
          </w:r>
          <w:r>
            <w:tab/>
          </w:r>
          <w:r>
            <w:fldChar w:fldCharType="begin"/>
          </w:r>
          <w:r>
            <w:instrText xml:space="preserve"> PAGEREF _Toc498524831 \h </w:instrText>
          </w:r>
          <w:r>
            <w:fldChar w:fldCharType="separate"/>
          </w:r>
          <w:r>
            <w:t>2</w:t>
          </w:r>
          <w:r>
            <w:fldChar w:fldCharType="end"/>
          </w:r>
          <w:r>
            <w:fldChar w:fldCharType="end"/>
          </w:r>
        </w:p>
        <w:p w14:paraId="592EA797">
          <w:pPr>
            <w:pStyle w:val="18"/>
            <w:tabs>
              <w:tab w:val="left" w:pos="840"/>
              <w:tab w:val="right" w:leader="dot" w:pos="9628"/>
            </w:tabs>
            <w:ind w:left="480"/>
            <w:rPr>
              <w:b w:val="0"/>
              <w:kern w:val="2"/>
              <w:sz w:val="21"/>
              <w:szCs w:val="22"/>
            </w:rPr>
          </w:pPr>
          <w:r>
            <w:fldChar w:fldCharType="begin"/>
          </w:r>
          <w:r>
            <w:instrText xml:space="preserve"> HYPERLINK \l "_Toc498524832" </w:instrText>
          </w:r>
          <w:r>
            <w:fldChar w:fldCharType="separate"/>
          </w:r>
          <w:r>
            <w:rPr>
              <w:rStyle w:val="23"/>
              <w:rFonts w:ascii="Arial" w:hAnsi="Arial" w:eastAsia="宋体" w:cs="Arial"/>
            </w:rPr>
            <w:t>2.</w:t>
          </w:r>
          <w:r>
            <w:rPr>
              <w:b w:val="0"/>
              <w:kern w:val="2"/>
              <w:sz w:val="21"/>
              <w:szCs w:val="22"/>
            </w:rPr>
            <w:tab/>
          </w:r>
          <w:r>
            <w:rPr>
              <w:rStyle w:val="23"/>
              <w:rFonts w:ascii="Arial" w:hAnsi="Arial" w:eastAsia="宋体" w:cs="Arial"/>
            </w:rPr>
            <w:t>FDA</w:t>
          </w:r>
          <w:r>
            <w:rPr>
              <w:rStyle w:val="23"/>
              <w:rFonts w:hint="eastAsia" w:ascii="Arial" w:hAnsi="Arial" w:eastAsia="宋体" w:cs="Arial"/>
            </w:rPr>
            <w:t>对医疗器械怎样分类？</w:t>
          </w:r>
          <w:r>
            <w:tab/>
          </w:r>
          <w:r>
            <w:fldChar w:fldCharType="begin"/>
          </w:r>
          <w:r>
            <w:instrText xml:space="preserve"> PAGEREF _Toc498524832 \h </w:instrText>
          </w:r>
          <w:r>
            <w:fldChar w:fldCharType="separate"/>
          </w:r>
          <w:r>
            <w:t>2</w:t>
          </w:r>
          <w:r>
            <w:fldChar w:fldCharType="end"/>
          </w:r>
          <w:r>
            <w:fldChar w:fldCharType="end"/>
          </w:r>
        </w:p>
        <w:p w14:paraId="076B7B67">
          <w:pPr>
            <w:pStyle w:val="18"/>
            <w:tabs>
              <w:tab w:val="left" w:pos="840"/>
              <w:tab w:val="right" w:leader="dot" w:pos="9628"/>
            </w:tabs>
            <w:ind w:left="480"/>
            <w:rPr>
              <w:b w:val="0"/>
              <w:kern w:val="2"/>
              <w:sz w:val="21"/>
              <w:szCs w:val="22"/>
            </w:rPr>
          </w:pPr>
          <w:r>
            <w:fldChar w:fldCharType="begin"/>
          </w:r>
          <w:r>
            <w:instrText xml:space="preserve"> HYPERLINK \l "_Toc498524833" </w:instrText>
          </w:r>
          <w:r>
            <w:fldChar w:fldCharType="separate"/>
          </w:r>
          <w:r>
            <w:rPr>
              <w:rStyle w:val="23"/>
              <w:rFonts w:ascii="Arial" w:hAnsi="Arial" w:eastAsia="宋体" w:cs="Arial"/>
            </w:rPr>
            <w:t>3.</w:t>
          </w:r>
          <w:r>
            <w:rPr>
              <w:b w:val="0"/>
              <w:kern w:val="2"/>
              <w:sz w:val="21"/>
              <w:szCs w:val="22"/>
            </w:rPr>
            <w:tab/>
          </w:r>
          <w:r>
            <w:rPr>
              <w:rStyle w:val="23"/>
              <w:rFonts w:hint="eastAsia" w:ascii="Arial" w:hAnsi="Arial" w:eastAsia="宋体" w:cs="Arial"/>
            </w:rPr>
            <w:t>医疗器械有哪些示例？</w:t>
          </w:r>
          <w:r>
            <w:tab/>
          </w:r>
          <w:r>
            <w:fldChar w:fldCharType="begin"/>
          </w:r>
          <w:r>
            <w:instrText xml:space="preserve"> PAGEREF _Toc498524833 \h </w:instrText>
          </w:r>
          <w:r>
            <w:fldChar w:fldCharType="separate"/>
          </w:r>
          <w:r>
            <w:t>3</w:t>
          </w:r>
          <w:r>
            <w:fldChar w:fldCharType="end"/>
          </w:r>
          <w:r>
            <w:fldChar w:fldCharType="end"/>
          </w:r>
        </w:p>
        <w:p w14:paraId="07269853">
          <w:pPr>
            <w:pStyle w:val="18"/>
            <w:tabs>
              <w:tab w:val="left" w:pos="840"/>
              <w:tab w:val="right" w:leader="dot" w:pos="9628"/>
            </w:tabs>
            <w:ind w:left="480"/>
            <w:rPr>
              <w:b w:val="0"/>
              <w:kern w:val="2"/>
              <w:sz w:val="21"/>
              <w:szCs w:val="22"/>
            </w:rPr>
          </w:pPr>
          <w:r>
            <w:fldChar w:fldCharType="begin"/>
          </w:r>
          <w:r>
            <w:instrText xml:space="preserve"> HYPERLINK \l "_Toc498524834" </w:instrText>
          </w:r>
          <w:r>
            <w:fldChar w:fldCharType="separate"/>
          </w:r>
          <w:r>
            <w:rPr>
              <w:rStyle w:val="23"/>
              <w:rFonts w:ascii="Arial" w:hAnsi="Arial" w:eastAsia="宋体" w:cs="Arial"/>
            </w:rPr>
            <w:t>4.</w:t>
          </w:r>
          <w:r>
            <w:rPr>
              <w:b w:val="0"/>
              <w:kern w:val="2"/>
              <w:sz w:val="21"/>
              <w:szCs w:val="22"/>
            </w:rPr>
            <w:tab/>
          </w:r>
          <w:r>
            <w:rPr>
              <w:rStyle w:val="23"/>
              <w:rFonts w:hint="eastAsia" w:ascii="Arial" w:hAnsi="Arial" w:eastAsia="宋体" w:cs="Arial"/>
            </w:rPr>
            <w:t>什么是上市前通知（</w:t>
          </w:r>
          <w:r>
            <w:rPr>
              <w:rStyle w:val="23"/>
              <w:rFonts w:ascii="Arial" w:hAnsi="Arial" w:eastAsia="宋体" w:cs="Arial"/>
            </w:rPr>
            <w:t>510</w:t>
          </w:r>
          <w:r>
            <w:rPr>
              <w:rStyle w:val="23"/>
              <w:rFonts w:hint="eastAsia" w:ascii="Arial" w:hAnsi="Arial" w:eastAsia="宋体" w:cs="Arial"/>
            </w:rPr>
            <w:t>（</w:t>
          </w:r>
          <w:r>
            <w:rPr>
              <w:rStyle w:val="23"/>
              <w:rFonts w:ascii="Arial" w:hAnsi="Arial" w:eastAsia="宋体" w:cs="Arial"/>
            </w:rPr>
            <w:t>k</w:t>
          </w:r>
          <w:r>
            <w:rPr>
              <w:rStyle w:val="23"/>
              <w:rFonts w:hint="eastAsia" w:ascii="Arial" w:hAnsi="Arial" w:eastAsia="宋体" w:cs="Arial"/>
            </w:rPr>
            <w:t>））提交？</w:t>
          </w:r>
          <w:r>
            <w:tab/>
          </w:r>
          <w:r>
            <w:fldChar w:fldCharType="begin"/>
          </w:r>
          <w:r>
            <w:instrText xml:space="preserve"> PAGEREF _Toc498524834 \h </w:instrText>
          </w:r>
          <w:r>
            <w:fldChar w:fldCharType="separate"/>
          </w:r>
          <w:r>
            <w:t>3</w:t>
          </w:r>
          <w:r>
            <w:fldChar w:fldCharType="end"/>
          </w:r>
          <w:r>
            <w:fldChar w:fldCharType="end"/>
          </w:r>
        </w:p>
        <w:p w14:paraId="206F3695">
          <w:pPr>
            <w:pStyle w:val="18"/>
            <w:tabs>
              <w:tab w:val="left" w:pos="840"/>
              <w:tab w:val="right" w:leader="dot" w:pos="9628"/>
            </w:tabs>
            <w:ind w:left="480"/>
            <w:rPr>
              <w:b w:val="0"/>
              <w:kern w:val="2"/>
              <w:sz w:val="21"/>
              <w:szCs w:val="22"/>
            </w:rPr>
          </w:pPr>
          <w:r>
            <w:fldChar w:fldCharType="begin"/>
          </w:r>
          <w:r>
            <w:instrText xml:space="preserve"> HYPERLINK \l "_Toc498524835" </w:instrText>
          </w:r>
          <w:r>
            <w:fldChar w:fldCharType="separate"/>
          </w:r>
          <w:r>
            <w:rPr>
              <w:rStyle w:val="23"/>
              <w:rFonts w:ascii="Arial" w:hAnsi="Arial" w:eastAsia="宋体" w:cs="Arial"/>
            </w:rPr>
            <w:t>5.</w:t>
          </w:r>
          <w:r>
            <w:rPr>
              <w:b w:val="0"/>
              <w:kern w:val="2"/>
              <w:sz w:val="21"/>
              <w:szCs w:val="22"/>
            </w:rPr>
            <w:tab/>
          </w:r>
          <w:r>
            <w:rPr>
              <w:rStyle w:val="23"/>
              <w:rFonts w:hint="eastAsia" w:ascii="Arial" w:hAnsi="Arial" w:eastAsia="宋体" w:cs="Arial"/>
            </w:rPr>
            <w:t>什么是上市前批准（</w:t>
          </w:r>
          <w:r>
            <w:rPr>
              <w:rStyle w:val="23"/>
              <w:rFonts w:ascii="Arial" w:hAnsi="Arial" w:eastAsia="宋体" w:cs="Arial"/>
            </w:rPr>
            <w:t>PMA</w:t>
          </w:r>
          <w:r>
            <w:rPr>
              <w:rStyle w:val="23"/>
              <w:rFonts w:hint="eastAsia" w:ascii="Arial" w:hAnsi="Arial" w:eastAsia="宋体" w:cs="Arial"/>
            </w:rPr>
            <w:t>）申请？</w:t>
          </w:r>
          <w:r>
            <w:tab/>
          </w:r>
          <w:r>
            <w:fldChar w:fldCharType="begin"/>
          </w:r>
          <w:r>
            <w:instrText xml:space="preserve"> PAGEREF _Toc498524835 \h </w:instrText>
          </w:r>
          <w:r>
            <w:fldChar w:fldCharType="separate"/>
          </w:r>
          <w:r>
            <w:t>3</w:t>
          </w:r>
          <w:r>
            <w:fldChar w:fldCharType="end"/>
          </w:r>
          <w:r>
            <w:fldChar w:fldCharType="end"/>
          </w:r>
        </w:p>
        <w:p w14:paraId="78D06F7E">
          <w:pPr>
            <w:pStyle w:val="18"/>
            <w:tabs>
              <w:tab w:val="left" w:pos="840"/>
              <w:tab w:val="right" w:leader="dot" w:pos="9628"/>
            </w:tabs>
            <w:ind w:left="480"/>
            <w:rPr>
              <w:b w:val="0"/>
              <w:kern w:val="2"/>
              <w:sz w:val="21"/>
              <w:szCs w:val="22"/>
            </w:rPr>
          </w:pPr>
          <w:r>
            <w:fldChar w:fldCharType="begin"/>
          </w:r>
          <w:r>
            <w:instrText xml:space="preserve"> HYPERLINK \l "_Toc498524836" </w:instrText>
          </w:r>
          <w:r>
            <w:fldChar w:fldCharType="separate"/>
          </w:r>
          <w:r>
            <w:rPr>
              <w:rStyle w:val="23"/>
              <w:rFonts w:ascii="Arial" w:hAnsi="Arial" w:eastAsia="宋体" w:cs="Arial"/>
            </w:rPr>
            <w:t>6.</w:t>
          </w:r>
          <w:r>
            <w:rPr>
              <w:b w:val="0"/>
              <w:kern w:val="2"/>
              <w:sz w:val="21"/>
              <w:szCs w:val="22"/>
            </w:rPr>
            <w:tab/>
          </w:r>
          <w:r>
            <w:rPr>
              <w:rStyle w:val="23"/>
              <w:rFonts w:hint="eastAsia" w:ascii="Arial" w:hAnsi="Arial" w:eastAsia="宋体" w:cs="Arial"/>
            </w:rPr>
            <w:t>我可以从何处获得有关</w:t>
          </w:r>
          <w:r>
            <w:rPr>
              <w:rStyle w:val="23"/>
              <w:rFonts w:ascii="Arial" w:hAnsi="Arial" w:eastAsia="宋体" w:cs="Arial"/>
            </w:rPr>
            <w:t>510</w:t>
          </w:r>
          <w:r>
            <w:rPr>
              <w:rStyle w:val="23"/>
              <w:rFonts w:hint="eastAsia" w:ascii="Arial" w:hAnsi="Arial" w:eastAsia="宋体" w:cs="Arial"/>
            </w:rPr>
            <w:t>（</w:t>
          </w:r>
          <w:r>
            <w:rPr>
              <w:rStyle w:val="23"/>
              <w:rFonts w:ascii="Arial" w:hAnsi="Arial" w:eastAsia="宋体" w:cs="Arial"/>
            </w:rPr>
            <w:t>k</w:t>
          </w:r>
          <w:r>
            <w:rPr>
              <w:rStyle w:val="23"/>
              <w:rFonts w:hint="eastAsia" w:ascii="Arial" w:hAnsi="Arial" w:eastAsia="宋体" w:cs="Arial"/>
            </w:rPr>
            <w:t>）和</w:t>
          </w:r>
          <w:r>
            <w:rPr>
              <w:rStyle w:val="23"/>
              <w:rFonts w:ascii="Arial" w:hAnsi="Arial" w:eastAsia="宋体" w:cs="Arial"/>
            </w:rPr>
            <w:t>PMA</w:t>
          </w:r>
          <w:r>
            <w:rPr>
              <w:rStyle w:val="23"/>
              <w:rFonts w:hint="eastAsia" w:ascii="Arial" w:hAnsi="Arial" w:eastAsia="宋体" w:cs="Arial"/>
            </w:rPr>
            <w:t>的更多信息？</w:t>
          </w:r>
          <w:r>
            <w:tab/>
          </w:r>
          <w:r>
            <w:fldChar w:fldCharType="begin"/>
          </w:r>
          <w:r>
            <w:instrText xml:space="preserve"> PAGEREF _Toc498524836 \h </w:instrText>
          </w:r>
          <w:r>
            <w:fldChar w:fldCharType="separate"/>
          </w:r>
          <w:r>
            <w:t>3</w:t>
          </w:r>
          <w:r>
            <w:fldChar w:fldCharType="end"/>
          </w:r>
          <w:r>
            <w:fldChar w:fldCharType="end"/>
          </w:r>
        </w:p>
        <w:p w14:paraId="62CC0696">
          <w:pPr>
            <w:pStyle w:val="18"/>
            <w:tabs>
              <w:tab w:val="left" w:pos="840"/>
              <w:tab w:val="right" w:leader="dot" w:pos="9628"/>
            </w:tabs>
            <w:ind w:left="480"/>
            <w:rPr>
              <w:b w:val="0"/>
              <w:kern w:val="2"/>
              <w:sz w:val="21"/>
              <w:szCs w:val="22"/>
            </w:rPr>
          </w:pPr>
          <w:r>
            <w:fldChar w:fldCharType="begin"/>
          </w:r>
          <w:r>
            <w:instrText xml:space="preserve"> HYPERLINK \l "_Toc498524837" </w:instrText>
          </w:r>
          <w:r>
            <w:fldChar w:fldCharType="separate"/>
          </w:r>
          <w:r>
            <w:rPr>
              <w:rStyle w:val="23"/>
              <w:rFonts w:ascii="Arial" w:hAnsi="Arial" w:eastAsia="宋体" w:cs="Arial"/>
            </w:rPr>
            <w:t>7.</w:t>
          </w:r>
          <w:r>
            <w:rPr>
              <w:b w:val="0"/>
              <w:kern w:val="2"/>
              <w:sz w:val="21"/>
              <w:szCs w:val="22"/>
            </w:rPr>
            <w:tab/>
          </w:r>
          <w:r>
            <w:rPr>
              <w:rStyle w:val="23"/>
              <w:rFonts w:hint="eastAsia" w:ascii="Arial" w:hAnsi="Arial" w:eastAsia="宋体" w:cs="Arial"/>
            </w:rPr>
            <w:t>什么是人道主义用途器械（</w:t>
          </w:r>
          <w:r>
            <w:rPr>
              <w:rStyle w:val="23"/>
              <w:rFonts w:ascii="Arial" w:hAnsi="Arial" w:eastAsia="宋体" w:cs="Arial"/>
            </w:rPr>
            <w:t>HUD</w:t>
          </w:r>
          <w:r>
            <w:rPr>
              <w:rStyle w:val="23"/>
              <w:rFonts w:hint="eastAsia" w:ascii="Arial" w:hAnsi="Arial" w:eastAsia="宋体" w:cs="Arial"/>
            </w:rPr>
            <w:t>）？</w:t>
          </w:r>
          <w:r>
            <w:tab/>
          </w:r>
          <w:r>
            <w:fldChar w:fldCharType="begin"/>
          </w:r>
          <w:r>
            <w:instrText xml:space="preserve"> PAGEREF _Toc498524837 \h </w:instrText>
          </w:r>
          <w:r>
            <w:fldChar w:fldCharType="separate"/>
          </w:r>
          <w:r>
            <w:t>3</w:t>
          </w:r>
          <w:r>
            <w:fldChar w:fldCharType="end"/>
          </w:r>
          <w:r>
            <w:fldChar w:fldCharType="end"/>
          </w:r>
        </w:p>
        <w:p w14:paraId="0BCAEDD5">
          <w:pPr>
            <w:pStyle w:val="18"/>
            <w:tabs>
              <w:tab w:val="left" w:pos="840"/>
              <w:tab w:val="right" w:leader="dot" w:pos="9628"/>
            </w:tabs>
            <w:ind w:left="480"/>
            <w:rPr>
              <w:b w:val="0"/>
              <w:kern w:val="2"/>
              <w:sz w:val="21"/>
              <w:szCs w:val="22"/>
            </w:rPr>
          </w:pPr>
          <w:r>
            <w:fldChar w:fldCharType="begin"/>
          </w:r>
          <w:r>
            <w:instrText xml:space="preserve"> HYPERLINK \l "_Toc498524838" </w:instrText>
          </w:r>
          <w:r>
            <w:fldChar w:fldCharType="separate"/>
          </w:r>
          <w:r>
            <w:rPr>
              <w:rStyle w:val="23"/>
              <w:rFonts w:ascii="Arial" w:hAnsi="Arial" w:eastAsia="宋体" w:cs="Arial"/>
            </w:rPr>
            <w:t>8.</w:t>
          </w:r>
          <w:r>
            <w:rPr>
              <w:b w:val="0"/>
              <w:kern w:val="2"/>
              <w:sz w:val="21"/>
              <w:szCs w:val="22"/>
            </w:rPr>
            <w:tab/>
          </w:r>
          <w:r>
            <w:rPr>
              <w:rStyle w:val="23"/>
              <w:rFonts w:hint="eastAsia" w:ascii="Arial" w:hAnsi="Arial" w:eastAsia="宋体" w:cs="Arial"/>
            </w:rPr>
            <w:t>什么是人道主义器械豁免（</w:t>
          </w:r>
          <w:r>
            <w:rPr>
              <w:rStyle w:val="23"/>
              <w:rFonts w:ascii="Arial" w:hAnsi="Arial" w:eastAsia="宋体" w:cs="Arial"/>
            </w:rPr>
            <w:t>HDE</w:t>
          </w:r>
          <w:r>
            <w:rPr>
              <w:rStyle w:val="23"/>
              <w:rFonts w:hint="eastAsia" w:ascii="Arial" w:hAnsi="Arial" w:eastAsia="宋体" w:cs="Arial"/>
            </w:rPr>
            <w:t>）申请？</w:t>
          </w:r>
          <w:r>
            <w:tab/>
          </w:r>
          <w:r>
            <w:fldChar w:fldCharType="begin"/>
          </w:r>
          <w:r>
            <w:instrText xml:space="preserve"> PAGEREF _Toc498524838 \h </w:instrText>
          </w:r>
          <w:r>
            <w:fldChar w:fldCharType="separate"/>
          </w:r>
          <w:r>
            <w:t>4</w:t>
          </w:r>
          <w:r>
            <w:fldChar w:fldCharType="end"/>
          </w:r>
          <w:r>
            <w:fldChar w:fldCharType="end"/>
          </w:r>
        </w:p>
        <w:p w14:paraId="6459EA92">
          <w:pPr>
            <w:pStyle w:val="18"/>
            <w:tabs>
              <w:tab w:val="left" w:pos="840"/>
              <w:tab w:val="right" w:leader="dot" w:pos="9628"/>
            </w:tabs>
            <w:ind w:left="480"/>
            <w:rPr>
              <w:b w:val="0"/>
              <w:kern w:val="2"/>
              <w:sz w:val="21"/>
              <w:szCs w:val="22"/>
            </w:rPr>
          </w:pPr>
          <w:r>
            <w:fldChar w:fldCharType="begin"/>
          </w:r>
          <w:r>
            <w:instrText xml:space="preserve"> HYPERLINK \l "_Toc498524839" </w:instrText>
          </w:r>
          <w:r>
            <w:fldChar w:fldCharType="separate"/>
          </w:r>
          <w:r>
            <w:rPr>
              <w:rStyle w:val="23"/>
              <w:rFonts w:ascii="Arial" w:hAnsi="Arial" w:eastAsia="宋体" w:cs="Arial"/>
            </w:rPr>
            <w:t>9.</w:t>
          </w:r>
          <w:r>
            <w:rPr>
              <w:b w:val="0"/>
              <w:kern w:val="2"/>
              <w:sz w:val="21"/>
              <w:szCs w:val="22"/>
            </w:rPr>
            <w:tab/>
          </w:r>
          <w:r>
            <w:rPr>
              <w:rStyle w:val="23"/>
              <w:rFonts w:ascii="Arial" w:hAnsi="Arial" w:eastAsia="宋体" w:cs="Arial"/>
            </w:rPr>
            <w:t>IRB</w:t>
          </w:r>
          <w:r>
            <w:rPr>
              <w:rStyle w:val="23"/>
              <w:rFonts w:hint="eastAsia" w:ascii="Arial" w:hAnsi="Arial" w:eastAsia="宋体" w:cs="Arial"/>
            </w:rPr>
            <w:t>关于</w:t>
          </w:r>
          <w:r>
            <w:rPr>
              <w:rStyle w:val="23"/>
              <w:rFonts w:ascii="Arial" w:hAnsi="Arial" w:eastAsia="宋体" w:cs="Arial"/>
            </w:rPr>
            <w:t>HDE</w:t>
          </w:r>
          <w:r>
            <w:rPr>
              <w:rStyle w:val="23"/>
              <w:rFonts w:hint="eastAsia" w:ascii="Arial" w:hAnsi="Arial" w:eastAsia="宋体" w:cs="Arial"/>
            </w:rPr>
            <w:t>的责任是什么？</w:t>
          </w:r>
          <w:r>
            <w:tab/>
          </w:r>
          <w:r>
            <w:fldChar w:fldCharType="begin"/>
          </w:r>
          <w:r>
            <w:instrText xml:space="preserve"> PAGEREF _Toc498524839 \h </w:instrText>
          </w:r>
          <w:r>
            <w:fldChar w:fldCharType="separate"/>
          </w:r>
          <w:r>
            <w:t>4</w:t>
          </w:r>
          <w:r>
            <w:fldChar w:fldCharType="end"/>
          </w:r>
          <w:r>
            <w:fldChar w:fldCharType="end"/>
          </w:r>
        </w:p>
        <w:p w14:paraId="6F1A8C65">
          <w:pPr>
            <w:pStyle w:val="18"/>
            <w:tabs>
              <w:tab w:val="left" w:pos="1050"/>
              <w:tab w:val="right" w:leader="dot" w:pos="9628"/>
            </w:tabs>
            <w:ind w:left="480"/>
            <w:rPr>
              <w:b w:val="0"/>
              <w:kern w:val="2"/>
              <w:sz w:val="21"/>
              <w:szCs w:val="22"/>
            </w:rPr>
          </w:pPr>
          <w:r>
            <w:fldChar w:fldCharType="begin"/>
          </w:r>
          <w:r>
            <w:instrText xml:space="preserve"> HYPERLINK \l "_Toc498524840" </w:instrText>
          </w:r>
          <w:r>
            <w:fldChar w:fldCharType="separate"/>
          </w:r>
          <w:r>
            <w:rPr>
              <w:rStyle w:val="23"/>
              <w:rFonts w:ascii="Arial" w:hAnsi="Arial" w:eastAsia="宋体" w:cs="Arial"/>
            </w:rPr>
            <w:t>10.</w:t>
          </w:r>
          <w:r>
            <w:rPr>
              <w:b w:val="0"/>
              <w:kern w:val="2"/>
              <w:sz w:val="21"/>
              <w:szCs w:val="22"/>
            </w:rPr>
            <w:tab/>
          </w:r>
          <w:r>
            <w:rPr>
              <w:rStyle w:val="23"/>
              <w:rFonts w:hint="eastAsia" w:ascii="Arial" w:hAnsi="Arial" w:eastAsia="宋体" w:cs="Arial"/>
            </w:rPr>
            <w:t>使用</w:t>
          </w:r>
          <w:r>
            <w:rPr>
              <w:rStyle w:val="23"/>
              <w:rFonts w:ascii="Arial" w:hAnsi="Arial" w:eastAsia="宋体" w:cs="Arial"/>
            </w:rPr>
            <w:t>HUD</w:t>
          </w:r>
          <w:r>
            <w:rPr>
              <w:rStyle w:val="23"/>
              <w:rFonts w:hint="eastAsia" w:ascii="Arial" w:hAnsi="Arial" w:eastAsia="宋体" w:cs="Arial"/>
            </w:rPr>
            <w:t>治疗</w:t>
          </w:r>
          <w:r>
            <w:rPr>
              <w:rStyle w:val="23"/>
              <w:rFonts w:ascii="Arial" w:hAnsi="Arial" w:eastAsia="宋体" w:cs="Arial"/>
            </w:rPr>
            <w:t>/</w:t>
          </w:r>
          <w:r>
            <w:rPr>
              <w:rStyle w:val="23"/>
              <w:rFonts w:hint="eastAsia" w:ascii="Arial" w:hAnsi="Arial" w:eastAsia="宋体" w:cs="Arial"/>
            </w:rPr>
            <w:t>诊断患者时是否需要获得知情同意书？</w:t>
          </w:r>
          <w:r>
            <w:tab/>
          </w:r>
          <w:r>
            <w:fldChar w:fldCharType="begin"/>
          </w:r>
          <w:r>
            <w:instrText xml:space="preserve"> PAGEREF _Toc498524840 \h </w:instrText>
          </w:r>
          <w:r>
            <w:fldChar w:fldCharType="separate"/>
          </w:r>
          <w:r>
            <w:t>5</w:t>
          </w:r>
          <w:r>
            <w:fldChar w:fldCharType="end"/>
          </w:r>
          <w:r>
            <w:fldChar w:fldCharType="end"/>
          </w:r>
        </w:p>
        <w:p w14:paraId="3BADE664">
          <w:pPr>
            <w:pStyle w:val="18"/>
            <w:tabs>
              <w:tab w:val="left" w:pos="1050"/>
              <w:tab w:val="right" w:leader="dot" w:pos="9628"/>
            </w:tabs>
            <w:ind w:left="480"/>
            <w:rPr>
              <w:b w:val="0"/>
              <w:kern w:val="2"/>
              <w:sz w:val="21"/>
              <w:szCs w:val="22"/>
            </w:rPr>
          </w:pPr>
          <w:r>
            <w:fldChar w:fldCharType="begin"/>
          </w:r>
          <w:r>
            <w:instrText xml:space="preserve"> HYPERLINK \l "_Toc498524841" </w:instrText>
          </w:r>
          <w:r>
            <w:fldChar w:fldCharType="separate"/>
          </w:r>
          <w:r>
            <w:rPr>
              <w:rStyle w:val="23"/>
              <w:rFonts w:ascii="Arial" w:hAnsi="Arial" w:eastAsia="宋体" w:cs="Arial"/>
            </w:rPr>
            <w:t>11.</w:t>
          </w:r>
          <w:r>
            <w:rPr>
              <w:b w:val="0"/>
              <w:kern w:val="2"/>
              <w:sz w:val="21"/>
              <w:szCs w:val="22"/>
            </w:rPr>
            <w:tab/>
          </w:r>
          <w:r>
            <w:rPr>
              <w:rStyle w:val="23"/>
              <w:rFonts w:hint="eastAsia" w:ascii="Arial" w:hAnsi="Arial" w:eastAsia="宋体" w:cs="Arial"/>
            </w:rPr>
            <w:t>什么法律法规适用于医疗器械的临床研究？</w:t>
          </w:r>
          <w:r>
            <w:tab/>
          </w:r>
          <w:r>
            <w:fldChar w:fldCharType="begin"/>
          </w:r>
          <w:r>
            <w:instrText xml:space="preserve"> PAGEREF _Toc498524841 \h </w:instrText>
          </w:r>
          <w:r>
            <w:fldChar w:fldCharType="separate"/>
          </w:r>
          <w:r>
            <w:t>5</w:t>
          </w:r>
          <w:r>
            <w:fldChar w:fldCharType="end"/>
          </w:r>
          <w:r>
            <w:fldChar w:fldCharType="end"/>
          </w:r>
        </w:p>
        <w:p w14:paraId="53A39319">
          <w:pPr>
            <w:pStyle w:val="18"/>
            <w:tabs>
              <w:tab w:val="left" w:pos="1050"/>
              <w:tab w:val="right" w:leader="dot" w:pos="9628"/>
            </w:tabs>
            <w:ind w:left="480"/>
            <w:rPr>
              <w:b w:val="0"/>
              <w:kern w:val="2"/>
              <w:sz w:val="21"/>
              <w:szCs w:val="22"/>
            </w:rPr>
          </w:pPr>
          <w:r>
            <w:fldChar w:fldCharType="begin"/>
          </w:r>
          <w:r>
            <w:instrText xml:space="preserve"> HYPERLINK \l "_Toc498524842" </w:instrText>
          </w:r>
          <w:r>
            <w:fldChar w:fldCharType="separate"/>
          </w:r>
          <w:r>
            <w:rPr>
              <w:rStyle w:val="23"/>
              <w:rFonts w:ascii="Arial" w:hAnsi="Arial" w:eastAsia="宋体" w:cs="Arial"/>
            </w:rPr>
            <w:t>12.</w:t>
          </w:r>
          <w:r>
            <w:rPr>
              <w:b w:val="0"/>
              <w:kern w:val="2"/>
              <w:sz w:val="21"/>
              <w:szCs w:val="22"/>
            </w:rPr>
            <w:tab/>
          </w:r>
          <w:r>
            <w:rPr>
              <w:rStyle w:val="23"/>
              <w:rFonts w:ascii="Arial" w:hAnsi="Arial" w:eastAsia="宋体" w:cs="Arial"/>
            </w:rPr>
            <w:t>IDE</w:t>
          </w:r>
          <w:r>
            <w:rPr>
              <w:rStyle w:val="23"/>
              <w:rFonts w:hint="eastAsia" w:ascii="Arial" w:hAnsi="Arial" w:eastAsia="宋体" w:cs="Arial"/>
            </w:rPr>
            <w:t>规定（</w:t>
          </w:r>
          <w:r>
            <w:rPr>
              <w:rStyle w:val="23"/>
              <w:rFonts w:ascii="Arial" w:hAnsi="Arial" w:eastAsia="宋体" w:cs="Arial"/>
            </w:rPr>
            <w:t xml:space="preserve">21 CFR </w:t>
          </w:r>
          <w:r>
            <w:rPr>
              <w:rStyle w:val="23"/>
              <w:rFonts w:hint="eastAsia" w:ascii="Arial" w:hAnsi="Arial" w:eastAsia="宋体" w:cs="Arial"/>
            </w:rPr>
            <w:t>第</w:t>
          </w:r>
          <w:r>
            <w:rPr>
              <w:rStyle w:val="23"/>
              <w:rFonts w:ascii="Arial" w:hAnsi="Arial" w:eastAsia="宋体" w:cs="Arial"/>
            </w:rPr>
            <w:t>812</w:t>
          </w:r>
          <w:r>
            <w:rPr>
              <w:rStyle w:val="23"/>
              <w:rFonts w:hint="eastAsia" w:ascii="Arial" w:hAnsi="Arial" w:eastAsia="宋体" w:cs="Arial"/>
            </w:rPr>
            <w:t>部分）涵盖了哪些类型的器械研究？</w:t>
          </w:r>
          <w:r>
            <w:tab/>
          </w:r>
          <w:r>
            <w:fldChar w:fldCharType="begin"/>
          </w:r>
          <w:r>
            <w:instrText xml:space="preserve"> PAGEREF _Toc498524842 \h </w:instrText>
          </w:r>
          <w:r>
            <w:fldChar w:fldCharType="separate"/>
          </w:r>
          <w:r>
            <w:t>5</w:t>
          </w:r>
          <w:r>
            <w:fldChar w:fldCharType="end"/>
          </w:r>
          <w:r>
            <w:fldChar w:fldCharType="end"/>
          </w:r>
        </w:p>
        <w:p w14:paraId="68EBA35D">
          <w:pPr>
            <w:pStyle w:val="13"/>
            <w:tabs>
              <w:tab w:val="left" w:pos="1470"/>
              <w:tab w:val="right" w:leader="dot" w:pos="9628"/>
            </w:tabs>
            <w:ind w:left="960"/>
            <w:rPr>
              <w:b w:val="0"/>
              <w:i w:val="0"/>
              <w:kern w:val="2"/>
              <w:sz w:val="21"/>
              <w:szCs w:val="22"/>
            </w:rPr>
          </w:pPr>
          <w:r>
            <w:fldChar w:fldCharType="begin"/>
          </w:r>
          <w:r>
            <w:instrText xml:space="preserve"> HYPERLINK \l "_Toc498524843" </w:instrText>
          </w:r>
          <w:r>
            <w:fldChar w:fldCharType="separate"/>
          </w:r>
          <w:r>
            <w:rPr>
              <w:rStyle w:val="23"/>
              <w:rFonts w:ascii="Arial" w:hAnsi="Arial" w:eastAsia="宋体" w:cs="Arial"/>
            </w:rPr>
            <w:t>A.</w:t>
          </w:r>
          <w:r>
            <w:rPr>
              <w:b w:val="0"/>
              <w:i w:val="0"/>
              <w:kern w:val="2"/>
              <w:sz w:val="21"/>
              <w:szCs w:val="22"/>
            </w:rPr>
            <w:tab/>
          </w:r>
          <w:r>
            <w:rPr>
              <w:rStyle w:val="23"/>
              <w:rFonts w:hint="eastAsia" w:ascii="Arial" w:hAnsi="Arial" w:eastAsia="宋体" w:cs="Arial"/>
            </w:rPr>
            <w:t>有重大风险的器械研究</w:t>
          </w:r>
          <w:r>
            <w:tab/>
          </w:r>
          <w:r>
            <w:fldChar w:fldCharType="begin"/>
          </w:r>
          <w:r>
            <w:instrText xml:space="preserve"> PAGEREF _Toc498524843 \h </w:instrText>
          </w:r>
          <w:r>
            <w:fldChar w:fldCharType="separate"/>
          </w:r>
          <w:r>
            <w:t>6</w:t>
          </w:r>
          <w:r>
            <w:fldChar w:fldCharType="end"/>
          </w:r>
          <w:r>
            <w:fldChar w:fldCharType="end"/>
          </w:r>
        </w:p>
        <w:p w14:paraId="27E95FA5">
          <w:pPr>
            <w:pStyle w:val="13"/>
            <w:tabs>
              <w:tab w:val="left" w:pos="1470"/>
              <w:tab w:val="right" w:leader="dot" w:pos="9628"/>
            </w:tabs>
            <w:ind w:left="960"/>
            <w:rPr>
              <w:b w:val="0"/>
              <w:i w:val="0"/>
              <w:kern w:val="2"/>
              <w:sz w:val="21"/>
              <w:szCs w:val="22"/>
            </w:rPr>
          </w:pPr>
          <w:r>
            <w:fldChar w:fldCharType="begin"/>
          </w:r>
          <w:r>
            <w:instrText xml:space="preserve"> HYPERLINK \l "_Toc498524844" </w:instrText>
          </w:r>
          <w:r>
            <w:fldChar w:fldCharType="separate"/>
          </w:r>
          <w:r>
            <w:rPr>
              <w:rStyle w:val="23"/>
              <w:rFonts w:ascii="Arial" w:hAnsi="Arial" w:eastAsia="宋体" w:cs="Arial"/>
            </w:rPr>
            <w:t>B.</w:t>
          </w:r>
          <w:r>
            <w:rPr>
              <w:b w:val="0"/>
              <w:i w:val="0"/>
              <w:kern w:val="2"/>
              <w:sz w:val="21"/>
              <w:szCs w:val="22"/>
            </w:rPr>
            <w:tab/>
          </w:r>
          <w:r>
            <w:rPr>
              <w:rStyle w:val="23"/>
              <w:rFonts w:hint="eastAsia" w:ascii="Arial" w:hAnsi="Arial" w:eastAsia="宋体" w:cs="Arial"/>
            </w:rPr>
            <w:t>无重大风险的器械研究</w:t>
          </w:r>
          <w:r>
            <w:tab/>
          </w:r>
          <w:r>
            <w:fldChar w:fldCharType="begin"/>
          </w:r>
          <w:r>
            <w:instrText xml:space="preserve"> PAGEREF _Toc498524844 \h </w:instrText>
          </w:r>
          <w:r>
            <w:fldChar w:fldCharType="separate"/>
          </w:r>
          <w:r>
            <w:t>7</w:t>
          </w:r>
          <w:r>
            <w:fldChar w:fldCharType="end"/>
          </w:r>
          <w:r>
            <w:fldChar w:fldCharType="end"/>
          </w:r>
        </w:p>
        <w:p w14:paraId="79ED9893">
          <w:pPr>
            <w:pStyle w:val="13"/>
            <w:tabs>
              <w:tab w:val="left" w:pos="1470"/>
              <w:tab w:val="right" w:leader="dot" w:pos="9628"/>
            </w:tabs>
            <w:ind w:left="960"/>
            <w:rPr>
              <w:b w:val="0"/>
              <w:i w:val="0"/>
              <w:kern w:val="2"/>
              <w:sz w:val="21"/>
              <w:szCs w:val="22"/>
            </w:rPr>
          </w:pPr>
          <w:r>
            <w:fldChar w:fldCharType="begin"/>
          </w:r>
          <w:r>
            <w:instrText xml:space="preserve"> HYPERLINK \l "_Toc498524845" </w:instrText>
          </w:r>
          <w:r>
            <w:fldChar w:fldCharType="separate"/>
          </w:r>
          <w:r>
            <w:rPr>
              <w:rStyle w:val="23"/>
              <w:rFonts w:ascii="Arial" w:hAnsi="Arial" w:eastAsia="宋体" w:cs="Arial"/>
            </w:rPr>
            <w:t>C.</w:t>
          </w:r>
          <w:r>
            <w:rPr>
              <w:b w:val="0"/>
              <w:i w:val="0"/>
              <w:kern w:val="2"/>
              <w:sz w:val="21"/>
              <w:szCs w:val="22"/>
            </w:rPr>
            <w:tab/>
          </w:r>
          <w:r>
            <w:rPr>
              <w:rStyle w:val="23"/>
              <w:rFonts w:hint="eastAsia" w:ascii="Arial" w:hAnsi="Arial" w:eastAsia="宋体" w:cs="Arial"/>
            </w:rPr>
            <w:t>豁免研究</w:t>
          </w:r>
          <w:r>
            <w:tab/>
          </w:r>
          <w:r>
            <w:fldChar w:fldCharType="begin"/>
          </w:r>
          <w:r>
            <w:instrText xml:space="preserve"> PAGEREF _Toc498524845 \h </w:instrText>
          </w:r>
          <w:r>
            <w:fldChar w:fldCharType="separate"/>
          </w:r>
          <w:r>
            <w:t>8</w:t>
          </w:r>
          <w:r>
            <w:fldChar w:fldCharType="end"/>
          </w:r>
          <w:r>
            <w:fldChar w:fldCharType="end"/>
          </w:r>
        </w:p>
        <w:p w14:paraId="0C520828">
          <w:pPr>
            <w:pStyle w:val="18"/>
            <w:tabs>
              <w:tab w:val="left" w:pos="1050"/>
              <w:tab w:val="right" w:leader="dot" w:pos="9628"/>
            </w:tabs>
            <w:ind w:left="480"/>
            <w:rPr>
              <w:b w:val="0"/>
              <w:kern w:val="2"/>
              <w:sz w:val="21"/>
              <w:szCs w:val="22"/>
            </w:rPr>
          </w:pPr>
          <w:r>
            <w:fldChar w:fldCharType="begin"/>
          </w:r>
          <w:r>
            <w:instrText xml:space="preserve"> HYPERLINK \l "_Toc498524846" </w:instrText>
          </w:r>
          <w:r>
            <w:fldChar w:fldCharType="separate"/>
          </w:r>
          <w:r>
            <w:rPr>
              <w:rStyle w:val="23"/>
              <w:rFonts w:ascii="Arial" w:hAnsi="Arial" w:eastAsia="宋体" w:cs="Arial"/>
            </w:rPr>
            <w:t>13.</w:t>
          </w:r>
          <w:r>
            <w:rPr>
              <w:b w:val="0"/>
              <w:kern w:val="2"/>
              <w:sz w:val="21"/>
              <w:szCs w:val="22"/>
            </w:rPr>
            <w:tab/>
          </w:r>
          <w:r>
            <w:rPr>
              <w:rStyle w:val="23"/>
              <w:rFonts w:ascii="Arial" w:hAnsi="Arial" w:eastAsia="宋体" w:cs="Arial"/>
            </w:rPr>
            <w:t>IDE</w:t>
          </w:r>
          <w:r>
            <w:rPr>
              <w:rStyle w:val="23"/>
              <w:rFonts w:hint="eastAsia" w:ascii="Arial" w:hAnsi="Arial" w:eastAsia="宋体" w:cs="Arial"/>
            </w:rPr>
            <w:t>豁免研究是否需符合第</w:t>
          </w:r>
          <w:r>
            <w:rPr>
              <w:rStyle w:val="23"/>
              <w:rFonts w:ascii="Arial" w:hAnsi="Arial" w:eastAsia="宋体" w:cs="Arial"/>
            </w:rPr>
            <w:t>50</w:t>
          </w:r>
          <w:r>
            <w:rPr>
              <w:rStyle w:val="23"/>
              <w:rFonts w:hint="eastAsia" w:ascii="Arial" w:hAnsi="Arial" w:eastAsia="宋体" w:cs="Arial"/>
            </w:rPr>
            <w:t>和</w:t>
          </w:r>
          <w:r>
            <w:rPr>
              <w:rStyle w:val="23"/>
              <w:rFonts w:ascii="Arial" w:hAnsi="Arial" w:eastAsia="宋体" w:cs="Arial"/>
            </w:rPr>
            <w:t>56</w:t>
          </w:r>
          <w:r>
            <w:rPr>
              <w:rStyle w:val="23"/>
              <w:rFonts w:hint="eastAsia" w:ascii="Arial" w:hAnsi="Arial" w:eastAsia="宋体" w:cs="Arial"/>
            </w:rPr>
            <w:t>部分规定的知情同意和</w:t>
          </w:r>
          <w:r>
            <w:rPr>
              <w:rStyle w:val="23"/>
              <w:rFonts w:ascii="Arial" w:hAnsi="Arial" w:eastAsia="宋体" w:cs="Arial"/>
            </w:rPr>
            <w:t>IRB</w:t>
          </w:r>
          <w:r>
            <w:rPr>
              <w:rStyle w:val="23"/>
              <w:rFonts w:hint="eastAsia" w:ascii="Arial" w:hAnsi="Arial" w:eastAsia="宋体" w:cs="Arial"/>
            </w:rPr>
            <w:t>审查和批准的要求？</w:t>
          </w:r>
          <w:r>
            <w:tab/>
          </w:r>
          <w:r>
            <w:fldChar w:fldCharType="begin"/>
          </w:r>
          <w:r>
            <w:instrText xml:space="preserve"> PAGEREF _Toc498524846 \h </w:instrText>
          </w:r>
          <w:r>
            <w:fldChar w:fldCharType="separate"/>
          </w:r>
          <w:r>
            <w:t>8</w:t>
          </w:r>
          <w:r>
            <w:fldChar w:fldCharType="end"/>
          </w:r>
          <w:r>
            <w:fldChar w:fldCharType="end"/>
          </w:r>
        </w:p>
        <w:p w14:paraId="190920E0">
          <w:pPr>
            <w:pStyle w:val="18"/>
            <w:tabs>
              <w:tab w:val="left" w:pos="1050"/>
              <w:tab w:val="right" w:leader="dot" w:pos="9628"/>
            </w:tabs>
            <w:ind w:left="480"/>
            <w:rPr>
              <w:b w:val="0"/>
              <w:kern w:val="2"/>
              <w:sz w:val="21"/>
              <w:szCs w:val="22"/>
            </w:rPr>
          </w:pPr>
          <w:r>
            <w:fldChar w:fldCharType="begin"/>
          </w:r>
          <w:r>
            <w:instrText xml:space="preserve"> HYPERLINK \l "_Toc498524847" </w:instrText>
          </w:r>
          <w:r>
            <w:fldChar w:fldCharType="separate"/>
          </w:r>
          <w:r>
            <w:rPr>
              <w:rStyle w:val="23"/>
              <w:rFonts w:ascii="Arial" w:hAnsi="Arial" w:eastAsia="宋体" w:cs="Arial"/>
            </w:rPr>
            <w:t>14.</w:t>
          </w:r>
          <w:r>
            <w:rPr>
              <w:b w:val="0"/>
              <w:kern w:val="2"/>
              <w:sz w:val="21"/>
              <w:szCs w:val="22"/>
            </w:rPr>
            <w:tab/>
          </w:r>
          <w:r>
            <w:rPr>
              <w:rStyle w:val="23"/>
              <w:rFonts w:ascii="Arial" w:hAnsi="Arial" w:eastAsia="宋体" w:cs="Arial"/>
            </w:rPr>
            <w:t>FDA</w:t>
          </w:r>
          <w:r>
            <w:rPr>
              <w:rStyle w:val="23"/>
              <w:rFonts w:hint="eastAsia" w:ascii="Arial" w:hAnsi="Arial" w:eastAsia="宋体" w:cs="Arial"/>
            </w:rPr>
            <w:t>是否要求</w:t>
          </w:r>
          <w:r>
            <w:rPr>
              <w:rStyle w:val="23"/>
              <w:rFonts w:ascii="Arial" w:hAnsi="Arial" w:eastAsia="宋体" w:cs="Arial"/>
            </w:rPr>
            <w:t>IRB</w:t>
          </w:r>
          <w:r>
            <w:rPr>
              <w:rStyle w:val="23"/>
              <w:rFonts w:hint="eastAsia" w:ascii="Arial" w:hAnsi="Arial" w:eastAsia="宋体" w:cs="Arial"/>
            </w:rPr>
            <w:t>对合法上市的器械用于标签外的用途进行审查和批准？</w:t>
          </w:r>
          <w:r>
            <w:tab/>
          </w:r>
          <w:r>
            <w:fldChar w:fldCharType="begin"/>
          </w:r>
          <w:r>
            <w:instrText xml:space="preserve"> PAGEREF _Toc498524847 \h </w:instrText>
          </w:r>
          <w:r>
            <w:fldChar w:fldCharType="separate"/>
          </w:r>
          <w:r>
            <w:t>8</w:t>
          </w:r>
          <w:r>
            <w:fldChar w:fldCharType="end"/>
          </w:r>
          <w:r>
            <w:fldChar w:fldCharType="end"/>
          </w:r>
        </w:p>
        <w:p w14:paraId="076AB2B3">
          <w:pPr>
            <w:pStyle w:val="18"/>
            <w:tabs>
              <w:tab w:val="left" w:pos="1050"/>
              <w:tab w:val="right" w:leader="dot" w:pos="9628"/>
            </w:tabs>
            <w:ind w:left="480"/>
            <w:rPr>
              <w:b w:val="0"/>
              <w:kern w:val="2"/>
              <w:sz w:val="21"/>
              <w:szCs w:val="22"/>
            </w:rPr>
          </w:pPr>
          <w:r>
            <w:fldChar w:fldCharType="begin"/>
          </w:r>
          <w:r>
            <w:instrText xml:space="preserve"> HYPERLINK \l "_Toc498524848" </w:instrText>
          </w:r>
          <w:r>
            <w:fldChar w:fldCharType="separate"/>
          </w:r>
          <w:r>
            <w:rPr>
              <w:rStyle w:val="23"/>
              <w:rFonts w:ascii="Arial" w:hAnsi="Arial" w:eastAsia="宋体" w:cs="Arial"/>
            </w:rPr>
            <w:t>15.</w:t>
          </w:r>
          <w:r>
            <w:rPr>
              <w:b w:val="0"/>
              <w:kern w:val="2"/>
              <w:sz w:val="21"/>
              <w:szCs w:val="22"/>
            </w:rPr>
            <w:tab/>
          </w:r>
          <w:r>
            <w:rPr>
              <w:rStyle w:val="23"/>
              <w:rFonts w:hint="eastAsia" w:ascii="Arial" w:hAnsi="Arial" w:eastAsia="宋体" w:cs="Arial"/>
            </w:rPr>
            <w:t>向</w:t>
          </w:r>
          <w:r>
            <w:rPr>
              <w:rStyle w:val="23"/>
              <w:rFonts w:ascii="Arial" w:hAnsi="Arial" w:eastAsia="宋体" w:cs="Arial"/>
            </w:rPr>
            <w:t>FDA</w:t>
          </w:r>
          <w:r>
            <w:rPr>
              <w:rStyle w:val="23"/>
              <w:rFonts w:hint="eastAsia" w:ascii="Arial" w:hAnsi="Arial" w:eastAsia="宋体" w:cs="Arial"/>
            </w:rPr>
            <w:t>提交（</w:t>
          </w:r>
          <w:r>
            <w:rPr>
              <w:rStyle w:val="23"/>
              <w:rFonts w:ascii="Arial" w:hAnsi="Arial" w:eastAsia="宋体" w:cs="Arial"/>
            </w:rPr>
            <w:t>510</w:t>
          </w:r>
          <w:r>
            <w:rPr>
              <w:rStyle w:val="23"/>
              <w:rFonts w:hint="eastAsia" w:ascii="Arial" w:hAnsi="Arial" w:eastAsia="宋体" w:cs="Arial"/>
            </w:rPr>
            <w:t>（</w:t>
          </w:r>
          <w:r>
            <w:rPr>
              <w:rStyle w:val="23"/>
              <w:rFonts w:ascii="Arial" w:hAnsi="Arial" w:eastAsia="宋体" w:cs="Arial"/>
            </w:rPr>
            <w:t>k</w:t>
          </w:r>
          <w:r>
            <w:rPr>
              <w:rStyle w:val="23"/>
              <w:rFonts w:hint="eastAsia" w:ascii="Arial" w:hAnsi="Arial" w:eastAsia="宋体" w:cs="Arial"/>
            </w:rPr>
            <w:t>））后进行的研究，在</w:t>
          </w:r>
          <w:r>
            <w:rPr>
              <w:rStyle w:val="23"/>
              <w:rFonts w:ascii="Arial" w:hAnsi="Arial" w:eastAsia="宋体" w:cs="Arial"/>
            </w:rPr>
            <w:t>FDA</w:t>
          </w:r>
          <w:r>
            <w:rPr>
              <w:rStyle w:val="23"/>
              <w:rFonts w:hint="eastAsia" w:ascii="Arial" w:hAnsi="Arial" w:eastAsia="宋体" w:cs="Arial"/>
            </w:rPr>
            <w:t>对该提交做出决定之前，</w:t>
          </w:r>
          <w:r>
            <w:rPr>
              <w:rStyle w:val="23"/>
              <w:rFonts w:ascii="Arial" w:hAnsi="Arial" w:eastAsia="宋体" w:cs="Arial"/>
            </w:rPr>
            <w:t>IRB</w:t>
          </w:r>
          <w:r>
            <w:rPr>
              <w:rStyle w:val="23"/>
              <w:rFonts w:hint="eastAsia" w:ascii="Arial" w:hAnsi="Arial" w:eastAsia="宋体" w:cs="Arial"/>
            </w:rPr>
            <w:t>是否必须审查？</w:t>
          </w:r>
          <w:r>
            <w:tab/>
          </w:r>
          <w:r>
            <w:fldChar w:fldCharType="begin"/>
          </w:r>
          <w:r>
            <w:instrText xml:space="preserve"> PAGEREF _Toc498524848 \h </w:instrText>
          </w:r>
          <w:r>
            <w:fldChar w:fldCharType="separate"/>
          </w:r>
          <w:r>
            <w:t>9</w:t>
          </w:r>
          <w:r>
            <w:fldChar w:fldCharType="end"/>
          </w:r>
          <w:r>
            <w:fldChar w:fldCharType="end"/>
          </w:r>
        </w:p>
        <w:p w14:paraId="6B824BAA">
          <w:pPr>
            <w:pStyle w:val="18"/>
            <w:tabs>
              <w:tab w:val="left" w:pos="1050"/>
              <w:tab w:val="right" w:leader="dot" w:pos="9628"/>
            </w:tabs>
            <w:ind w:left="480"/>
            <w:rPr>
              <w:b w:val="0"/>
              <w:kern w:val="2"/>
              <w:sz w:val="21"/>
              <w:szCs w:val="22"/>
            </w:rPr>
          </w:pPr>
          <w:r>
            <w:fldChar w:fldCharType="begin"/>
          </w:r>
          <w:r>
            <w:instrText xml:space="preserve"> HYPERLINK \l "_Toc498524849" </w:instrText>
          </w:r>
          <w:r>
            <w:fldChar w:fldCharType="separate"/>
          </w:r>
          <w:r>
            <w:rPr>
              <w:rStyle w:val="23"/>
              <w:rFonts w:ascii="Arial" w:hAnsi="Arial" w:eastAsia="宋体" w:cs="Arial"/>
            </w:rPr>
            <w:t>16.</w:t>
          </w:r>
          <w:r>
            <w:rPr>
              <w:b w:val="0"/>
              <w:kern w:val="2"/>
              <w:sz w:val="21"/>
              <w:szCs w:val="22"/>
            </w:rPr>
            <w:tab/>
          </w:r>
          <w:r>
            <w:rPr>
              <w:rStyle w:val="23"/>
              <w:rFonts w:hint="eastAsia" w:ascii="Arial" w:hAnsi="Arial" w:eastAsia="宋体" w:cs="Arial"/>
            </w:rPr>
            <w:t>医生在紧急情况下是否可以使用未经批准的器械？</w:t>
          </w:r>
          <w:r>
            <w:tab/>
          </w:r>
          <w:r>
            <w:fldChar w:fldCharType="begin"/>
          </w:r>
          <w:r>
            <w:instrText xml:space="preserve"> PAGEREF _Toc498524849 \h </w:instrText>
          </w:r>
          <w:r>
            <w:fldChar w:fldCharType="separate"/>
          </w:r>
          <w:r>
            <w:t>9</w:t>
          </w:r>
          <w:r>
            <w:fldChar w:fldCharType="end"/>
          </w:r>
          <w:r>
            <w:fldChar w:fldCharType="end"/>
          </w:r>
        </w:p>
        <w:p w14:paraId="09FA9338">
          <w:pPr>
            <w:pStyle w:val="18"/>
            <w:tabs>
              <w:tab w:val="left" w:pos="1050"/>
              <w:tab w:val="right" w:leader="dot" w:pos="9628"/>
            </w:tabs>
            <w:ind w:left="480"/>
            <w:rPr>
              <w:b w:val="0"/>
              <w:kern w:val="2"/>
              <w:sz w:val="21"/>
              <w:szCs w:val="22"/>
            </w:rPr>
          </w:pPr>
          <w:r>
            <w:fldChar w:fldCharType="begin"/>
          </w:r>
          <w:r>
            <w:instrText xml:space="preserve"> HYPERLINK \l "_Toc498524850" </w:instrText>
          </w:r>
          <w:r>
            <w:fldChar w:fldCharType="separate"/>
          </w:r>
          <w:r>
            <w:rPr>
              <w:rStyle w:val="23"/>
              <w:rFonts w:ascii="Arial" w:hAnsi="Arial" w:eastAsia="宋体" w:cs="Arial"/>
            </w:rPr>
            <w:t>17.</w:t>
          </w:r>
          <w:r>
            <w:rPr>
              <w:b w:val="0"/>
              <w:kern w:val="2"/>
              <w:sz w:val="21"/>
              <w:szCs w:val="22"/>
            </w:rPr>
            <w:tab/>
          </w:r>
          <w:r>
            <w:rPr>
              <w:rStyle w:val="23"/>
              <w:rFonts w:hint="eastAsia" w:ascii="Arial" w:hAnsi="Arial" w:eastAsia="宋体" w:cs="Arial"/>
            </w:rPr>
            <w:t>如果情况并非紧急情况怎么办？患有严重的疾病或病症的患者是否可以在研究外使用研究用器械？</w:t>
          </w:r>
          <w:r>
            <w:tab/>
          </w:r>
          <w:r>
            <w:fldChar w:fldCharType="begin"/>
          </w:r>
          <w:r>
            <w:instrText xml:space="preserve"> PAGEREF _Toc498524850 \h </w:instrText>
          </w:r>
          <w:r>
            <w:fldChar w:fldCharType="separate"/>
          </w:r>
          <w:r>
            <w:t>10</w:t>
          </w:r>
          <w:r>
            <w:fldChar w:fldCharType="end"/>
          </w:r>
          <w:r>
            <w:fldChar w:fldCharType="end"/>
          </w:r>
        </w:p>
        <w:p w14:paraId="15B3F8F7">
          <w:pPr>
            <w:pStyle w:val="18"/>
            <w:tabs>
              <w:tab w:val="left" w:pos="1050"/>
              <w:tab w:val="right" w:leader="dot" w:pos="9628"/>
            </w:tabs>
            <w:ind w:left="480"/>
            <w:rPr>
              <w:b w:val="0"/>
              <w:kern w:val="2"/>
              <w:sz w:val="21"/>
              <w:szCs w:val="22"/>
            </w:rPr>
          </w:pPr>
          <w:r>
            <w:fldChar w:fldCharType="begin"/>
          </w:r>
          <w:r>
            <w:instrText xml:space="preserve"> HYPERLINK \l "_Toc498524851" </w:instrText>
          </w:r>
          <w:r>
            <w:fldChar w:fldCharType="separate"/>
          </w:r>
          <w:r>
            <w:rPr>
              <w:rStyle w:val="23"/>
              <w:rFonts w:ascii="Arial" w:hAnsi="Arial" w:eastAsia="宋体" w:cs="Arial"/>
            </w:rPr>
            <w:t>18.</w:t>
          </w:r>
          <w:r>
            <w:rPr>
              <w:b w:val="0"/>
              <w:kern w:val="2"/>
              <w:sz w:val="21"/>
              <w:szCs w:val="22"/>
            </w:rPr>
            <w:tab/>
          </w:r>
          <w:r>
            <w:rPr>
              <w:rStyle w:val="23"/>
              <w:rFonts w:hint="eastAsia" w:ascii="Arial" w:hAnsi="Arial" w:eastAsia="宋体" w:cs="Arial"/>
            </w:rPr>
            <w:t>定制器械的定义是什么？</w:t>
          </w:r>
          <w:r>
            <w:tab/>
          </w:r>
          <w:r>
            <w:fldChar w:fldCharType="begin"/>
          </w:r>
          <w:r>
            <w:instrText xml:space="preserve"> PAGEREF _Toc498524851 \h </w:instrText>
          </w:r>
          <w:r>
            <w:fldChar w:fldCharType="separate"/>
          </w:r>
          <w:r>
            <w:t>11</w:t>
          </w:r>
          <w:r>
            <w:fldChar w:fldCharType="end"/>
          </w:r>
          <w:r>
            <w:fldChar w:fldCharType="end"/>
          </w:r>
        </w:p>
        <w:p w14:paraId="2C319359">
          <w:pPr>
            <w:pStyle w:val="18"/>
            <w:tabs>
              <w:tab w:val="left" w:pos="1050"/>
              <w:tab w:val="right" w:leader="dot" w:pos="9628"/>
            </w:tabs>
            <w:ind w:left="480"/>
            <w:rPr>
              <w:b w:val="0"/>
              <w:kern w:val="2"/>
              <w:sz w:val="21"/>
              <w:szCs w:val="22"/>
            </w:rPr>
          </w:pPr>
          <w:r>
            <w:fldChar w:fldCharType="begin"/>
          </w:r>
          <w:r>
            <w:instrText xml:space="preserve"> HYPERLINK \l "_Toc498524852" </w:instrText>
          </w:r>
          <w:r>
            <w:fldChar w:fldCharType="separate"/>
          </w:r>
          <w:r>
            <w:rPr>
              <w:rStyle w:val="23"/>
              <w:rFonts w:ascii="Arial" w:hAnsi="Arial" w:eastAsia="宋体" w:cs="Arial"/>
            </w:rPr>
            <w:t>19.</w:t>
          </w:r>
          <w:r>
            <w:rPr>
              <w:b w:val="0"/>
              <w:kern w:val="2"/>
              <w:sz w:val="21"/>
              <w:szCs w:val="22"/>
            </w:rPr>
            <w:tab/>
          </w:r>
          <w:r>
            <w:rPr>
              <w:rStyle w:val="23"/>
              <w:rFonts w:ascii="Arial" w:hAnsi="Arial" w:eastAsia="宋体" w:cs="Arial"/>
            </w:rPr>
            <w:t>IRB</w:t>
          </w:r>
          <w:r>
            <w:rPr>
              <w:rStyle w:val="23"/>
              <w:rFonts w:hint="eastAsia" w:ascii="Arial" w:hAnsi="Arial" w:eastAsia="宋体" w:cs="Arial"/>
            </w:rPr>
            <w:t>是否需要审查定制使用？</w:t>
          </w:r>
          <w:r>
            <w:tab/>
          </w:r>
          <w:r>
            <w:fldChar w:fldCharType="begin"/>
          </w:r>
          <w:r>
            <w:instrText xml:space="preserve"> PAGEREF _Toc498524852 \h </w:instrText>
          </w:r>
          <w:r>
            <w:fldChar w:fldCharType="separate"/>
          </w:r>
          <w:r>
            <w:t>11</w:t>
          </w:r>
          <w:r>
            <w:fldChar w:fldCharType="end"/>
          </w:r>
          <w:r>
            <w:fldChar w:fldCharType="end"/>
          </w:r>
        </w:p>
        <w:p w14:paraId="27A04D71">
          <w:r>
            <w:rPr>
              <w:b/>
            </w:rPr>
            <w:fldChar w:fldCharType="end"/>
          </w:r>
        </w:p>
      </w:sdtContent>
    </w:sdt>
    <w:p w14:paraId="596CD95D">
      <w:pPr>
        <w:spacing w:line="300" w:lineRule="auto"/>
        <w:jc w:val="both"/>
        <w:rPr>
          <w:rFonts w:ascii="Arial" w:hAnsi="Arial" w:eastAsia="宋体" w:cs="Arial"/>
          <w:b/>
          <w:sz w:val="36"/>
          <w:szCs w:val="36"/>
        </w:rPr>
        <w:sectPr>
          <w:headerReference r:id="rId5" w:type="default"/>
          <w:pgSz w:w="11906" w:h="16838"/>
          <w:pgMar w:top="1134" w:right="1134" w:bottom="1134" w:left="1134" w:header="851" w:footer="992" w:gutter="0"/>
          <w:cols w:space="425" w:num="1"/>
          <w:docGrid w:type="lines" w:linePitch="326" w:charSpace="0"/>
        </w:sectPr>
      </w:pPr>
    </w:p>
    <w:p w14:paraId="766AD6E2">
      <w:pPr>
        <w:spacing w:line="300" w:lineRule="auto"/>
        <w:jc w:val="center"/>
        <w:rPr>
          <w:rFonts w:ascii="Arial" w:hAnsi="Arial" w:eastAsia="宋体" w:cs="Arial"/>
          <w:b/>
          <w:sz w:val="44"/>
          <w:szCs w:val="44"/>
        </w:rPr>
      </w:pPr>
      <w:r>
        <w:rPr>
          <w:rFonts w:ascii="Arial" w:hAnsi="Arial" w:eastAsia="宋体" w:cs="Arial"/>
          <w:b/>
          <w:sz w:val="44"/>
          <w:szCs w:val="44"/>
        </w:rPr>
        <w:t>IRB</w:t>
      </w:r>
      <w:r>
        <w:rPr>
          <w:rFonts w:hint="eastAsia" w:ascii="Arial" w:hAnsi="Arial" w:eastAsia="宋体" w:cs="Arial"/>
          <w:b/>
          <w:sz w:val="44"/>
          <w:szCs w:val="44"/>
        </w:rPr>
        <w:t>、</w:t>
      </w:r>
      <w:r>
        <w:rPr>
          <w:rFonts w:ascii="Arial" w:hAnsi="Arial" w:eastAsia="宋体" w:cs="Arial"/>
          <w:b/>
          <w:sz w:val="44"/>
          <w:szCs w:val="44"/>
        </w:rPr>
        <w:t>临床研究者和申办方信息表指南</w:t>
      </w:r>
      <w:r>
        <w:rPr>
          <w:rStyle w:val="24"/>
          <w:rFonts w:ascii="Arial" w:hAnsi="Arial" w:eastAsia="宋体" w:cs="Arial"/>
          <w:b/>
          <w:sz w:val="44"/>
          <w:szCs w:val="44"/>
        </w:rPr>
        <w:footnoteReference w:id="0"/>
      </w:r>
      <w:r>
        <w:rPr>
          <w:rFonts w:hint="eastAsia" w:ascii="Arial" w:hAnsi="Arial" w:eastAsia="宋体" w:cs="Arial"/>
          <w:b/>
          <w:sz w:val="44"/>
          <w:szCs w:val="44"/>
        </w:rPr>
        <w:br w:type="textWrapping"/>
      </w:r>
      <w:r>
        <w:rPr>
          <w:rFonts w:ascii="Arial" w:hAnsi="Arial" w:eastAsia="宋体" w:cs="Arial"/>
          <w:b/>
          <w:sz w:val="44"/>
          <w:szCs w:val="44"/>
        </w:rPr>
        <w:t>关于医疗器械的常见问题</w:t>
      </w:r>
    </w:p>
    <w:p w14:paraId="6B52164D">
      <w:pPr>
        <w:spacing w:line="300" w:lineRule="auto"/>
        <w:jc w:val="both"/>
        <w:rPr>
          <w:rFonts w:ascii="Arial" w:hAnsi="Arial" w:eastAsia="宋体" w:cs="Arial"/>
        </w:rPr>
      </w:pPr>
    </w:p>
    <w:p w14:paraId="706782DF">
      <w:pPr>
        <w:spacing w:line="300" w:lineRule="auto"/>
        <w:jc w:val="both"/>
        <w:rPr>
          <w:rFonts w:ascii="Arial" w:hAnsi="Arial" w:eastAsia="宋体" w:cs="Arial"/>
        </w:rPr>
      </w:pPr>
    </w:p>
    <w:p w14:paraId="3D8FAB06">
      <w:pPr>
        <w:spacing w:line="300" w:lineRule="auto"/>
        <w:jc w:val="both"/>
        <w:rPr>
          <w:rFonts w:ascii="Arial" w:hAnsi="Arial" w:eastAsia="宋体" w:cs="Arial"/>
        </w:rPr>
      </w:pPr>
    </w:p>
    <w:tbl>
      <w:tblPr>
        <w:tblStyle w:val="20"/>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4EEF7B80">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1814" w:hRule="atLeast"/>
        </w:trPr>
        <w:tc>
          <w:tcPr>
            <w:tcW w:w="5000" w:type="pct"/>
          </w:tcPr>
          <w:p w14:paraId="53FC97AF">
            <w:pPr>
              <w:pStyle w:val="44"/>
              <w:shd w:val="clear" w:color="auto" w:fill="auto"/>
              <w:spacing w:before="163" w:beforeLines="50" w:after="163" w:afterLines="50" w:line="300" w:lineRule="auto"/>
              <w:jc w:val="both"/>
              <w:rPr>
                <w:rFonts w:ascii="Arial" w:hAnsi="Arial" w:eastAsia="宋体" w:cs="Arial"/>
                <w:b w:val="0"/>
                <w:sz w:val="24"/>
                <w:szCs w:val="24"/>
              </w:rPr>
            </w:pPr>
            <w:r>
              <w:rPr>
                <w:rFonts w:ascii="Arial" w:hAnsi="Arial" w:eastAsia="宋体" w:cs="Arial"/>
                <w:b w:val="0"/>
                <w:sz w:val="24"/>
                <w:szCs w:val="24"/>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1B2640BA">
      <w:pPr>
        <w:pStyle w:val="44"/>
        <w:shd w:val="clear" w:color="auto" w:fill="auto"/>
        <w:spacing w:after="0" w:line="300" w:lineRule="auto"/>
        <w:jc w:val="both"/>
        <w:rPr>
          <w:rFonts w:ascii="Arial" w:hAnsi="Arial" w:eastAsia="宋体" w:cs="Arial"/>
          <w:sz w:val="30"/>
          <w:szCs w:val="30"/>
        </w:rPr>
      </w:pPr>
    </w:p>
    <w:p w14:paraId="7C394301">
      <w:pPr>
        <w:pStyle w:val="44"/>
        <w:shd w:val="clear" w:color="auto" w:fill="auto"/>
        <w:spacing w:after="0" w:line="300" w:lineRule="auto"/>
        <w:jc w:val="both"/>
        <w:rPr>
          <w:rFonts w:ascii="Arial" w:hAnsi="Arial" w:eastAsia="宋体" w:cs="Arial"/>
          <w:sz w:val="30"/>
          <w:szCs w:val="30"/>
        </w:rPr>
      </w:pPr>
    </w:p>
    <w:p w14:paraId="600B6955">
      <w:pPr>
        <w:pStyle w:val="44"/>
        <w:shd w:val="clear" w:color="auto" w:fill="auto"/>
        <w:spacing w:after="0" w:line="300" w:lineRule="auto"/>
        <w:jc w:val="both"/>
        <w:rPr>
          <w:rFonts w:ascii="Arial" w:hAnsi="Arial" w:eastAsia="宋体" w:cs="Arial"/>
          <w:sz w:val="30"/>
          <w:szCs w:val="30"/>
        </w:rPr>
      </w:pPr>
    </w:p>
    <w:p w14:paraId="074A9081">
      <w:pPr>
        <w:pStyle w:val="44"/>
        <w:numPr>
          <w:ilvl w:val="0"/>
          <w:numId w:val="2"/>
        </w:numPr>
        <w:shd w:val="clear" w:color="auto" w:fill="auto"/>
        <w:spacing w:after="163" w:afterLines="50" w:line="300" w:lineRule="auto"/>
        <w:jc w:val="both"/>
        <w:outlineLvl w:val="0"/>
        <w:rPr>
          <w:rFonts w:ascii="Arial" w:hAnsi="Arial" w:eastAsia="宋体" w:cs="Arial"/>
          <w:sz w:val="30"/>
          <w:szCs w:val="30"/>
        </w:rPr>
      </w:pPr>
      <w:bookmarkStart w:id="0" w:name="_Toc498524829"/>
      <w:r>
        <w:rPr>
          <w:rFonts w:ascii="Arial" w:hAnsi="Arial" w:eastAsia="宋体" w:cs="Arial"/>
          <w:sz w:val="30"/>
          <w:szCs w:val="30"/>
        </w:rPr>
        <w:t>简介</w:t>
      </w:r>
      <w:bookmarkEnd w:id="0"/>
    </w:p>
    <w:p w14:paraId="53C5B431">
      <w:pPr>
        <w:spacing w:after="163" w:afterLines="50" w:line="300" w:lineRule="auto"/>
        <w:jc w:val="both"/>
        <w:rPr>
          <w:rFonts w:ascii="Arial" w:hAnsi="Arial" w:eastAsia="宋体" w:cs="Arial"/>
        </w:rPr>
      </w:pPr>
      <w:r>
        <w:rPr>
          <w:rFonts w:ascii="Arial" w:hAnsi="Arial" w:eastAsia="宋体" w:cs="Arial"/>
        </w:rPr>
        <w:t>本指南旨在通过回答FDA收到的有关医疗器械的常见问题，</w:t>
      </w:r>
      <w:r>
        <w:rPr>
          <w:rFonts w:hint="eastAsia" w:ascii="Arial" w:hAnsi="Arial" w:eastAsia="宋体" w:cs="Arial"/>
        </w:rPr>
        <w:t>用于</w:t>
      </w:r>
      <w:r>
        <w:rPr>
          <w:rFonts w:ascii="Arial" w:hAnsi="Arial" w:eastAsia="宋体" w:cs="Arial"/>
        </w:rPr>
        <w:t>帮助临床研究者和机构审查委员会（IRB）。该文件取代了</w:t>
      </w:r>
      <w:r>
        <w:rPr>
          <w:rFonts w:ascii="宋体" w:hAnsi="宋体" w:eastAsia="宋体" w:cs="Arial"/>
          <w:i/>
        </w:rPr>
        <w:t>“</w:t>
      </w:r>
      <w:r>
        <w:rPr>
          <w:rFonts w:ascii="Arial" w:hAnsi="Arial" w:eastAsia="宋体" w:cs="Arial"/>
          <w:i/>
        </w:rPr>
        <w:t>医疗器械，关于医疗器械IRB的常见问题及未经批准的医疗器械的紧急使用（1998年9月），</w:t>
      </w:r>
      <w:r>
        <w:rPr>
          <w:rFonts w:ascii="Arial" w:hAnsi="Arial" w:eastAsia="宋体" w:cs="Arial"/>
        </w:rPr>
        <w:t>卫生事务办公室，食品药品监督管理局</w:t>
      </w:r>
      <w:r>
        <w:rPr>
          <w:rFonts w:ascii="宋体" w:hAnsi="宋体" w:eastAsia="宋体" w:cs="Arial"/>
        </w:rPr>
        <w:t>”</w:t>
      </w:r>
      <w:r>
        <w:rPr>
          <w:rFonts w:ascii="Arial" w:hAnsi="Arial" w:eastAsia="宋体" w:cs="Arial"/>
        </w:rPr>
        <w:t>。该文件经过修订，使其符合本机构</w:t>
      </w:r>
      <w:r>
        <w:rPr>
          <w:rFonts w:ascii="宋体" w:hAnsi="宋体" w:eastAsia="宋体" w:cs="Arial"/>
        </w:rPr>
        <w:t>“</w:t>
      </w:r>
      <w:r>
        <w:rPr>
          <w:rFonts w:ascii="Arial" w:hAnsi="Arial" w:eastAsia="宋体" w:cs="Arial"/>
        </w:rPr>
        <w:t>良好</w:t>
      </w:r>
      <w:r>
        <w:rPr>
          <w:rFonts w:hint="eastAsia" w:ascii="Arial" w:hAnsi="Arial" w:eastAsia="宋体" w:cs="Arial"/>
        </w:rPr>
        <w:t>指南规范</w:t>
      </w:r>
      <w:r>
        <w:rPr>
          <w:rFonts w:ascii="宋体" w:hAnsi="宋体" w:eastAsia="宋体" w:cs="Arial"/>
        </w:rPr>
        <w:t>”</w:t>
      </w:r>
      <w:r>
        <w:rPr>
          <w:rFonts w:ascii="Arial" w:hAnsi="Arial" w:eastAsia="宋体" w:cs="Arial"/>
        </w:rPr>
        <w:t>的规定（21 CFR 10.115）。</w:t>
      </w:r>
    </w:p>
    <w:p w14:paraId="7DEFF9D8">
      <w:pPr>
        <w:spacing w:after="163" w:afterLines="50" w:line="300" w:lineRule="auto"/>
        <w:jc w:val="both"/>
        <w:rPr>
          <w:rFonts w:ascii="Arial" w:hAnsi="Arial" w:eastAsia="宋体" w:cs="Arial"/>
          <w:szCs w:val="24"/>
        </w:rPr>
      </w:pPr>
      <w:r>
        <w:rPr>
          <w:rFonts w:hint="eastAsia" w:ascii="Arial" w:hAnsi="Arial" w:eastAsia="宋体" w:cs="Arial"/>
          <w:szCs w:val="24"/>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3757B536">
      <w:pPr>
        <w:spacing w:after="163" w:afterLines="50" w:line="300" w:lineRule="auto"/>
        <w:jc w:val="both"/>
        <w:rPr>
          <w:rFonts w:ascii="Arial" w:hAnsi="Arial" w:eastAsia="宋体" w:cs="Arial"/>
        </w:rPr>
      </w:pPr>
    </w:p>
    <w:p w14:paraId="0997B54B">
      <w:pPr>
        <w:pStyle w:val="44"/>
        <w:numPr>
          <w:ilvl w:val="0"/>
          <w:numId w:val="2"/>
        </w:numPr>
        <w:shd w:val="clear" w:color="auto" w:fill="auto"/>
        <w:spacing w:after="163" w:afterLines="50" w:line="300" w:lineRule="auto"/>
        <w:jc w:val="both"/>
        <w:outlineLvl w:val="0"/>
        <w:rPr>
          <w:rFonts w:ascii="Arial" w:hAnsi="Arial" w:eastAsia="宋体" w:cs="Arial"/>
          <w:sz w:val="30"/>
          <w:szCs w:val="30"/>
        </w:rPr>
      </w:pPr>
      <w:bookmarkStart w:id="1" w:name="_Toc498524830"/>
      <w:r>
        <w:rPr>
          <w:rFonts w:ascii="Arial" w:hAnsi="Arial" w:eastAsia="宋体" w:cs="Arial"/>
          <w:sz w:val="30"/>
          <w:szCs w:val="30"/>
        </w:rPr>
        <w:t>关于医疗器械的常见问题</w:t>
      </w:r>
      <w:bookmarkEnd w:id="1"/>
    </w:p>
    <w:p w14:paraId="010A26E0">
      <w:pPr>
        <w:adjustRightInd/>
        <w:snapToGrid/>
        <w:spacing w:line="240" w:lineRule="auto"/>
        <w:rPr>
          <w:rFonts w:ascii="Arial" w:hAnsi="Arial" w:eastAsia="宋体" w:cs="Arial"/>
          <w:b/>
        </w:rPr>
      </w:pPr>
      <w:r>
        <w:rPr>
          <w:rFonts w:ascii="Arial" w:hAnsi="Arial" w:eastAsia="宋体" w:cs="Arial"/>
          <w:b/>
        </w:rPr>
        <w:br w:type="page"/>
      </w:r>
    </w:p>
    <w:p w14:paraId="475181C8">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 w:name="_Toc498524831"/>
      <w:r>
        <w:rPr>
          <w:rFonts w:ascii="Arial" w:hAnsi="Arial" w:eastAsia="宋体" w:cs="Arial"/>
          <w:b/>
        </w:rPr>
        <w:t>什么是医疗器械？</w:t>
      </w:r>
      <w:bookmarkEnd w:id="2"/>
    </w:p>
    <w:p w14:paraId="148C6D1A">
      <w:pPr>
        <w:spacing w:after="163" w:afterLines="50" w:line="300" w:lineRule="auto"/>
        <w:jc w:val="both"/>
        <w:rPr>
          <w:rFonts w:ascii="Arial" w:hAnsi="Arial" w:eastAsia="宋体" w:cs="Arial"/>
        </w:rPr>
      </w:pPr>
      <w:r>
        <w:rPr>
          <w:rFonts w:ascii="Arial" w:hAnsi="Arial" w:eastAsia="宋体" w:cs="Arial"/>
        </w:rPr>
        <w:t>医疗器械是</w:t>
      </w:r>
      <w:r>
        <w:rPr>
          <w:rFonts w:hint="eastAsia" w:ascii="Arial" w:hAnsi="Arial" w:eastAsia="宋体" w:cs="Arial"/>
        </w:rPr>
        <w:t>工具</w:t>
      </w:r>
      <w:r>
        <w:rPr>
          <w:rFonts w:ascii="Arial" w:hAnsi="Arial" w:eastAsia="宋体" w:cs="Arial"/>
        </w:rPr>
        <w:t>、设备、</w:t>
      </w:r>
      <w:r>
        <w:rPr>
          <w:rFonts w:hint="eastAsia" w:ascii="Arial" w:hAnsi="Arial" w:eastAsia="宋体" w:cs="Arial"/>
        </w:rPr>
        <w:t>器具</w:t>
      </w:r>
      <w:r>
        <w:rPr>
          <w:rFonts w:ascii="Arial" w:hAnsi="Arial" w:eastAsia="宋体" w:cs="Arial"/>
        </w:rPr>
        <w:t>、</w:t>
      </w:r>
      <w:r>
        <w:rPr>
          <w:rFonts w:hint="eastAsia" w:ascii="Arial" w:hAnsi="Arial" w:eastAsia="宋体" w:cs="Arial"/>
        </w:rPr>
        <w:t>机器</w:t>
      </w:r>
      <w:r>
        <w:rPr>
          <w:rFonts w:ascii="Arial" w:hAnsi="Arial" w:eastAsia="宋体" w:cs="Arial"/>
        </w:rPr>
        <w:t>、装置、植入物、体外试剂或其他类似或相关的物品，包括任何组件、部件或</w:t>
      </w:r>
      <w:r>
        <w:rPr>
          <w:rFonts w:hint="eastAsia" w:ascii="Arial" w:hAnsi="Arial" w:eastAsia="宋体" w:cs="Arial"/>
        </w:rPr>
        <w:t>附件</w:t>
      </w:r>
      <w:r>
        <w:rPr>
          <w:rFonts w:ascii="Arial" w:hAnsi="Arial" w:eastAsia="宋体" w:cs="Arial"/>
        </w:rPr>
        <w:t>，</w:t>
      </w:r>
      <w:r>
        <w:rPr>
          <w:rFonts w:hint="eastAsia" w:ascii="Arial" w:hAnsi="Arial" w:eastAsia="宋体" w:cs="Arial"/>
        </w:rPr>
        <w:t>其</w:t>
      </w:r>
      <w:r>
        <w:rPr>
          <w:rFonts w:ascii="Arial" w:hAnsi="Arial" w:eastAsia="宋体" w:cs="Arial"/>
        </w:rPr>
        <w:t xml:space="preserve">是 ꟷ </w:t>
      </w:r>
    </w:p>
    <w:p w14:paraId="0C09C183">
      <w:pPr>
        <w:pStyle w:val="35"/>
        <w:widowControl w:val="0"/>
        <w:numPr>
          <w:ilvl w:val="0"/>
          <w:numId w:val="3"/>
        </w:numPr>
        <w:tabs>
          <w:tab w:val="left" w:pos="695"/>
        </w:tabs>
        <w:spacing w:after="163" w:afterLines="50" w:line="300" w:lineRule="auto"/>
        <w:ind w:left="420" w:firstLineChars="0"/>
        <w:jc w:val="both"/>
        <w:rPr>
          <w:rFonts w:ascii="Arial" w:hAnsi="Arial" w:eastAsia="宋体" w:cs="Arial"/>
        </w:rPr>
      </w:pPr>
      <w:r>
        <w:rPr>
          <w:rFonts w:ascii="Arial" w:hAnsi="Arial" w:eastAsia="宋体" w:cs="Arial"/>
        </w:rPr>
        <w:t>在官方的国家处方集、或美国药典、或其任何增补本中认可的，</w:t>
      </w:r>
    </w:p>
    <w:p w14:paraId="1BECA71C">
      <w:pPr>
        <w:pStyle w:val="35"/>
        <w:widowControl w:val="0"/>
        <w:numPr>
          <w:ilvl w:val="0"/>
          <w:numId w:val="3"/>
        </w:numPr>
        <w:tabs>
          <w:tab w:val="left" w:pos="695"/>
        </w:tabs>
        <w:spacing w:after="163" w:afterLines="50" w:line="300" w:lineRule="auto"/>
        <w:ind w:left="420" w:firstLineChars="0"/>
        <w:jc w:val="both"/>
        <w:rPr>
          <w:rFonts w:ascii="Arial" w:hAnsi="Arial" w:eastAsia="宋体" w:cs="Arial"/>
        </w:rPr>
      </w:pPr>
      <w:r>
        <w:rPr>
          <w:rFonts w:ascii="Arial" w:hAnsi="Arial" w:eastAsia="宋体" w:cs="Arial"/>
        </w:rPr>
        <w:t>旨在用于诊断疾病或其他病症，或用于治愈、缓解、治疗或预防疾病，用于人</w:t>
      </w:r>
      <w:r>
        <w:rPr>
          <w:rFonts w:hint="eastAsia" w:ascii="Arial" w:hAnsi="Arial" w:eastAsia="宋体" w:cs="Arial"/>
        </w:rPr>
        <w:t>类</w:t>
      </w:r>
      <w:r>
        <w:rPr>
          <w:rFonts w:ascii="Arial" w:hAnsi="Arial" w:eastAsia="宋体" w:cs="Arial"/>
        </w:rPr>
        <w:t>或其他动物，或</w:t>
      </w:r>
    </w:p>
    <w:p w14:paraId="211F3A6D">
      <w:pPr>
        <w:pStyle w:val="35"/>
        <w:widowControl w:val="0"/>
        <w:numPr>
          <w:ilvl w:val="0"/>
          <w:numId w:val="3"/>
        </w:numPr>
        <w:tabs>
          <w:tab w:val="left" w:pos="695"/>
        </w:tabs>
        <w:spacing w:after="163" w:afterLines="50" w:line="300" w:lineRule="auto"/>
        <w:ind w:left="420" w:firstLineChars="0"/>
        <w:jc w:val="both"/>
        <w:rPr>
          <w:rFonts w:ascii="Arial" w:hAnsi="Arial" w:eastAsia="宋体" w:cs="Arial"/>
        </w:rPr>
      </w:pPr>
      <w:r>
        <w:rPr>
          <w:rFonts w:ascii="Arial" w:hAnsi="Arial" w:eastAsia="宋体" w:cs="Arial"/>
        </w:rPr>
        <w:t>旨在影响人</w:t>
      </w:r>
      <w:r>
        <w:rPr>
          <w:rFonts w:hint="eastAsia" w:ascii="Arial" w:hAnsi="Arial" w:eastAsia="宋体" w:cs="Arial"/>
        </w:rPr>
        <w:t>类</w:t>
      </w:r>
      <w:r>
        <w:rPr>
          <w:rFonts w:ascii="Arial" w:hAnsi="Arial" w:eastAsia="宋体" w:cs="Arial"/>
        </w:rPr>
        <w:t>或其他动物身体的结构或某些功能，而这些无法通过人</w:t>
      </w:r>
      <w:r>
        <w:rPr>
          <w:rFonts w:hint="eastAsia" w:ascii="Arial" w:hAnsi="Arial" w:eastAsia="宋体" w:cs="Arial"/>
        </w:rPr>
        <w:t>类</w:t>
      </w:r>
      <w:r>
        <w:rPr>
          <w:rFonts w:ascii="Arial" w:hAnsi="Arial" w:eastAsia="宋体" w:cs="Arial"/>
        </w:rPr>
        <w:t>或其他动物体内或身体上的化学作用而达到主要的预期目的，且不依赖于代谢而实现其主要的预期目的（21 USC 321（h））。</w:t>
      </w:r>
    </w:p>
    <w:p w14:paraId="31901D0C">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3" w:name="_Toc498524832"/>
      <w:r>
        <w:rPr>
          <w:rFonts w:ascii="Arial" w:hAnsi="Arial" w:eastAsia="宋体" w:cs="Arial"/>
          <w:b/>
        </w:rPr>
        <w:t>FDA对医疗器械怎样分类？</w:t>
      </w:r>
      <w:bookmarkEnd w:id="3"/>
    </w:p>
    <w:p w14:paraId="789E877C">
      <w:pPr>
        <w:spacing w:after="163" w:afterLines="50" w:line="300" w:lineRule="auto"/>
        <w:jc w:val="both"/>
        <w:rPr>
          <w:rFonts w:ascii="Arial" w:hAnsi="Arial" w:eastAsia="宋体" w:cs="Arial"/>
        </w:rPr>
      </w:pPr>
      <w:r>
        <w:rPr>
          <w:rFonts w:ascii="Arial" w:hAnsi="Arial" w:eastAsia="宋体" w:cs="Arial"/>
        </w:rPr>
        <w:t>根据</w:t>
      </w:r>
      <w:r>
        <w:rPr>
          <w:rFonts w:ascii="宋体" w:hAnsi="宋体" w:eastAsia="宋体" w:cs="Arial"/>
        </w:rPr>
        <w:t>“</w:t>
      </w:r>
      <w:r>
        <w:rPr>
          <w:rFonts w:ascii="Arial" w:hAnsi="Arial" w:eastAsia="宋体" w:cs="Arial"/>
        </w:rPr>
        <w:t>联邦食品、药品和化妆品法案</w:t>
      </w:r>
      <w:r>
        <w:rPr>
          <w:rFonts w:ascii="宋体" w:hAnsi="宋体" w:eastAsia="宋体" w:cs="Arial"/>
        </w:rPr>
        <w:t>”</w:t>
      </w:r>
      <w:r>
        <w:rPr>
          <w:rFonts w:ascii="Arial" w:hAnsi="Arial" w:eastAsia="宋体" w:cs="Arial"/>
        </w:rPr>
        <w:t>，FDA</w:t>
      </w:r>
      <w:r>
        <w:rPr>
          <w:rFonts w:hint="eastAsia" w:ascii="Arial" w:hAnsi="Arial" w:eastAsia="宋体" w:cs="Arial"/>
        </w:rPr>
        <w:t>根据管控级别</w:t>
      </w:r>
      <w:r>
        <w:rPr>
          <w:rFonts w:ascii="Arial" w:hAnsi="Arial" w:eastAsia="宋体" w:cs="Arial"/>
        </w:rPr>
        <w:t>将所有医疗器械</w:t>
      </w:r>
      <w:r>
        <w:rPr>
          <w:rFonts w:hint="eastAsia" w:ascii="Arial" w:hAnsi="Arial" w:eastAsia="宋体" w:cs="Arial"/>
        </w:rPr>
        <w:t>纳入</w:t>
      </w:r>
      <w:r>
        <w:rPr>
          <w:rFonts w:ascii="Arial" w:hAnsi="Arial" w:eastAsia="宋体" w:cs="Arial"/>
        </w:rPr>
        <w:t>三个监管类别</w:t>
      </w:r>
      <w:r>
        <w:rPr>
          <w:rFonts w:hint="eastAsia" w:ascii="Arial" w:hAnsi="Arial" w:eastAsia="宋体" w:cs="Arial"/>
        </w:rPr>
        <w:t>之一</w:t>
      </w:r>
      <w:r>
        <w:rPr>
          <w:rFonts w:ascii="Arial" w:hAnsi="Arial" w:eastAsia="宋体" w:cs="Arial"/>
        </w:rPr>
        <w:t>，</w:t>
      </w:r>
      <w:r>
        <w:rPr>
          <w:rFonts w:hint="eastAsia" w:ascii="Arial" w:hAnsi="Arial" w:eastAsia="宋体" w:cs="Arial"/>
        </w:rPr>
        <w:t>以</w:t>
      </w:r>
      <w:r>
        <w:rPr>
          <w:rFonts w:ascii="Arial" w:hAnsi="Arial" w:eastAsia="宋体" w:cs="Arial"/>
        </w:rPr>
        <w:t>确保器械的安全性和有效性。分类基于风险，即，器械对患者和/或用户产生的风险决定其所分配的类别。</w:t>
      </w:r>
    </w:p>
    <w:p w14:paraId="28664BD5">
      <w:pPr>
        <w:spacing w:after="163" w:afterLines="50" w:line="300" w:lineRule="auto"/>
        <w:jc w:val="both"/>
        <w:rPr>
          <w:rFonts w:ascii="Arial" w:hAnsi="Arial" w:eastAsia="宋体" w:cs="Arial"/>
        </w:rPr>
      </w:pPr>
      <w:r>
        <w:rPr>
          <w:rFonts w:ascii="Arial" w:hAnsi="Arial" w:eastAsia="宋体" w:cs="Arial"/>
        </w:rPr>
        <w:t>所有三个类别的器械均遵循一般控制，在某种程度上，公司应：（1）注册他们的</w:t>
      </w:r>
      <w:r>
        <w:rPr>
          <w:rFonts w:hint="eastAsia" w:ascii="Arial" w:hAnsi="Arial" w:eastAsia="宋体" w:cs="Arial"/>
        </w:rPr>
        <w:t>机构</w:t>
      </w:r>
      <w:r>
        <w:rPr>
          <w:rFonts w:ascii="Arial" w:hAnsi="Arial" w:eastAsia="宋体" w:cs="Arial"/>
        </w:rPr>
        <w:t>并列出他们通过FDA监管上市的医疗器械；（2）器械需按照</w:t>
      </w:r>
      <w:r>
        <w:rPr>
          <w:rFonts w:ascii="宋体" w:hAnsi="宋体" w:eastAsia="宋体" w:cs="Arial"/>
        </w:rPr>
        <w:t>“</w:t>
      </w:r>
      <w:r>
        <w:rPr>
          <w:rFonts w:ascii="Arial" w:hAnsi="Arial" w:eastAsia="宋体" w:cs="Arial"/>
        </w:rPr>
        <w:t>良好生产管理规范</w:t>
      </w:r>
      <w:r>
        <w:rPr>
          <w:rFonts w:ascii="宋体" w:hAnsi="宋体" w:eastAsia="宋体" w:cs="Arial"/>
        </w:rPr>
        <w:t>”</w:t>
      </w:r>
      <w:r>
        <w:rPr>
          <w:rFonts w:ascii="Arial" w:hAnsi="Arial" w:eastAsia="宋体" w:cs="Arial"/>
        </w:rPr>
        <w:t>进行制造；以及（3）按照标签规范对其器械进行标识。</w:t>
      </w:r>
    </w:p>
    <w:p w14:paraId="5E766959">
      <w:pPr>
        <w:spacing w:after="163" w:afterLines="50" w:line="300" w:lineRule="auto"/>
        <w:jc w:val="both"/>
        <w:rPr>
          <w:rFonts w:ascii="Arial" w:hAnsi="Arial" w:eastAsia="宋体" w:cs="Arial"/>
        </w:rPr>
      </w:pPr>
      <w:r>
        <w:rPr>
          <w:rFonts w:ascii="Arial" w:hAnsi="Arial" w:eastAsia="宋体" w:cs="Arial"/>
          <w:i/>
        </w:rPr>
        <w:t>I类器械</w:t>
      </w:r>
      <w:r>
        <w:rPr>
          <w:rFonts w:ascii="Arial" w:hAnsi="Arial" w:eastAsia="宋体" w:cs="Arial"/>
        </w:rPr>
        <w:t>仅遵循一般控制。</w:t>
      </w:r>
      <w:r>
        <w:rPr>
          <w:rFonts w:hint="eastAsia" w:ascii="Arial" w:hAnsi="Arial" w:eastAsia="宋体" w:cs="Arial"/>
        </w:rPr>
        <w:t>其</w:t>
      </w:r>
      <w:r>
        <w:rPr>
          <w:rFonts w:ascii="Arial" w:hAnsi="Arial" w:eastAsia="宋体" w:cs="Arial"/>
        </w:rPr>
        <w:t>通常具有最低的危害可能性，而且比II类或III类器械的设计更简单。I类器械的</w:t>
      </w:r>
      <w:r>
        <w:rPr>
          <w:rFonts w:hint="eastAsia" w:ascii="Arial" w:hAnsi="Arial" w:eastAsia="宋体" w:cs="Arial"/>
        </w:rPr>
        <w:t>示例</w:t>
      </w:r>
      <w:r>
        <w:rPr>
          <w:rFonts w:ascii="Arial" w:hAnsi="Arial" w:eastAsia="宋体" w:cs="Arial"/>
        </w:rPr>
        <w:t>包括弹性绷带、检查用手套和手持式外科器械。</w:t>
      </w:r>
    </w:p>
    <w:p w14:paraId="72BC3E27">
      <w:pPr>
        <w:spacing w:after="163" w:afterLines="50" w:line="300" w:lineRule="auto"/>
        <w:jc w:val="both"/>
        <w:rPr>
          <w:rFonts w:ascii="Arial" w:hAnsi="Arial" w:eastAsia="宋体" w:cs="Arial"/>
        </w:rPr>
      </w:pPr>
      <w:r>
        <w:rPr>
          <w:rFonts w:ascii="Arial" w:hAnsi="Arial" w:eastAsia="宋体" w:cs="Arial"/>
          <w:i/>
        </w:rPr>
        <w:t>II类器械</w:t>
      </w:r>
      <w:r>
        <w:rPr>
          <w:rFonts w:ascii="Arial" w:hAnsi="Arial" w:eastAsia="宋体" w:cs="Arial"/>
        </w:rPr>
        <w:t>是那些仅通过一般控制不足以提供合理的安全性和有效性保证的器械。除了遵循一般控制外，II类器械还需遵循本机构制定的特殊控制，其中可能包括特殊的标签要求、性能标准和上市后</w:t>
      </w:r>
      <w:r>
        <w:rPr>
          <w:rFonts w:hint="eastAsia" w:ascii="Arial" w:hAnsi="Arial" w:eastAsia="宋体" w:cs="Arial"/>
        </w:rPr>
        <w:t>监督</w:t>
      </w:r>
      <w:r>
        <w:rPr>
          <w:rFonts w:ascii="Arial" w:hAnsi="Arial" w:eastAsia="宋体" w:cs="Arial"/>
        </w:rPr>
        <w:t>。II类器械的示例包括</w:t>
      </w:r>
      <w:r>
        <w:rPr>
          <w:rFonts w:hint="eastAsia" w:ascii="Arial" w:hAnsi="Arial" w:eastAsia="宋体" w:cs="Arial"/>
        </w:rPr>
        <w:t>电动</w:t>
      </w:r>
      <w:r>
        <w:rPr>
          <w:rFonts w:ascii="Arial" w:hAnsi="Arial" w:eastAsia="宋体" w:cs="Arial"/>
        </w:rPr>
        <w:t>轮椅、输液泵和外科手术用消毒帷帘。</w:t>
      </w:r>
    </w:p>
    <w:p w14:paraId="3390D544">
      <w:pPr>
        <w:spacing w:after="163" w:afterLines="50" w:line="300" w:lineRule="auto"/>
        <w:jc w:val="both"/>
        <w:rPr>
          <w:rFonts w:ascii="Arial" w:hAnsi="Arial" w:eastAsia="宋体" w:cs="Arial"/>
        </w:rPr>
      </w:pPr>
      <w:r>
        <w:rPr>
          <w:rFonts w:ascii="Arial" w:hAnsi="Arial" w:eastAsia="宋体" w:cs="Arial"/>
          <w:i/>
        </w:rPr>
        <w:t>III类器械</w:t>
      </w:r>
      <w:r>
        <w:rPr>
          <w:rFonts w:ascii="Arial" w:hAnsi="Arial" w:eastAsia="宋体" w:cs="Arial"/>
        </w:rPr>
        <w:t>通常是指那些现有的信息无法充分确定一般或特殊控制是否足以提供合理的安全性和有效性保证的器械。III类器械的示例包括置换用心脏瓣膜、硅胶充填乳房植入物和植入式小脑刺激器。</w:t>
      </w:r>
    </w:p>
    <w:p w14:paraId="643EA761">
      <w:pPr>
        <w:spacing w:after="163" w:afterLines="50" w:line="300" w:lineRule="auto"/>
        <w:jc w:val="both"/>
        <w:rPr>
          <w:rFonts w:ascii="Arial" w:hAnsi="Arial" w:eastAsia="宋体" w:cs="Arial"/>
        </w:rPr>
      </w:pPr>
      <w:r>
        <w:rPr>
          <w:rFonts w:ascii="Arial" w:hAnsi="Arial" w:eastAsia="宋体" w:cs="Arial"/>
        </w:rPr>
        <w:br w:type="page"/>
      </w:r>
    </w:p>
    <w:p w14:paraId="63A0FE8E">
      <w:pPr>
        <w:pStyle w:val="35"/>
        <w:numPr>
          <w:ilvl w:val="1"/>
          <w:numId w:val="2"/>
        </w:numPr>
        <w:spacing w:after="163" w:afterLines="50"/>
        <w:ind w:left="357" w:hanging="357" w:firstLineChars="0"/>
        <w:jc w:val="both"/>
        <w:outlineLvl w:val="1"/>
        <w:rPr>
          <w:rFonts w:ascii="Arial" w:hAnsi="Arial" w:eastAsia="宋体" w:cs="Arial"/>
          <w:b/>
        </w:rPr>
      </w:pPr>
      <w:bookmarkStart w:id="4" w:name="_Toc498524833"/>
      <w:r>
        <w:rPr>
          <w:rFonts w:ascii="Arial" w:hAnsi="Arial" w:eastAsia="宋体" w:cs="Arial"/>
          <w:b/>
        </w:rPr>
        <w:t>医疗器械有哪些示例？</w:t>
      </w:r>
      <w:bookmarkEnd w:id="4"/>
    </w:p>
    <w:p w14:paraId="16C84312">
      <w:pPr>
        <w:spacing w:after="163" w:afterLines="50"/>
        <w:jc w:val="both"/>
        <w:rPr>
          <w:rFonts w:ascii="Arial" w:hAnsi="Arial" w:eastAsia="宋体" w:cs="Arial"/>
        </w:rPr>
      </w:pPr>
      <w:r>
        <w:rPr>
          <w:rFonts w:ascii="Arial" w:hAnsi="Arial" w:eastAsia="宋体" w:cs="Arial"/>
        </w:rPr>
        <w:t>医疗器械的示例包括手术激光器、轮椅、缝合线、起搏器、人造血管、人工晶体和</w:t>
      </w:r>
      <w:r>
        <w:rPr>
          <w:rFonts w:hint="eastAsia" w:ascii="Arial" w:hAnsi="Arial" w:eastAsia="宋体" w:cs="Arial"/>
        </w:rPr>
        <w:t>骨科</w:t>
      </w:r>
      <w:r>
        <w:rPr>
          <w:rFonts w:ascii="Arial" w:hAnsi="Arial" w:eastAsia="宋体" w:cs="Arial"/>
        </w:rPr>
        <w:t>针。更多的医疗器械示例列表请见于FDA信息表指南</w:t>
      </w:r>
      <w:r>
        <w:rPr>
          <w:rFonts w:ascii="宋体" w:hAnsi="宋体" w:eastAsia="宋体" w:cs="Arial"/>
        </w:rPr>
        <w:t>“</w:t>
      </w:r>
      <w:r>
        <w:rPr>
          <w:rFonts w:ascii="Arial" w:hAnsi="Arial" w:eastAsia="宋体" w:cs="Arial"/>
        </w:rPr>
        <w:t>有重大风险和无重大风险的器械</w:t>
      </w:r>
      <w:r>
        <w:rPr>
          <w:rFonts w:ascii="宋体" w:hAnsi="宋体" w:eastAsia="宋体" w:cs="Arial"/>
        </w:rPr>
        <w:t>”</w:t>
      </w:r>
      <w:r>
        <w:rPr>
          <w:rFonts w:ascii="Arial" w:hAnsi="Arial" w:eastAsia="宋体" w:cs="Arial"/>
        </w:rPr>
        <w:t>。</w:t>
      </w:r>
    </w:p>
    <w:p w14:paraId="68918AF1">
      <w:pPr>
        <w:spacing w:after="163" w:afterLines="50"/>
        <w:jc w:val="both"/>
        <w:rPr>
          <w:rFonts w:ascii="Arial" w:hAnsi="Arial" w:eastAsia="宋体" w:cs="Arial"/>
        </w:rPr>
      </w:pPr>
      <w:r>
        <w:rPr>
          <w:rFonts w:ascii="Arial" w:hAnsi="Arial" w:eastAsia="宋体" w:cs="Arial"/>
        </w:rPr>
        <w:t>医疗器械还包括诊断产品。诊断产品的示例包括体外诊断试剂和检测试剂盒，如妊娠试剂盒和成像系统，如磁共振成像（MRI）。</w:t>
      </w:r>
    </w:p>
    <w:p w14:paraId="40B7A9EB">
      <w:pPr>
        <w:pStyle w:val="35"/>
        <w:numPr>
          <w:ilvl w:val="1"/>
          <w:numId w:val="2"/>
        </w:numPr>
        <w:spacing w:after="163" w:afterLines="50"/>
        <w:ind w:left="357" w:hanging="357" w:firstLineChars="0"/>
        <w:jc w:val="both"/>
        <w:outlineLvl w:val="1"/>
        <w:rPr>
          <w:rFonts w:ascii="Arial" w:hAnsi="Arial" w:eastAsia="宋体" w:cs="Arial"/>
          <w:b/>
        </w:rPr>
      </w:pPr>
      <w:bookmarkStart w:id="5" w:name="_Toc498524834"/>
      <w:r>
        <w:rPr>
          <w:rFonts w:ascii="Arial" w:hAnsi="Arial" w:eastAsia="宋体" w:cs="Arial"/>
          <w:b/>
        </w:rPr>
        <w:t>什么是上市前通知（510（k））提交？</w:t>
      </w:r>
      <w:bookmarkEnd w:id="5"/>
    </w:p>
    <w:p w14:paraId="67BE1672">
      <w:pPr>
        <w:spacing w:after="163" w:afterLines="50"/>
        <w:jc w:val="both"/>
        <w:rPr>
          <w:rFonts w:ascii="Arial" w:hAnsi="Arial" w:eastAsia="宋体" w:cs="Arial"/>
        </w:rPr>
      </w:pPr>
      <w:r>
        <w:rPr>
          <w:rFonts w:ascii="Arial" w:hAnsi="Arial" w:eastAsia="宋体" w:cs="Arial"/>
        </w:rPr>
        <w:t>在制造商提出医疗器械入市前，需向FDA提交上市前通知或称（510（k））。如果FDA认可新器械与合法销售的器械具有实质等同性，则不需要上市前批准，制造商可以立即上市。对于大多数510（k），FDA未要求提交临床资料。然而，如果需要临床数据来证明实质等同性，则临床研究必须符合IDE、IRB和</w:t>
      </w:r>
      <w:r>
        <w:rPr>
          <w:rFonts w:hint="eastAsia" w:ascii="Arial" w:hAnsi="Arial" w:eastAsia="宋体" w:cs="Arial"/>
        </w:rPr>
        <w:t>人类</w:t>
      </w:r>
      <w:r>
        <w:rPr>
          <w:rFonts w:ascii="Arial" w:hAnsi="Arial" w:eastAsia="宋体" w:cs="Arial"/>
        </w:rPr>
        <w:t>受试者保护要求（知情同意和儿童在研究中的额外保障）的规定，</w:t>
      </w:r>
      <w:r>
        <w:rPr>
          <w:rFonts w:hint="eastAsia" w:ascii="Arial" w:hAnsi="Arial" w:eastAsia="宋体" w:cs="Arial"/>
        </w:rPr>
        <w:t>参</w:t>
      </w:r>
      <w:r>
        <w:rPr>
          <w:rFonts w:ascii="Arial" w:hAnsi="Arial" w:eastAsia="宋体" w:cs="Arial"/>
        </w:rPr>
        <w:t>见法案第520（g）节和21 CFR第812</w:t>
      </w:r>
      <w:r>
        <w:rPr>
          <w:rFonts w:hint="eastAsia" w:ascii="Arial" w:hAnsi="Arial" w:eastAsia="宋体" w:cs="Arial"/>
        </w:rPr>
        <w:t>，</w:t>
      </w:r>
      <w:r>
        <w:rPr>
          <w:rFonts w:ascii="Arial" w:hAnsi="Arial" w:eastAsia="宋体" w:cs="Arial"/>
        </w:rPr>
        <w:t>56和50部分。</w:t>
      </w:r>
    </w:p>
    <w:p w14:paraId="3A1F56D3">
      <w:pPr>
        <w:pStyle w:val="35"/>
        <w:numPr>
          <w:ilvl w:val="1"/>
          <w:numId w:val="2"/>
        </w:numPr>
        <w:spacing w:after="163" w:afterLines="50"/>
        <w:ind w:left="357" w:hanging="357" w:firstLineChars="0"/>
        <w:jc w:val="both"/>
        <w:outlineLvl w:val="1"/>
        <w:rPr>
          <w:rFonts w:ascii="Arial" w:hAnsi="Arial" w:eastAsia="宋体" w:cs="Arial"/>
          <w:b/>
        </w:rPr>
      </w:pPr>
      <w:bookmarkStart w:id="6" w:name="_Toc498524835"/>
      <w:r>
        <w:rPr>
          <w:rFonts w:ascii="Arial" w:hAnsi="Arial" w:eastAsia="宋体" w:cs="Arial"/>
          <w:b/>
        </w:rPr>
        <w:t>什么是上市前批准（PMA）申请？</w:t>
      </w:r>
      <w:bookmarkEnd w:id="6"/>
    </w:p>
    <w:p w14:paraId="29794E49">
      <w:pPr>
        <w:spacing w:after="163" w:afterLines="50"/>
        <w:jc w:val="both"/>
        <w:rPr>
          <w:rFonts w:ascii="Arial" w:hAnsi="Arial" w:eastAsia="宋体" w:cs="Arial"/>
        </w:rPr>
      </w:pPr>
      <w:r>
        <w:rPr>
          <w:rFonts w:ascii="Arial" w:hAnsi="Arial" w:eastAsia="宋体" w:cs="Arial"/>
        </w:rPr>
        <w:t>上市前批准（PMA）申请是医疗器械上市申请中最严格的类型。如果FDA确定该申请包含了足够有效的科学证据，提供了该器械的预期用途安全有效的合理保证，则会批准PMA。</w:t>
      </w:r>
    </w:p>
    <w:p w14:paraId="2D6DBCAB">
      <w:pPr>
        <w:pStyle w:val="35"/>
        <w:numPr>
          <w:ilvl w:val="1"/>
          <w:numId w:val="2"/>
        </w:numPr>
        <w:spacing w:after="163" w:afterLines="50"/>
        <w:ind w:left="357" w:hanging="357" w:firstLineChars="0"/>
        <w:jc w:val="both"/>
        <w:outlineLvl w:val="1"/>
        <w:rPr>
          <w:rFonts w:ascii="Arial" w:hAnsi="Arial" w:eastAsia="宋体" w:cs="Arial"/>
          <w:b/>
        </w:rPr>
      </w:pPr>
      <w:bookmarkStart w:id="7" w:name="_Toc498524836"/>
      <w:r>
        <w:rPr>
          <w:rFonts w:ascii="Arial" w:hAnsi="Arial" w:eastAsia="宋体" w:cs="Arial"/>
          <w:b/>
        </w:rPr>
        <w:t>我可以从何处</w:t>
      </w:r>
      <w:r>
        <w:rPr>
          <w:rFonts w:hint="eastAsia" w:ascii="Arial" w:hAnsi="Arial" w:eastAsia="宋体" w:cs="Arial"/>
          <w:b/>
        </w:rPr>
        <w:t>获得</w:t>
      </w:r>
      <w:r>
        <w:rPr>
          <w:rFonts w:ascii="Arial" w:hAnsi="Arial" w:eastAsia="宋体" w:cs="Arial"/>
          <w:b/>
        </w:rPr>
        <w:t>有关510（k）和PMA的更多信息？</w:t>
      </w:r>
      <w:bookmarkEnd w:id="7"/>
    </w:p>
    <w:p w14:paraId="4E24B2B8">
      <w:pPr>
        <w:spacing w:after="163" w:afterLines="50"/>
        <w:rPr>
          <w:rFonts w:ascii="Arial" w:hAnsi="Arial" w:eastAsia="宋体" w:cs="Arial"/>
        </w:rPr>
      </w:pPr>
      <w:r>
        <w:rPr>
          <w:rFonts w:ascii="Arial" w:hAnsi="Arial" w:eastAsia="宋体" w:cs="Arial"/>
        </w:rPr>
        <w:t>有关这些程序的更多信息，可</w:t>
      </w:r>
      <w:r>
        <w:rPr>
          <w:rFonts w:hint="eastAsia" w:ascii="Arial" w:hAnsi="Arial" w:eastAsia="宋体" w:cs="Arial"/>
        </w:rPr>
        <w:t>参</w:t>
      </w:r>
      <w:r>
        <w:rPr>
          <w:rFonts w:ascii="Arial" w:hAnsi="Arial" w:eastAsia="宋体" w:cs="Arial"/>
        </w:rPr>
        <w:t>见器械和放射卫生中心网站：</w:t>
      </w:r>
      <w:r>
        <w:fldChar w:fldCharType="begin"/>
      </w:r>
      <w:r>
        <w:instrText xml:space="preserve"> HYPERLINK "http://www.fda.gov/cdrh/devadvice/" </w:instrText>
      </w:r>
      <w:r>
        <w:fldChar w:fldCharType="separate"/>
      </w:r>
      <w:r>
        <w:rPr>
          <w:rStyle w:val="23"/>
          <w:rFonts w:ascii="Arial" w:hAnsi="Arial" w:eastAsia="宋体" w:cs="Arial"/>
          <w:color w:val="0000FF"/>
        </w:rPr>
        <w:t>www.fda.gov/cdrh/devadvice/</w:t>
      </w:r>
      <w:r>
        <w:rPr>
          <w:rStyle w:val="23"/>
          <w:rFonts w:ascii="Arial" w:hAnsi="Arial" w:eastAsia="宋体" w:cs="Arial"/>
          <w:color w:val="0000FF"/>
        </w:rPr>
        <w:fldChar w:fldCharType="end"/>
      </w:r>
    </w:p>
    <w:p w14:paraId="6E757786">
      <w:pPr>
        <w:pStyle w:val="35"/>
        <w:numPr>
          <w:ilvl w:val="1"/>
          <w:numId w:val="2"/>
        </w:numPr>
        <w:spacing w:after="163" w:afterLines="50"/>
        <w:ind w:left="357" w:hanging="357" w:firstLineChars="0"/>
        <w:jc w:val="both"/>
        <w:outlineLvl w:val="1"/>
        <w:rPr>
          <w:rFonts w:ascii="Arial" w:hAnsi="Arial" w:eastAsia="宋体" w:cs="Arial"/>
          <w:b/>
        </w:rPr>
      </w:pPr>
      <w:bookmarkStart w:id="8" w:name="_Toc498524837"/>
      <w:r>
        <w:rPr>
          <w:rFonts w:ascii="Arial" w:hAnsi="Arial" w:eastAsia="宋体" w:cs="Arial"/>
          <w:b/>
        </w:rPr>
        <w:t>什么是</w:t>
      </w:r>
      <w:bookmarkStart w:id="9" w:name="OLE_LINK21"/>
      <w:bookmarkStart w:id="10" w:name="OLE_LINK22"/>
      <w:r>
        <w:rPr>
          <w:rFonts w:ascii="Arial" w:hAnsi="Arial" w:eastAsia="宋体" w:cs="Arial"/>
          <w:b/>
        </w:rPr>
        <w:t>人道主义用途器械（HUD）</w:t>
      </w:r>
      <w:bookmarkEnd w:id="9"/>
      <w:bookmarkEnd w:id="10"/>
      <w:r>
        <w:rPr>
          <w:rFonts w:ascii="Arial" w:hAnsi="Arial" w:eastAsia="宋体" w:cs="Arial"/>
          <w:b/>
        </w:rPr>
        <w:t>？</w:t>
      </w:r>
      <w:bookmarkEnd w:id="8"/>
    </w:p>
    <w:p w14:paraId="064FB592">
      <w:pPr>
        <w:spacing w:after="163" w:afterLines="50"/>
        <w:jc w:val="both"/>
        <w:rPr>
          <w:rFonts w:ascii="Arial" w:hAnsi="Arial" w:eastAsia="宋体" w:cs="Arial"/>
        </w:rPr>
      </w:pPr>
      <w:r>
        <w:rPr>
          <w:rFonts w:ascii="Arial" w:hAnsi="Arial" w:eastAsia="宋体" w:cs="Arial"/>
        </w:rPr>
        <w:t>HUD是一种旨在使患者在疾病或病症的治疗和诊断方面获益，该疾病或病症每年在美国影响或波及的人数少于4000例。由孤儿产品开发办公室（OOPD）确定一种器械是否符合特定的要求（包括科学原理和人口患病率），以将其定义为HUD。</w:t>
      </w:r>
    </w:p>
    <w:p w14:paraId="417960BE">
      <w:pPr>
        <w:adjustRightInd/>
        <w:snapToGrid/>
        <w:rPr>
          <w:rFonts w:ascii="Arial" w:hAnsi="Arial" w:eastAsia="宋体" w:cs="Arial"/>
          <w:b/>
        </w:rPr>
      </w:pPr>
      <w:r>
        <w:rPr>
          <w:rFonts w:ascii="Arial" w:hAnsi="Arial" w:eastAsia="宋体" w:cs="Arial"/>
          <w:b/>
        </w:rPr>
        <w:br w:type="page"/>
      </w:r>
    </w:p>
    <w:p w14:paraId="36D0E3E6">
      <w:pPr>
        <w:pStyle w:val="35"/>
        <w:numPr>
          <w:ilvl w:val="1"/>
          <w:numId w:val="2"/>
        </w:numPr>
        <w:spacing w:after="163" w:afterLines="50" w:line="312" w:lineRule="auto"/>
        <w:ind w:left="357" w:hanging="357" w:firstLineChars="0"/>
        <w:jc w:val="both"/>
        <w:outlineLvl w:val="1"/>
        <w:rPr>
          <w:rFonts w:ascii="Arial" w:hAnsi="Arial" w:eastAsia="宋体" w:cs="Arial"/>
          <w:b/>
        </w:rPr>
      </w:pPr>
      <w:bookmarkStart w:id="11" w:name="_Toc498524838"/>
      <w:r>
        <w:rPr>
          <w:rFonts w:ascii="Arial" w:hAnsi="Arial" w:eastAsia="宋体" w:cs="Arial"/>
          <w:b/>
        </w:rPr>
        <w:t>什么是</w:t>
      </w:r>
      <w:bookmarkStart w:id="12" w:name="OLE_LINK18"/>
      <w:bookmarkStart w:id="13" w:name="OLE_LINK19"/>
      <w:bookmarkStart w:id="14" w:name="OLE_LINK20"/>
      <w:r>
        <w:rPr>
          <w:rFonts w:ascii="Arial" w:hAnsi="Arial" w:eastAsia="宋体" w:cs="Arial"/>
          <w:b/>
        </w:rPr>
        <w:t>人道主义器械豁免（HDE）</w:t>
      </w:r>
      <w:bookmarkEnd w:id="12"/>
      <w:bookmarkEnd w:id="13"/>
      <w:bookmarkEnd w:id="14"/>
      <w:r>
        <w:rPr>
          <w:rFonts w:ascii="Arial" w:hAnsi="Arial" w:eastAsia="宋体" w:cs="Arial"/>
          <w:b/>
        </w:rPr>
        <w:t>申请？</w:t>
      </w:r>
      <w:bookmarkEnd w:id="11"/>
    </w:p>
    <w:p w14:paraId="0B335D89">
      <w:pPr>
        <w:spacing w:after="163" w:afterLines="50" w:line="312" w:lineRule="auto"/>
        <w:jc w:val="both"/>
        <w:rPr>
          <w:rFonts w:ascii="Arial" w:hAnsi="Arial" w:eastAsia="宋体" w:cs="Arial"/>
        </w:rPr>
      </w:pPr>
      <w:r>
        <w:rPr>
          <w:rFonts w:ascii="Arial" w:hAnsi="Arial" w:eastAsia="宋体" w:cs="Arial"/>
        </w:rPr>
        <w:t>人道主义</w:t>
      </w:r>
      <w:r>
        <w:rPr>
          <w:rFonts w:hint="eastAsia" w:ascii="Arial" w:hAnsi="Arial" w:eastAsia="宋体" w:cs="Arial"/>
        </w:rPr>
        <w:t>器械</w:t>
      </w:r>
      <w:r>
        <w:rPr>
          <w:rFonts w:ascii="Arial" w:hAnsi="Arial" w:eastAsia="宋体" w:cs="Arial"/>
        </w:rPr>
        <w:t>豁免（HDE）申请类似于PMA，但是由于HUD可以</w:t>
      </w:r>
      <w:r>
        <w:rPr>
          <w:rFonts w:hint="eastAsia" w:ascii="Arial" w:hAnsi="Arial" w:eastAsia="宋体" w:cs="Arial"/>
        </w:rPr>
        <w:t>豁免</w:t>
      </w:r>
      <w:r>
        <w:rPr>
          <w:rFonts w:ascii="Arial" w:hAnsi="Arial" w:eastAsia="宋体" w:cs="Arial"/>
        </w:rPr>
        <w:t>PMA的有效性要求，因此HDE申请不需要包含科学有效的临床研究结果以证明该器械对于其预期用途是有效的。然而，HDE必须包含足够的信息，使FDA可以确定其对于健康的可能</w:t>
      </w:r>
      <w:r>
        <w:rPr>
          <w:rFonts w:hint="eastAsia" w:ascii="Arial" w:hAnsi="Arial" w:eastAsia="宋体" w:cs="Arial"/>
        </w:rPr>
        <w:t>获益</w:t>
      </w:r>
      <w:r>
        <w:rPr>
          <w:rFonts w:ascii="Arial" w:hAnsi="Arial" w:eastAsia="宋体" w:cs="Arial"/>
        </w:rPr>
        <w:t>超过了损伤或疾病的风险，同时需考虑现有器械或替代疗法的可能风险和</w:t>
      </w:r>
      <w:r>
        <w:rPr>
          <w:rFonts w:hint="eastAsia" w:ascii="Arial" w:hAnsi="Arial" w:eastAsia="宋体" w:cs="Arial"/>
        </w:rPr>
        <w:t>获益</w:t>
      </w:r>
      <w:r>
        <w:rPr>
          <w:rFonts w:ascii="Arial" w:hAnsi="Arial" w:eastAsia="宋体" w:cs="Arial"/>
        </w:rPr>
        <w:t>。第520（m）（2）（C）节</w:t>
      </w:r>
      <w:r>
        <w:rPr>
          <w:rFonts w:hint="eastAsia" w:ascii="Arial" w:hAnsi="Arial" w:eastAsia="宋体" w:cs="Arial"/>
        </w:rPr>
        <w:t>。获得批准的</w:t>
      </w:r>
      <w:r>
        <w:rPr>
          <w:rFonts w:ascii="Arial" w:hAnsi="Arial" w:eastAsia="宋体" w:cs="Arial"/>
        </w:rPr>
        <w:t>HDE</w:t>
      </w:r>
      <w:r>
        <w:rPr>
          <w:rFonts w:hint="eastAsia" w:ascii="Arial" w:hAnsi="Arial" w:eastAsia="宋体" w:cs="Arial"/>
        </w:rPr>
        <w:t>批准HUD上市。</w:t>
      </w:r>
    </w:p>
    <w:p w14:paraId="6B3A0588">
      <w:pPr>
        <w:spacing w:after="163" w:afterLines="50" w:line="312" w:lineRule="auto"/>
        <w:jc w:val="both"/>
        <w:rPr>
          <w:rFonts w:ascii="Arial" w:hAnsi="Arial" w:eastAsia="宋体" w:cs="Arial"/>
        </w:rPr>
      </w:pPr>
      <w:r>
        <w:rPr>
          <w:rFonts w:ascii="Arial" w:hAnsi="Arial" w:eastAsia="宋体" w:cs="Arial"/>
        </w:rPr>
        <w:t>根据法规，一旦HDE获得批准，HDE持有人有责任确保批准的HUD仅在具有根据21 CFR 56构建和行事的IRB的机构内进行施用，包括对HUD的使用进行持续审查。此外，只有在位于该</w:t>
      </w:r>
      <w:r>
        <w:rPr>
          <w:rFonts w:hint="eastAsia" w:ascii="Arial" w:hAnsi="Arial" w:eastAsia="宋体" w:cs="Arial"/>
        </w:rPr>
        <w:t>机构</w:t>
      </w:r>
      <w:r>
        <w:rPr>
          <w:rFonts w:ascii="Arial" w:hAnsi="Arial" w:eastAsia="宋体" w:cs="Arial"/>
        </w:rPr>
        <w:t>内的机构审查委员会（IRB）批准后，或者，有相同架构的IRB已经同意对这项使用进行监督且当地的IRB已经在稍后致信HDE持有人的情况下，这种HUD方可施用。HDE持有人可能希望确保在收到IRB的批准确认之后再将HUD运送到该</w:t>
      </w:r>
      <w:r>
        <w:rPr>
          <w:rFonts w:hint="eastAsia" w:ascii="Arial" w:hAnsi="Arial" w:eastAsia="宋体" w:cs="Arial"/>
        </w:rPr>
        <w:t>机构</w:t>
      </w:r>
      <w:r>
        <w:rPr>
          <w:rFonts w:ascii="Arial" w:hAnsi="Arial" w:eastAsia="宋体" w:cs="Arial"/>
        </w:rPr>
        <w:t>。</w:t>
      </w:r>
    </w:p>
    <w:p w14:paraId="2BC2C9DF">
      <w:pPr>
        <w:spacing w:after="163" w:afterLines="50" w:line="312" w:lineRule="auto"/>
        <w:jc w:val="both"/>
        <w:rPr>
          <w:rFonts w:ascii="Arial" w:hAnsi="Arial" w:eastAsia="宋体" w:cs="Arial"/>
        </w:rPr>
      </w:pPr>
      <w:r>
        <w:rPr>
          <w:rFonts w:ascii="Arial" w:hAnsi="Arial" w:eastAsia="宋体" w:cs="Arial"/>
        </w:rPr>
        <w:t>请注意：HDE申请人只有在获得FDA批准HDE且IRB批准其使用</w:t>
      </w:r>
      <w:r>
        <w:rPr>
          <w:rFonts w:hint="eastAsia" w:ascii="Arial" w:hAnsi="Arial" w:eastAsia="宋体" w:cs="Arial"/>
        </w:rPr>
        <w:t>后</w:t>
      </w:r>
      <w:r>
        <w:rPr>
          <w:rFonts w:ascii="Arial" w:hAnsi="Arial" w:eastAsia="宋体" w:cs="Arial"/>
        </w:rPr>
        <w:t>，HUD才能使用。IRB应确保批准器械在其机构使用之前，HDE已获批。</w:t>
      </w:r>
    </w:p>
    <w:p w14:paraId="4D6D251A">
      <w:pPr>
        <w:pStyle w:val="35"/>
        <w:numPr>
          <w:ilvl w:val="1"/>
          <w:numId w:val="2"/>
        </w:numPr>
        <w:spacing w:after="163" w:afterLines="50" w:line="312" w:lineRule="auto"/>
        <w:ind w:left="357" w:hanging="357" w:firstLineChars="0"/>
        <w:jc w:val="both"/>
        <w:outlineLvl w:val="1"/>
        <w:rPr>
          <w:rFonts w:ascii="Arial" w:hAnsi="Arial" w:eastAsia="宋体" w:cs="Arial"/>
          <w:b/>
        </w:rPr>
      </w:pPr>
      <w:bookmarkStart w:id="15" w:name="_Toc498524839"/>
      <w:r>
        <w:rPr>
          <w:rFonts w:ascii="Arial" w:hAnsi="Arial" w:eastAsia="宋体" w:cs="Arial"/>
          <w:b/>
        </w:rPr>
        <w:t>IRB关于HDE的责任是什么？</w:t>
      </w:r>
      <w:bookmarkEnd w:id="15"/>
    </w:p>
    <w:p w14:paraId="1AF21E82">
      <w:pPr>
        <w:spacing w:after="163" w:afterLines="50" w:line="312" w:lineRule="auto"/>
        <w:jc w:val="both"/>
        <w:rPr>
          <w:rFonts w:ascii="Arial" w:hAnsi="Arial" w:eastAsia="宋体" w:cs="Arial"/>
          <w:u w:val="single"/>
        </w:rPr>
      </w:pPr>
      <w:r>
        <w:rPr>
          <w:rFonts w:ascii="Arial" w:hAnsi="Arial" w:eastAsia="宋体" w:cs="Arial"/>
          <w:u w:val="single"/>
        </w:rPr>
        <w:t>初步审查：</w:t>
      </w:r>
    </w:p>
    <w:p w14:paraId="01E1FD93">
      <w:pPr>
        <w:spacing w:after="163" w:afterLines="50" w:line="312" w:lineRule="auto"/>
        <w:jc w:val="both"/>
        <w:rPr>
          <w:rFonts w:ascii="Arial" w:hAnsi="Arial" w:eastAsia="宋体" w:cs="Arial"/>
        </w:rPr>
      </w:pPr>
      <w:r>
        <w:rPr>
          <w:rFonts w:ascii="Arial" w:hAnsi="Arial" w:eastAsia="宋体" w:cs="Arial"/>
        </w:rPr>
        <w:t>IRB的初步批准应在IRB会议上进行。IRB不需要审查和批准HUD的各项用途，而是根据其是否合适而批准使用该器械。也就是说，IRB可以根据方案或根据具体情况来批准使用HUD，而不受任何进一步的限制。</w:t>
      </w:r>
    </w:p>
    <w:p w14:paraId="56A21350">
      <w:pPr>
        <w:spacing w:after="163" w:afterLines="50" w:line="312" w:lineRule="auto"/>
        <w:jc w:val="both"/>
        <w:rPr>
          <w:rFonts w:ascii="Arial" w:hAnsi="Arial" w:eastAsia="宋体" w:cs="Arial"/>
          <w:u w:val="single"/>
        </w:rPr>
      </w:pPr>
      <w:r>
        <w:rPr>
          <w:rFonts w:ascii="Arial" w:hAnsi="Arial" w:eastAsia="宋体" w:cs="Arial"/>
          <w:u w:val="single"/>
        </w:rPr>
        <w:t>持续审查：</w:t>
      </w:r>
    </w:p>
    <w:p w14:paraId="6833079C">
      <w:pPr>
        <w:spacing w:after="163" w:afterLines="50" w:line="312" w:lineRule="auto"/>
        <w:jc w:val="both"/>
        <w:rPr>
          <w:rFonts w:ascii="Arial" w:hAnsi="Arial" w:eastAsia="宋体" w:cs="Arial"/>
        </w:rPr>
      </w:pPr>
      <w:r>
        <w:rPr>
          <w:rFonts w:ascii="Arial" w:hAnsi="Arial" w:eastAsia="宋体" w:cs="Arial"/>
        </w:rPr>
        <w:t>IRB可以批准该器械使用一段时间，不得超过一年。21 CFR 56.109（f）。在一些存在较高风险的情况下，IRB已经批准HUD用于规定数量的患者，而在批准其用于更多的患者之前需要有一份总结报告。持续审查应遵循21 CFR 56中的要求，除非IRB决定进行全体委员会审查，否则可以采用快速审查程序（</w:t>
      </w:r>
      <w:r>
        <w:rPr>
          <w:rFonts w:hint="eastAsia" w:ascii="Arial" w:hAnsi="Arial" w:eastAsia="宋体" w:cs="Arial"/>
        </w:rPr>
        <w:t>参</w:t>
      </w:r>
      <w:r>
        <w:rPr>
          <w:rFonts w:ascii="Arial" w:hAnsi="Arial" w:eastAsia="宋体" w:cs="Arial"/>
        </w:rPr>
        <w:t>见21 CFR 56.110）。本机构认为，快速审查程序适用于持续审查，因为全体委员会已进行了初步审查，且HUD在其批准的标签范围内使用不会构成研究。</w:t>
      </w:r>
    </w:p>
    <w:p w14:paraId="02BBCFC6">
      <w:pPr>
        <w:adjustRightInd/>
        <w:spacing w:after="163" w:afterLines="50" w:line="300" w:lineRule="auto"/>
        <w:jc w:val="both"/>
        <w:rPr>
          <w:rFonts w:ascii="Arial" w:hAnsi="Arial" w:eastAsia="宋体" w:cs="Arial"/>
        </w:rPr>
      </w:pPr>
      <w:r>
        <w:rPr>
          <w:rFonts w:ascii="Arial" w:hAnsi="Arial" w:eastAsia="宋体" w:cs="Arial"/>
        </w:rPr>
        <w:br w:type="page"/>
      </w:r>
    </w:p>
    <w:p w14:paraId="199F7365">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16" w:name="_Toc498524840"/>
      <w:r>
        <w:rPr>
          <w:rFonts w:ascii="Arial" w:hAnsi="Arial" w:eastAsia="宋体" w:cs="Arial"/>
          <w:b/>
        </w:rPr>
        <w:t>使用HUD治疗/诊断患者时</w:t>
      </w:r>
      <w:r>
        <w:rPr>
          <w:rFonts w:hint="eastAsia" w:ascii="Arial" w:hAnsi="Arial" w:eastAsia="宋体" w:cs="Arial"/>
          <w:b/>
        </w:rPr>
        <w:t>是否</w:t>
      </w:r>
      <w:r>
        <w:rPr>
          <w:rFonts w:ascii="Arial" w:hAnsi="Arial" w:eastAsia="宋体" w:cs="Arial"/>
          <w:b/>
        </w:rPr>
        <w:t>需要</w:t>
      </w:r>
      <w:r>
        <w:rPr>
          <w:rFonts w:hint="eastAsia" w:ascii="Arial" w:hAnsi="Arial" w:eastAsia="宋体" w:cs="Arial"/>
          <w:b/>
        </w:rPr>
        <w:t>获得</w:t>
      </w:r>
      <w:r>
        <w:rPr>
          <w:rFonts w:ascii="Arial" w:hAnsi="Arial" w:eastAsia="宋体" w:cs="Arial"/>
          <w:b/>
        </w:rPr>
        <w:t>知情同意</w:t>
      </w:r>
      <w:r>
        <w:rPr>
          <w:rFonts w:hint="eastAsia" w:ascii="Arial" w:hAnsi="Arial" w:eastAsia="宋体" w:cs="Arial"/>
          <w:b/>
        </w:rPr>
        <w:t>书</w:t>
      </w:r>
      <w:r>
        <w:rPr>
          <w:rFonts w:ascii="Arial" w:hAnsi="Arial" w:eastAsia="宋体" w:cs="Arial"/>
          <w:b/>
        </w:rPr>
        <w:t>？</w:t>
      </w:r>
      <w:bookmarkEnd w:id="16"/>
    </w:p>
    <w:p w14:paraId="21CEDA59">
      <w:pPr>
        <w:spacing w:after="163" w:afterLines="50" w:line="300" w:lineRule="auto"/>
        <w:jc w:val="both"/>
        <w:rPr>
          <w:rFonts w:ascii="Arial" w:hAnsi="Arial" w:eastAsia="宋体" w:cs="Arial"/>
        </w:rPr>
      </w:pPr>
      <w:r>
        <w:rPr>
          <w:rFonts w:ascii="Arial" w:hAnsi="Arial" w:eastAsia="宋体" w:cs="Arial"/>
        </w:rPr>
        <w:t>该法案和HDE法规均未要求</w:t>
      </w:r>
      <w:r>
        <w:rPr>
          <w:rFonts w:hint="eastAsia" w:ascii="Arial" w:hAnsi="Arial" w:eastAsia="宋体" w:cs="Arial"/>
        </w:rPr>
        <w:t>获得</w:t>
      </w:r>
      <w:r>
        <w:rPr>
          <w:rFonts w:ascii="Arial" w:hAnsi="Arial" w:eastAsia="宋体" w:cs="Arial"/>
        </w:rPr>
        <w:t>知情同意</w:t>
      </w:r>
      <w:r>
        <w:rPr>
          <w:rFonts w:hint="eastAsia" w:ascii="Arial" w:hAnsi="Arial" w:eastAsia="宋体" w:cs="Arial"/>
        </w:rPr>
        <w:t>书</w:t>
      </w:r>
      <w:r>
        <w:rPr>
          <w:rFonts w:ascii="Arial" w:hAnsi="Arial" w:eastAsia="宋体" w:cs="Arial"/>
        </w:rPr>
        <w:t>。由于HDE</w:t>
      </w:r>
      <w:r>
        <w:rPr>
          <w:rFonts w:hint="eastAsia" w:ascii="Arial" w:hAnsi="Arial" w:eastAsia="宋体" w:cs="Arial"/>
        </w:rPr>
        <w:t>提供</w:t>
      </w:r>
      <w:r>
        <w:rPr>
          <w:rFonts w:ascii="Arial" w:hAnsi="Arial" w:eastAsia="宋体" w:cs="Arial"/>
        </w:rPr>
        <w:t>上市批准，使用HUD不构成研究或临床研究（通常需要研究受试者的同意）。但是，在可行的情况下，法律、法规并未禁止某个州或机构提出事先的知情同意要求。事实上，大多数HDE持有人已经制作了患者标签，其中包含了有助于患者对于使用该器械做出知情决定的信息。例如，患者标签可能包含对HUD的潜在风险和获益的讨论，以及与使用该器械相关的任何程序。HUD标签还指出，该器械是一种人道主义用途器械，其标签说明的有效性尚未得到证实。</w:t>
      </w:r>
      <w:r>
        <w:rPr>
          <w:rFonts w:hint="eastAsia" w:ascii="Arial" w:hAnsi="Arial" w:eastAsia="宋体" w:cs="Arial"/>
        </w:rPr>
        <w:t>参</w:t>
      </w:r>
      <w:r>
        <w:rPr>
          <w:rFonts w:ascii="Arial" w:hAnsi="Arial" w:eastAsia="宋体" w:cs="Arial"/>
        </w:rPr>
        <w:t>见21 CFR 814.104（b）（4）（ii）。</w:t>
      </w:r>
    </w:p>
    <w:p w14:paraId="00C593EF">
      <w:pPr>
        <w:spacing w:after="163" w:afterLines="50" w:line="300" w:lineRule="auto"/>
        <w:jc w:val="both"/>
        <w:rPr>
          <w:rFonts w:ascii="Arial" w:hAnsi="Arial" w:eastAsia="宋体" w:cs="Arial"/>
        </w:rPr>
      </w:pPr>
      <w:r>
        <w:rPr>
          <w:rFonts w:ascii="Arial" w:hAnsi="Arial" w:eastAsia="宋体" w:cs="Arial"/>
        </w:rPr>
        <w:t>除非是紧急情况，否则，HUD在进行标签外使用前，本机构建议HDE持有人应根据同情使用政策，对未获批的器械需在</w:t>
      </w:r>
      <w:r>
        <w:rPr>
          <w:rFonts w:hint="eastAsia" w:ascii="Arial" w:hAnsi="Arial" w:eastAsia="宋体" w:cs="Arial"/>
        </w:rPr>
        <w:t>获得</w:t>
      </w:r>
      <w:r>
        <w:rPr>
          <w:rFonts w:ascii="Arial" w:hAnsi="Arial" w:eastAsia="宋体" w:cs="Arial"/>
        </w:rPr>
        <w:t>FDA批准后使用。（请参见第III章中未经批准的器械的扩展通道，</w:t>
      </w:r>
      <w:r>
        <w:rPr>
          <w:rFonts w:hint="eastAsia" w:ascii="Arial" w:hAnsi="Arial" w:eastAsia="宋体" w:cs="Arial"/>
        </w:rPr>
        <w:t>标题</w:t>
      </w:r>
      <w:r>
        <w:rPr>
          <w:rFonts w:ascii="宋体" w:hAnsi="宋体" w:eastAsia="宋体" w:cs="Arial"/>
        </w:rPr>
        <w:t>“</w:t>
      </w:r>
      <w:r>
        <w:rPr>
          <w:rFonts w:ascii="Arial" w:hAnsi="Arial" w:eastAsia="宋体" w:cs="Arial"/>
        </w:rPr>
        <w:t>IDE政策和程序</w:t>
      </w:r>
      <w:r>
        <w:rPr>
          <w:rFonts w:ascii="宋体" w:hAnsi="宋体" w:eastAsia="宋体" w:cs="Arial"/>
        </w:rPr>
        <w:t>”</w:t>
      </w:r>
      <w:r>
        <w:rPr>
          <w:rFonts w:ascii="Arial" w:hAnsi="Arial" w:eastAsia="宋体" w:cs="Arial"/>
        </w:rPr>
        <w:t>的指南</w:t>
      </w:r>
      <w:r>
        <w:rPr>
          <w:rStyle w:val="24"/>
          <w:rFonts w:ascii="Arial" w:hAnsi="Arial" w:eastAsia="宋体" w:cs="Arial"/>
        </w:rPr>
        <w:footnoteReference w:id="1"/>
      </w:r>
      <w:r>
        <w:rPr>
          <w:rFonts w:ascii="Arial" w:hAnsi="Arial" w:eastAsia="宋体" w:cs="Arial"/>
        </w:rPr>
        <w:t>）如果FDA批准了同情使用请求，医生应确保在使用器械之前</w:t>
      </w:r>
      <w:r>
        <w:rPr>
          <w:rFonts w:hint="eastAsia" w:ascii="Arial" w:hAnsi="Arial" w:eastAsia="宋体" w:cs="Arial"/>
        </w:rPr>
        <w:t>确定</w:t>
      </w:r>
      <w:r>
        <w:rPr>
          <w:rFonts w:ascii="Arial" w:hAnsi="Arial" w:eastAsia="宋体" w:cs="Arial"/>
        </w:rPr>
        <w:t>对患者的保护措施，并制定适当的计划对患者进行监测。如果情况危及生命，且没有时间获得FDA批准的标签外使用，FDA建议应遵守上述参考指南中概述的紧急使用程序。</w:t>
      </w:r>
    </w:p>
    <w:p w14:paraId="3EBC30FB">
      <w:pPr>
        <w:spacing w:after="163" w:afterLines="50" w:line="300" w:lineRule="auto"/>
        <w:jc w:val="both"/>
        <w:rPr>
          <w:rFonts w:ascii="Arial" w:hAnsi="Arial" w:eastAsia="宋体" w:cs="Arial"/>
        </w:rPr>
      </w:pPr>
      <w:r>
        <w:rPr>
          <w:rFonts w:ascii="Arial" w:hAnsi="Arial" w:eastAsia="宋体" w:cs="Arial"/>
        </w:rPr>
        <w:t>有时，医生或HDE持有人可能会制定一个研究方案，旨在收集安全性和有效性的数据，以支持器械的PMA。在这种情况下，如果研究是在批准的标签范围内，则不需要IDE；但是，在研究开始之前，必须获得IRB对该调查性研究的批准，也必须</w:t>
      </w:r>
      <w:r>
        <w:rPr>
          <w:rFonts w:hint="eastAsia" w:ascii="Arial" w:hAnsi="Arial" w:eastAsia="宋体" w:cs="Arial"/>
        </w:rPr>
        <w:t>获得</w:t>
      </w:r>
      <w:r>
        <w:rPr>
          <w:rFonts w:ascii="Arial" w:hAnsi="Arial" w:eastAsia="宋体" w:cs="Arial"/>
        </w:rPr>
        <w:t>参与研究的受试者的知情同意。如果研究是为了新的用途，则必须遵循IDE规定。21 CFR第812</w:t>
      </w:r>
      <w:r>
        <w:rPr>
          <w:rFonts w:hint="eastAsia" w:ascii="Arial" w:hAnsi="Arial" w:eastAsia="宋体" w:cs="Arial"/>
        </w:rPr>
        <w:t>、</w:t>
      </w:r>
      <w:r>
        <w:rPr>
          <w:rFonts w:ascii="Arial" w:hAnsi="Arial" w:eastAsia="宋体" w:cs="Arial"/>
        </w:rPr>
        <w:t>50和56部分。</w:t>
      </w:r>
    </w:p>
    <w:p w14:paraId="3A46C3CA">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17" w:name="_Toc498524841"/>
      <w:r>
        <w:rPr>
          <w:rFonts w:ascii="Arial" w:hAnsi="Arial" w:eastAsia="宋体" w:cs="Arial"/>
          <w:b/>
        </w:rPr>
        <w:t>什么法律法规适用于医疗器械的临床研究？</w:t>
      </w:r>
      <w:bookmarkEnd w:id="17"/>
    </w:p>
    <w:p w14:paraId="394B8489">
      <w:pPr>
        <w:spacing w:after="163" w:afterLines="50" w:line="300" w:lineRule="auto"/>
        <w:jc w:val="both"/>
        <w:rPr>
          <w:rFonts w:ascii="Arial" w:hAnsi="Arial" w:eastAsia="宋体" w:cs="Arial"/>
        </w:rPr>
      </w:pPr>
      <w:r>
        <w:rPr>
          <w:rFonts w:ascii="Arial" w:hAnsi="Arial" w:eastAsia="宋体" w:cs="Arial"/>
        </w:rPr>
        <w:t>根据第520（g）节和规定，医疗器械的临床研究必须符合FDA的人体受试者保护要求（知情同意和儿童在研究中的额外保障）（21 CFR第50部分）、机构审查委员会（IRB）要求 （21 CFR第56部分）、研究用器械豁免（IDE）要求（21 CFR第812部分）、临床研究者财务披露要求（21 CFR第54部分）的规定，以及任何其他适用法规，包括21 CFR第809部分的相关规定（供</w:t>
      </w:r>
      <w:r>
        <w:rPr>
          <w:rFonts w:hint="eastAsia" w:ascii="Arial" w:hAnsi="Arial" w:eastAsia="宋体" w:cs="Arial"/>
        </w:rPr>
        <w:t>人类</w:t>
      </w:r>
      <w:r>
        <w:rPr>
          <w:rFonts w:ascii="Arial" w:hAnsi="Arial" w:eastAsia="宋体" w:cs="Arial"/>
        </w:rPr>
        <w:t>使用的体外诊断器械）。</w:t>
      </w:r>
    </w:p>
    <w:p w14:paraId="759905ED">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18" w:name="_Toc498524842"/>
      <w:r>
        <w:rPr>
          <w:rFonts w:ascii="Arial" w:hAnsi="Arial" w:eastAsia="宋体" w:cs="Arial"/>
          <w:b/>
        </w:rPr>
        <w:t>IDE规定（21 CFR 第812部分）涵盖了哪些类型的器械研究？</w:t>
      </w:r>
      <w:bookmarkEnd w:id="18"/>
    </w:p>
    <w:p w14:paraId="00017822">
      <w:pPr>
        <w:adjustRightInd/>
        <w:snapToGrid/>
        <w:spacing w:line="240" w:lineRule="auto"/>
        <w:rPr>
          <w:rFonts w:ascii="Arial" w:hAnsi="Arial" w:eastAsia="宋体" w:cs="Arial"/>
        </w:rPr>
      </w:pPr>
      <w:r>
        <w:rPr>
          <w:rFonts w:ascii="Arial" w:hAnsi="Arial" w:eastAsia="宋体" w:cs="Arial"/>
        </w:rPr>
        <w:br w:type="page"/>
      </w:r>
    </w:p>
    <w:p w14:paraId="44EB94DD">
      <w:pPr>
        <w:spacing w:after="163" w:afterLines="50" w:line="300" w:lineRule="auto"/>
        <w:jc w:val="both"/>
        <w:rPr>
          <w:rFonts w:ascii="Arial" w:hAnsi="Arial" w:eastAsia="宋体" w:cs="Arial"/>
        </w:rPr>
      </w:pPr>
      <w:r>
        <w:rPr>
          <w:rFonts w:ascii="Arial" w:hAnsi="Arial" w:eastAsia="宋体" w:cs="Arial"/>
        </w:rPr>
        <w:t>21 CFR第812部分规定了三种类型的研究：有重大风险（SR）的器械研究</w:t>
      </w:r>
      <w:r>
        <w:rPr>
          <w:rFonts w:hint="eastAsia" w:ascii="Arial" w:hAnsi="Arial" w:eastAsia="宋体" w:cs="Arial"/>
        </w:rPr>
        <w:t>、</w:t>
      </w:r>
      <w:r>
        <w:rPr>
          <w:rFonts w:ascii="Arial" w:hAnsi="Arial" w:eastAsia="宋体" w:cs="Arial"/>
        </w:rPr>
        <w:t>无重大风险（NSR）的器械研究和豁免研究，这些类型的研究简要描述如下。有关SR和NSR器械研究的更多详细信息、IRB评估的重要性、对这些研究的监管要求以及每种类别的器械示例，请</w:t>
      </w:r>
      <w:r>
        <w:rPr>
          <w:rFonts w:hint="eastAsia" w:ascii="Arial" w:hAnsi="Arial" w:eastAsia="宋体" w:cs="Arial"/>
        </w:rPr>
        <w:t>参见</w:t>
      </w:r>
      <w:r>
        <w:rPr>
          <w:rFonts w:ascii="Arial" w:hAnsi="Arial" w:eastAsia="宋体" w:cs="Arial"/>
        </w:rPr>
        <w:t>FDA信息表指南</w:t>
      </w:r>
      <w:r>
        <w:rPr>
          <w:rFonts w:ascii="宋体" w:hAnsi="宋体" w:eastAsia="宋体" w:cs="Arial"/>
        </w:rPr>
        <w:t>“</w:t>
      </w:r>
      <w:r>
        <w:rPr>
          <w:rFonts w:ascii="Arial" w:hAnsi="Arial" w:eastAsia="宋体" w:cs="Arial"/>
        </w:rPr>
        <w:t>有重大风险和无重大风险的医疗器械研究</w:t>
      </w:r>
      <w:r>
        <w:rPr>
          <w:rFonts w:ascii="宋体" w:hAnsi="宋体" w:eastAsia="宋体" w:cs="Arial"/>
        </w:rPr>
        <w:t>”</w:t>
      </w:r>
      <w:r>
        <w:rPr>
          <w:rFonts w:ascii="Arial" w:hAnsi="Arial" w:eastAsia="宋体" w:cs="Arial"/>
        </w:rPr>
        <w:t>。</w:t>
      </w:r>
    </w:p>
    <w:p w14:paraId="68529909">
      <w:pPr>
        <w:pStyle w:val="35"/>
        <w:numPr>
          <w:ilvl w:val="2"/>
          <w:numId w:val="2"/>
        </w:numPr>
        <w:spacing w:after="163" w:afterLines="50" w:line="300" w:lineRule="auto"/>
        <w:ind w:left="1196" w:hanging="357" w:firstLineChars="0"/>
        <w:jc w:val="both"/>
        <w:outlineLvl w:val="2"/>
        <w:rPr>
          <w:rFonts w:ascii="Arial" w:hAnsi="Arial" w:eastAsia="宋体" w:cs="Arial"/>
          <w:b/>
        </w:rPr>
      </w:pPr>
      <w:bookmarkStart w:id="19" w:name="_Toc498524843"/>
      <w:r>
        <w:rPr>
          <w:rFonts w:ascii="Arial" w:hAnsi="Arial" w:eastAsia="宋体" w:cs="Arial"/>
          <w:b/>
        </w:rPr>
        <w:t>有重大风险的器械研究</w:t>
      </w:r>
      <w:bookmarkEnd w:id="19"/>
    </w:p>
    <w:p w14:paraId="19D45104">
      <w:pPr>
        <w:spacing w:after="163" w:afterLines="50" w:line="300" w:lineRule="auto"/>
        <w:jc w:val="both"/>
        <w:rPr>
          <w:rFonts w:ascii="Arial" w:hAnsi="Arial" w:eastAsia="宋体" w:cs="Arial"/>
          <w:szCs w:val="24"/>
        </w:rPr>
      </w:pPr>
      <w:r>
        <w:rPr>
          <w:rFonts w:ascii="Arial" w:hAnsi="Arial" w:eastAsia="宋体" w:cs="Arial"/>
          <w:szCs w:val="24"/>
        </w:rPr>
        <w:t>有重大风险的器械指的是一种研究用器械，其：</w:t>
      </w:r>
    </w:p>
    <w:p w14:paraId="07E0D87D">
      <w:pPr>
        <w:pStyle w:val="35"/>
        <w:numPr>
          <w:ilvl w:val="0"/>
          <w:numId w:val="4"/>
        </w:numPr>
        <w:tabs>
          <w:tab w:val="left" w:pos="0"/>
        </w:tabs>
        <w:spacing w:after="163" w:afterLines="50" w:line="300" w:lineRule="auto"/>
        <w:ind w:firstLineChars="0"/>
        <w:jc w:val="both"/>
        <w:rPr>
          <w:rFonts w:ascii="Arial" w:hAnsi="Arial" w:eastAsia="宋体" w:cs="Arial"/>
        </w:rPr>
      </w:pPr>
      <w:r>
        <w:rPr>
          <w:rFonts w:ascii="Arial" w:hAnsi="Arial" w:eastAsia="宋体" w:cs="Arial"/>
        </w:rPr>
        <w:t>预期作为一种植入物，且对受试者的健康、安全性或福祉存在潜在的严重风险；</w:t>
      </w:r>
    </w:p>
    <w:p w14:paraId="7DED0584">
      <w:pPr>
        <w:pStyle w:val="35"/>
        <w:numPr>
          <w:ilvl w:val="0"/>
          <w:numId w:val="4"/>
        </w:numPr>
        <w:tabs>
          <w:tab w:val="left" w:pos="0"/>
        </w:tabs>
        <w:spacing w:after="163" w:afterLines="50" w:line="300" w:lineRule="auto"/>
        <w:ind w:firstLineChars="0"/>
        <w:jc w:val="both"/>
        <w:rPr>
          <w:rFonts w:ascii="Arial" w:hAnsi="Arial" w:eastAsia="宋体" w:cs="Arial"/>
        </w:rPr>
      </w:pPr>
      <w:r>
        <w:rPr>
          <w:rFonts w:ascii="Arial" w:hAnsi="Arial" w:eastAsia="宋体" w:cs="Arial"/>
        </w:rPr>
        <w:t>声称或提议将用于支持或维持人</w:t>
      </w:r>
      <w:r>
        <w:rPr>
          <w:rFonts w:hint="eastAsia" w:ascii="Arial" w:hAnsi="Arial" w:eastAsia="宋体" w:cs="Arial"/>
        </w:rPr>
        <w:t>类</w:t>
      </w:r>
      <w:r>
        <w:rPr>
          <w:rFonts w:ascii="Arial" w:hAnsi="Arial" w:eastAsia="宋体" w:cs="Arial"/>
        </w:rPr>
        <w:t>的生命，且对受试者的健康、安全性或福祉存在潜在的严重风险；</w:t>
      </w:r>
    </w:p>
    <w:p w14:paraId="606AAEF7">
      <w:pPr>
        <w:pStyle w:val="35"/>
        <w:numPr>
          <w:ilvl w:val="0"/>
          <w:numId w:val="4"/>
        </w:numPr>
        <w:tabs>
          <w:tab w:val="left" w:pos="0"/>
        </w:tabs>
        <w:spacing w:after="163" w:afterLines="50" w:line="300" w:lineRule="auto"/>
        <w:ind w:firstLineChars="0"/>
        <w:jc w:val="both"/>
        <w:rPr>
          <w:rFonts w:ascii="Arial" w:hAnsi="Arial" w:eastAsia="宋体" w:cs="Arial"/>
        </w:rPr>
      </w:pPr>
      <w:r>
        <w:rPr>
          <w:rFonts w:ascii="Arial" w:hAnsi="Arial" w:eastAsia="宋体" w:cs="Arial"/>
        </w:rPr>
        <w:t>用于诊断、治愈、</w:t>
      </w:r>
      <w:r>
        <w:rPr>
          <w:rFonts w:hint="eastAsia" w:ascii="Arial" w:hAnsi="Arial" w:eastAsia="宋体" w:cs="Arial"/>
        </w:rPr>
        <w:t>缓解</w:t>
      </w:r>
      <w:r>
        <w:rPr>
          <w:rFonts w:ascii="Arial" w:hAnsi="Arial" w:eastAsia="宋体" w:cs="Arial"/>
        </w:rPr>
        <w:t>或治疗疾病或防止对人</w:t>
      </w:r>
      <w:r>
        <w:rPr>
          <w:rFonts w:hint="eastAsia" w:ascii="Arial" w:hAnsi="Arial" w:eastAsia="宋体" w:cs="Arial"/>
        </w:rPr>
        <w:t>类</w:t>
      </w:r>
      <w:r>
        <w:rPr>
          <w:rFonts w:ascii="Arial" w:hAnsi="Arial" w:eastAsia="宋体" w:cs="Arial"/>
        </w:rPr>
        <w:t>健康的</w:t>
      </w:r>
      <w:r>
        <w:rPr>
          <w:rFonts w:hint="eastAsia" w:ascii="Arial" w:hAnsi="Arial" w:eastAsia="宋体" w:cs="Arial"/>
        </w:rPr>
        <w:t>损伤</w:t>
      </w:r>
      <w:r>
        <w:rPr>
          <w:rFonts w:ascii="Arial" w:hAnsi="Arial" w:eastAsia="宋体" w:cs="Arial"/>
        </w:rPr>
        <w:t>方面具有重大价值，且对受试者的健康、安全性或福祉存在潜在的严重风险；或</w:t>
      </w:r>
    </w:p>
    <w:p w14:paraId="7382E48E">
      <w:pPr>
        <w:pStyle w:val="35"/>
        <w:numPr>
          <w:ilvl w:val="0"/>
          <w:numId w:val="4"/>
        </w:numPr>
        <w:tabs>
          <w:tab w:val="left" w:pos="0"/>
        </w:tabs>
        <w:spacing w:after="163" w:afterLines="50" w:line="300" w:lineRule="auto"/>
        <w:ind w:firstLineChars="0"/>
        <w:jc w:val="both"/>
        <w:rPr>
          <w:rFonts w:ascii="Arial" w:hAnsi="Arial" w:eastAsia="宋体" w:cs="Arial"/>
        </w:rPr>
      </w:pPr>
      <w:r>
        <w:rPr>
          <w:rFonts w:ascii="Arial" w:hAnsi="Arial" w:eastAsia="宋体" w:cs="Arial"/>
        </w:rPr>
        <w:t>对受试者的健康、安全性或福祉存在潜在的严重风险的其他情况。</w:t>
      </w:r>
      <w:r>
        <w:rPr>
          <w:rFonts w:hint="eastAsia" w:ascii="Arial" w:hAnsi="Arial" w:eastAsia="宋体" w:cs="Arial"/>
        </w:rPr>
        <w:br w:type="textWrapping"/>
      </w:r>
      <w:r>
        <w:rPr>
          <w:rFonts w:ascii="Arial" w:hAnsi="Arial" w:eastAsia="宋体" w:cs="Arial"/>
        </w:rPr>
        <w:t>（21CFR 812.3（m））</w:t>
      </w:r>
    </w:p>
    <w:p w14:paraId="58F513D1">
      <w:pPr>
        <w:spacing w:after="163" w:afterLines="50" w:line="300" w:lineRule="auto"/>
        <w:jc w:val="both"/>
        <w:rPr>
          <w:rFonts w:ascii="Arial" w:hAnsi="Arial" w:eastAsia="宋体" w:cs="Arial"/>
        </w:rPr>
      </w:pPr>
      <w:r>
        <w:rPr>
          <w:rFonts w:ascii="Arial" w:hAnsi="Arial" w:eastAsia="宋体" w:cs="Arial"/>
        </w:rPr>
        <w:t>研究用SR器械的研究申办方需要在开始研究之前获得FDA批准的IDE。21 CFR 812.20（FDA给每个IDE一个编号 - 例如＃GXX0000，其中XX表示提交的年份）。这些研究的申办方和临床研究者必须符合21 CFR第812部分</w:t>
      </w:r>
      <w:r>
        <w:rPr>
          <w:rFonts w:ascii="宋体" w:hAnsi="宋体" w:eastAsia="宋体" w:cs="Arial"/>
        </w:rPr>
        <w:t>“</w:t>
      </w:r>
      <w:r>
        <w:rPr>
          <w:rFonts w:ascii="Arial" w:hAnsi="Arial" w:eastAsia="宋体" w:cs="Arial"/>
        </w:rPr>
        <w:t>研究用器械豁免</w:t>
      </w:r>
      <w:r>
        <w:rPr>
          <w:rFonts w:ascii="宋体" w:hAnsi="宋体" w:eastAsia="宋体" w:cs="Arial"/>
        </w:rPr>
        <w:t>”</w:t>
      </w:r>
      <w:r>
        <w:rPr>
          <w:rFonts w:ascii="Arial" w:hAnsi="Arial" w:eastAsia="宋体" w:cs="Arial"/>
        </w:rPr>
        <w:t>的规定。</w:t>
      </w:r>
    </w:p>
    <w:p w14:paraId="056C439A">
      <w:pPr>
        <w:spacing w:after="163" w:afterLines="50" w:line="300" w:lineRule="auto"/>
        <w:jc w:val="both"/>
        <w:rPr>
          <w:rFonts w:ascii="Arial" w:hAnsi="Arial" w:eastAsia="宋体" w:cs="Arial"/>
        </w:rPr>
      </w:pPr>
      <w:r>
        <w:rPr>
          <w:rFonts w:ascii="Arial" w:hAnsi="Arial" w:eastAsia="宋体" w:cs="Arial"/>
        </w:rPr>
        <w:t>如果FDA不批准IDE，FDA将在信中对不批准的原因进行说明。如果申办方提交了IDE的修正稿，圆满地解决了FDA信中的问题，本机构会向申办方</w:t>
      </w:r>
      <w:r>
        <w:rPr>
          <w:rFonts w:hint="eastAsia" w:ascii="Arial" w:hAnsi="Arial" w:eastAsia="宋体" w:cs="Arial"/>
        </w:rPr>
        <w:t>发送</w:t>
      </w:r>
      <w:r>
        <w:rPr>
          <w:rFonts w:ascii="Arial" w:hAnsi="Arial" w:eastAsia="宋体" w:cs="Arial"/>
        </w:rPr>
        <w:t>IDE的批准信。根据第812部分的规定，研究需在获得FDA和IRB双方的批准后开始进行。</w:t>
      </w:r>
    </w:p>
    <w:p w14:paraId="4603798D">
      <w:pPr>
        <w:spacing w:after="163" w:afterLines="50" w:line="300" w:lineRule="auto"/>
        <w:jc w:val="both"/>
        <w:rPr>
          <w:rFonts w:ascii="Arial" w:hAnsi="Arial" w:eastAsia="宋体" w:cs="Arial"/>
        </w:rPr>
      </w:pPr>
      <w:r>
        <w:rPr>
          <w:rFonts w:ascii="Arial" w:hAnsi="Arial" w:eastAsia="宋体" w:cs="Arial"/>
        </w:rPr>
        <w:t>请注意：FDA的条件性批准信，允许在该研究获得IRB批准后开始研究，但要求申办方提供额外的澄清资料，以获得该研究的完全批准。</w:t>
      </w:r>
    </w:p>
    <w:p w14:paraId="7AD01B2F">
      <w:pPr>
        <w:spacing w:after="163" w:afterLines="50" w:line="300" w:lineRule="auto"/>
        <w:jc w:val="both"/>
        <w:rPr>
          <w:rFonts w:ascii="Arial" w:hAnsi="Arial" w:eastAsia="宋体" w:cs="Arial"/>
        </w:rPr>
      </w:pPr>
      <w:r>
        <w:rPr>
          <w:rFonts w:ascii="Arial" w:hAnsi="Arial" w:eastAsia="宋体" w:cs="Arial"/>
        </w:rPr>
        <w:t>如果FDA已经做出了风险确定，IRB则不必对SR或NSR做出风险确定。通常而言，在研究获得FDA的IDE批准后，临床研究者会向IRB提交SR器械的临床研究报告以供审查。IRB可以要求临床研究者向申办方索取FDA的IDE批准信复印件，以确保SR器械的研究具有FDA批准的IDE。</w:t>
      </w:r>
    </w:p>
    <w:p w14:paraId="1B51CB20">
      <w:pPr>
        <w:adjustRightInd/>
        <w:snapToGrid/>
        <w:spacing w:line="240" w:lineRule="auto"/>
        <w:rPr>
          <w:rFonts w:ascii="Arial" w:hAnsi="Arial" w:eastAsia="宋体" w:cs="Arial"/>
          <w:szCs w:val="24"/>
        </w:rPr>
      </w:pPr>
      <w:r>
        <w:rPr>
          <w:rFonts w:ascii="Arial" w:hAnsi="Arial" w:eastAsia="宋体" w:cs="Arial"/>
          <w:szCs w:val="24"/>
        </w:rPr>
        <w:br w:type="page"/>
      </w:r>
    </w:p>
    <w:p w14:paraId="6918CAEA">
      <w:pPr>
        <w:spacing w:after="163" w:afterLines="50" w:line="312" w:lineRule="auto"/>
        <w:jc w:val="both"/>
        <w:rPr>
          <w:rFonts w:ascii="Arial" w:hAnsi="Arial" w:eastAsia="宋体" w:cs="Arial"/>
        </w:rPr>
      </w:pPr>
      <w:r>
        <w:rPr>
          <w:rFonts w:ascii="Arial" w:hAnsi="Arial" w:eastAsia="宋体" w:cs="Arial"/>
        </w:rPr>
        <w:t>在申办方向FDA提交的IDE获得批准之前，可以请求IRB审查SR器械的研究。在这种情况下，IRB应该意识到，由于FDA有可能不批准IDE或者可能要求对研究方案进行重大修改，IRB可能需要在FDA对申请进行审查后再对该研究进行重新评估。如果IRB在FDA批准IDE之前批准了有重大风险的器械研究，</w:t>
      </w:r>
      <w:r>
        <w:rPr>
          <w:rFonts w:hint="eastAsia" w:ascii="Arial" w:hAnsi="Arial" w:eastAsia="宋体" w:cs="Arial"/>
        </w:rPr>
        <w:t>则</w:t>
      </w:r>
      <w:r>
        <w:rPr>
          <w:rFonts w:ascii="Arial" w:hAnsi="Arial" w:eastAsia="宋体" w:cs="Arial"/>
        </w:rPr>
        <w:t>在研究应当开始的时间之前（即在FDA批准IDE之前），临床研究者</w:t>
      </w:r>
      <w:r>
        <w:rPr>
          <w:rFonts w:hint="eastAsia" w:ascii="Arial" w:hAnsi="Arial" w:eastAsia="宋体" w:cs="Arial"/>
        </w:rPr>
        <w:t>可能会</w:t>
      </w:r>
      <w:r>
        <w:rPr>
          <w:rFonts w:ascii="Arial" w:hAnsi="Arial" w:eastAsia="宋体" w:cs="Arial"/>
        </w:rPr>
        <w:t>错误地</w:t>
      </w:r>
      <w:r>
        <w:rPr>
          <w:rFonts w:hint="eastAsia" w:ascii="Arial" w:hAnsi="Arial" w:eastAsia="宋体" w:cs="Arial"/>
        </w:rPr>
        <w:t>招募</w:t>
      </w:r>
      <w:r>
        <w:rPr>
          <w:rFonts w:ascii="Arial" w:hAnsi="Arial" w:eastAsia="宋体" w:cs="Arial"/>
        </w:rPr>
        <w:t>受试者，这样可能会有更大的风险。</w:t>
      </w:r>
    </w:p>
    <w:p w14:paraId="0E0FD7CE">
      <w:pPr>
        <w:pStyle w:val="35"/>
        <w:numPr>
          <w:ilvl w:val="2"/>
          <w:numId w:val="2"/>
        </w:numPr>
        <w:spacing w:after="163" w:afterLines="50" w:line="312" w:lineRule="auto"/>
        <w:ind w:left="1196" w:hanging="357" w:firstLineChars="0"/>
        <w:jc w:val="both"/>
        <w:outlineLvl w:val="2"/>
        <w:rPr>
          <w:rFonts w:ascii="Arial" w:hAnsi="Arial" w:eastAsia="宋体" w:cs="Arial"/>
          <w:b/>
        </w:rPr>
      </w:pPr>
      <w:bookmarkStart w:id="20" w:name="_Toc498524844"/>
      <w:r>
        <w:rPr>
          <w:rFonts w:ascii="Arial" w:hAnsi="Arial" w:eastAsia="宋体" w:cs="Arial"/>
          <w:b/>
        </w:rPr>
        <w:t>无重大风险的器械研究</w:t>
      </w:r>
      <w:bookmarkEnd w:id="20"/>
    </w:p>
    <w:p w14:paraId="0FF9956A">
      <w:pPr>
        <w:spacing w:after="163" w:afterLines="50" w:line="312" w:lineRule="auto"/>
        <w:jc w:val="both"/>
        <w:rPr>
          <w:rFonts w:ascii="Arial" w:hAnsi="Arial" w:eastAsia="宋体" w:cs="Arial"/>
        </w:rPr>
      </w:pPr>
      <w:r>
        <w:rPr>
          <w:rFonts w:ascii="Arial" w:hAnsi="Arial" w:eastAsia="宋体" w:cs="Arial"/>
        </w:rPr>
        <w:t>NSR器械是不符合重大风险器械定义的研究用器械。如果IRB发现一项研究用医疗器械的研究提议为NSR，则申办方在开始研究之前不需要向FDA提交IDE。如果IRB确定拟议的研究是一项NSR研究，IRB将根据21 CFR 56.109和21 CFR 56.111对该研究进行继续审查。FDA认为，当申办方符合21 CFR 812.2（b）的简略申请要求时，NSR器械研究可以在IRB批准后获得IDE批准。因此，在大多数情况下，FDA并不知晓无重大风险的器械研究。</w:t>
      </w:r>
    </w:p>
    <w:p w14:paraId="64BFE937">
      <w:pPr>
        <w:spacing w:after="163" w:afterLines="50" w:line="312" w:lineRule="auto"/>
        <w:jc w:val="both"/>
        <w:rPr>
          <w:rFonts w:ascii="Arial" w:hAnsi="Arial" w:eastAsia="宋体" w:cs="Arial"/>
        </w:rPr>
      </w:pPr>
      <w:r>
        <w:rPr>
          <w:rFonts w:ascii="Arial" w:hAnsi="Arial" w:eastAsia="宋体" w:cs="Arial"/>
        </w:rPr>
        <w:t>如上所述，如果FDA已经做出风险确定，则IRB不需要重复</w:t>
      </w:r>
      <w:r>
        <w:rPr>
          <w:rFonts w:hint="eastAsia" w:ascii="Arial" w:hAnsi="Arial" w:eastAsia="宋体" w:cs="Arial"/>
        </w:rPr>
        <w:t>该</w:t>
      </w:r>
      <w:r>
        <w:rPr>
          <w:rFonts w:ascii="Arial" w:hAnsi="Arial" w:eastAsia="宋体" w:cs="Arial"/>
        </w:rPr>
        <w:t>工作。然而，如果FDA没有做出风险确定或IRB不同意申办方所做出的NSR确定，</w:t>
      </w:r>
      <w:r>
        <w:rPr>
          <w:rFonts w:hint="eastAsia" w:ascii="Arial" w:hAnsi="Arial" w:eastAsia="宋体" w:cs="Arial"/>
        </w:rPr>
        <w:t>则</w:t>
      </w:r>
      <w:r>
        <w:rPr>
          <w:rFonts w:ascii="Arial" w:hAnsi="Arial" w:eastAsia="宋体" w:cs="Arial"/>
        </w:rPr>
        <w:t>IRB必须通知研究者，并在适当情况下通知申办方，该研究涉及有重大风险的器械（21 CFR812.66）。如果申办方或IRB需要帮助进行SR/NSR的确定，则可以请求FDA做出书面决定</w:t>
      </w:r>
      <w:r>
        <w:rPr>
          <w:rStyle w:val="24"/>
          <w:rFonts w:ascii="Arial" w:hAnsi="Arial" w:eastAsia="宋体" w:cs="Arial"/>
        </w:rPr>
        <w:footnoteReference w:id="2"/>
      </w:r>
      <w:r>
        <w:rPr>
          <w:rFonts w:ascii="Arial" w:hAnsi="Arial" w:eastAsia="宋体" w:cs="Arial"/>
        </w:rPr>
        <w:t>。</w:t>
      </w:r>
    </w:p>
    <w:p w14:paraId="4472DED9">
      <w:pPr>
        <w:spacing w:after="163" w:afterLines="50" w:line="312" w:lineRule="auto"/>
        <w:ind w:left="340"/>
        <w:jc w:val="both"/>
        <w:rPr>
          <w:rFonts w:ascii="Arial" w:hAnsi="Arial" w:eastAsia="宋体" w:cs="Arial"/>
        </w:rPr>
      </w:pPr>
      <w:r>
        <w:rPr>
          <w:rFonts w:ascii="Arial" w:hAnsi="Arial" w:eastAsia="宋体" w:cs="Arial"/>
        </w:rPr>
        <w:t>在确定器械研究是否提议为SR或NSR时，IRB应考虑以下因素：</w:t>
      </w:r>
    </w:p>
    <w:p w14:paraId="1B8B69A5">
      <w:pPr>
        <w:pStyle w:val="35"/>
        <w:numPr>
          <w:ilvl w:val="2"/>
          <w:numId w:val="5"/>
        </w:numPr>
        <w:tabs>
          <w:tab w:val="left" w:pos="1288"/>
        </w:tabs>
        <w:spacing w:after="163" w:afterLines="50" w:line="312" w:lineRule="auto"/>
        <w:ind w:hanging="644" w:firstLineChars="0"/>
        <w:jc w:val="both"/>
        <w:rPr>
          <w:rFonts w:ascii="Arial" w:hAnsi="Arial" w:eastAsia="宋体" w:cs="Arial"/>
        </w:rPr>
      </w:pPr>
      <w:r>
        <w:rPr>
          <w:rFonts w:ascii="Arial" w:hAnsi="Arial" w:eastAsia="宋体" w:cs="Arial"/>
        </w:rPr>
        <w:t>申办方说明为什么这项研究不是SR</w:t>
      </w:r>
    </w:p>
    <w:p w14:paraId="602ADCD0">
      <w:pPr>
        <w:pStyle w:val="35"/>
        <w:numPr>
          <w:ilvl w:val="2"/>
          <w:numId w:val="5"/>
        </w:numPr>
        <w:tabs>
          <w:tab w:val="left" w:pos="1288"/>
        </w:tabs>
        <w:spacing w:after="163" w:afterLines="50" w:line="312" w:lineRule="auto"/>
        <w:ind w:hanging="644" w:firstLineChars="0"/>
        <w:jc w:val="both"/>
        <w:rPr>
          <w:rFonts w:ascii="Arial" w:hAnsi="Arial" w:eastAsia="宋体" w:cs="Arial"/>
        </w:rPr>
      </w:pPr>
      <w:r>
        <w:rPr>
          <w:rFonts w:ascii="Arial" w:hAnsi="Arial" w:eastAsia="宋体" w:cs="Arial"/>
        </w:rPr>
        <w:t>拟议的NSR研究是否符合</w:t>
      </w:r>
      <w:r>
        <w:rPr>
          <w:rFonts w:ascii="宋体" w:hAnsi="宋体" w:eastAsia="宋体" w:cs="Arial"/>
        </w:rPr>
        <w:t>“</w:t>
      </w:r>
      <w:r>
        <w:rPr>
          <w:rFonts w:ascii="Arial" w:hAnsi="Arial" w:eastAsia="宋体" w:cs="Arial"/>
        </w:rPr>
        <w:t>重大风险</w:t>
      </w:r>
      <w:r>
        <w:rPr>
          <w:rFonts w:ascii="宋体" w:hAnsi="宋体" w:eastAsia="宋体" w:cs="Arial"/>
        </w:rPr>
        <w:t>”</w:t>
      </w:r>
      <w:r>
        <w:rPr>
          <w:rFonts w:ascii="Arial" w:hAnsi="Arial" w:eastAsia="宋体" w:cs="Arial"/>
        </w:rPr>
        <w:t>的定义（见上文）</w:t>
      </w:r>
    </w:p>
    <w:p w14:paraId="3460F9BD">
      <w:pPr>
        <w:pStyle w:val="35"/>
        <w:numPr>
          <w:ilvl w:val="2"/>
          <w:numId w:val="5"/>
        </w:numPr>
        <w:tabs>
          <w:tab w:val="left" w:pos="1288"/>
        </w:tabs>
        <w:spacing w:after="163" w:afterLines="50" w:line="312" w:lineRule="auto"/>
        <w:ind w:hanging="644" w:firstLineChars="0"/>
        <w:jc w:val="both"/>
        <w:rPr>
          <w:rFonts w:ascii="Arial" w:hAnsi="Arial" w:eastAsia="宋体" w:cs="Arial"/>
        </w:rPr>
      </w:pPr>
      <w:r>
        <w:rPr>
          <w:rFonts w:ascii="Arial" w:hAnsi="Arial" w:eastAsia="宋体" w:cs="Arial"/>
        </w:rPr>
        <w:t>拟议的器械用途以及任何与方案相关的程序和检测，而不仅仅是器械（试验用品）本身。（此过程与21 CFR 56.111（a）（2））中所述的IRB审查过程不同）。</w:t>
      </w:r>
    </w:p>
    <w:p w14:paraId="64F2E8D4">
      <w:pPr>
        <w:pStyle w:val="35"/>
        <w:numPr>
          <w:ilvl w:val="2"/>
          <w:numId w:val="5"/>
        </w:numPr>
        <w:tabs>
          <w:tab w:val="left" w:pos="1288"/>
        </w:tabs>
        <w:spacing w:after="163" w:afterLines="50" w:line="312" w:lineRule="auto"/>
        <w:ind w:hanging="644" w:firstLineChars="0"/>
        <w:jc w:val="both"/>
        <w:rPr>
          <w:rFonts w:ascii="Arial" w:hAnsi="Arial" w:eastAsia="宋体" w:cs="Arial"/>
        </w:rPr>
      </w:pPr>
      <w:r>
        <w:rPr>
          <w:rFonts w:ascii="Arial" w:hAnsi="Arial" w:eastAsia="宋体" w:cs="Arial"/>
        </w:rPr>
        <w:t>来自申办方的其他信息（如需）。</w:t>
      </w:r>
    </w:p>
    <w:p w14:paraId="49B86F21">
      <w:pPr>
        <w:tabs>
          <w:tab w:val="left" w:pos="1133"/>
        </w:tabs>
        <w:spacing w:after="163" w:afterLines="50" w:line="300" w:lineRule="auto"/>
        <w:jc w:val="both"/>
        <w:rPr>
          <w:rFonts w:ascii="Arial" w:hAnsi="Arial" w:eastAsia="宋体" w:cs="Arial"/>
          <w:sz w:val="20"/>
          <w:szCs w:val="20"/>
        </w:rPr>
      </w:pPr>
      <w:r>
        <w:rPr>
          <w:rFonts w:ascii="Arial" w:hAnsi="Arial" w:eastAsia="宋体" w:cs="Arial"/>
          <w:sz w:val="20"/>
          <w:szCs w:val="20"/>
        </w:rPr>
        <w:br w:type="page"/>
      </w:r>
    </w:p>
    <w:p w14:paraId="0E449F31">
      <w:pPr>
        <w:pStyle w:val="35"/>
        <w:numPr>
          <w:ilvl w:val="2"/>
          <w:numId w:val="2"/>
        </w:numPr>
        <w:spacing w:after="163" w:afterLines="50" w:line="300" w:lineRule="auto"/>
        <w:ind w:left="1196" w:hanging="357" w:firstLineChars="0"/>
        <w:jc w:val="both"/>
        <w:outlineLvl w:val="2"/>
        <w:rPr>
          <w:rFonts w:ascii="Arial" w:hAnsi="Arial" w:eastAsia="宋体" w:cs="Arial"/>
          <w:b/>
        </w:rPr>
      </w:pPr>
      <w:bookmarkStart w:id="21" w:name="_Toc498524845"/>
      <w:r>
        <w:rPr>
          <w:rFonts w:ascii="Arial" w:hAnsi="Arial" w:eastAsia="宋体" w:cs="Arial"/>
          <w:b/>
        </w:rPr>
        <w:t>豁免研究</w:t>
      </w:r>
      <w:bookmarkEnd w:id="21"/>
    </w:p>
    <w:p w14:paraId="3874EBF4">
      <w:pPr>
        <w:spacing w:after="163" w:afterLines="50" w:line="300" w:lineRule="auto"/>
        <w:jc w:val="both"/>
        <w:rPr>
          <w:rFonts w:ascii="Arial" w:hAnsi="Arial" w:eastAsia="宋体" w:cs="Arial"/>
        </w:rPr>
      </w:pPr>
      <w:r>
        <w:rPr>
          <w:rFonts w:ascii="Arial" w:hAnsi="Arial" w:eastAsia="宋体" w:cs="Arial"/>
        </w:rPr>
        <w:t>根据21 CFR 812.2（b），某些研究的申办方和研究者可以</w:t>
      </w:r>
      <w:r>
        <w:rPr>
          <w:rFonts w:hint="eastAsia" w:ascii="Arial" w:hAnsi="Arial" w:eastAsia="宋体" w:cs="Arial"/>
        </w:rPr>
        <w:t>豁免</w:t>
      </w:r>
      <w:r>
        <w:rPr>
          <w:rFonts w:ascii="Arial" w:hAnsi="Arial" w:eastAsia="宋体" w:cs="Arial"/>
        </w:rPr>
        <w:t>21 CFR第812部分的要求，但§8.2129（取消资格</w:t>
      </w:r>
      <w:r>
        <w:rPr>
          <w:rFonts w:hint="eastAsia" w:ascii="Arial" w:hAnsi="Arial" w:eastAsia="宋体" w:cs="Arial"/>
        </w:rPr>
        <w:t>的</w:t>
      </w:r>
      <w:r>
        <w:rPr>
          <w:rFonts w:ascii="Arial" w:hAnsi="Arial" w:eastAsia="宋体" w:cs="Arial"/>
        </w:rPr>
        <w:t>临床研究者的）除外。豁免的示例为</w:t>
      </w:r>
      <w:r>
        <w:rPr>
          <w:rFonts w:hint="eastAsia" w:ascii="Arial" w:hAnsi="Arial" w:eastAsia="宋体" w:cs="Arial"/>
        </w:rPr>
        <w:t>用户</w:t>
      </w:r>
      <w:r>
        <w:rPr>
          <w:rFonts w:ascii="Arial" w:hAnsi="Arial" w:eastAsia="宋体" w:cs="Arial"/>
        </w:rPr>
        <w:t>偏好</w:t>
      </w:r>
      <w:r>
        <w:rPr>
          <w:rFonts w:hint="eastAsia" w:ascii="Arial" w:hAnsi="Arial" w:eastAsia="宋体" w:cs="Arial"/>
        </w:rPr>
        <w:t>试验</w:t>
      </w:r>
      <w:r>
        <w:rPr>
          <w:rFonts w:ascii="Arial" w:hAnsi="Arial" w:eastAsia="宋体" w:cs="Arial"/>
        </w:rPr>
        <w:t>、器械</w:t>
      </w:r>
      <w:r>
        <w:rPr>
          <w:rFonts w:hint="eastAsia" w:ascii="Arial" w:hAnsi="Arial" w:eastAsia="宋体" w:cs="Arial"/>
        </w:rPr>
        <w:t>变更</w:t>
      </w:r>
      <w:r>
        <w:rPr>
          <w:rFonts w:ascii="Arial" w:hAnsi="Arial" w:eastAsia="宋体" w:cs="Arial"/>
        </w:rPr>
        <w:t>试验、或者两种或更多的商业流通渠道的器械试验，若以上试验并非收集安全性或有效性数据，或者不会给受试者带来风险。</w:t>
      </w:r>
      <w:r>
        <w:rPr>
          <w:rStyle w:val="24"/>
          <w:rFonts w:ascii="Arial" w:hAnsi="Arial" w:eastAsia="宋体" w:cs="Arial"/>
        </w:rPr>
        <w:footnoteReference w:id="3"/>
      </w:r>
    </w:p>
    <w:p w14:paraId="1F92D0C8">
      <w:pPr>
        <w:spacing w:after="163" w:afterLines="50" w:line="300" w:lineRule="auto"/>
        <w:jc w:val="both"/>
        <w:rPr>
          <w:rFonts w:ascii="Arial" w:hAnsi="Arial" w:eastAsia="宋体" w:cs="Arial"/>
        </w:rPr>
      </w:pPr>
      <w:r>
        <w:rPr>
          <w:rFonts w:ascii="Arial" w:hAnsi="Arial" w:eastAsia="宋体" w:cs="Arial"/>
        </w:rPr>
        <w:t>根据已获许可的标签说明，对已获许可的医疗器械进行研究，可以豁免第812部分</w:t>
      </w:r>
      <w:r>
        <w:rPr>
          <w:rStyle w:val="24"/>
          <w:rFonts w:ascii="Arial" w:hAnsi="Arial" w:eastAsia="宋体" w:cs="Arial"/>
        </w:rPr>
        <w:footnoteReference w:id="4"/>
      </w:r>
      <w:r>
        <w:rPr>
          <w:rFonts w:ascii="Arial" w:hAnsi="Arial" w:eastAsia="宋体" w:cs="Arial"/>
        </w:rPr>
        <w:t>。请注意：对许可器械的新用途研究必须符合</w:t>
      </w:r>
      <w:r>
        <w:rPr>
          <w:rFonts w:hint="eastAsia" w:ascii="Arial" w:hAnsi="Arial" w:eastAsia="宋体" w:cs="Arial"/>
        </w:rPr>
        <w:t>人类</w:t>
      </w:r>
      <w:r>
        <w:rPr>
          <w:rFonts w:ascii="Arial" w:hAnsi="Arial" w:eastAsia="宋体" w:cs="Arial"/>
        </w:rPr>
        <w:t>受试者保护要求（知情同意和儿童在研究中的额外保障）、IRB和IDE规定。类似地，如果器械正在按照批准的标签说明进行研究，则对于PMA批准的器械研究将</w:t>
      </w:r>
      <w:r>
        <w:rPr>
          <w:rFonts w:hint="eastAsia" w:ascii="Arial" w:hAnsi="Arial" w:eastAsia="宋体" w:cs="Arial"/>
        </w:rPr>
        <w:t>豁免</w:t>
      </w:r>
      <w:r>
        <w:rPr>
          <w:rFonts w:ascii="Arial" w:hAnsi="Arial" w:eastAsia="宋体" w:cs="Arial"/>
        </w:rPr>
        <w:t>IDE要求。</w:t>
      </w:r>
    </w:p>
    <w:p w14:paraId="564D1957">
      <w:pPr>
        <w:shd w:val="clear" w:color="auto" w:fill="FFFFFF"/>
        <w:tabs>
          <w:tab w:val="left" w:pos="705"/>
        </w:tabs>
        <w:spacing w:after="163" w:afterLines="50" w:line="300" w:lineRule="auto"/>
        <w:jc w:val="both"/>
        <w:rPr>
          <w:rFonts w:ascii="Arial" w:hAnsi="Arial" w:eastAsia="宋体" w:cs="Arial"/>
        </w:rPr>
      </w:pPr>
      <w:r>
        <w:rPr>
          <w:rFonts w:ascii="Arial" w:hAnsi="Arial" w:eastAsia="宋体" w:cs="Arial"/>
        </w:rPr>
        <w:t>此外，在某些情况下，诊断器械的研究（例如，体外诊断研究）可以豁免21 CFR 第812部分的要求。只要申办方符合21 CFR 809.10（c）</w:t>
      </w:r>
      <w:r>
        <w:rPr>
          <w:rFonts w:hint="eastAsia" w:ascii="Arial" w:hAnsi="Arial" w:eastAsia="宋体" w:cs="Arial"/>
        </w:rPr>
        <w:t>的</w:t>
      </w:r>
      <w:r>
        <w:rPr>
          <w:rFonts w:ascii="Arial" w:hAnsi="Arial" w:eastAsia="宋体" w:cs="Arial"/>
        </w:rPr>
        <w:t>标签要求，并且如果该试验：（i）无创</w:t>
      </w:r>
      <w:r>
        <w:rPr>
          <w:rFonts w:hint="eastAsia" w:ascii="Arial" w:hAnsi="Arial" w:eastAsia="宋体" w:cs="Arial"/>
        </w:rPr>
        <w:t>伤</w:t>
      </w:r>
      <w:r>
        <w:rPr>
          <w:rFonts w:ascii="Arial" w:hAnsi="Arial" w:eastAsia="宋体" w:cs="Arial"/>
        </w:rPr>
        <w:t>；（ii）不需要进行具有重大风险的侵入性采样程序；（iii）未设计或意图向受试者引入能量；和（iv）不用作诊断程序（未经另一项医学确定的诊断产品或程序进行的诊断确认）。21 CFR 812.2（c）（3）。</w:t>
      </w:r>
    </w:p>
    <w:p w14:paraId="06F81A59">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2" w:name="_Toc498524846"/>
      <w:r>
        <w:rPr>
          <w:rFonts w:ascii="Arial" w:hAnsi="Arial" w:eastAsia="宋体" w:cs="Arial"/>
          <w:b/>
        </w:rPr>
        <w:t>IDE豁免研究是否需符合第50和56部分规定的知情同意和IRB审查和批准的要求？</w:t>
      </w:r>
      <w:bookmarkEnd w:id="22"/>
    </w:p>
    <w:p w14:paraId="0F825F1C">
      <w:pPr>
        <w:spacing w:after="163" w:afterLines="50" w:line="300" w:lineRule="auto"/>
        <w:jc w:val="both"/>
        <w:rPr>
          <w:rFonts w:ascii="Arial" w:hAnsi="Arial" w:eastAsia="宋体" w:cs="Arial"/>
        </w:rPr>
      </w:pPr>
      <w:r>
        <w:rPr>
          <w:rFonts w:ascii="Arial" w:hAnsi="Arial" w:eastAsia="宋体" w:cs="Arial"/>
        </w:rPr>
        <w:t>如果正在进行的一项豁免研究是为了收集数据以支持临床研究或上市申请，则该研究必须符合21 CFR第50部分的要求，并应符合21 CFR第56部分21 CFR 50.1（a）</w:t>
      </w:r>
      <w:r>
        <w:rPr>
          <w:rFonts w:hint="eastAsia" w:ascii="Arial" w:hAnsi="Arial" w:eastAsia="宋体" w:cs="Arial"/>
        </w:rPr>
        <w:t>、</w:t>
      </w:r>
      <w:r>
        <w:rPr>
          <w:rFonts w:ascii="Arial" w:hAnsi="Arial" w:eastAsia="宋体" w:cs="Arial"/>
        </w:rPr>
        <w:t>21 CFR 50.20</w:t>
      </w:r>
      <w:r>
        <w:rPr>
          <w:rFonts w:hint="eastAsia" w:ascii="Arial" w:hAnsi="Arial" w:eastAsia="宋体" w:cs="Arial"/>
        </w:rPr>
        <w:t>、</w:t>
      </w:r>
      <w:r>
        <w:rPr>
          <w:rFonts w:ascii="Arial" w:hAnsi="Arial" w:eastAsia="宋体" w:cs="Arial"/>
        </w:rPr>
        <w:t>21 CFR 56.101（a）</w:t>
      </w:r>
      <w:r>
        <w:rPr>
          <w:rFonts w:hint="eastAsia" w:ascii="Arial" w:hAnsi="Arial" w:eastAsia="宋体" w:cs="Arial"/>
        </w:rPr>
        <w:t>、</w:t>
      </w:r>
      <w:r>
        <w:rPr>
          <w:rFonts w:ascii="Arial" w:hAnsi="Arial" w:eastAsia="宋体" w:cs="Arial"/>
        </w:rPr>
        <w:t>21 CFR 56.103的要求。</w:t>
      </w:r>
    </w:p>
    <w:p w14:paraId="2114BF5E">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3" w:name="_Toc498524847"/>
      <w:r>
        <w:rPr>
          <w:rFonts w:ascii="Arial" w:hAnsi="Arial" w:eastAsia="宋体" w:cs="Arial"/>
          <w:b/>
        </w:rPr>
        <w:t>FDA是否要求IRB对合法</w:t>
      </w:r>
      <w:r>
        <w:rPr>
          <w:rFonts w:hint="eastAsia" w:ascii="Arial" w:hAnsi="Arial" w:eastAsia="宋体" w:cs="Arial"/>
          <w:b/>
        </w:rPr>
        <w:t>上市</w:t>
      </w:r>
      <w:r>
        <w:rPr>
          <w:rFonts w:ascii="Arial" w:hAnsi="Arial" w:eastAsia="宋体" w:cs="Arial"/>
          <w:b/>
        </w:rPr>
        <w:t>的器械用于标签外的用途进行审查和批准？</w:t>
      </w:r>
      <w:bookmarkEnd w:id="23"/>
    </w:p>
    <w:p w14:paraId="23A551AF">
      <w:pPr>
        <w:spacing w:after="163" w:afterLines="50" w:line="300" w:lineRule="auto"/>
        <w:jc w:val="both"/>
        <w:rPr>
          <w:rFonts w:ascii="Arial" w:hAnsi="Arial" w:eastAsia="宋体" w:cs="Arial"/>
        </w:rPr>
      </w:pPr>
      <w:r>
        <w:rPr>
          <w:rFonts w:ascii="Arial" w:hAnsi="Arial" w:eastAsia="宋体" w:cs="Arial"/>
        </w:rPr>
        <w:t>不要求。当医生在标签外使用合法</w:t>
      </w:r>
      <w:r>
        <w:rPr>
          <w:rFonts w:hint="eastAsia" w:ascii="Arial" w:hAnsi="Arial" w:eastAsia="宋体" w:cs="Arial"/>
        </w:rPr>
        <w:t>上市</w:t>
      </w:r>
      <w:r>
        <w:rPr>
          <w:rFonts w:ascii="Arial" w:hAnsi="Arial" w:eastAsia="宋体" w:cs="Arial"/>
        </w:rPr>
        <w:t>的器械来治疗患者，且并未进行研究时，无需IRB审查。请注意：虽然FDA没有要求，IRB仍可自行决定审查这项用途。是的，当标签外使用合法销售的器械是作为收集涉及</w:t>
      </w:r>
      <w:r>
        <w:rPr>
          <w:rFonts w:hint="eastAsia" w:ascii="Arial" w:hAnsi="Arial" w:eastAsia="宋体" w:cs="Arial"/>
        </w:rPr>
        <w:t>人类</w:t>
      </w:r>
      <w:r>
        <w:rPr>
          <w:rFonts w:ascii="Arial" w:hAnsi="Arial" w:eastAsia="宋体" w:cs="Arial"/>
        </w:rPr>
        <w:t>受试者的安全性和有效性数据的研究的一部分时，需要IRB的审查和批准（21 CFR 812.2（a））</w:t>
      </w:r>
    </w:p>
    <w:p w14:paraId="42FC69F2">
      <w:pPr>
        <w:adjustRightInd/>
        <w:snapToGrid/>
        <w:spacing w:line="240" w:lineRule="auto"/>
        <w:rPr>
          <w:rFonts w:ascii="Arial" w:hAnsi="Arial" w:eastAsia="宋体" w:cs="Arial"/>
        </w:rPr>
      </w:pPr>
      <w:r>
        <w:rPr>
          <w:rFonts w:ascii="Arial" w:hAnsi="Arial" w:eastAsia="宋体" w:cs="Arial"/>
        </w:rPr>
        <w:br w:type="page"/>
      </w:r>
    </w:p>
    <w:p w14:paraId="6FF73ED7">
      <w:pPr>
        <w:spacing w:after="163" w:afterLines="50" w:line="300" w:lineRule="auto"/>
        <w:jc w:val="both"/>
        <w:rPr>
          <w:rFonts w:ascii="Arial" w:hAnsi="Arial" w:eastAsia="宋体" w:cs="Arial"/>
        </w:rPr>
      </w:pPr>
      <w:r>
        <w:rPr>
          <w:rFonts w:ascii="Arial" w:hAnsi="Arial" w:eastAsia="宋体" w:cs="Arial"/>
        </w:rPr>
        <w:t>有关标签外使用器械的其他信息，请参</w:t>
      </w:r>
      <w:r>
        <w:rPr>
          <w:rFonts w:hint="eastAsia" w:ascii="Arial" w:hAnsi="Arial" w:eastAsia="宋体" w:cs="Arial"/>
        </w:rPr>
        <w:t>见</w:t>
      </w:r>
      <w:r>
        <w:rPr>
          <w:rFonts w:ascii="Arial" w:hAnsi="Arial" w:eastAsia="宋体" w:cs="Arial"/>
        </w:rPr>
        <w:t>FDA信息表指南</w:t>
      </w:r>
      <w:r>
        <w:rPr>
          <w:rFonts w:ascii="宋体" w:hAnsi="宋体" w:eastAsia="宋体" w:cs="Arial"/>
        </w:rPr>
        <w:t>“</w:t>
      </w:r>
      <w:r>
        <w:rPr>
          <w:rFonts w:ascii="Arial" w:hAnsi="Arial" w:eastAsia="宋体" w:cs="Arial"/>
        </w:rPr>
        <w:t>已上市药品、生物制剂和医疗器械的</w:t>
      </w:r>
      <w:r>
        <w:rPr>
          <w:rFonts w:hint="eastAsia" w:ascii="Arial" w:hAnsi="Arial" w:eastAsia="宋体" w:cs="Arial"/>
        </w:rPr>
        <w:t>‘</w:t>
      </w:r>
      <w:r>
        <w:rPr>
          <w:rFonts w:ascii="Arial" w:hAnsi="Arial" w:eastAsia="宋体" w:cs="Arial"/>
        </w:rPr>
        <w:t>标签外</w:t>
      </w:r>
      <w:r>
        <w:rPr>
          <w:rFonts w:hint="eastAsia" w:ascii="Arial" w:hAnsi="Arial" w:eastAsia="宋体" w:cs="Arial"/>
        </w:rPr>
        <w:t>’</w:t>
      </w:r>
      <w:r>
        <w:rPr>
          <w:rFonts w:ascii="Arial" w:hAnsi="Arial" w:eastAsia="宋体" w:cs="Arial"/>
        </w:rPr>
        <w:t>和临床研究使用</w:t>
      </w:r>
      <w:r>
        <w:rPr>
          <w:rFonts w:ascii="宋体" w:hAnsi="宋体" w:eastAsia="宋体" w:cs="Arial"/>
        </w:rPr>
        <w:t>”</w:t>
      </w:r>
      <w:r>
        <w:rPr>
          <w:rStyle w:val="24"/>
          <w:rFonts w:ascii="Arial" w:hAnsi="Arial" w:eastAsia="宋体" w:cs="Arial"/>
        </w:rPr>
        <w:footnoteReference w:id="5"/>
      </w:r>
      <w:r>
        <w:rPr>
          <w:rFonts w:ascii="Arial" w:hAnsi="Arial" w:eastAsia="宋体" w:cs="Arial"/>
        </w:rPr>
        <w:t>。</w:t>
      </w:r>
    </w:p>
    <w:p w14:paraId="45835053">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4" w:name="_Toc498524848"/>
      <w:r>
        <w:rPr>
          <w:rFonts w:ascii="Arial" w:hAnsi="Arial" w:eastAsia="宋体" w:cs="Arial"/>
          <w:b/>
        </w:rPr>
        <w:t>向FDA提交（510（k））后进行的研究，在FDA对该提交做出决定之前，IRB</w:t>
      </w:r>
      <w:r>
        <w:rPr>
          <w:rFonts w:hint="eastAsia" w:ascii="Arial" w:hAnsi="Arial" w:eastAsia="宋体" w:cs="Arial"/>
          <w:b/>
        </w:rPr>
        <w:t>是否</w:t>
      </w:r>
      <w:r>
        <w:rPr>
          <w:rFonts w:ascii="Arial" w:hAnsi="Arial" w:eastAsia="宋体" w:cs="Arial"/>
          <w:b/>
        </w:rPr>
        <w:t>必须审查？</w:t>
      </w:r>
      <w:bookmarkEnd w:id="24"/>
    </w:p>
    <w:p w14:paraId="67041CF9">
      <w:pPr>
        <w:spacing w:after="163" w:afterLines="50" w:line="300" w:lineRule="auto"/>
        <w:jc w:val="both"/>
        <w:rPr>
          <w:rFonts w:ascii="Arial" w:hAnsi="Arial" w:eastAsia="宋体" w:cs="Arial"/>
        </w:rPr>
      </w:pPr>
      <w:r>
        <w:rPr>
          <w:rFonts w:ascii="Arial" w:hAnsi="Arial" w:eastAsia="宋体" w:cs="Arial"/>
        </w:rPr>
        <w:t>是的。在FDA对上市前通知提交进行审查期间，该器械仍然是研究用产品。因此，适用于人</w:t>
      </w:r>
      <w:r>
        <w:rPr>
          <w:rFonts w:hint="eastAsia" w:ascii="Arial" w:hAnsi="Arial" w:eastAsia="宋体" w:cs="Arial"/>
        </w:rPr>
        <w:t>类</w:t>
      </w:r>
      <w:r>
        <w:rPr>
          <w:rFonts w:ascii="Arial" w:hAnsi="Arial" w:eastAsia="宋体" w:cs="Arial"/>
        </w:rPr>
        <w:t>受试者保护要求（知情同意和儿童在研究中的额外保障）、IRB和IDE规定。除了研究用途外，该器械在FDA许可</w:t>
      </w:r>
      <w:r>
        <w:rPr>
          <w:rFonts w:hint="eastAsia" w:ascii="Arial" w:hAnsi="Arial" w:eastAsia="宋体" w:cs="Arial"/>
        </w:rPr>
        <w:t>上市</w:t>
      </w:r>
      <w:r>
        <w:rPr>
          <w:rFonts w:ascii="Arial" w:hAnsi="Arial" w:eastAsia="宋体" w:cs="Arial"/>
        </w:rPr>
        <w:t>前不能进行分销。</w:t>
      </w:r>
    </w:p>
    <w:p w14:paraId="6158CFE6">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5" w:name="_Toc498524849"/>
      <w:r>
        <w:rPr>
          <w:rFonts w:ascii="Arial" w:hAnsi="Arial" w:eastAsia="宋体" w:cs="Arial"/>
          <w:b/>
        </w:rPr>
        <w:t>医生在紧急情况下</w:t>
      </w:r>
      <w:r>
        <w:rPr>
          <w:rFonts w:hint="eastAsia" w:ascii="Arial" w:hAnsi="Arial" w:eastAsia="宋体" w:cs="Arial"/>
          <w:b/>
        </w:rPr>
        <w:t>是否</w:t>
      </w:r>
      <w:r>
        <w:rPr>
          <w:rFonts w:ascii="Arial" w:hAnsi="Arial" w:eastAsia="宋体" w:cs="Arial"/>
          <w:b/>
        </w:rPr>
        <w:t>可以使用未经批准的器械？</w:t>
      </w:r>
      <w:bookmarkEnd w:id="25"/>
    </w:p>
    <w:p w14:paraId="0B93A002">
      <w:pPr>
        <w:spacing w:after="163" w:afterLines="50" w:line="300" w:lineRule="auto"/>
        <w:jc w:val="both"/>
        <w:rPr>
          <w:rFonts w:ascii="Arial" w:hAnsi="Arial" w:eastAsia="宋体" w:cs="Arial"/>
        </w:rPr>
      </w:pPr>
      <w:r>
        <w:rPr>
          <w:rFonts w:ascii="Arial" w:hAnsi="Arial" w:eastAsia="宋体" w:cs="Arial"/>
        </w:rPr>
        <w:t>一般来说，未经批准的医疗器械仅在临床研究期间并由参与临床试验的研究者使用时，才可以用于人</w:t>
      </w:r>
      <w:r>
        <w:rPr>
          <w:rFonts w:hint="eastAsia" w:ascii="Arial" w:hAnsi="Arial" w:eastAsia="宋体" w:cs="Arial"/>
        </w:rPr>
        <w:t>类</w:t>
      </w:r>
      <w:r>
        <w:rPr>
          <w:rFonts w:ascii="Arial" w:hAnsi="Arial" w:eastAsia="宋体" w:cs="Arial"/>
        </w:rPr>
        <w:t>受试者。然而，该法案第561节认为，在某些情况下，医疗保健人员可能希望使用未经批准的器械来挽救患者的生命，或在没有其他替代疗法时对不可逆的发病进行预防。对于按照IDE进行的研究用器械，IDE允许在未经事先批准的情况下偏离研究计划，以在紧急情况下保护受试者的生命或身体健康。（</w:t>
      </w:r>
      <w:r>
        <w:rPr>
          <w:rFonts w:hint="eastAsia" w:ascii="Arial" w:hAnsi="Arial" w:eastAsia="宋体" w:cs="Arial"/>
        </w:rPr>
        <w:t>参</w:t>
      </w:r>
      <w:r>
        <w:rPr>
          <w:rFonts w:ascii="Arial" w:hAnsi="Arial" w:eastAsia="宋体" w:cs="Arial"/>
        </w:rPr>
        <w:t>见21 CFR 812.35（a））。医生可以在紧急情况下对患者使用未经批准的医疗器械进行治疗，如果他/她断定：</w:t>
      </w:r>
    </w:p>
    <w:p w14:paraId="163272DB">
      <w:pPr>
        <w:widowControl w:val="0"/>
        <w:numPr>
          <w:ilvl w:val="0"/>
          <w:numId w:val="6"/>
        </w:numPr>
        <w:tabs>
          <w:tab w:val="left" w:pos="1414"/>
        </w:tabs>
        <w:spacing w:after="163" w:afterLines="50" w:line="300" w:lineRule="auto"/>
        <w:ind w:left="480" w:leftChars="200"/>
        <w:jc w:val="both"/>
        <w:rPr>
          <w:rFonts w:ascii="Arial" w:hAnsi="Arial" w:eastAsia="宋体" w:cs="Arial"/>
        </w:rPr>
      </w:pPr>
      <w:r>
        <w:rPr>
          <w:rFonts w:ascii="Arial" w:hAnsi="Arial" w:eastAsia="宋体" w:cs="Arial"/>
        </w:rPr>
        <w:t>患者存在危及生命的</w:t>
      </w:r>
      <w:r>
        <w:rPr>
          <w:rFonts w:hint="eastAsia" w:ascii="Arial" w:hAnsi="Arial" w:eastAsia="宋体" w:cs="Arial"/>
        </w:rPr>
        <w:t>病症</w:t>
      </w:r>
      <w:r>
        <w:rPr>
          <w:rFonts w:ascii="Arial" w:hAnsi="Arial" w:eastAsia="宋体" w:cs="Arial"/>
        </w:rPr>
        <w:t>，需要立即治疗；</w:t>
      </w:r>
      <w:r>
        <w:rPr>
          <w:rStyle w:val="24"/>
          <w:rFonts w:ascii="Arial" w:hAnsi="Arial" w:eastAsia="宋体" w:cs="Arial"/>
        </w:rPr>
        <w:footnoteReference w:id="6"/>
      </w:r>
    </w:p>
    <w:p w14:paraId="44AF8907">
      <w:pPr>
        <w:widowControl w:val="0"/>
        <w:numPr>
          <w:ilvl w:val="0"/>
          <w:numId w:val="6"/>
        </w:numPr>
        <w:tabs>
          <w:tab w:val="left" w:pos="1414"/>
        </w:tabs>
        <w:spacing w:after="163" w:afterLines="50" w:line="300" w:lineRule="auto"/>
        <w:ind w:left="480" w:leftChars="200"/>
        <w:jc w:val="both"/>
        <w:rPr>
          <w:rFonts w:ascii="Arial" w:hAnsi="Arial" w:eastAsia="宋体" w:cs="Arial"/>
        </w:rPr>
      </w:pPr>
      <w:r>
        <w:rPr>
          <w:rFonts w:ascii="Arial" w:hAnsi="Arial" w:eastAsia="宋体" w:cs="Arial"/>
        </w:rPr>
        <w:t>该病症目前不存在被普遍接受的替代治疗方法；和</w:t>
      </w:r>
    </w:p>
    <w:p w14:paraId="24228D17">
      <w:pPr>
        <w:widowControl w:val="0"/>
        <w:numPr>
          <w:ilvl w:val="0"/>
          <w:numId w:val="6"/>
        </w:numPr>
        <w:tabs>
          <w:tab w:val="left" w:pos="1414"/>
        </w:tabs>
        <w:spacing w:after="163" w:afterLines="50" w:line="300" w:lineRule="auto"/>
        <w:ind w:left="480" w:leftChars="200"/>
        <w:jc w:val="both"/>
        <w:rPr>
          <w:rFonts w:ascii="Arial" w:hAnsi="Arial" w:eastAsia="宋体" w:cs="Arial"/>
        </w:rPr>
      </w:pPr>
      <w:r>
        <w:rPr>
          <w:rFonts w:ascii="Arial" w:hAnsi="Arial" w:eastAsia="宋体" w:cs="Arial"/>
        </w:rPr>
        <w:t>由于需要立即使用器械，因此没有时间采取现有程序以获得FDA的使用批准。</w:t>
      </w:r>
    </w:p>
    <w:p w14:paraId="750B9C26">
      <w:pPr>
        <w:spacing w:after="163" w:afterLines="50" w:line="300" w:lineRule="auto"/>
        <w:jc w:val="both"/>
        <w:rPr>
          <w:rFonts w:ascii="Arial" w:hAnsi="Arial" w:eastAsia="宋体" w:cs="Arial"/>
        </w:rPr>
      </w:pPr>
      <w:r>
        <w:rPr>
          <w:rFonts w:ascii="Arial" w:hAnsi="Arial" w:eastAsia="宋体" w:cs="Arial"/>
        </w:rPr>
        <w:t xml:space="preserve">FDA希望医生确定患者的情况符合上述标准，对使用未经批准器械的可能获益进行评估，并有充分的理由认为存在获益。如果在符合上述标准的情况下使用器械，医生应尽可能多地对患者采取保护措施，如下所示： </w:t>
      </w:r>
    </w:p>
    <w:p w14:paraId="731F004C">
      <w:pPr>
        <w:widowControl w:val="0"/>
        <w:numPr>
          <w:ilvl w:val="0"/>
          <w:numId w:val="6"/>
        </w:numPr>
        <w:tabs>
          <w:tab w:val="left" w:pos="1414"/>
        </w:tabs>
        <w:spacing w:after="163" w:afterLines="50" w:line="300" w:lineRule="auto"/>
        <w:ind w:left="480" w:leftChars="200"/>
        <w:jc w:val="both"/>
        <w:rPr>
          <w:rFonts w:ascii="Arial" w:hAnsi="Arial" w:eastAsia="宋体" w:cs="Arial"/>
        </w:rPr>
      </w:pPr>
      <w:r>
        <w:rPr>
          <w:rFonts w:ascii="Arial" w:hAnsi="Arial" w:eastAsia="宋体" w:cs="Arial"/>
        </w:rPr>
        <w:t>患者或法定代理人的知情同意</w:t>
      </w:r>
      <w:r>
        <w:rPr>
          <w:rFonts w:hint="eastAsia" w:ascii="Arial" w:hAnsi="Arial" w:eastAsia="宋体" w:cs="Arial"/>
        </w:rPr>
        <w:t>书</w:t>
      </w:r>
      <w:r>
        <w:rPr>
          <w:rFonts w:ascii="Arial" w:hAnsi="Arial" w:eastAsia="宋体" w:cs="Arial"/>
        </w:rPr>
        <w:t>；</w:t>
      </w:r>
    </w:p>
    <w:p w14:paraId="09F316E7">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根据他们的政策规定获得机构的许可；</w:t>
      </w:r>
    </w:p>
    <w:p w14:paraId="178FF7CE">
      <w:pPr>
        <w:spacing w:after="163" w:afterLines="50" w:line="300" w:lineRule="auto"/>
        <w:jc w:val="both"/>
        <w:rPr>
          <w:rFonts w:ascii="Arial" w:hAnsi="Arial" w:eastAsia="宋体" w:cs="Arial"/>
          <w:sz w:val="20"/>
          <w:szCs w:val="20"/>
        </w:rPr>
      </w:pPr>
      <w:r>
        <w:rPr>
          <w:rFonts w:ascii="Arial" w:hAnsi="Arial" w:eastAsia="宋体" w:cs="Arial"/>
          <w:sz w:val="20"/>
          <w:szCs w:val="20"/>
        </w:rPr>
        <w:br w:type="page"/>
      </w:r>
    </w:p>
    <w:p w14:paraId="2F02495B">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IRB主席的同意；</w:t>
      </w:r>
    </w:p>
    <w:p w14:paraId="4FC56A66">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未参加该项研究的医师的评估；和</w:t>
      </w:r>
    </w:p>
    <w:p w14:paraId="056353FC">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如果器械存在IDE，则从IDE申办方处获得授权。</w:t>
      </w:r>
    </w:p>
    <w:p w14:paraId="113723B4">
      <w:pPr>
        <w:spacing w:after="163" w:afterLines="50" w:line="300" w:lineRule="auto"/>
        <w:jc w:val="both"/>
        <w:rPr>
          <w:rFonts w:ascii="Arial" w:hAnsi="Arial" w:eastAsia="宋体" w:cs="Arial"/>
        </w:rPr>
      </w:pPr>
      <w:r>
        <w:rPr>
          <w:rFonts w:ascii="Arial" w:hAnsi="Arial" w:eastAsia="宋体" w:cs="Arial"/>
        </w:rPr>
        <w:t>研究用器械的运输或紧急使用虽然不需要事先批准，但是，自申办方了解到使用之日起5个工作日内，必须由IDE申办方向FDA报告使用情况。21 CFR 812.35（a）（2）和812.150（a）（4）。该报告应包含紧急情况的构成条件、患者的</w:t>
      </w:r>
      <w:r>
        <w:rPr>
          <w:rFonts w:hint="eastAsia" w:ascii="Arial" w:hAnsi="Arial" w:eastAsia="宋体" w:cs="Arial"/>
        </w:rPr>
        <w:t>结果</w:t>
      </w:r>
      <w:r>
        <w:rPr>
          <w:rFonts w:ascii="Arial" w:hAnsi="Arial" w:eastAsia="宋体" w:cs="Arial"/>
        </w:rPr>
        <w:t>信息和所遵循的患者保护措施的综述。如果并非IDE，医生应按照上述步骤向CDRH或CBER报告紧急情况。</w:t>
      </w:r>
    </w:p>
    <w:p w14:paraId="7F5BD657">
      <w:pPr>
        <w:spacing w:after="163" w:afterLines="50" w:line="300" w:lineRule="auto"/>
        <w:jc w:val="both"/>
        <w:rPr>
          <w:rFonts w:ascii="Arial" w:hAnsi="Arial" w:eastAsia="宋体" w:cs="Arial"/>
        </w:rPr>
      </w:pPr>
      <w:r>
        <w:rPr>
          <w:rFonts w:ascii="Arial" w:hAnsi="Arial" w:eastAsia="宋体" w:cs="Arial"/>
        </w:rPr>
        <w:t>有关医生和IRB在紧急情况下应遵循程序的更多信息，请参</w:t>
      </w:r>
      <w:r>
        <w:rPr>
          <w:rFonts w:hint="eastAsia" w:ascii="Arial" w:hAnsi="Arial" w:eastAsia="宋体" w:cs="Arial"/>
        </w:rPr>
        <w:t>见</w:t>
      </w:r>
      <w:r>
        <w:rPr>
          <w:rFonts w:ascii="Arial" w:hAnsi="Arial" w:eastAsia="宋体" w:cs="Arial"/>
        </w:rPr>
        <w:t>第III章中未经批准的器械的扩展通道，</w:t>
      </w:r>
      <w:r>
        <w:rPr>
          <w:rFonts w:hint="eastAsia" w:ascii="Arial" w:hAnsi="Arial" w:eastAsia="宋体" w:cs="Arial"/>
        </w:rPr>
        <w:t>标题为</w:t>
      </w:r>
      <w:r>
        <w:rPr>
          <w:rFonts w:ascii="宋体" w:hAnsi="宋体" w:eastAsia="宋体" w:cs="Arial"/>
        </w:rPr>
        <w:t>“</w:t>
      </w:r>
      <w:r>
        <w:rPr>
          <w:rFonts w:ascii="Arial" w:hAnsi="Arial" w:eastAsia="宋体" w:cs="Arial"/>
        </w:rPr>
        <w:t>IDE政策和程序</w:t>
      </w:r>
      <w:r>
        <w:rPr>
          <w:rFonts w:ascii="宋体" w:hAnsi="宋体" w:eastAsia="宋体" w:cs="Arial"/>
        </w:rPr>
        <w:t>”</w:t>
      </w:r>
      <w:r>
        <w:rPr>
          <w:rFonts w:ascii="Arial" w:hAnsi="Arial" w:eastAsia="宋体" w:cs="Arial"/>
        </w:rPr>
        <w:t>的指南</w:t>
      </w:r>
      <w:r>
        <w:rPr>
          <w:rStyle w:val="24"/>
          <w:rFonts w:ascii="Arial" w:hAnsi="Arial" w:eastAsia="宋体" w:cs="Arial"/>
        </w:rPr>
        <w:footnoteReference w:id="7"/>
      </w:r>
      <w:r>
        <w:rPr>
          <w:rFonts w:ascii="Arial" w:hAnsi="Arial" w:eastAsia="宋体" w:cs="Arial"/>
        </w:rPr>
        <w:t>。</w:t>
      </w:r>
    </w:p>
    <w:p w14:paraId="1F9E7F16">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6" w:name="_Toc498524850"/>
      <w:r>
        <w:rPr>
          <w:rFonts w:ascii="Arial" w:hAnsi="Arial" w:eastAsia="宋体" w:cs="Arial"/>
          <w:b/>
        </w:rPr>
        <w:t>如果情况并非紧急情况怎么办？患有严重的疾病或病症的患者</w:t>
      </w:r>
      <w:r>
        <w:rPr>
          <w:rFonts w:hint="eastAsia" w:ascii="Arial" w:hAnsi="Arial" w:eastAsia="宋体" w:cs="Arial"/>
          <w:b/>
        </w:rPr>
        <w:t>是否</w:t>
      </w:r>
      <w:r>
        <w:rPr>
          <w:rFonts w:ascii="Arial" w:hAnsi="Arial" w:eastAsia="宋体" w:cs="Arial"/>
          <w:b/>
        </w:rPr>
        <w:t>可以在研究外使用研究用器械？</w:t>
      </w:r>
      <w:bookmarkEnd w:id="26"/>
    </w:p>
    <w:p w14:paraId="37F5EFF5">
      <w:pPr>
        <w:spacing w:after="163" w:afterLines="50" w:line="300" w:lineRule="auto"/>
        <w:jc w:val="both"/>
        <w:rPr>
          <w:rFonts w:ascii="Arial" w:hAnsi="Arial" w:eastAsia="宋体" w:cs="Arial"/>
        </w:rPr>
      </w:pPr>
      <w:r>
        <w:rPr>
          <w:rFonts w:hint="eastAsia" w:ascii="Arial" w:hAnsi="Arial" w:eastAsia="宋体" w:cs="Arial"/>
        </w:rPr>
        <w:t>是</w:t>
      </w:r>
      <w:r>
        <w:rPr>
          <w:rFonts w:ascii="Arial" w:hAnsi="Arial" w:eastAsia="宋体" w:cs="Arial"/>
        </w:rPr>
        <w:t>，FDA认为，在某种情况下，对于面临严重或危及生命的病症的患者来说，一种研究用器械是唯一可用的（以下简称</w:t>
      </w:r>
      <w:r>
        <w:rPr>
          <w:rFonts w:ascii="宋体" w:hAnsi="宋体" w:eastAsia="宋体" w:cs="Arial"/>
        </w:rPr>
        <w:t>“</w:t>
      </w:r>
      <w:r>
        <w:rPr>
          <w:rFonts w:ascii="Arial" w:hAnsi="Arial" w:eastAsia="宋体" w:cs="Arial"/>
        </w:rPr>
        <w:t>同情使用</w:t>
      </w:r>
      <w:r>
        <w:rPr>
          <w:rFonts w:ascii="宋体" w:hAnsi="宋体" w:eastAsia="宋体" w:cs="Arial"/>
        </w:rPr>
        <w:t>”</w:t>
      </w:r>
      <w:r>
        <w:rPr>
          <w:rFonts w:ascii="Arial" w:hAnsi="Arial" w:eastAsia="宋体" w:cs="Arial"/>
        </w:rPr>
        <w:t>）。与上述讨论的未经批准的器械紧急使用不同，在同情使用之前需要</w:t>
      </w:r>
      <w:r>
        <w:rPr>
          <w:rFonts w:hint="eastAsia" w:ascii="Arial" w:hAnsi="Arial" w:eastAsia="宋体" w:cs="Arial"/>
        </w:rPr>
        <w:t>获得</w:t>
      </w:r>
      <w:r>
        <w:rPr>
          <w:rFonts w:ascii="Arial" w:hAnsi="Arial" w:eastAsia="宋体" w:cs="Arial"/>
        </w:rPr>
        <w:t>FDA的事先批准。该法案第561（b）条和21 CFR 812.35。为了获得本机构批准，申办方应根据第812.35（a）节提交一份IDE补充申请，申请批准一项方案偏差，以便对患者进行治疗。IDE补充申请应包括：</w:t>
      </w:r>
    </w:p>
    <w:p w14:paraId="286F03B1">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对患者的病症和需要治疗的情况描述；</w:t>
      </w:r>
    </w:p>
    <w:p w14:paraId="1B8E446D">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讨论为什么替代疗法差强人意，以及为什么使用研究用器械的可能性风险不会大于疾病或病症的可能风险；</w:t>
      </w:r>
    </w:p>
    <w:p w14:paraId="3430A23A">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指出经批准的临床方案中可能需要做的任何偏离，以便对患者进行治疗；和</w:t>
      </w:r>
    </w:p>
    <w:p w14:paraId="0CDA0A29">
      <w:pPr>
        <w:widowControl w:val="0"/>
        <w:numPr>
          <w:ilvl w:val="0"/>
          <w:numId w:val="6"/>
        </w:numPr>
        <w:tabs>
          <w:tab w:val="left" w:pos="1417"/>
        </w:tabs>
        <w:spacing w:after="163" w:afterLines="50" w:line="300" w:lineRule="auto"/>
        <w:ind w:left="480" w:leftChars="200"/>
        <w:jc w:val="both"/>
        <w:rPr>
          <w:rFonts w:ascii="Arial" w:hAnsi="Arial" w:eastAsia="宋体" w:cs="Arial"/>
        </w:rPr>
      </w:pPr>
      <w:r>
        <w:rPr>
          <w:rFonts w:ascii="Arial" w:hAnsi="Arial" w:eastAsia="宋体" w:cs="Arial"/>
        </w:rPr>
        <w:t>需遵循的患者保护措施（如上所示）。</w:t>
      </w:r>
    </w:p>
    <w:p w14:paraId="249AF53A">
      <w:pPr>
        <w:adjustRightInd/>
        <w:snapToGrid/>
        <w:spacing w:line="240" w:lineRule="auto"/>
        <w:rPr>
          <w:rFonts w:ascii="Arial" w:hAnsi="Arial" w:eastAsia="宋体" w:cs="Arial"/>
        </w:rPr>
      </w:pPr>
      <w:r>
        <w:rPr>
          <w:rFonts w:ascii="Arial" w:hAnsi="Arial" w:eastAsia="宋体" w:cs="Arial"/>
        </w:rPr>
        <w:br w:type="page"/>
      </w:r>
    </w:p>
    <w:p w14:paraId="032457C5">
      <w:pPr>
        <w:spacing w:after="163" w:afterLines="50" w:line="336" w:lineRule="auto"/>
        <w:jc w:val="both"/>
        <w:rPr>
          <w:rFonts w:ascii="Arial" w:hAnsi="Arial" w:eastAsia="宋体" w:cs="Arial"/>
        </w:rPr>
      </w:pPr>
      <w:r>
        <w:rPr>
          <w:rFonts w:ascii="Arial" w:hAnsi="Arial" w:eastAsia="宋体" w:cs="Arial"/>
        </w:rPr>
        <w:t>补充申请中所确定的患者，在获得FDA的批准前不得使用该器械，获批后应在其提议的情况下进行治疗。在审查此类请求时，FDA会考虑以上信息，以及安全性和有效性的初步证据是否证明该项用途，并考虑这种使用是否会干扰为支持上市批准而进行的临床试验。</w:t>
      </w:r>
    </w:p>
    <w:p w14:paraId="66F51EEA">
      <w:pPr>
        <w:spacing w:after="163" w:afterLines="50" w:line="336" w:lineRule="auto"/>
        <w:jc w:val="both"/>
        <w:rPr>
          <w:rFonts w:ascii="Arial" w:hAnsi="Arial" w:eastAsia="宋体" w:cs="Arial"/>
        </w:rPr>
      </w:pPr>
      <w:r>
        <w:rPr>
          <w:rFonts w:ascii="Arial" w:hAnsi="Arial" w:eastAsia="宋体" w:cs="Arial"/>
        </w:rPr>
        <w:t>如果请求</w:t>
      </w:r>
      <w:r>
        <w:rPr>
          <w:rFonts w:hint="eastAsia" w:ascii="Arial" w:hAnsi="Arial" w:eastAsia="宋体" w:cs="Arial"/>
        </w:rPr>
        <w:t>获得</w:t>
      </w:r>
      <w:r>
        <w:rPr>
          <w:rFonts w:ascii="Arial" w:hAnsi="Arial" w:eastAsia="宋体" w:cs="Arial"/>
        </w:rPr>
        <w:t>批准，主治医生应根据该器械的研究性质和患者的具体需要，来考虑制定适当的患者监测计划，对患者进行监测以发现因使用该器械而引起的任何可能的问题。在该器械进行同情使用后，应向FDA提交随访报告，提供有关患者</w:t>
      </w:r>
      <w:r>
        <w:rPr>
          <w:rFonts w:hint="eastAsia" w:ascii="Arial" w:hAnsi="Arial" w:eastAsia="宋体" w:cs="Arial"/>
        </w:rPr>
        <w:t>结果</w:t>
      </w:r>
      <w:r>
        <w:rPr>
          <w:rFonts w:ascii="Arial" w:hAnsi="Arial" w:eastAsia="宋体" w:cs="Arial"/>
        </w:rPr>
        <w:t>的综述资料。如果由于器械使用而发生了任何问题，应在补充资料中加以讨论，并尽快向负责审核的IRB报告。</w:t>
      </w:r>
    </w:p>
    <w:p w14:paraId="1DCADB86">
      <w:pPr>
        <w:spacing w:after="163" w:afterLines="50" w:line="336" w:lineRule="auto"/>
        <w:jc w:val="both"/>
        <w:rPr>
          <w:rFonts w:ascii="Arial" w:hAnsi="Arial" w:eastAsia="宋体" w:cs="Arial"/>
        </w:rPr>
      </w:pPr>
      <w:r>
        <w:rPr>
          <w:rFonts w:ascii="Arial" w:hAnsi="Arial" w:eastAsia="宋体" w:cs="Arial"/>
        </w:rPr>
        <w:t>有关医生和IRB在同情使用情况下应遵循程序的更多信息，请参</w:t>
      </w:r>
      <w:r>
        <w:rPr>
          <w:rFonts w:hint="eastAsia" w:ascii="Arial" w:hAnsi="Arial" w:eastAsia="宋体" w:cs="Arial"/>
        </w:rPr>
        <w:t>见</w:t>
      </w:r>
      <w:r>
        <w:rPr>
          <w:rFonts w:ascii="Arial" w:hAnsi="Arial" w:eastAsia="宋体" w:cs="Arial"/>
        </w:rPr>
        <w:t>第III章中未经批准的器械的扩展通道，</w:t>
      </w:r>
      <w:r>
        <w:rPr>
          <w:rFonts w:hint="eastAsia" w:ascii="Arial" w:hAnsi="Arial" w:eastAsia="宋体" w:cs="Arial"/>
        </w:rPr>
        <w:t>标题为</w:t>
      </w:r>
      <w:r>
        <w:rPr>
          <w:rFonts w:ascii="宋体" w:hAnsi="宋体" w:eastAsia="宋体" w:cs="Arial"/>
        </w:rPr>
        <w:t>“</w:t>
      </w:r>
      <w:r>
        <w:rPr>
          <w:rFonts w:ascii="Arial" w:hAnsi="Arial" w:eastAsia="宋体" w:cs="Arial"/>
        </w:rPr>
        <w:t>IDE政策和程序</w:t>
      </w:r>
      <w:r>
        <w:rPr>
          <w:rFonts w:ascii="宋体" w:hAnsi="宋体" w:eastAsia="宋体" w:cs="Arial"/>
        </w:rPr>
        <w:t>”</w:t>
      </w:r>
      <w:r>
        <w:rPr>
          <w:rFonts w:ascii="Arial" w:hAnsi="Arial" w:eastAsia="宋体" w:cs="Arial"/>
        </w:rPr>
        <w:t>的指南</w:t>
      </w:r>
      <w:r>
        <w:rPr>
          <w:rStyle w:val="24"/>
          <w:rFonts w:ascii="Arial" w:hAnsi="Arial" w:eastAsia="宋体" w:cs="Arial"/>
        </w:rPr>
        <w:footnoteReference w:id="8"/>
      </w:r>
      <w:r>
        <w:rPr>
          <w:rFonts w:ascii="Arial" w:hAnsi="Arial" w:eastAsia="宋体" w:cs="Arial"/>
        </w:rPr>
        <w:t>。</w:t>
      </w:r>
    </w:p>
    <w:p w14:paraId="2F2FCCED">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7" w:name="_Toc498524851"/>
      <w:r>
        <w:rPr>
          <w:rFonts w:ascii="Arial" w:hAnsi="Arial" w:eastAsia="宋体" w:cs="Arial"/>
          <w:b/>
        </w:rPr>
        <w:t>定制器械的定义是什么？</w:t>
      </w:r>
      <w:bookmarkEnd w:id="27"/>
    </w:p>
    <w:p w14:paraId="5B4D4062">
      <w:pPr>
        <w:spacing w:after="163" w:afterLines="50" w:line="336" w:lineRule="auto"/>
        <w:jc w:val="both"/>
        <w:rPr>
          <w:rFonts w:ascii="Arial" w:hAnsi="Arial" w:eastAsia="宋体" w:cs="Arial"/>
        </w:rPr>
      </w:pPr>
      <w:r>
        <w:rPr>
          <w:rFonts w:ascii="Arial" w:hAnsi="Arial" w:eastAsia="宋体" w:cs="Arial"/>
        </w:rPr>
        <w:t>要被认为是定制器械，该器械必须满足以下所有标准，这些标准在法案第520（b）节和21 CFR 812.3（b）中进行描述：</w:t>
      </w:r>
    </w:p>
    <w:p w14:paraId="295899D4">
      <w:pPr>
        <w:pStyle w:val="35"/>
        <w:numPr>
          <w:ilvl w:val="3"/>
          <w:numId w:val="2"/>
        </w:numPr>
        <w:tabs>
          <w:tab w:val="left" w:pos="1469"/>
        </w:tabs>
        <w:spacing w:after="163" w:afterLines="50" w:line="336" w:lineRule="auto"/>
        <w:ind w:left="480" w:leftChars="200" w:firstLineChars="0"/>
        <w:jc w:val="both"/>
        <w:rPr>
          <w:rFonts w:ascii="Arial" w:hAnsi="Arial" w:eastAsia="宋体" w:cs="Arial"/>
        </w:rPr>
      </w:pPr>
      <w:r>
        <w:rPr>
          <w:rFonts w:ascii="Arial" w:hAnsi="Arial" w:eastAsia="宋体" w:cs="Arial"/>
        </w:rPr>
        <w:t>必须偏离器械常用或适用的性能标准或上市前批准的要求，以符合个别医生或</w:t>
      </w:r>
      <w:r>
        <w:rPr>
          <w:rFonts w:hint="eastAsia" w:ascii="Arial" w:hAnsi="Arial" w:eastAsia="宋体" w:cs="Arial"/>
        </w:rPr>
        <w:t>牙科医生</w:t>
      </w:r>
      <w:r>
        <w:rPr>
          <w:rFonts w:ascii="Arial" w:hAnsi="Arial" w:eastAsia="宋体" w:cs="Arial"/>
        </w:rPr>
        <w:t>的指令；</w:t>
      </w:r>
    </w:p>
    <w:p w14:paraId="004C89FF">
      <w:pPr>
        <w:pStyle w:val="35"/>
        <w:numPr>
          <w:ilvl w:val="3"/>
          <w:numId w:val="2"/>
        </w:numPr>
        <w:tabs>
          <w:tab w:val="left" w:pos="1469"/>
        </w:tabs>
        <w:spacing w:after="163" w:afterLines="50" w:line="336" w:lineRule="auto"/>
        <w:ind w:left="480" w:leftChars="200" w:firstLineChars="0"/>
        <w:jc w:val="both"/>
        <w:rPr>
          <w:rFonts w:ascii="Arial" w:hAnsi="Arial" w:eastAsia="宋体" w:cs="Arial"/>
        </w:rPr>
      </w:pPr>
      <w:r>
        <w:rPr>
          <w:rFonts w:ascii="Arial" w:hAnsi="Arial" w:eastAsia="宋体" w:cs="Arial"/>
        </w:rPr>
        <w:t>该器械不可用于或不常</w:t>
      </w:r>
      <w:r>
        <w:rPr>
          <w:rFonts w:hint="eastAsia" w:ascii="Arial" w:hAnsi="Arial" w:eastAsia="宋体" w:cs="Arial"/>
        </w:rPr>
        <w:t>由</w:t>
      </w:r>
      <w:r>
        <w:rPr>
          <w:rFonts w:ascii="Arial" w:hAnsi="Arial" w:eastAsia="宋体" w:cs="Arial"/>
        </w:rPr>
        <w:t>其他的医生或牙医使用；</w:t>
      </w:r>
    </w:p>
    <w:p w14:paraId="1F3FBCDF">
      <w:pPr>
        <w:pStyle w:val="35"/>
        <w:numPr>
          <w:ilvl w:val="3"/>
          <w:numId w:val="2"/>
        </w:numPr>
        <w:tabs>
          <w:tab w:val="left" w:pos="1469"/>
        </w:tabs>
        <w:spacing w:after="163" w:afterLines="50" w:line="336" w:lineRule="auto"/>
        <w:ind w:left="480" w:leftChars="200" w:firstLineChars="0"/>
        <w:jc w:val="both"/>
        <w:rPr>
          <w:rFonts w:ascii="Arial" w:hAnsi="Arial" w:eastAsia="宋体" w:cs="Arial"/>
        </w:rPr>
      </w:pPr>
      <w:r>
        <w:rPr>
          <w:rFonts w:ascii="Arial" w:hAnsi="Arial" w:eastAsia="宋体" w:cs="Arial"/>
        </w:rPr>
        <w:t>通常不能以成品的形式购买或按处方分发；</w:t>
      </w:r>
    </w:p>
    <w:p w14:paraId="2EE13B47">
      <w:pPr>
        <w:pStyle w:val="35"/>
        <w:numPr>
          <w:ilvl w:val="3"/>
          <w:numId w:val="2"/>
        </w:numPr>
        <w:tabs>
          <w:tab w:val="left" w:pos="1469"/>
        </w:tabs>
        <w:spacing w:after="163" w:afterLines="50" w:line="336" w:lineRule="auto"/>
        <w:ind w:left="480" w:leftChars="200" w:firstLineChars="0"/>
        <w:jc w:val="both"/>
        <w:rPr>
          <w:rFonts w:ascii="Arial" w:hAnsi="Arial" w:eastAsia="宋体" w:cs="Arial"/>
        </w:rPr>
      </w:pPr>
      <w:r>
        <w:rPr>
          <w:rFonts w:ascii="Arial" w:hAnsi="Arial" w:eastAsia="宋体" w:cs="Arial"/>
        </w:rPr>
        <w:t>不通过标签或广告进行商业分销；和</w:t>
      </w:r>
    </w:p>
    <w:p w14:paraId="725FC2EF">
      <w:pPr>
        <w:pStyle w:val="35"/>
        <w:numPr>
          <w:ilvl w:val="3"/>
          <w:numId w:val="2"/>
        </w:numPr>
        <w:tabs>
          <w:tab w:val="left" w:pos="1469"/>
        </w:tabs>
        <w:spacing w:after="163" w:afterLines="50" w:line="336" w:lineRule="auto"/>
        <w:ind w:left="480" w:leftChars="200" w:firstLineChars="0"/>
        <w:jc w:val="both"/>
        <w:rPr>
          <w:rFonts w:ascii="Arial" w:hAnsi="Arial" w:eastAsia="宋体" w:cs="Arial"/>
        </w:rPr>
      </w:pPr>
      <w:r>
        <w:rPr>
          <w:rFonts w:ascii="Arial" w:hAnsi="Arial" w:eastAsia="宋体" w:cs="Arial"/>
        </w:rPr>
        <w:t>预期用于个体患者，以医生或牙医的</w:t>
      </w:r>
      <w:r>
        <w:rPr>
          <w:rFonts w:hint="eastAsia" w:ascii="Arial" w:hAnsi="Arial" w:eastAsia="宋体" w:cs="Arial"/>
        </w:rPr>
        <w:t>指令</w:t>
      </w:r>
      <w:r>
        <w:rPr>
          <w:rFonts w:ascii="Arial" w:hAnsi="Arial" w:eastAsia="宋体" w:cs="Arial"/>
        </w:rPr>
        <w:t>形式命名，并以特定的形式为该患者制造，或旨在专业实习过程中满足医生或牙医的特殊需要（如特定的操作工具）。</w:t>
      </w:r>
    </w:p>
    <w:p w14:paraId="4F167420">
      <w:pPr>
        <w:pStyle w:val="35"/>
        <w:numPr>
          <w:ilvl w:val="1"/>
          <w:numId w:val="2"/>
        </w:numPr>
        <w:spacing w:after="163" w:afterLines="50" w:line="300" w:lineRule="auto"/>
        <w:ind w:left="357" w:hanging="357" w:firstLineChars="0"/>
        <w:jc w:val="both"/>
        <w:outlineLvl w:val="1"/>
        <w:rPr>
          <w:rFonts w:ascii="Arial" w:hAnsi="Arial" w:eastAsia="宋体" w:cs="Arial"/>
          <w:b/>
        </w:rPr>
      </w:pPr>
      <w:bookmarkStart w:id="28" w:name="_Toc498524852"/>
      <w:r>
        <w:rPr>
          <w:rFonts w:ascii="Arial" w:hAnsi="Arial" w:eastAsia="宋体" w:cs="Arial"/>
          <w:b/>
        </w:rPr>
        <w:t>IRB是否需要审查定制使用？</w:t>
      </w:r>
      <w:bookmarkEnd w:id="28"/>
    </w:p>
    <w:p w14:paraId="79196026">
      <w:pPr>
        <w:spacing w:after="163" w:afterLines="50" w:line="336" w:lineRule="auto"/>
        <w:jc w:val="both"/>
        <w:rPr>
          <w:rFonts w:ascii="Arial" w:hAnsi="Arial" w:eastAsia="宋体" w:cs="Arial"/>
        </w:rPr>
      </w:pPr>
      <w:r>
        <w:rPr>
          <w:rFonts w:ascii="Arial" w:hAnsi="Arial" w:eastAsia="宋体" w:cs="Arial"/>
        </w:rPr>
        <w:t>FDA规定无需对定制器械的使用进行审查和批准。然而，FDA建议应尽可能地遵循第16条中列出的诸多患者保护措施。IRB应熟悉定制器械的监管要求，因为医生或机构可以从IRB寻求有关该定制器械在医疗机构中的患者使用信息。IRB可以制定定制器械的使用程序，以确保患者的保护措施得以</w:t>
      </w:r>
      <w:r>
        <w:rPr>
          <w:rFonts w:hint="eastAsia" w:ascii="Arial" w:hAnsi="Arial" w:eastAsia="宋体" w:cs="Arial"/>
        </w:rPr>
        <w:t>周全</w:t>
      </w:r>
      <w:r>
        <w:rPr>
          <w:rFonts w:ascii="Arial" w:hAnsi="Arial" w:eastAsia="宋体" w:cs="Arial"/>
        </w:rPr>
        <w:t>的执行。</w:t>
      </w:r>
    </w:p>
    <w:p w14:paraId="3BB5B703">
      <w:pPr>
        <w:spacing w:line="288" w:lineRule="auto"/>
        <w:jc w:val="center"/>
        <w:rPr>
          <w:rFonts w:hint="eastAsia" w:eastAsia="宋体"/>
          <w:lang w:eastAsia="zh-CN"/>
        </w:rPr>
      </w:pPr>
    </w:p>
    <w:p w14:paraId="23F11DF8">
      <w:pPr>
        <w:spacing w:line="288" w:lineRule="auto"/>
        <w:jc w:val="center"/>
        <w:rPr>
          <w:rFonts w:hint="eastAsia" w:eastAsia="宋体"/>
          <w:lang w:eastAsia="zh-CN"/>
        </w:rPr>
      </w:pPr>
    </w:p>
    <w:p w14:paraId="51B3634A">
      <w:pPr>
        <w:spacing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6" w:type="default"/>
      <w:footerReference r:id="rId7" w:type="default"/>
      <w:pgSz w:w="11906" w:h="16838"/>
      <w:pgMar w:top="1134" w:right="1134" w:bottom="1134" w:left="1134" w:header="1134"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007492072"/>
      <w:docPartObj>
        <w:docPartGallery w:val="AutoText"/>
      </w:docPartObj>
    </w:sdtPr>
    <w:sdtEndPr>
      <w:rPr>
        <w:rFonts w:ascii="Arial" w:hAnsi="Arial" w:cs="Arial"/>
        <w:sz w:val="21"/>
        <w:szCs w:val="21"/>
      </w:rPr>
    </w:sdtEndPr>
    <w:sdtContent>
      <w:p w14:paraId="56C607B1">
        <w:pPr>
          <w:pStyle w:val="15"/>
          <w:jc w:val="center"/>
          <w:rPr>
            <w:rFonts w:ascii="Arial" w:hAnsi="Arial" w:cs="Arial"/>
            <w:sz w:val="21"/>
            <w:szCs w:val="21"/>
          </w:rPr>
        </w:pPr>
      </w:p>
      <w:p w14:paraId="4F00A2B6">
        <w:pPr>
          <w:pStyle w:val="15"/>
          <w:jc w:val="center"/>
          <w:rPr>
            <w:rFonts w:ascii="Arial" w:hAnsi="Arial" w:cs="Arial"/>
            <w:sz w:val="21"/>
            <w:szCs w:val="21"/>
          </w:rPr>
        </w:pPr>
      </w:p>
      <w:p w14:paraId="2D818D36">
        <w:pPr>
          <w:pStyle w:val="1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12</w:t>
        </w:r>
        <w:r>
          <w:rPr>
            <w:rFonts w:ascii="Arial" w:hAnsi="Arial" w:cs="Arial"/>
            <w:sz w:val="21"/>
            <w:szCs w:val="21"/>
            <w:lang w:val="zh-CN"/>
          </w:rPr>
          <w:fldChar w:fldCharType="end"/>
        </w:r>
      </w:p>
    </w:sdtContent>
  </w:sdt>
  <w:p w14:paraId="66C7D162">
    <w:pPr>
      <w:pStyle w:val="15"/>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line="360" w:lineRule="auto"/>
      </w:pPr>
      <w:r>
        <w:separator/>
      </w:r>
    </w:p>
  </w:footnote>
  <w:footnote w:type="continuationSeparator" w:id="19">
    <w:p>
      <w:pPr>
        <w:spacing w:line="360" w:lineRule="auto"/>
      </w:pPr>
      <w:r>
        <w:continuationSeparator/>
      </w:r>
    </w:p>
  </w:footnote>
  <w:footnote w:id="0">
    <w:p w14:paraId="788D847C">
      <w:pPr>
        <w:pStyle w:val="17"/>
        <w:spacing w:line="300" w:lineRule="auto"/>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本指导性文件由良好临床实践</w:t>
      </w:r>
      <w:r>
        <w:rPr>
          <w:rFonts w:hint="eastAsia" w:ascii="Arial" w:hAnsi="Arial" w:eastAsia="宋体" w:cs="Arial"/>
          <w:sz w:val="21"/>
          <w:szCs w:val="21"/>
        </w:rPr>
        <w:t>项目</w:t>
      </w:r>
      <w:r>
        <w:rPr>
          <w:rFonts w:ascii="Arial" w:hAnsi="Arial" w:eastAsia="宋体" w:cs="Arial"/>
          <w:sz w:val="21"/>
          <w:szCs w:val="21"/>
        </w:rPr>
        <w:t>与本机构协调制定。本指导性文件不涉及作为生物</w:t>
      </w:r>
      <w:r>
        <w:rPr>
          <w:rFonts w:hint="eastAsia" w:ascii="Arial" w:hAnsi="Arial" w:eastAsia="宋体" w:cs="Arial"/>
          <w:sz w:val="21"/>
          <w:szCs w:val="21"/>
        </w:rPr>
        <w:t>制剂</w:t>
      </w:r>
      <w:r>
        <w:rPr>
          <w:rFonts w:ascii="Arial" w:hAnsi="Arial" w:eastAsia="宋体" w:cs="Arial"/>
          <w:sz w:val="21"/>
          <w:szCs w:val="21"/>
        </w:rPr>
        <w:t>许可的医疗器械，有关那些器械的问题请直接咨询生物制剂评估和研究中心。</w:t>
      </w:r>
    </w:p>
  </w:footnote>
  <w:footnote w:id="1">
    <w:p w14:paraId="2ADB0D2F">
      <w:pPr>
        <w:pStyle w:val="17"/>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该指南可</w:t>
      </w:r>
      <w:r>
        <w:rPr>
          <w:rFonts w:hint="eastAsia" w:ascii="Arial" w:hAnsi="Arial" w:eastAsia="宋体" w:cs="Arial"/>
          <w:sz w:val="21"/>
          <w:szCs w:val="21"/>
        </w:rPr>
        <w:t>参见</w:t>
      </w:r>
      <w:r>
        <w:rPr>
          <w:rFonts w:ascii="Arial" w:hAnsi="Arial" w:eastAsia="宋体" w:cs="Arial"/>
          <w:sz w:val="21"/>
          <w:szCs w:val="21"/>
        </w:rPr>
        <w:t>www.fda.gov/cdrh/ode/idepolcy.html</w:t>
      </w:r>
    </w:p>
  </w:footnote>
  <w:footnote w:id="2">
    <w:p w14:paraId="3F5DAB9D">
      <w:pPr>
        <w:pStyle w:val="17"/>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参见</w:t>
      </w:r>
      <w:r>
        <w:rPr>
          <w:rStyle w:val="23"/>
          <w:rFonts w:ascii="Arial" w:hAnsi="Arial" w:eastAsia="宋体" w:cs="Arial"/>
          <w:color w:val="0000FF"/>
          <w:sz w:val="21"/>
          <w:szCs w:val="21"/>
        </w:rPr>
        <w:t xml:space="preserve">www.fda.gov/cdrh/ode/blue-ide-d01-1.html </w:t>
      </w:r>
      <w:r>
        <w:rPr>
          <w:rStyle w:val="23"/>
          <w:rFonts w:hint="eastAsia" w:ascii="Arial" w:hAnsi="Arial" w:eastAsia="宋体" w:cs="Arial"/>
          <w:color w:val="0000FF"/>
          <w:sz w:val="21"/>
          <w:szCs w:val="21"/>
        </w:rPr>
        <w:t>标</w:t>
      </w:r>
      <w:r>
        <w:rPr>
          <w:rFonts w:ascii="Arial" w:hAnsi="Arial" w:eastAsia="宋体" w:cs="Arial"/>
          <w:sz w:val="21"/>
          <w:szCs w:val="21"/>
        </w:rPr>
        <w:t>题为</w:t>
      </w:r>
      <w:r>
        <w:rPr>
          <w:rFonts w:hint="eastAsia" w:ascii="Arial" w:hAnsi="Arial" w:eastAsia="宋体" w:cs="Arial"/>
          <w:sz w:val="21"/>
          <w:szCs w:val="21"/>
        </w:rPr>
        <w:t>“</w:t>
      </w:r>
      <w:r>
        <w:rPr>
          <w:rFonts w:ascii="Arial" w:hAnsi="Arial" w:eastAsia="宋体" w:cs="Arial"/>
          <w:sz w:val="21"/>
          <w:szCs w:val="21"/>
        </w:rPr>
        <w:t>关于研究涉及的医疗器械需要进行研究用器械豁免申请的处理问询程序</w:t>
      </w:r>
      <w:r>
        <w:rPr>
          <w:rFonts w:hint="eastAsia" w:ascii="Arial" w:hAnsi="Arial" w:eastAsia="宋体" w:cs="Arial"/>
          <w:sz w:val="21"/>
          <w:szCs w:val="21"/>
        </w:rPr>
        <w:t>”</w:t>
      </w:r>
      <w:r>
        <w:rPr>
          <w:rFonts w:ascii="Arial" w:hAnsi="Arial" w:eastAsia="宋体" w:cs="Arial"/>
          <w:sz w:val="21"/>
          <w:szCs w:val="21"/>
        </w:rPr>
        <w:t>的指导性备忘录。</w:t>
      </w:r>
    </w:p>
  </w:footnote>
  <w:footnote w:id="3">
    <w:p w14:paraId="5420963D">
      <w:pPr>
        <w:pStyle w:val="17"/>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hint="eastAsia" w:ascii="Arial" w:hAnsi="Arial" w:cs="Arial"/>
          <w:sz w:val="21"/>
          <w:szCs w:val="21"/>
        </w:rPr>
        <w:t>参</w:t>
      </w:r>
      <w:r>
        <w:rPr>
          <w:rFonts w:ascii="Arial" w:hAnsi="Arial" w:eastAsia="宋体" w:cs="Arial"/>
          <w:sz w:val="21"/>
          <w:szCs w:val="21"/>
        </w:rPr>
        <w:t>见 21 CFR 812.2(c)(4)</w:t>
      </w:r>
    </w:p>
  </w:footnote>
  <w:footnote w:id="4">
    <w:p w14:paraId="1D072A27">
      <w:pPr>
        <w:pStyle w:val="17"/>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hint="eastAsia" w:ascii="Arial" w:hAnsi="Arial" w:cs="Arial"/>
          <w:sz w:val="21"/>
          <w:szCs w:val="21"/>
        </w:rPr>
        <w:t>参</w:t>
      </w:r>
      <w:r>
        <w:rPr>
          <w:rFonts w:ascii="Arial" w:hAnsi="Arial" w:eastAsia="宋体" w:cs="Arial"/>
          <w:color w:val="000000"/>
          <w:sz w:val="21"/>
          <w:szCs w:val="21"/>
        </w:rPr>
        <w:t>见 21 CFR 812.2(c)(1) 和 (2)</w:t>
      </w:r>
    </w:p>
  </w:footnote>
  <w:footnote w:id="5">
    <w:p w14:paraId="1AF51CF8">
      <w:pPr>
        <w:pStyle w:val="17"/>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本指南可</w:t>
      </w:r>
      <w:r>
        <w:rPr>
          <w:rFonts w:hint="eastAsia" w:ascii="Arial" w:hAnsi="Arial" w:eastAsia="宋体" w:cs="Arial"/>
          <w:sz w:val="21"/>
          <w:szCs w:val="21"/>
        </w:rPr>
        <w:t>参见</w:t>
      </w:r>
      <w:r>
        <w:rPr>
          <w:rFonts w:ascii="Arial" w:hAnsi="Arial" w:eastAsia="宋体" w:cs="Arial"/>
          <w:sz w:val="21"/>
          <w:szCs w:val="21"/>
        </w:rPr>
        <w:t>：www.fda.gov/oc/ohrt/irbs/offlabel.html</w:t>
      </w:r>
    </w:p>
  </w:footnote>
  <w:footnote w:id="6">
    <w:p w14:paraId="1CDFE35A">
      <w:pPr>
        <w:pStyle w:val="17"/>
        <w:jc w:val="both"/>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ascii="Arial" w:hAnsi="Arial" w:eastAsia="宋体" w:cs="Arial"/>
          <w:color w:val="000000"/>
          <w:sz w:val="21"/>
          <w:szCs w:val="21"/>
        </w:rPr>
        <w:t>FDA认为</w:t>
      </w:r>
      <w:r>
        <w:rPr>
          <w:rFonts w:hint="eastAsia" w:ascii="Arial" w:hAnsi="Arial" w:eastAsia="宋体" w:cs="Arial"/>
          <w:color w:val="000000"/>
          <w:sz w:val="21"/>
          <w:szCs w:val="21"/>
        </w:rPr>
        <w:t>‘</w:t>
      </w:r>
      <w:r>
        <w:rPr>
          <w:rFonts w:ascii="Arial" w:hAnsi="Arial" w:eastAsia="宋体" w:cs="Arial"/>
          <w:color w:val="000000"/>
          <w:sz w:val="21"/>
          <w:szCs w:val="21"/>
        </w:rPr>
        <w:t>危及生命的</w:t>
      </w:r>
      <w:r>
        <w:rPr>
          <w:rFonts w:hint="eastAsia" w:ascii="Arial" w:hAnsi="Arial" w:eastAsia="宋体" w:cs="Arial"/>
          <w:color w:val="000000"/>
          <w:sz w:val="21"/>
          <w:szCs w:val="21"/>
        </w:rPr>
        <w:t>病症’</w:t>
      </w:r>
      <w:r>
        <w:rPr>
          <w:rFonts w:ascii="Arial" w:hAnsi="Arial" w:eastAsia="宋体" w:cs="Arial"/>
          <w:color w:val="000000"/>
          <w:sz w:val="21"/>
          <w:szCs w:val="21"/>
        </w:rPr>
        <w:t>包括严重的疾病或病症，如眼前的威胁和肢体的威胁，以及涉及不可逆的发病风险等其他情况。</w:t>
      </w:r>
    </w:p>
  </w:footnote>
  <w:footnote w:id="7">
    <w:p w14:paraId="5E5CD1BA">
      <w:pPr>
        <w:pStyle w:val="17"/>
        <w:rPr>
          <w:rFonts w:ascii="Arial" w:hAnsi="Arial" w:cs="Arial"/>
          <w:sz w:val="21"/>
          <w:szCs w:val="21"/>
        </w:rPr>
      </w:pPr>
      <w:r>
        <w:rPr>
          <w:rStyle w:val="24"/>
          <w:rFonts w:ascii="Arial" w:hAnsi="Arial" w:cs="Arial"/>
          <w:sz w:val="21"/>
          <w:szCs w:val="21"/>
        </w:rPr>
        <w:footnoteRef/>
      </w:r>
      <w:r>
        <w:rPr>
          <w:rFonts w:ascii="Arial" w:hAnsi="Arial" w:cs="Arial"/>
          <w:sz w:val="21"/>
          <w:szCs w:val="21"/>
        </w:rPr>
        <w:t xml:space="preserve"> </w:t>
      </w:r>
      <w:r>
        <w:rPr>
          <w:rFonts w:ascii="Arial" w:hAnsi="Arial" w:eastAsia="宋体" w:cs="Arial"/>
          <w:color w:val="000000"/>
          <w:sz w:val="21"/>
          <w:szCs w:val="21"/>
        </w:rPr>
        <w:t>该指南可</w:t>
      </w:r>
      <w:r>
        <w:rPr>
          <w:rFonts w:hint="eastAsia" w:ascii="Arial" w:hAnsi="Arial" w:eastAsia="宋体" w:cs="Arial"/>
          <w:color w:val="000000"/>
          <w:sz w:val="21"/>
          <w:szCs w:val="21"/>
        </w:rPr>
        <w:t>参见</w:t>
      </w:r>
      <w:r>
        <w:rPr>
          <w:rFonts w:ascii="Arial" w:hAnsi="Arial" w:eastAsia="宋体" w:cs="Arial"/>
          <w:color w:val="000000"/>
          <w:sz w:val="21"/>
          <w:szCs w:val="21"/>
        </w:rPr>
        <w:t>：</w:t>
      </w:r>
      <w:r>
        <w:rPr>
          <w:rStyle w:val="23"/>
          <w:rFonts w:ascii="Arial" w:hAnsi="Arial" w:eastAsia="宋体" w:cs="Arial"/>
          <w:color w:val="0000FF"/>
          <w:sz w:val="21"/>
          <w:szCs w:val="21"/>
        </w:rPr>
        <w:t>www.fda.gov/cdrh/ode/idepolcy.html</w:t>
      </w:r>
    </w:p>
  </w:footnote>
  <w:footnote w:id="8">
    <w:p w14:paraId="75FE8218">
      <w:pPr>
        <w:pStyle w:val="17"/>
        <w:rPr>
          <w:sz w:val="21"/>
          <w:szCs w:val="21"/>
        </w:rPr>
      </w:pPr>
      <w:r>
        <w:rPr>
          <w:rStyle w:val="24"/>
          <w:sz w:val="21"/>
          <w:szCs w:val="21"/>
        </w:rPr>
        <w:footnoteRef/>
      </w:r>
      <w:r>
        <w:rPr>
          <w:sz w:val="21"/>
          <w:szCs w:val="21"/>
        </w:rPr>
        <w:t xml:space="preserve"> </w:t>
      </w:r>
      <w:r>
        <w:rPr>
          <w:rFonts w:ascii="Arial" w:hAnsi="Arial" w:eastAsia="宋体" w:cs="Arial"/>
          <w:sz w:val="21"/>
          <w:szCs w:val="21"/>
        </w:rPr>
        <w:t>该指南可</w:t>
      </w:r>
      <w:r>
        <w:rPr>
          <w:rFonts w:hint="eastAsia" w:ascii="Arial" w:hAnsi="Arial" w:eastAsia="宋体" w:cs="Arial"/>
          <w:sz w:val="21"/>
          <w:szCs w:val="21"/>
        </w:rPr>
        <w:t>参见</w:t>
      </w:r>
      <w:r>
        <w:rPr>
          <w:rFonts w:ascii="Arial" w:hAnsi="Arial" w:eastAsia="宋体" w:cs="Arial"/>
          <w:sz w:val="21"/>
          <w:szCs w:val="21"/>
        </w:rPr>
        <w:t>：</w:t>
      </w:r>
      <w:r>
        <w:rPr>
          <w:rStyle w:val="23"/>
          <w:rFonts w:ascii="Arial" w:hAnsi="Arial" w:eastAsia="宋体" w:cs="Arial"/>
          <w:color w:val="0000FF"/>
          <w:sz w:val="21"/>
          <w:szCs w:val="21"/>
        </w:rPr>
        <w:t>www.fda.gov/cdrh/ode/idepolcy.html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ACA1">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C3B6">
    <w:pPr>
      <w:pStyle w:val="16"/>
      <w:pBdr>
        <w:bottom w:val="none" w:color="auto" w:sz="0" w:space="0"/>
      </w:pBdr>
      <w:rPr>
        <w:rFonts w:ascii="Arial" w:hAnsi="Arial" w:cs="Arial"/>
        <w:sz w:val="21"/>
        <w:szCs w:val="21"/>
      </w:rPr>
    </w:pPr>
    <w:r>
      <w:rPr>
        <w:rFonts w:hint="eastAsia" w:ascii="Arial" w:hAnsi="Arial" w:cs="Arial"/>
        <w:b/>
        <w:bCs/>
        <w:i/>
        <w:iCs/>
        <w:sz w:val="21"/>
        <w:szCs w:val="21"/>
      </w:rPr>
      <w:t>所含建议不具约束力</w:t>
    </w:r>
  </w:p>
  <w:p w14:paraId="1C9B6E31">
    <w:pPr>
      <w:pStyle w:val="16"/>
      <w:pBdr>
        <w:bottom w:val="none" w:color="auto" w:sz="0" w:space="0"/>
      </w:pBdr>
      <w:rPr>
        <w:rFonts w:ascii="Arial" w:hAnsi="Arial" w:cs="Arial"/>
        <w:sz w:val="21"/>
        <w:szCs w:val="21"/>
      </w:rPr>
    </w:pPr>
  </w:p>
  <w:p w14:paraId="02DB0872">
    <w:pPr>
      <w:pStyle w:val="16"/>
      <w:pBdr>
        <w:bottom w:val="none" w:color="auto" w:sz="0" w:space="0"/>
      </w:pBdr>
      <w:rPr>
        <w:rFonts w:ascii="Arial" w:hAnsi="Arial" w:cs="Arial"/>
        <w:sz w:val="21"/>
        <w:szCs w:val="21"/>
      </w:rPr>
    </w:pPr>
  </w:p>
  <w:p w14:paraId="77840781">
    <w:pPr>
      <w:pStyle w:val="16"/>
      <w:pBdr>
        <w:bottom w:val="none" w:color="auto" w:sz="0" w:space="0"/>
      </w:pBdr>
      <w:rPr>
        <w:rFonts w:ascii="Arial" w:hAnsi="Arial" w:cs="Arial"/>
        <w:sz w:val="21"/>
        <w:szCs w:val="21"/>
      </w:rPr>
    </w:pPr>
  </w:p>
  <w:p w14:paraId="55CBACE4">
    <w:pPr>
      <w:pStyle w:val="16"/>
      <w:pBdr>
        <w:bottom w:val="none" w:color="auto" w:sz="0" w:space="0"/>
      </w:pBdr>
      <w:rPr>
        <w:rFonts w:ascii="Arial" w:hAnsi="Arial" w:cs="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01107249"/>
    <w:multiLevelType w:val="multilevel"/>
    <w:tmpl w:val="011072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27A5744"/>
    <w:multiLevelType w:val="multilevel"/>
    <w:tmpl w:val="227A57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Arial" w:hAnsi="Arial"/>
        <w:w w:val="100"/>
        <w:sz w:val="24"/>
        <w:szCs w:val="24"/>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01C54CD"/>
    <w:multiLevelType w:val="multilevel"/>
    <w:tmpl w:val="301C54CD"/>
    <w:lvl w:ilvl="0" w:tentative="0">
      <w:start w:val="1"/>
      <w:numFmt w:val="bullet"/>
      <w:lvlText w:val=""/>
      <w:lvlJc w:val="left"/>
      <w:pPr>
        <w:ind w:left="760" w:hanging="420"/>
      </w:pPr>
      <w:rPr>
        <w:rFonts w:hint="default" w:ascii="Wingdings" w:hAnsi="Wingdings"/>
      </w:rPr>
    </w:lvl>
    <w:lvl w:ilvl="1" w:tentative="0">
      <w:start w:val="1"/>
      <w:numFmt w:val="bullet"/>
      <w:lvlText w:val=""/>
      <w:lvlJc w:val="left"/>
      <w:pPr>
        <w:ind w:left="1180" w:hanging="420"/>
      </w:pPr>
      <w:rPr>
        <w:rFonts w:hint="default" w:ascii="Wingdings" w:hAnsi="Wingdings"/>
      </w:rPr>
    </w:lvl>
    <w:lvl w:ilvl="2" w:tentative="0">
      <w:start w:val="1"/>
      <w:numFmt w:val="bullet"/>
      <w:lvlText w:val=""/>
      <w:lvlJc w:val="left"/>
      <w:pPr>
        <w:ind w:left="1600" w:hanging="420"/>
      </w:pPr>
      <w:rPr>
        <w:rFonts w:hint="default" w:ascii="Wingdings" w:hAnsi="Wingdings"/>
      </w:rPr>
    </w:lvl>
    <w:lvl w:ilvl="3" w:tentative="0">
      <w:start w:val="1"/>
      <w:numFmt w:val="bullet"/>
      <w:lvlText w:val=""/>
      <w:lvlJc w:val="left"/>
      <w:pPr>
        <w:ind w:left="2020" w:hanging="420"/>
      </w:pPr>
      <w:rPr>
        <w:rFonts w:hint="default" w:ascii="Wingdings" w:hAnsi="Wingdings"/>
      </w:rPr>
    </w:lvl>
    <w:lvl w:ilvl="4" w:tentative="0">
      <w:start w:val="1"/>
      <w:numFmt w:val="bullet"/>
      <w:lvlText w:val=""/>
      <w:lvlJc w:val="left"/>
      <w:pPr>
        <w:ind w:left="2440" w:hanging="420"/>
      </w:pPr>
      <w:rPr>
        <w:rFonts w:hint="default" w:ascii="Wingdings" w:hAnsi="Wingdings"/>
      </w:rPr>
    </w:lvl>
    <w:lvl w:ilvl="5" w:tentative="0">
      <w:start w:val="1"/>
      <w:numFmt w:val="bullet"/>
      <w:lvlText w:val=""/>
      <w:lvlJc w:val="left"/>
      <w:pPr>
        <w:ind w:left="2860" w:hanging="420"/>
      </w:pPr>
      <w:rPr>
        <w:rFonts w:hint="default" w:ascii="Wingdings" w:hAnsi="Wingdings"/>
      </w:rPr>
    </w:lvl>
    <w:lvl w:ilvl="6" w:tentative="0">
      <w:start w:val="1"/>
      <w:numFmt w:val="bullet"/>
      <w:lvlText w:val=""/>
      <w:lvlJc w:val="left"/>
      <w:pPr>
        <w:ind w:left="3280" w:hanging="420"/>
      </w:pPr>
      <w:rPr>
        <w:rFonts w:hint="default" w:ascii="Wingdings" w:hAnsi="Wingdings"/>
      </w:rPr>
    </w:lvl>
    <w:lvl w:ilvl="7" w:tentative="0">
      <w:start w:val="1"/>
      <w:numFmt w:val="bullet"/>
      <w:lvlText w:val=""/>
      <w:lvlJc w:val="left"/>
      <w:pPr>
        <w:ind w:left="3700" w:hanging="420"/>
      </w:pPr>
      <w:rPr>
        <w:rFonts w:hint="default" w:ascii="Wingdings" w:hAnsi="Wingdings"/>
      </w:rPr>
    </w:lvl>
    <w:lvl w:ilvl="8" w:tentative="0">
      <w:start w:val="1"/>
      <w:numFmt w:val="bullet"/>
      <w:lvlText w:val=""/>
      <w:lvlJc w:val="left"/>
      <w:pPr>
        <w:ind w:left="4120" w:hanging="420"/>
      </w:pPr>
      <w:rPr>
        <w:rFonts w:hint="default" w:ascii="Wingdings" w:hAnsi="Wingdings"/>
      </w:rPr>
    </w:lvl>
  </w:abstractNum>
  <w:abstractNum w:abstractNumId="4">
    <w:nsid w:val="3D617296"/>
    <w:multiLevelType w:val="multilevel"/>
    <w:tmpl w:val="3D617296"/>
    <w:lvl w:ilvl="0" w:tentative="0">
      <w:start w:val="1"/>
      <w:numFmt w:val="bullet"/>
      <w:lvlText w:val="●"/>
      <w:lvlJc w:val="left"/>
      <w:pPr>
        <w:ind w:left="420" w:hanging="420"/>
      </w:pPr>
      <w:rPr>
        <w:rFonts w:hint="default" w:ascii="Arial" w:hAnsi="Arial"/>
        <w:w w:val="100"/>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61D06"/>
    <w:multiLevelType w:val="multilevel"/>
    <w:tmpl w:val="4BC61D06"/>
    <w:lvl w:ilvl="0" w:tentative="0">
      <w:start w:val="1"/>
      <w:numFmt w:val="upperRoman"/>
      <w:lvlText w:val="%1."/>
      <w:lvlJc w:val="left"/>
      <w:pPr>
        <w:ind w:left="720" w:hanging="720"/>
      </w:pPr>
      <w:rPr>
        <w:rFonts w:hint="default"/>
      </w:rPr>
    </w:lvl>
    <w:lvl w:ilvl="1" w:tentative="0">
      <w:start w:val="1"/>
      <w:numFmt w:val="decimal"/>
      <w:lvlText w:val="%2."/>
      <w:lvlJc w:val="left"/>
      <w:pPr>
        <w:ind w:left="780" w:hanging="360"/>
      </w:pPr>
      <w:rPr>
        <w:rFonts w:hint="default"/>
      </w:rPr>
    </w:lvl>
    <w:lvl w:ilvl="2" w:tentative="0">
      <w:start w:val="1"/>
      <w:numFmt w:val="upperLetter"/>
      <w:lvlText w:val="%3."/>
      <w:lvlJc w:val="left"/>
      <w:pPr>
        <w:ind w:left="1200" w:hanging="360"/>
      </w:pPr>
      <w:rPr>
        <w:rFonts w:hint="default"/>
      </w:rPr>
    </w:lvl>
    <w:lvl w:ilvl="3" w:tentative="0">
      <w:start w:val="1"/>
      <w:numFmt w:val="decimal"/>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18"/>
    <w:footnote w:id="1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B3"/>
    <w:rsid w:val="00006F32"/>
    <w:rsid w:val="000209A6"/>
    <w:rsid w:val="00025E8F"/>
    <w:rsid w:val="0005064F"/>
    <w:rsid w:val="00065B70"/>
    <w:rsid w:val="00067051"/>
    <w:rsid w:val="00067FC2"/>
    <w:rsid w:val="00071743"/>
    <w:rsid w:val="00080D05"/>
    <w:rsid w:val="00081160"/>
    <w:rsid w:val="00093AE6"/>
    <w:rsid w:val="000C4119"/>
    <w:rsid w:val="000D08FD"/>
    <w:rsid w:val="000D2082"/>
    <w:rsid w:val="000D60BC"/>
    <w:rsid w:val="000E2BD6"/>
    <w:rsid w:val="000F012E"/>
    <w:rsid w:val="000F0CC9"/>
    <w:rsid w:val="000F451D"/>
    <w:rsid w:val="000F6B31"/>
    <w:rsid w:val="000F70D7"/>
    <w:rsid w:val="000F7BAE"/>
    <w:rsid w:val="0011041D"/>
    <w:rsid w:val="00120533"/>
    <w:rsid w:val="0012471F"/>
    <w:rsid w:val="0012549F"/>
    <w:rsid w:val="0013539C"/>
    <w:rsid w:val="00136EA2"/>
    <w:rsid w:val="00137254"/>
    <w:rsid w:val="00140FBC"/>
    <w:rsid w:val="001720B7"/>
    <w:rsid w:val="00186FE4"/>
    <w:rsid w:val="00195744"/>
    <w:rsid w:val="001D6CC3"/>
    <w:rsid w:val="001D71C3"/>
    <w:rsid w:val="001E5227"/>
    <w:rsid w:val="002123DA"/>
    <w:rsid w:val="00236EF6"/>
    <w:rsid w:val="00256097"/>
    <w:rsid w:val="0029509E"/>
    <w:rsid w:val="00296BD0"/>
    <w:rsid w:val="002A1C5A"/>
    <w:rsid w:val="002B17EA"/>
    <w:rsid w:val="002C265B"/>
    <w:rsid w:val="002D0907"/>
    <w:rsid w:val="002D600C"/>
    <w:rsid w:val="002D7D7F"/>
    <w:rsid w:val="002E398E"/>
    <w:rsid w:val="003027B1"/>
    <w:rsid w:val="0031456D"/>
    <w:rsid w:val="003169EE"/>
    <w:rsid w:val="00343EF0"/>
    <w:rsid w:val="00376EDA"/>
    <w:rsid w:val="00376F8A"/>
    <w:rsid w:val="00380A88"/>
    <w:rsid w:val="00380E93"/>
    <w:rsid w:val="0038735F"/>
    <w:rsid w:val="003B7702"/>
    <w:rsid w:val="003C2E98"/>
    <w:rsid w:val="003C6525"/>
    <w:rsid w:val="003E4C94"/>
    <w:rsid w:val="0041041E"/>
    <w:rsid w:val="00414B2E"/>
    <w:rsid w:val="00422EC6"/>
    <w:rsid w:val="0043477E"/>
    <w:rsid w:val="00434EA5"/>
    <w:rsid w:val="00435F66"/>
    <w:rsid w:val="00461998"/>
    <w:rsid w:val="004704B0"/>
    <w:rsid w:val="00476C74"/>
    <w:rsid w:val="00477862"/>
    <w:rsid w:val="004A178B"/>
    <w:rsid w:val="004B2AE1"/>
    <w:rsid w:val="004C3D94"/>
    <w:rsid w:val="004D20D8"/>
    <w:rsid w:val="004E50D5"/>
    <w:rsid w:val="00527447"/>
    <w:rsid w:val="0054793C"/>
    <w:rsid w:val="00547B0F"/>
    <w:rsid w:val="005562A0"/>
    <w:rsid w:val="00556932"/>
    <w:rsid w:val="005622CA"/>
    <w:rsid w:val="005701D9"/>
    <w:rsid w:val="00570450"/>
    <w:rsid w:val="00570D2B"/>
    <w:rsid w:val="005906F4"/>
    <w:rsid w:val="005947D4"/>
    <w:rsid w:val="005A2DD0"/>
    <w:rsid w:val="005B1C35"/>
    <w:rsid w:val="005F383A"/>
    <w:rsid w:val="005F530A"/>
    <w:rsid w:val="00600FAA"/>
    <w:rsid w:val="00622909"/>
    <w:rsid w:val="006357E5"/>
    <w:rsid w:val="00641F13"/>
    <w:rsid w:val="00646CB8"/>
    <w:rsid w:val="00666FCF"/>
    <w:rsid w:val="006A1A59"/>
    <w:rsid w:val="006D5183"/>
    <w:rsid w:val="006D64CB"/>
    <w:rsid w:val="006E08A4"/>
    <w:rsid w:val="006E0FA2"/>
    <w:rsid w:val="006F5D50"/>
    <w:rsid w:val="00705F17"/>
    <w:rsid w:val="00706BF9"/>
    <w:rsid w:val="007151F7"/>
    <w:rsid w:val="00716196"/>
    <w:rsid w:val="007248BF"/>
    <w:rsid w:val="007300E5"/>
    <w:rsid w:val="00741950"/>
    <w:rsid w:val="00747959"/>
    <w:rsid w:val="00764B0B"/>
    <w:rsid w:val="0077118B"/>
    <w:rsid w:val="00782E4C"/>
    <w:rsid w:val="0078418D"/>
    <w:rsid w:val="00785974"/>
    <w:rsid w:val="00792377"/>
    <w:rsid w:val="007A5AAB"/>
    <w:rsid w:val="007B5805"/>
    <w:rsid w:val="007B78B0"/>
    <w:rsid w:val="007C1130"/>
    <w:rsid w:val="007D29A9"/>
    <w:rsid w:val="007D4973"/>
    <w:rsid w:val="007D4D9C"/>
    <w:rsid w:val="007D6590"/>
    <w:rsid w:val="007E0A3C"/>
    <w:rsid w:val="007E2D21"/>
    <w:rsid w:val="007E70D8"/>
    <w:rsid w:val="007F40CF"/>
    <w:rsid w:val="007F413E"/>
    <w:rsid w:val="007F43BB"/>
    <w:rsid w:val="00812191"/>
    <w:rsid w:val="00821F1D"/>
    <w:rsid w:val="008916E4"/>
    <w:rsid w:val="00893A32"/>
    <w:rsid w:val="008A6A0A"/>
    <w:rsid w:val="008B06B9"/>
    <w:rsid w:val="008C3D23"/>
    <w:rsid w:val="008D404B"/>
    <w:rsid w:val="008E1016"/>
    <w:rsid w:val="00910084"/>
    <w:rsid w:val="0091342C"/>
    <w:rsid w:val="00941D85"/>
    <w:rsid w:val="009441C0"/>
    <w:rsid w:val="009478A6"/>
    <w:rsid w:val="009529B2"/>
    <w:rsid w:val="00972E07"/>
    <w:rsid w:val="0099507F"/>
    <w:rsid w:val="009B2552"/>
    <w:rsid w:val="009B6853"/>
    <w:rsid w:val="009B7095"/>
    <w:rsid w:val="009D4D2E"/>
    <w:rsid w:val="009F552C"/>
    <w:rsid w:val="00A273A2"/>
    <w:rsid w:val="00A275C6"/>
    <w:rsid w:val="00A3582B"/>
    <w:rsid w:val="00A422FB"/>
    <w:rsid w:val="00A44B8C"/>
    <w:rsid w:val="00A472CD"/>
    <w:rsid w:val="00A55A1A"/>
    <w:rsid w:val="00AB0701"/>
    <w:rsid w:val="00AB7684"/>
    <w:rsid w:val="00AC75CE"/>
    <w:rsid w:val="00AE2A67"/>
    <w:rsid w:val="00AE48A0"/>
    <w:rsid w:val="00AF009C"/>
    <w:rsid w:val="00AF049A"/>
    <w:rsid w:val="00B013BF"/>
    <w:rsid w:val="00B15E52"/>
    <w:rsid w:val="00B256C9"/>
    <w:rsid w:val="00B25E39"/>
    <w:rsid w:val="00B352D2"/>
    <w:rsid w:val="00B36ECF"/>
    <w:rsid w:val="00B40F4B"/>
    <w:rsid w:val="00B45A7D"/>
    <w:rsid w:val="00B52106"/>
    <w:rsid w:val="00B766BA"/>
    <w:rsid w:val="00B81AC2"/>
    <w:rsid w:val="00B95C02"/>
    <w:rsid w:val="00BB514A"/>
    <w:rsid w:val="00BD17EE"/>
    <w:rsid w:val="00C016D9"/>
    <w:rsid w:val="00C0422D"/>
    <w:rsid w:val="00C1255F"/>
    <w:rsid w:val="00C1346A"/>
    <w:rsid w:val="00C24BDC"/>
    <w:rsid w:val="00C300EF"/>
    <w:rsid w:val="00C361FF"/>
    <w:rsid w:val="00C42284"/>
    <w:rsid w:val="00C8683C"/>
    <w:rsid w:val="00C910FE"/>
    <w:rsid w:val="00C9366A"/>
    <w:rsid w:val="00CA3B3B"/>
    <w:rsid w:val="00CB0ADF"/>
    <w:rsid w:val="00CC02EA"/>
    <w:rsid w:val="00CE0151"/>
    <w:rsid w:val="00D26495"/>
    <w:rsid w:val="00D312E1"/>
    <w:rsid w:val="00D31310"/>
    <w:rsid w:val="00D4065C"/>
    <w:rsid w:val="00D43DC7"/>
    <w:rsid w:val="00D45C72"/>
    <w:rsid w:val="00D521F5"/>
    <w:rsid w:val="00D622B3"/>
    <w:rsid w:val="00D64C53"/>
    <w:rsid w:val="00D7488F"/>
    <w:rsid w:val="00D75E51"/>
    <w:rsid w:val="00D85EE7"/>
    <w:rsid w:val="00D95681"/>
    <w:rsid w:val="00DA205B"/>
    <w:rsid w:val="00DA35C4"/>
    <w:rsid w:val="00DA44E0"/>
    <w:rsid w:val="00DA49F3"/>
    <w:rsid w:val="00DC23F0"/>
    <w:rsid w:val="00DE42C1"/>
    <w:rsid w:val="00DF27C9"/>
    <w:rsid w:val="00DF5177"/>
    <w:rsid w:val="00DF6C1A"/>
    <w:rsid w:val="00E05CDF"/>
    <w:rsid w:val="00E06177"/>
    <w:rsid w:val="00E204CC"/>
    <w:rsid w:val="00E401A1"/>
    <w:rsid w:val="00E4101C"/>
    <w:rsid w:val="00E5048D"/>
    <w:rsid w:val="00E65B4B"/>
    <w:rsid w:val="00E918B4"/>
    <w:rsid w:val="00E9561D"/>
    <w:rsid w:val="00EA0AD7"/>
    <w:rsid w:val="00EA6C46"/>
    <w:rsid w:val="00EB0C46"/>
    <w:rsid w:val="00EC34C6"/>
    <w:rsid w:val="00ED04EB"/>
    <w:rsid w:val="00ED6456"/>
    <w:rsid w:val="00ED6AE8"/>
    <w:rsid w:val="00EF0E30"/>
    <w:rsid w:val="00F14D50"/>
    <w:rsid w:val="00F22A3E"/>
    <w:rsid w:val="00F24A62"/>
    <w:rsid w:val="00F32844"/>
    <w:rsid w:val="00F35547"/>
    <w:rsid w:val="00F37AA8"/>
    <w:rsid w:val="00F61FFD"/>
    <w:rsid w:val="00F70442"/>
    <w:rsid w:val="00F723C4"/>
    <w:rsid w:val="00F776C7"/>
    <w:rsid w:val="00FB0AA9"/>
    <w:rsid w:val="00FC4F68"/>
    <w:rsid w:val="00FD25AB"/>
    <w:rsid w:val="0331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5"/>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val="0"/>
      <w:caps/>
      <w:kern w:val="28"/>
      <w:szCs w:val="20"/>
      <w:lang w:eastAsia="en-US"/>
    </w:rPr>
  </w:style>
  <w:style w:type="paragraph" w:styleId="4">
    <w:name w:val="heading 2"/>
    <w:basedOn w:val="2"/>
    <w:next w:val="1"/>
    <w:link w:val="26"/>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7"/>
    <w:qFormat/>
    <w:uiPriority w:val="9"/>
    <w:pPr>
      <w:keepNext/>
      <w:numPr>
        <w:ilvl w:val="2"/>
      </w:numPr>
      <w:tabs>
        <w:tab w:val="left" w:pos="720"/>
        <w:tab w:val="clear" w:pos="851"/>
      </w:tabs>
      <w:outlineLvl w:val="2"/>
    </w:pPr>
    <w:rPr>
      <w:szCs w:val="24"/>
    </w:rPr>
  </w:style>
  <w:style w:type="paragraph" w:styleId="6">
    <w:name w:val="heading 4"/>
    <w:basedOn w:val="5"/>
    <w:next w:val="1"/>
    <w:link w:val="28"/>
    <w:qFormat/>
    <w:uiPriority w:val="9"/>
    <w:pPr>
      <w:numPr>
        <w:ilvl w:val="3"/>
      </w:numPr>
      <w:tabs>
        <w:tab w:val="left" w:pos="851"/>
      </w:tabs>
      <w:outlineLvl w:val="3"/>
    </w:pPr>
  </w:style>
  <w:style w:type="paragraph" w:styleId="7">
    <w:name w:val="heading 5"/>
    <w:basedOn w:val="6"/>
    <w:next w:val="1"/>
    <w:link w:val="29"/>
    <w:qFormat/>
    <w:uiPriority w:val="9"/>
    <w:pPr>
      <w:numPr>
        <w:ilvl w:val="4"/>
      </w:numPr>
      <w:outlineLvl w:val="4"/>
    </w:pPr>
    <w:rPr>
      <w:i/>
    </w:rPr>
  </w:style>
  <w:style w:type="paragraph" w:styleId="8">
    <w:name w:val="heading 6"/>
    <w:basedOn w:val="7"/>
    <w:next w:val="1"/>
    <w:link w:val="30"/>
    <w:qFormat/>
    <w:uiPriority w:val="9"/>
    <w:pPr>
      <w:numPr>
        <w:ilvl w:val="5"/>
      </w:numPr>
      <w:outlineLvl w:val="5"/>
    </w:pPr>
  </w:style>
  <w:style w:type="paragraph" w:styleId="9">
    <w:name w:val="heading 7"/>
    <w:basedOn w:val="8"/>
    <w:next w:val="1"/>
    <w:link w:val="31"/>
    <w:qFormat/>
    <w:uiPriority w:val="9"/>
    <w:pPr>
      <w:numPr>
        <w:ilvl w:val="6"/>
      </w:numPr>
      <w:outlineLvl w:val="6"/>
    </w:pPr>
  </w:style>
  <w:style w:type="paragraph" w:styleId="10">
    <w:name w:val="heading 8"/>
    <w:basedOn w:val="9"/>
    <w:next w:val="1"/>
    <w:link w:val="32"/>
    <w:qFormat/>
    <w:uiPriority w:val="9"/>
    <w:pPr>
      <w:numPr>
        <w:ilvl w:val="7"/>
      </w:numPr>
      <w:outlineLvl w:val="7"/>
    </w:pPr>
  </w:style>
  <w:style w:type="paragraph" w:styleId="11">
    <w:name w:val="heading 9"/>
    <w:basedOn w:val="10"/>
    <w:next w:val="1"/>
    <w:link w:val="33"/>
    <w:qFormat/>
    <w:uiPriority w:val="9"/>
    <w:pPr>
      <w:numPr>
        <w:ilvl w:val="8"/>
      </w:numPr>
      <w:outlineLvl w:val="8"/>
    </w:p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unhideWhenUsed/>
    <w:qFormat/>
    <w:uiPriority w:val="39"/>
    <w:rPr>
      <w:b/>
    </w:rPr>
  </w:style>
  <w:style w:type="paragraph" w:styleId="12">
    <w:name w:val="caption"/>
    <w:basedOn w:val="1"/>
    <w:next w:val="1"/>
    <w:link w:val="34"/>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toc 3"/>
    <w:basedOn w:val="1"/>
    <w:next w:val="1"/>
    <w:autoRedefine/>
    <w:unhideWhenUsed/>
    <w:qFormat/>
    <w:uiPriority w:val="39"/>
    <w:pPr>
      <w:ind w:left="840" w:leftChars="400"/>
    </w:pPr>
    <w:rPr>
      <w:b/>
      <w:i/>
    </w:rPr>
  </w:style>
  <w:style w:type="paragraph" w:styleId="14">
    <w:name w:val="Balloon Text"/>
    <w:basedOn w:val="1"/>
    <w:link w:val="58"/>
    <w:semiHidden/>
    <w:unhideWhenUsed/>
    <w:qFormat/>
    <w:uiPriority w:val="99"/>
    <w:pPr>
      <w:spacing w:line="240" w:lineRule="auto"/>
    </w:pPr>
    <w:rPr>
      <w:sz w:val="18"/>
      <w:szCs w:val="18"/>
    </w:rPr>
  </w:style>
  <w:style w:type="paragraph" w:styleId="15">
    <w:name w:val="footer"/>
    <w:basedOn w:val="1"/>
    <w:link w:val="50"/>
    <w:unhideWhenUsed/>
    <w:qFormat/>
    <w:uiPriority w:val="99"/>
    <w:pPr>
      <w:tabs>
        <w:tab w:val="center" w:pos="4153"/>
        <w:tab w:val="right" w:pos="8306"/>
      </w:tabs>
      <w:spacing w:line="240" w:lineRule="auto"/>
    </w:pPr>
    <w:rPr>
      <w:sz w:val="18"/>
      <w:szCs w:val="18"/>
    </w:rPr>
  </w:style>
  <w:style w:type="paragraph" w:styleId="16">
    <w:name w:val="header"/>
    <w:basedOn w:val="1"/>
    <w:link w:val="49"/>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7">
    <w:name w:val="footnote text"/>
    <w:basedOn w:val="1"/>
    <w:link w:val="56"/>
    <w:semiHidden/>
    <w:unhideWhenUsed/>
    <w:qFormat/>
    <w:uiPriority w:val="99"/>
    <w:rPr>
      <w:sz w:val="18"/>
      <w:szCs w:val="18"/>
    </w:rPr>
  </w:style>
  <w:style w:type="paragraph" w:styleId="18">
    <w:name w:val="toc 2"/>
    <w:basedOn w:val="1"/>
    <w:next w:val="1"/>
    <w:autoRedefine/>
    <w:unhideWhenUsed/>
    <w:qFormat/>
    <w:uiPriority w:val="39"/>
    <w:pPr>
      <w:ind w:left="420" w:leftChars="200"/>
    </w:pPr>
    <w:rPr>
      <w:b/>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3">
    <w:name w:val="Hyperlink"/>
    <w:basedOn w:val="21"/>
    <w:qFormat/>
    <w:uiPriority w:val="99"/>
    <w:rPr>
      <w:color w:val="0066CC"/>
      <w:u w:val="single"/>
    </w:rPr>
  </w:style>
  <w:style w:type="character" w:styleId="24">
    <w:name w:val="footnote reference"/>
    <w:basedOn w:val="21"/>
    <w:semiHidden/>
    <w:unhideWhenUsed/>
    <w:qFormat/>
    <w:uiPriority w:val="99"/>
    <w:rPr>
      <w:vertAlign w:val="superscript"/>
    </w:rPr>
  </w:style>
  <w:style w:type="character" w:customStyle="1" w:styleId="25">
    <w:name w:val="标题 1 Char"/>
    <w:basedOn w:val="21"/>
    <w:link w:val="2"/>
    <w:qFormat/>
    <w:uiPriority w:val="9"/>
    <w:rPr>
      <w:rFonts w:ascii="Times New Roman" w:hAnsi="Times New Roman" w:eastAsia="Times New Roman" w:cs="Times New Roman"/>
      <w:b/>
      <w:caps/>
      <w:kern w:val="28"/>
      <w:sz w:val="22"/>
      <w:szCs w:val="20"/>
      <w:lang w:eastAsia="en-US"/>
    </w:rPr>
  </w:style>
  <w:style w:type="character" w:customStyle="1" w:styleId="26">
    <w:name w:val="标题 2 Char"/>
    <w:basedOn w:val="21"/>
    <w:link w:val="4"/>
    <w:qFormat/>
    <w:uiPriority w:val="9"/>
    <w:rPr>
      <w:rFonts w:ascii="Times New Roman" w:hAnsi="Times New Roman" w:eastAsia="宋体" w:cs="Times New Roman"/>
      <w:b/>
      <w:kern w:val="28"/>
      <w:sz w:val="24"/>
      <w:szCs w:val="20"/>
    </w:rPr>
  </w:style>
  <w:style w:type="character" w:customStyle="1" w:styleId="27">
    <w:name w:val="标题 3 Char"/>
    <w:basedOn w:val="21"/>
    <w:link w:val="5"/>
    <w:qFormat/>
    <w:uiPriority w:val="9"/>
    <w:rPr>
      <w:rFonts w:ascii="Times New Roman" w:hAnsi="Times New Roman" w:eastAsia="宋体" w:cs="Times New Roman"/>
      <w:b/>
      <w:kern w:val="28"/>
      <w:sz w:val="24"/>
      <w:szCs w:val="24"/>
    </w:rPr>
  </w:style>
  <w:style w:type="character" w:customStyle="1" w:styleId="28">
    <w:name w:val="标题 4 Char"/>
    <w:basedOn w:val="21"/>
    <w:link w:val="6"/>
    <w:qFormat/>
    <w:uiPriority w:val="9"/>
    <w:rPr>
      <w:rFonts w:ascii="Times New Roman" w:hAnsi="Times New Roman" w:eastAsia="宋体" w:cs="Times New Roman"/>
      <w:b/>
      <w:kern w:val="28"/>
      <w:sz w:val="24"/>
      <w:szCs w:val="24"/>
    </w:rPr>
  </w:style>
  <w:style w:type="character" w:customStyle="1" w:styleId="29">
    <w:name w:val="标题 5 Char"/>
    <w:basedOn w:val="21"/>
    <w:link w:val="7"/>
    <w:qFormat/>
    <w:uiPriority w:val="9"/>
    <w:rPr>
      <w:rFonts w:ascii="Times New Roman" w:hAnsi="Times New Roman" w:eastAsia="宋体" w:cs="Times New Roman"/>
      <w:b/>
      <w:i/>
      <w:kern w:val="28"/>
      <w:sz w:val="24"/>
      <w:szCs w:val="24"/>
    </w:rPr>
  </w:style>
  <w:style w:type="character" w:customStyle="1" w:styleId="30">
    <w:name w:val="标题 6 Char"/>
    <w:basedOn w:val="21"/>
    <w:link w:val="8"/>
    <w:qFormat/>
    <w:uiPriority w:val="9"/>
    <w:rPr>
      <w:rFonts w:ascii="Times New Roman" w:hAnsi="Times New Roman" w:eastAsia="宋体" w:cs="Times New Roman"/>
      <w:b/>
      <w:i/>
      <w:kern w:val="28"/>
      <w:sz w:val="24"/>
      <w:szCs w:val="24"/>
    </w:rPr>
  </w:style>
  <w:style w:type="character" w:customStyle="1" w:styleId="31">
    <w:name w:val="标题 7 Char"/>
    <w:basedOn w:val="21"/>
    <w:link w:val="9"/>
    <w:qFormat/>
    <w:uiPriority w:val="9"/>
    <w:rPr>
      <w:rFonts w:ascii="Times New Roman" w:hAnsi="Times New Roman" w:eastAsia="宋体" w:cs="Times New Roman"/>
      <w:b/>
      <w:i/>
      <w:kern w:val="28"/>
      <w:sz w:val="24"/>
      <w:szCs w:val="24"/>
    </w:rPr>
  </w:style>
  <w:style w:type="character" w:customStyle="1" w:styleId="32">
    <w:name w:val="标题 8 Char"/>
    <w:basedOn w:val="21"/>
    <w:link w:val="10"/>
    <w:qFormat/>
    <w:uiPriority w:val="9"/>
    <w:rPr>
      <w:rFonts w:ascii="Times New Roman" w:hAnsi="Times New Roman" w:eastAsia="宋体" w:cs="Times New Roman"/>
      <w:b/>
      <w:i/>
      <w:kern w:val="28"/>
      <w:sz w:val="24"/>
      <w:szCs w:val="24"/>
    </w:rPr>
  </w:style>
  <w:style w:type="character" w:customStyle="1" w:styleId="33">
    <w:name w:val="标题 9 Char"/>
    <w:basedOn w:val="21"/>
    <w:link w:val="11"/>
    <w:qFormat/>
    <w:uiPriority w:val="9"/>
    <w:rPr>
      <w:rFonts w:ascii="Times New Roman" w:hAnsi="Times New Roman" w:eastAsia="宋体" w:cs="Times New Roman"/>
      <w:b/>
      <w:i/>
      <w:kern w:val="28"/>
      <w:sz w:val="24"/>
      <w:szCs w:val="24"/>
    </w:rPr>
  </w:style>
  <w:style w:type="character" w:customStyle="1" w:styleId="34">
    <w:name w:val="题注 Char"/>
    <w:link w:val="12"/>
    <w:qFormat/>
    <w:uiPriority w:val="0"/>
    <w:rPr>
      <w:i/>
      <w:iCs/>
      <w:color w:val="1F497D" w:themeColor="text2"/>
      <w:kern w:val="0"/>
      <w:sz w:val="18"/>
      <w:szCs w:val="18"/>
      <w14:textFill>
        <w14:solidFill>
          <w14:schemeClr w14:val="tx2"/>
        </w14:solidFill>
      </w14:textFill>
    </w:rPr>
  </w:style>
  <w:style w:type="paragraph" w:styleId="35">
    <w:name w:val="List Paragraph"/>
    <w:basedOn w:val="1"/>
    <w:unhideWhenUsed/>
    <w:qFormat/>
    <w:uiPriority w:val="34"/>
    <w:pPr>
      <w:ind w:firstLine="420" w:firstLineChars="200"/>
    </w:pPr>
  </w:style>
  <w:style w:type="paragraph" w:customStyle="1" w:styleId="36">
    <w:name w:val="Para"/>
    <w:basedOn w:val="1"/>
    <w:link w:val="37"/>
    <w:qFormat/>
    <w:uiPriority w:val="99"/>
    <w:pPr>
      <w:spacing w:after="240" w:line="312" w:lineRule="atLeast"/>
    </w:pPr>
    <w:rPr>
      <w:rFonts w:ascii="Times" w:hAnsi="Times" w:eastAsia="Times New Roman" w:cs="Times New Roman"/>
      <w:szCs w:val="20"/>
      <w:lang w:eastAsia="en-US"/>
    </w:rPr>
  </w:style>
  <w:style w:type="character" w:customStyle="1" w:styleId="37">
    <w:name w:val="Para Char"/>
    <w:link w:val="36"/>
    <w:qFormat/>
    <w:locked/>
    <w:uiPriority w:val="99"/>
    <w:rPr>
      <w:rFonts w:ascii="Times" w:hAnsi="Times" w:eastAsia="Times New Roman" w:cs="Times New Roman"/>
      <w:kern w:val="0"/>
      <w:sz w:val="24"/>
      <w:szCs w:val="20"/>
      <w:lang w:eastAsia="en-US"/>
    </w:rPr>
  </w:style>
  <w:style w:type="paragraph" w:customStyle="1" w:styleId="38">
    <w:name w:val="List Paragraph1"/>
    <w:basedOn w:val="1"/>
    <w:qFormat/>
    <w:uiPriority w:val="34"/>
    <w:pPr>
      <w:ind w:left="720"/>
      <w:contextualSpacing/>
    </w:pPr>
  </w:style>
  <w:style w:type="paragraph" w:customStyle="1" w:styleId="39">
    <w:name w:val="申报正文"/>
    <w:basedOn w:val="1"/>
    <w:link w:val="40"/>
    <w:qFormat/>
    <w:uiPriority w:val="0"/>
    <w:pPr>
      <w:widowControl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40">
    <w:name w:val="申报正文 Char"/>
    <w:link w:val="39"/>
    <w:qFormat/>
    <w:uiPriority w:val="0"/>
    <w:rPr>
      <w:rFonts w:ascii="Times New Roman" w:hAnsi="宋体" w:eastAsia="宋体" w:cs="Times New Roman"/>
      <w:sz w:val="24"/>
      <w:szCs w:val="24"/>
    </w:rPr>
  </w:style>
  <w:style w:type="paragraph" w:customStyle="1" w:styleId="41">
    <w:name w:val="标注"/>
    <w:basedOn w:val="1"/>
    <w:link w:val="42"/>
    <w:qFormat/>
    <w:uiPriority w:val="0"/>
    <w:pPr>
      <w:widowControl w:val="0"/>
      <w:spacing w:line="240" w:lineRule="auto"/>
      <w:jc w:val="both"/>
    </w:pPr>
    <w:rPr>
      <w:rFonts w:ascii="Times New Roman" w:hAnsi="宋体" w:eastAsia="宋体" w:cs="Times New Roman"/>
      <w:kern w:val="2"/>
      <w:sz w:val="21"/>
    </w:rPr>
  </w:style>
  <w:style w:type="character" w:customStyle="1" w:styleId="42">
    <w:name w:val="标注 Char"/>
    <w:link w:val="41"/>
    <w:qFormat/>
    <w:uiPriority w:val="0"/>
    <w:rPr>
      <w:rFonts w:ascii="Times New Roman" w:hAnsi="宋体" w:eastAsia="宋体" w:cs="Times New Roman"/>
      <w:szCs w:val="21"/>
    </w:rPr>
  </w:style>
  <w:style w:type="character" w:customStyle="1" w:styleId="43">
    <w:name w:val="正文文本 (3)_"/>
    <w:basedOn w:val="21"/>
    <w:link w:val="44"/>
    <w:qFormat/>
    <w:uiPriority w:val="0"/>
    <w:rPr>
      <w:rFonts w:ascii="Times New Roman" w:hAnsi="Times New Roman" w:eastAsia="Times New Roman" w:cs="Times New Roman"/>
      <w:b/>
      <w:bCs/>
      <w:sz w:val="60"/>
      <w:szCs w:val="60"/>
      <w:shd w:val="clear" w:color="auto" w:fill="FFFFFF"/>
    </w:rPr>
  </w:style>
  <w:style w:type="paragraph" w:customStyle="1" w:styleId="44">
    <w:name w:val="正文文本 (3)"/>
    <w:basedOn w:val="1"/>
    <w:link w:val="43"/>
    <w:qFormat/>
    <w:uiPriority w:val="0"/>
    <w:pPr>
      <w:widowControl w:val="0"/>
      <w:shd w:val="clear" w:color="auto" w:fill="FFFFFF"/>
      <w:spacing w:after="240" w:line="0" w:lineRule="atLeast"/>
    </w:pPr>
    <w:rPr>
      <w:rFonts w:ascii="Times New Roman" w:hAnsi="Times New Roman" w:eastAsia="Times New Roman" w:cs="Times New Roman"/>
      <w:b/>
      <w:bCs/>
      <w:kern w:val="2"/>
      <w:sz w:val="60"/>
      <w:szCs w:val="60"/>
    </w:rPr>
  </w:style>
  <w:style w:type="character" w:customStyle="1" w:styleId="45">
    <w:name w:val="正文文本 (5)_"/>
    <w:basedOn w:val="21"/>
    <w:link w:val="46"/>
    <w:qFormat/>
    <w:uiPriority w:val="0"/>
    <w:rPr>
      <w:rFonts w:ascii="Times New Roman" w:hAnsi="Times New Roman" w:eastAsia="Times New Roman" w:cs="Times New Roman"/>
      <w:i/>
      <w:iCs/>
      <w:sz w:val="20"/>
      <w:szCs w:val="20"/>
      <w:shd w:val="clear" w:color="auto" w:fill="FFFFFF"/>
    </w:rPr>
  </w:style>
  <w:style w:type="paragraph" w:customStyle="1" w:styleId="46">
    <w:name w:val="正文文本 (5)"/>
    <w:basedOn w:val="1"/>
    <w:link w:val="45"/>
    <w:qFormat/>
    <w:uiPriority w:val="0"/>
    <w:pPr>
      <w:widowControl w:val="0"/>
      <w:shd w:val="clear" w:color="auto" w:fill="FFFFFF"/>
      <w:spacing w:after="120" w:line="0" w:lineRule="atLeast"/>
      <w:jc w:val="center"/>
    </w:pPr>
    <w:rPr>
      <w:rFonts w:ascii="Times New Roman" w:hAnsi="Times New Roman" w:eastAsia="Times New Roman" w:cs="Times New Roman"/>
      <w:i/>
      <w:iCs/>
      <w:kern w:val="2"/>
      <w:sz w:val="20"/>
      <w:szCs w:val="20"/>
    </w:rPr>
  </w:style>
  <w:style w:type="character" w:customStyle="1" w:styleId="47">
    <w:name w:val="正文文本 (2)"/>
    <w:basedOn w:val="21"/>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48">
    <w:name w:val="正文文本 (2)_"/>
    <w:basedOn w:val="21"/>
    <w:qFormat/>
    <w:uiPriority w:val="0"/>
    <w:rPr>
      <w:rFonts w:ascii="Times New Roman" w:hAnsi="Times New Roman" w:eastAsia="Times New Roman" w:cs="Times New Roman"/>
      <w:u w:val="none"/>
    </w:rPr>
  </w:style>
  <w:style w:type="character" w:customStyle="1" w:styleId="49">
    <w:name w:val="页眉 Char"/>
    <w:basedOn w:val="21"/>
    <w:link w:val="16"/>
    <w:qFormat/>
    <w:uiPriority w:val="99"/>
    <w:rPr>
      <w:kern w:val="0"/>
      <w:sz w:val="18"/>
      <w:szCs w:val="18"/>
    </w:rPr>
  </w:style>
  <w:style w:type="character" w:customStyle="1" w:styleId="50">
    <w:name w:val="页脚 Char"/>
    <w:basedOn w:val="21"/>
    <w:link w:val="15"/>
    <w:qFormat/>
    <w:uiPriority w:val="99"/>
    <w:rPr>
      <w:kern w:val="0"/>
      <w:sz w:val="18"/>
      <w:szCs w:val="18"/>
    </w:rPr>
  </w:style>
  <w:style w:type="character" w:customStyle="1" w:styleId="51">
    <w:name w:val="标题 #2_"/>
    <w:basedOn w:val="21"/>
    <w:link w:val="52"/>
    <w:qFormat/>
    <w:uiPriority w:val="0"/>
    <w:rPr>
      <w:rFonts w:ascii="Times New Roman" w:hAnsi="Times New Roman" w:eastAsia="Times New Roman" w:cs="Times New Roman"/>
      <w:b/>
      <w:bCs/>
      <w:shd w:val="clear" w:color="auto" w:fill="FFFFFF"/>
    </w:rPr>
  </w:style>
  <w:style w:type="paragraph" w:customStyle="1" w:styleId="52">
    <w:name w:val="标题 #2"/>
    <w:basedOn w:val="1"/>
    <w:link w:val="51"/>
    <w:qFormat/>
    <w:uiPriority w:val="0"/>
    <w:pPr>
      <w:widowControl w:val="0"/>
      <w:shd w:val="clear" w:color="auto" w:fill="FFFFFF"/>
      <w:adjustRightInd/>
      <w:snapToGrid/>
      <w:spacing w:before="1200" w:after="300" w:line="0" w:lineRule="atLeast"/>
      <w:ind w:hanging="360"/>
      <w:jc w:val="both"/>
      <w:outlineLvl w:val="1"/>
    </w:pPr>
    <w:rPr>
      <w:rFonts w:ascii="Times New Roman" w:hAnsi="Times New Roman" w:eastAsia="Times New Roman" w:cs="Times New Roman"/>
      <w:b/>
      <w:bCs/>
      <w:kern w:val="2"/>
      <w:sz w:val="21"/>
    </w:rPr>
  </w:style>
  <w:style w:type="paragraph" w:customStyle="1" w:styleId="5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54">
    <w:name w:val="脚注引用1"/>
    <w:qFormat/>
    <w:uiPriority w:val="99"/>
    <w:rPr>
      <w:color w:val="000000"/>
    </w:rPr>
  </w:style>
  <w:style w:type="character" w:customStyle="1" w:styleId="55">
    <w:name w:val="标题 #2 + 非粗体"/>
    <w:basedOn w:val="51"/>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56">
    <w:name w:val="脚注文本 Char"/>
    <w:basedOn w:val="21"/>
    <w:link w:val="17"/>
    <w:semiHidden/>
    <w:qFormat/>
    <w:uiPriority w:val="99"/>
    <w:rPr>
      <w:kern w:val="0"/>
      <w:sz w:val="18"/>
      <w:szCs w:val="18"/>
    </w:rPr>
  </w:style>
  <w:style w:type="paragraph" w:customStyle="1" w:styleId="57">
    <w:name w:val="TOC Heading"/>
    <w:basedOn w:val="2"/>
    <w:next w:val="1"/>
    <w:semiHidden/>
    <w:unhideWhenUsed/>
    <w:qFormat/>
    <w:uiPriority w:val="39"/>
    <w:pPr>
      <w:keepNext/>
      <w:pageBreakBefore w:val="0"/>
      <w:numPr>
        <w:numId w:val="0"/>
      </w:numPr>
      <w:tabs>
        <w:tab w:val="clear" w:pos="864"/>
        <w:tab w:val="clear" w:pos="1152"/>
        <w:tab w:val="clear" w:pos="8640"/>
      </w:tabs>
      <w:adjustRightInd/>
      <w:snapToGrid/>
      <w:spacing w:before="480" w:after="0" w:line="276" w:lineRule="auto"/>
      <w:outlineLvl w:val="9"/>
    </w:pPr>
    <w:rPr>
      <w:rFonts w:asciiTheme="majorHAnsi" w:hAnsiTheme="majorHAnsi" w:eastAsiaTheme="majorEastAsia" w:cstheme="majorBidi"/>
      <w:bCs/>
      <w:caps w:val="0"/>
      <w:color w:val="376092" w:themeColor="accent1" w:themeShade="BF"/>
      <w:kern w:val="0"/>
      <w:sz w:val="28"/>
      <w:szCs w:val="28"/>
      <w:lang w:eastAsia="zh-CN"/>
    </w:rPr>
  </w:style>
  <w:style w:type="character" w:customStyle="1" w:styleId="58">
    <w:name w:val="批注框文本 Char"/>
    <w:basedOn w:val="21"/>
    <w:link w:val="14"/>
    <w:semiHidden/>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B9972-A53B-4A20-B23B-B26506C880C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14</Pages>
  <Words>7924</Words>
  <Characters>9284</Characters>
  <Lines>80</Lines>
  <Paragraphs>22</Paragraphs>
  <TotalTime>0</TotalTime>
  <ScaleCrop>false</ScaleCrop>
  <LinksUpToDate>false</LinksUpToDate>
  <CharactersWithSpaces>9527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2017-11-17T11:45:00Z</dcterms:created>
  <dc:creator>y li</dc:creator>
  <cp:lastModifiedBy>太极箫客</cp:lastModifiedBy>
  <dcterms:modified xsi:type="dcterms:W3CDTF">2025-08-14T06:19:24Z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CD3F0CE312B04E5082AD2154B54DFBDD_12</vt:lpwstr>
  </property>
</Properties>
</file>