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7605A">
      <w:pPr>
        <w:widowControl/>
        <w:shd w:val="clear" w:color="auto" w:fill="FFFFFF"/>
        <w:spacing w:before="240" w:after="240" w:line="207" w:lineRule="atLeast"/>
        <w:ind w:firstLine="0"/>
        <w:rPr>
          <w:rFonts w:ascii="Times New Roman" w:hAnsi="Times New Roman"/>
          <w:b/>
          <w:kern w:val="0"/>
          <w:sz w:val="32"/>
          <w:szCs w:val="32"/>
        </w:rPr>
      </w:pPr>
      <w:bookmarkStart w:id="11" w:name="_GoBack"/>
      <w:bookmarkEnd w:id="11"/>
      <w:r>
        <w:rPr>
          <w:rFonts w:hint="eastAsia" w:ascii="Times New Roman"/>
          <w:b/>
          <w:kern w:val="0"/>
          <w:sz w:val="32"/>
          <w:szCs w:val="32"/>
        </w:rPr>
        <w:t>行业指南及FDA工作人员指导：</w:t>
      </w:r>
      <w:r>
        <w:rPr>
          <w:rFonts w:ascii="Times New Roman" w:hAnsi="Times New Roman"/>
          <w:b/>
          <w:kern w:val="0"/>
          <w:sz w:val="32"/>
          <w:szCs w:val="32"/>
        </w:rPr>
        <w:t>II</w:t>
      </w:r>
      <w:r>
        <w:rPr>
          <w:rFonts w:hint="eastAsia" w:ascii="Times New Roman"/>
          <w:b/>
          <w:kern w:val="0"/>
          <w:sz w:val="32"/>
          <w:szCs w:val="32"/>
        </w:rPr>
        <w:t>类特殊管理指导性文件：髋关节金属</w:t>
      </w:r>
      <w:r>
        <w:rPr>
          <w:rFonts w:ascii="Times New Roman" w:hAnsi="Times New Roman"/>
          <w:b/>
          <w:kern w:val="0"/>
          <w:sz w:val="32"/>
          <w:szCs w:val="32"/>
        </w:rPr>
        <w:t>/</w:t>
      </w:r>
      <w:r>
        <w:rPr>
          <w:rFonts w:hint="eastAsia" w:ascii="Times New Roman"/>
          <w:b/>
          <w:kern w:val="0"/>
          <w:sz w:val="32"/>
          <w:szCs w:val="32"/>
        </w:rPr>
        <w:t>聚合物骨水泥或非骨水泥假体</w:t>
      </w:r>
    </w:p>
    <w:p w14:paraId="13C3F4B7">
      <w:pPr>
        <w:widowControl/>
        <w:spacing w:before="330" w:after="330"/>
        <w:ind w:firstLine="0"/>
        <w:rPr>
          <w:rFonts w:ascii="Times New Roman" w:hAnsi="Times New Roman"/>
          <w:kern w:val="0"/>
          <w:sz w:val="15"/>
          <w:szCs w:val="15"/>
        </w:rPr>
      </w:pPr>
      <w:r>
        <w:rPr>
          <w:rFonts w:hint="eastAsia" w:ascii="Times New Roman"/>
          <w:sz w:val="15"/>
          <w:szCs w:val="15"/>
        </w:rPr>
        <w:t>文件发布日期：</w:t>
      </w:r>
      <w:r>
        <w:rPr>
          <w:rFonts w:ascii="Times New Roman" w:hAnsi="Times New Roman"/>
          <w:sz w:val="15"/>
          <w:szCs w:val="15"/>
        </w:rPr>
        <w:t>2002</w:t>
      </w:r>
      <w:r>
        <w:rPr>
          <w:rFonts w:hint="eastAsia" w:ascii="Times New Roman"/>
          <w:sz w:val="15"/>
          <w:szCs w:val="15"/>
        </w:rPr>
        <w:t>年</w:t>
      </w:r>
      <w:r>
        <w:rPr>
          <w:rFonts w:ascii="Times New Roman" w:hAnsi="Times New Roman"/>
          <w:sz w:val="15"/>
          <w:szCs w:val="15"/>
        </w:rPr>
        <w:t>4</w:t>
      </w:r>
      <w:r>
        <w:rPr>
          <w:rFonts w:hint="eastAsia" w:ascii="Times New Roman"/>
          <w:sz w:val="15"/>
          <w:szCs w:val="15"/>
        </w:rPr>
        <w:t>月</w:t>
      </w:r>
      <w:r>
        <w:rPr>
          <w:rFonts w:ascii="Times New Roman" w:hAnsi="Times New Roman"/>
          <w:sz w:val="15"/>
          <w:szCs w:val="15"/>
        </w:rPr>
        <w:t>30</w:t>
      </w:r>
      <w:r>
        <w:rPr>
          <w:rFonts w:hint="eastAsia" w:ascii="Times New Roman"/>
          <w:sz w:val="15"/>
          <w:szCs w:val="15"/>
        </w:rPr>
        <w:t>日</w:t>
      </w:r>
    </w:p>
    <w:p w14:paraId="07BE9AEE">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kern w:val="0"/>
          <w:sz w:val="15"/>
          <w:szCs w:val="15"/>
        </w:rPr>
        <w:t>本文件取代</w:t>
      </w:r>
      <w:r>
        <w:rPr>
          <w:rFonts w:ascii="Times New Roman" w:hAnsi="Times New Roman"/>
          <w:b/>
          <w:kern w:val="0"/>
          <w:sz w:val="15"/>
          <w:szCs w:val="15"/>
        </w:rPr>
        <w:t>“II</w:t>
      </w:r>
      <w:r>
        <w:rPr>
          <w:rFonts w:hint="eastAsia" w:ascii="Times New Roman"/>
          <w:b/>
          <w:kern w:val="0"/>
          <w:sz w:val="15"/>
          <w:szCs w:val="15"/>
        </w:rPr>
        <w:t>类特殊控制指南文件：髋关节金属</w:t>
      </w:r>
      <w:r>
        <w:rPr>
          <w:rFonts w:ascii="Times New Roman" w:hAnsi="Times New Roman"/>
          <w:b/>
          <w:kern w:val="0"/>
          <w:sz w:val="15"/>
          <w:szCs w:val="15"/>
        </w:rPr>
        <w:t>/</w:t>
      </w:r>
      <w:r>
        <w:rPr>
          <w:rFonts w:hint="eastAsia" w:ascii="Times New Roman"/>
          <w:b/>
          <w:kern w:val="0"/>
          <w:sz w:val="15"/>
          <w:szCs w:val="15"/>
        </w:rPr>
        <w:t>聚合物骨水泥或非骨水泥假体；</w:t>
      </w:r>
      <w:r>
        <w:rPr>
          <w:rFonts w:ascii="Times New Roman" w:hAnsi="Times New Roman"/>
          <w:b/>
          <w:bCs/>
          <w:kern w:val="0"/>
          <w:sz w:val="15"/>
          <w:szCs w:val="15"/>
        </w:rPr>
        <w:br w:type="textWrapping"/>
      </w:r>
      <w:r>
        <w:rPr>
          <w:rFonts w:ascii="Times New Roman" w:hAnsi="Times New Roman"/>
          <w:kern w:val="0"/>
          <w:sz w:val="15"/>
          <w:szCs w:val="15"/>
        </w:rPr>
        <w:t>2001</w:t>
      </w:r>
      <w:r>
        <w:rPr>
          <w:rFonts w:hint="eastAsia" w:ascii="Times New Roman"/>
          <w:kern w:val="0"/>
          <w:sz w:val="15"/>
          <w:szCs w:val="15"/>
        </w:rPr>
        <w:t>年</w:t>
      </w:r>
      <w:r>
        <w:rPr>
          <w:rFonts w:ascii="Times New Roman" w:hAnsi="Times New Roman"/>
          <w:kern w:val="0"/>
          <w:sz w:val="15"/>
          <w:szCs w:val="15"/>
        </w:rPr>
        <w:t>9</w:t>
      </w:r>
      <w:r>
        <w:rPr>
          <w:rFonts w:hint="eastAsia" w:ascii="Times New Roman"/>
          <w:kern w:val="0"/>
          <w:sz w:val="15"/>
          <w:szCs w:val="15"/>
        </w:rPr>
        <w:t>月</w:t>
      </w:r>
      <w:r>
        <w:rPr>
          <w:rFonts w:ascii="Times New Roman" w:hAnsi="Times New Roman"/>
          <w:kern w:val="0"/>
          <w:sz w:val="15"/>
          <w:szCs w:val="15"/>
        </w:rPr>
        <w:t>6</w:t>
      </w:r>
      <w:r>
        <w:rPr>
          <w:rFonts w:hint="eastAsia" w:ascii="Times New Roman"/>
          <w:kern w:val="0"/>
          <w:sz w:val="15"/>
          <w:szCs w:val="15"/>
        </w:rPr>
        <w:t>日，</w:t>
      </w:r>
      <w:r>
        <w:rPr>
          <w:rFonts w:ascii="Times New Roman" w:hAnsi="Times New Roman"/>
          <w:kern w:val="0"/>
          <w:sz w:val="15"/>
          <w:szCs w:val="15"/>
        </w:rPr>
        <w:t>“</w:t>
      </w:r>
      <w:r>
        <w:rPr>
          <w:rFonts w:hint="eastAsia" w:ascii="Times New Roman"/>
          <w:kern w:val="0"/>
          <w:sz w:val="15"/>
          <w:szCs w:val="15"/>
        </w:rPr>
        <w:t>行业指南与</w:t>
      </w:r>
      <w:r>
        <w:rPr>
          <w:rFonts w:ascii="Times New Roman" w:hAnsi="Times New Roman"/>
          <w:kern w:val="0"/>
          <w:sz w:val="15"/>
          <w:szCs w:val="15"/>
        </w:rPr>
        <w:t>FDA</w:t>
      </w:r>
      <w:r>
        <w:rPr>
          <w:rFonts w:hint="eastAsia" w:ascii="Times New Roman"/>
          <w:kern w:val="0"/>
          <w:sz w:val="15"/>
          <w:szCs w:val="15"/>
        </w:rPr>
        <w:t>指导草案</w:t>
      </w:r>
      <w:r>
        <w:rPr>
          <w:rFonts w:ascii="Times New Roman" w:hAnsi="Times New Roman"/>
          <w:kern w:val="0"/>
          <w:sz w:val="15"/>
          <w:szCs w:val="15"/>
        </w:rPr>
        <w:t>”</w:t>
      </w:r>
      <w:r>
        <w:rPr>
          <w:rFonts w:hint="eastAsia" w:ascii="Times New Roman"/>
          <w:kern w:val="0"/>
          <w:sz w:val="15"/>
          <w:szCs w:val="15"/>
        </w:rPr>
        <w:t>。</w:t>
      </w:r>
    </w:p>
    <w:p w14:paraId="48B42454">
      <w:pPr>
        <w:widowControl/>
        <w:spacing w:before="330" w:after="330"/>
        <w:ind w:firstLine="0"/>
        <w:rPr>
          <w:rFonts w:ascii="Times New Roman" w:hAnsi="Times New Roman"/>
          <w:kern w:val="0"/>
          <w:sz w:val="15"/>
          <w:szCs w:val="15"/>
        </w:rPr>
      </w:pPr>
      <w:r>
        <w:rPr>
          <w:rFonts w:ascii="Times New Roman" w:hAnsi="Times New Roman"/>
          <w:kern w:val="0"/>
          <w:sz w:val="15"/>
          <w:szCs w:val="15"/>
          <w:lang w:val="en-US"/>
        </w:rPr>
        <w:pict>
          <v:shape id="_x0000_i1025" o:spt="75" alt="Image of CDRH Logo" type="#_x0000_t75" style="height:73.85pt;width:72pt;" filled="f" o:preferrelative="t" stroked="f" coordsize="21600,21600">
            <v:path/>
            <v:fill on="f" focussize="0,0"/>
            <v:stroke on="f" joinstyle="miter"/>
            <v:imagedata r:id="rId5" o:title=""/>
            <o:lock v:ext="edit" aspectratio="t"/>
            <w10:wrap type="none"/>
            <w10:anchorlock/>
          </v:shape>
        </w:pict>
      </w:r>
    </w:p>
    <w:tbl>
      <w:tblPr>
        <w:tblStyle w:val="13"/>
        <w:tblW w:w="5000" w:type="pct"/>
        <w:tblInd w:w="0" w:type="dxa"/>
        <w:tblLayout w:type="autofit"/>
        <w:tblCellMar>
          <w:top w:w="0" w:type="dxa"/>
          <w:left w:w="108" w:type="dxa"/>
          <w:bottom w:w="0" w:type="dxa"/>
          <w:right w:w="108" w:type="dxa"/>
        </w:tblCellMar>
      </w:tblPr>
      <w:tblGrid>
        <w:gridCol w:w="8522"/>
      </w:tblGrid>
      <w:tr w14:paraId="13B97A3B">
        <w:tblPrEx>
          <w:tblCellMar>
            <w:top w:w="0" w:type="dxa"/>
            <w:left w:w="108" w:type="dxa"/>
            <w:bottom w:w="0" w:type="dxa"/>
            <w:right w:w="108" w:type="dxa"/>
          </w:tblCellMar>
        </w:tblPrEx>
        <w:tc>
          <w:tcPr>
            <w:tcW w:w="5000" w:type="pct"/>
          </w:tcPr>
          <w:p w14:paraId="30A7F705">
            <w:pPr>
              <w:ind w:firstLine="0"/>
              <w:jc w:val="right"/>
              <w:rPr>
                <w:rFonts w:ascii="Times New Roman" w:hAnsi="Times New Roman"/>
                <w:b/>
                <w:sz w:val="15"/>
                <w:szCs w:val="15"/>
              </w:rPr>
            </w:pPr>
            <w:r>
              <w:rPr>
                <w:rFonts w:hint="eastAsia" w:ascii="Times New Roman"/>
                <w:b/>
                <w:sz w:val="15"/>
                <w:szCs w:val="15"/>
              </w:rPr>
              <w:t>美国卫生与人类服务部</w:t>
            </w:r>
          </w:p>
          <w:p w14:paraId="17183D44">
            <w:pPr>
              <w:ind w:firstLine="0"/>
              <w:jc w:val="right"/>
              <w:rPr>
                <w:rFonts w:ascii="Times New Roman" w:hAnsi="Times New Roman"/>
                <w:b/>
                <w:sz w:val="15"/>
                <w:szCs w:val="15"/>
              </w:rPr>
            </w:pPr>
            <w:r>
              <w:rPr>
                <w:rFonts w:hint="eastAsia" w:ascii="Times New Roman"/>
                <w:b/>
                <w:sz w:val="15"/>
                <w:szCs w:val="15"/>
              </w:rPr>
              <w:t>食品药品管理局</w:t>
            </w:r>
          </w:p>
          <w:p w14:paraId="4C203B3B">
            <w:pPr>
              <w:tabs>
                <w:tab w:val="left" w:pos="5258"/>
              </w:tabs>
              <w:ind w:firstLine="0"/>
              <w:jc w:val="right"/>
              <w:rPr>
                <w:rFonts w:ascii="Times New Roman" w:hAnsi="Times New Roman"/>
                <w:b/>
                <w:sz w:val="15"/>
                <w:szCs w:val="15"/>
              </w:rPr>
            </w:pPr>
            <w:r>
              <w:rPr>
                <w:rFonts w:hint="eastAsia" w:ascii="Times New Roman"/>
                <w:b/>
                <w:sz w:val="15"/>
                <w:szCs w:val="15"/>
              </w:rPr>
              <w:t>器械和放射健康中心</w:t>
            </w:r>
          </w:p>
          <w:p w14:paraId="247D7C01">
            <w:pPr>
              <w:tabs>
                <w:tab w:val="left" w:pos="5258"/>
              </w:tabs>
              <w:ind w:firstLine="0"/>
              <w:jc w:val="right"/>
              <w:rPr>
                <w:rFonts w:ascii="Times New Roman" w:hAnsi="Times New Roman"/>
                <w:b/>
                <w:sz w:val="15"/>
                <w:szCs w:val="15"/>
              </w:rPr>
            </w:pPr>
          </w:p>
          <w:p w14:paraId="6296DF7C">
            <w:pPr>
              <w:ind w:firstLine="0"/>
              <w:jc w:val="right"/>
              <w:rPr>
                <w:rFonts w:ascii="Times New Roman" w:hAnsi="Times New Roman"/>
                <w:b/>
                <w:sz w:val="15"/>
                <w:szCs w:val="15"/>
              </w:rPr>
            </w:pPr>
            <w:r>
              <w:rPr>
                <w:rFonts w:hint="eastAsia" w:ascii="Times New Roman"/>
                <w:b/>
                <w:sz w:val="15"/>
                <w:szCs w:val="15"/>
              </w:rPr>
              <w:t>骨关节器械科</w:t>
            </w:r>
          </w:p>
          <w:p w14:paraId="42F49BA3">
            <w:pPr>
              <w:ind w:firstLine="0"/>
              <w:jc w:val="right"/>
              <w:rPr>
                <w:rFonts w:ascii="Times New Roman" w:hAnsi="Times New Roman"/>
                <w:b/>
                <w:sz w:val="15"/>
                <w:szCs w:val="15"/>
              </w:rPr>
            </w:pPr>
            <w:r>
              <w:rPr>
                <w:rFonts w:hint="eastAsia" w:ascii="Times New Roman"/>
                <w:b/>
                <w:sz w:val="15"/>
                <w:szCs w:val="15"/>
              </w:rPr>
              <w:t>一般，恢复和神经器官科</w:t>
            </w:r>
          </w:p>
          <w:p w14:paraId="3B304720">
            <w:pPr>
              <w:ind w:firstLine="0"/>
              <w:jc w:val="right"/>
              <w:rPr>
                <w:rFonts w:ascii="Times New Roman" w:hAnsi="Times New Roman"/>
                <w:b/>
                <w:sz w:val="15"/>
                <w:szCs w:val="15"/>
              </w:rPr>
            </w:pPr>
            <w:r>
              <w:rPr>
                <w:rFonts w:hint="eastAsia" w:ascii="Times New Roman"/>
                <w:b/>
                <w:sz w:val="15"/>
                <w:szCs w:val="15"/>
              </w:rPr>
              <w:t>器械评估办公室</w:t>
            </w:r>
          </w:p>
        </w:tc>
      </w:tr>
    </w:tbl>
    <w:p w14:paraId="3F94E686">
      <w:pPr>
        <w:spacing w:beforeLines="50"/>
        <w:ind w:firstLine="0"/>
        <w:jc w:val="center"/>
        <w:rPr>
          <w:rFonts w:ascii="Times New Roman" w:hAnsi="Times New Roman"/>
          <w:b/>
          <w:sz w:val="23"/>
          <w:szCs w:val="23"/>
        </w:rPr>
      </w:pPr>
      <w:r>
        <w:rPr>
          <w:rFonts w:hint="eastAsia" w:ascii="Times New Roman"/>
          <w:b/>
          <w:sz w:val="23"/>
          <w:szCs w:val="23"/>
        </w:rPr>
        <w:t>前言</w:t>
      </w:r>
    </w:p>
    <w:p w14:paraId="442761B7">
      <w:pPr>
        <w:spacing w:beforeLines="50"/>
        <w:ind w:firstLine="0"/>
        <w:rPr>
          <w:rFonts w:ascii="Times New Roman" w:hAnsi="Times New Roman"/>
          <w:b/>
          <w:sz w:val="19"/>
          <w:szCs w:val="19"/>
        </w:rPr>
      </w:pPr>
      <w:bookmarkStart w:id="0" w:name="bookmark4"/>
      <w:r>
        <w:rPr>
          <w:rFonts w:hint="eastAsia" w:ascii="Times New Roman"/>
          <w:b/>
          <w:sz w:val="19"/>
          <w:szCs w:val="19"/>
        </w:rPr>
        <w:t>公众意见</w:t>
      </w:r>
      <w:bookmarkEnd w:id="0"/>
    </w:p>
    <w:p w14:paraId="77DE7E91">
      <w:pPr>
        <w:widowControl/>
        <w:spacing w:before="100" w:after="330"/>
        <w:ind w:firstLine="0"/>
        <w:rPr>
          <w:rFonts w:ascii="Times New Roman" w:hAnsi="Times New Roman"/>
          <w:kern w:val="0"/>
          <w:sz w:val="15"/>
          <w:szCs w:val="15"/>
        </w:rPr>
      </w:pPr>
      <w:r>
        <w:rPr>
          <w:rFonts w:hint="eastAsia" w:ascii="Times New Roman"/>
          <w:kern w:val="0"/>
          <w:sz w:val="15"/>
          <w:szCs w:val="15"/>
        </w:rPr>
        <w:t>读者可随时提交评论和建议，供</w:t>
      </w:r>
      <w:r>
        <w:rPr>
          <w:rFonts w:ascii="Times New Roman" w:hAnsi="Times New Roman"/>
          <w:kern w:val="0"/>
          <w:sz w:val="15"/>
          <w:szCs w:val="15"/>
        </w:rPr>
        <w:t>FDA</w:t>
      </w:r>
      <w:r>
        <w:rPr>
          <w:rFonts w:hint="eastAsia" w:ascii="Times New Roman"/>
          <w:kern w:val="0"/>
          <w:sz w:val="15"/>
          <w:szCs w:val="15"/>
        </w:rPr>
        <w:t>参考；请提交至美国食品药品管理局人类资源和管理服务办公室管理系统和政策部文件管理处，地址为</w:t>
      </w:r>
      <w:r>
        <w:rPr>
          <w:rFonts w:ascii="Times New Roman" w:hAnsi="Times New Roman"/>
          <w:kern w:val="0"/>
          <w:sz w:val="15"/>
          <w:szCs w:val="15"/>
        </w:rPr>
        <w:t>5630 Fishers Lane, Room 1061, (HFA-305), Rockville, MD, 20852</w:t>
      </w:r>
      <w:r>
        <w:rPr>
          <w:rFonts w:hint="eastAsia" w:ascii="Times New Roman"/>
          <w:kern w:val="0"/>
          <w:sz w:val="15"/>
          <w:szCs w:val="15"/>
        </w:rPr>
        <w:t>。提交评论时，请参考编号：</w:t>
      </w:r>
      <w:r>
        <w:rPr>
          <w:rFonts w:ascii="Times New Roman" w:hAnsi="Times New Roman"/>
          <w:kern w:val="0"/>
          <w:sz w:val="15"/>
          <w:szCs w:val="15"/>
        </w:rPr>
        <w:t xml:space="preserve"> 01D-0318</w:t>
      </w:r>
      <w:r>
        <w:rPr>
          <w:rFonts w:hint="eastAsia" w:ascii="Times New Roman"/>
          <w:kern w:val="0"/>
          <w:sz w:val="15"/>
          <w:szCs w:val="15"/>
        </w:rPr>
        <w:t>和本指导文件的确切标题。机构在下一次修订或更新文件之前，不得对此作出评论。</w:t>
      </w:r>
    </w:p>
    <w:p w14:paraId="055EE722">
      <w:pPr>
        <w:widowControl/>
        <w:spacing w:before="60" w:after="60"/>
        <w:ind w:firstLine="0"/>
        <w:rPr>
          <w:rFonts w:ascii="Times New Roman" w:hAnsi="Times New Roman"/>
          <w:kern w:val="0"/>
          <w:sz w:val="15"/>
          <w:szCs w:val="15"/>
          <w:lang w:val="en-US"/>
        </w:rPr>
      </w:pPr>
      <w:r>
        <w:rPr>
          <w:rFonts w:hint="eastAsia" w:ascii="Times New Roman"/>
          <w:kern w:val="0"/>
          <w:sz w:val="15"/>
          <w:szCs w:val="15"/>
        </w:rPr>
        <w:t>与本指导意见的使用或者解释有关的问题</w:t>
      </w:r>
      <w:r>
        <w:rPr>
          <w:rFonts w:hint="eastAsia" w:ascii="Times New Roman"/>
          <w:kern w:val="0"/>
          <w:sz w:val="15"/>
          <w:szCs w:val="15"/>
          <w:lang w:val="en-US"/>
        </w:rPr>
        <w:t>，</w:t>
      </w:r>
      <w:r>
        <w:rPr>
          <w:rFonts w:hint="eastAsia" w:ascii="Times New Roman"/>
          <w:kern w:val="0"/>
          <w:sz w:val="15"/>
          <w:szCs w:val="15"/>
        </w:rPr>
        <w:t>请通过</w:t>
      </w:r>
      <w:r>
        <w:rPr>
          <w:rFonts w:ascii="Times New Roman" w:hAnsi="Times New Roman"/>
          <w:kern w:val="0"/>
          <w:sz w:val="15"/>
          <w:szCs w:val="15"/>
          <w:lang w:val="en-US"/>
        </w:rPr>
        <w:t>301-796-6407</w:t>
      </w:r>
      <w:r>
        <w:rPr>
          <w:rFonts w:hint="eastAsia" w:ascii="Times New Roman"/>
          <w:kern w:val="0"/>
          <w:sz w:val="15"/>
          <w:szCs w:val="15"/>
        </w:rPr>
        <w:t>或者发电子邮件至</w:t>
      </w:r>
      <w:r>
        <w:rPr>
          <w:rFonts w:ascii="Times New Roman" w:hAnsi="Times New Roman"/>
          <w:sz w:val="15"/>
          <w:szCs w:val="15"/>
          <w:lang w:val="en-US"/>
        </w:rPr>
        <w:t>john.goode@fda.hhs.gov</w:t>
      </w:r>
      <w:r>
        <w:rPr>
          <w:rFonts w:hint="eastAsia" w:ascii="Times New Roman"/>
          <w:kern w:val="0"/>
          <w:sz w:val="15"/>
          <w:szCs w:val="15"/>
        </w:rPr>
        <w:t>联系</w:t>
      </w:r>
      <w:r>
        <w:rPr>
          <w:rFonts w:ascii="Times New Roman" w:hAnsi="Times New Roman"/>
          <w:kern w:val="0"/>
          <w:sz w:val="15"/>
          <w:szCs w:val="15"/>
          <w:lang w:val="en-US"/>
        </w:rPr>
        <w:t>Mr. John Goode</w:t>
      </w:r>
      <w:r>
        <w:rPr>
          <w:rFonts w:hint="eastAsia" w:ascii="Times New Roman"/>
          <w:kern w:val="0"/>
          <w:sz w:val="15"/>
          <w:szCs w:val="15"/>
        </w:rPr>
        <w:t>。</w:t>
      </w:r>
    </w:p>
    <w:p w14:paraId="53AD09BC">
      <w:pPr>
        <w:spacing w:beforeLines="50"/>
        <w:ind w:firstLine="0"/>
        <w:rPr>
          <w:rFonts w:ascii="Times New Roman" w:hAnsi="Times New Roman"/>
          <w:b/>
          <w:sz w:val="19"/>
          <w:szCs w:val="19"/>
        </w:rPr>
      </w:pPr>
      <w:bookmarkStart w:id="1" w:name="bookmark5"/>
      <w:r>
        <w:rPr>
          <w:rFonts w:hint="eastAsia" w:ascii="Times New Roman"/>
          <w:b/>
          <w:sz w:val="19"/>
          <w:szCs w:val="19"/>
        </w:rPr>
        <w:t>额外副本</w:t>
      </w:r>
      <w:bookmarkEnd w:id="1"/>
    </w:p>
    <w:p w14:paraId="093EE5A9">
      <w:pPr>
        <w:widowControl/>
        <w:spacing w:before="100"/>
        <w:ind w:firstLine="0"/>
        <w:rPr>
          <w:rFonts w:ascii="Times New Roman" w:hAnsi="Times New Roman"/>
          <w:kern w:val="0"/>
          <w:sz w:val="15"/>
          <w:szCs w:val="15"/>
        </w:rPr>
      </w:pPr>
      <w:r>
        <w:rPr>
          <w:rFonts w:hint="eastAsia" w:ascii="Times New Roman"/>
          <w:kern w:val="0"/>
          <w:sz w:val="15"/>
          <w:szCs w:val="15"/>
        </w:rPr>
        <w:t>读者可通过本网站获取更多副本。你也可以发送电子邮件请求至</w:t>
      </w:r>
      <w:r>
        <w:fldChar w:fldCharType="begin"/>
      </w:r>
      <w:r>
        <w:instrText xml:space="preserve"> HYPERLINK "mailto:CDRH-Guidance@fda.hhs.gov" </w:instrText>
      </w:r>
      <w:r>
        <w:fldChar w:fldCharType="separate"/>
      </w:r>
      <w:r>
        <w:rPr>
          <w:rFonts w:ascii="Times New Roman" w:hAnsi="Times New Roman"/>
          <w:kern w:val="0"/>
          <w:sz w:val="15"/>
          <w:szCs w:val="15"/>
          <w:u w:val="single"/>
        </w:rPr>
        <w:t>CDRH-Guidance@fda.hhs.gov</w:t>
      </w:r>
      <w:r>
        <w:rPr>
          <w:rFonts w:ascii="Times New Roman" w:hAnsi="Times New Roman"/>
          <w:kern w:val="0"/>
          <w:sz w:val="15"/>
          <w:szCs w:val="15"/>
          <w:u w:val="single"/>
        </w:rPr>
        <w:fldChar w:fldCharType="end"/>
      </w:r>
      <w:r>
        <w:rPr>
          <w:rFonts w:hint="eastAsia" w:ascii="Times New Roman"/>
          <w:kern w:val="0"/>
          <w:sz w:val="15"/>
          <w:szCs w:val="15"/>
        </w:rPr>
        <w:t>，从而获得本指导意见副本。</w:t>
      </w:r>
    </w:p>
    <w:p w14:paraId="6067748F">
      <w:pPr>
        <w:widowControl/>
        <w:spacing w:after="330"/>
        <w:ind w:firstLine="0"/>
        <w:rPr>
          <w:rFonts w:ascii="Times New Roman" w:hAnsi="Times New Roman"/>
          <w:sz w:val="15"/>
          <w:szCs w:val="15"/>
        </w:rPr>
      </w:pPr>
      <w:r>
        <w:rPr>
          <w:rFonts w:hint="eastAsia" w:ascii="Times New Roman"/>
          <w:sz w:val="15"/>
          <w:szCs w:val="15"/>
        </w:rPr>
        <w:t>请使用文件编号</w:t>
      </w:r>
      <w:r>
        <w:rPr>
          <w:rFonts w:ascii="Times New Roman" w:hAnsi="Times New Roman"/>
          <w:sz w:val="15"/>
          <w:szCs w:val="15"/>
        </w:rPr>
        <w:t>(1328)</w:t>
      </w:r>
      <w:r>
        <w:rPr>
          <w:rFonts w:hint="eastAsia" w:ascii="Times New Roman"/>
          <w:sz w:val="15"/>
          <w:szCs w:val="15"/>
        </w:rPr>
        <w:t>来确定您所需的指南</w:t>
      </w:r>
      <w:r>
        <w:rPr>
          <w:rFonts w:hint="eastAsia" w:ascii="Times New Roman" w:hAnsi="Times New Roman" w:eastAsia="MS Mincho"/>
          <w:sz w:val="15"/>
          <w:szCs w:val="15"/>
        </w:rPr>
        <w:t>｡</w:t>
      </w:r>
    </w:p>
    <w:p w14:paraId="749C775A">
      <w:pPr>
        <w:widowControl/>
        <w:ind w:firstLine="0"/>
        <w:jc w:val="center"/>
        <w:rPr>
          <w:rFonts w:ascii="Times New Roman"/>
          <w:b/>
          <w:kern w:val="0"/>
          <w:sz w:val="23"/>
          <w:szCs w:val="23"/>
        </w:rPr>
      </w:pPr>
      <w:r>
        <w:rPr>
          <w:rFonts w:ascii="Times New Roman" w:hAnsi="Times New Roman"/>
          <w:sz w:val="15"/>
          <w:szCs w:val="15"/>
        </w:rPr>
        <w:br w:type="page"/>
      </w:r>
      <w:r>
        <w:rPr>
          <w:rFonts w:hint="eastAsia" w:ascii="Times New Roman"/>
          <w:b/>
          <w:kern w:val="0"/>
          <w:sz w:val="23"/>
          <w:szCs w:val="23"/>
        </w:rPr>
        <w:t>目录</w:t>
      </w:r>
    </w:p>
    <w:p w14:paraId="49268B6C">
      <w:pPr>
        <w:pStyle w:val="10"/>
      </w:pPr>
      <w:r>
        <w:rPr>
          <w:kern w:val="0"/>
        </w:rPr>
        <w:fldChar w:fldCharType="begin"/>
      </w:r>
      <w:r>
        <w:rPr>
          <w:kern w:val="0"/>
        </w:rPr>
        <w:instrText xml:space="preserve"> TOC \o "1-1" \n \h \z \u </w:instrText>
      </w:r>
      <w:r>
        <w:rPr>
          <w:kern w:val="0"/>
        </w:rPr>
        <w:fldChar w:fldCharType="separate"/>
      </w:r>
      <w:r>
        <w:fldChar w:fldCharType="begin"/>
      </w:r>
      <w:r>
        <w:instrText xml:space="preserve"> HYPERLINK \l "_Toc480630796" </w:instrText>
      </w:r>
      <w:r>
        <w:fldChar w:fldCharType="separate"/>
      </w:r>
      <w:r>
        <w:rPr>
          <w:rStyle w:val="17"/>
          <w:rFonts w:ascii="Times New Roman" w:hAnsi="Times New Roman"/>
          <w:color w:val="auto"/>
          <w:kern w:val="0"/>
          <w:sz w:val="15"/>
          <w:szCs w:val="15"/>
        </w:rPr>
        <w:t>1.</w:t>
      </w:r>
      <w:r>
        <w:tab/>
      </w:r>
      <w:r>
        <w:rPr>
          <w:rStyle w:val="17"/>
          <w:rFonts w:hint="eastAsia" w:ascii="Times New Roman"/>
          <w:color w:val="auto"/>
          <w:kern w:val="0"/>
          <w:sz w:val="15"/>
          <w:szCs w:val="15"/>
        </w:rPr>
        <w:t>背景</w:t>
      </w:r>
      <w:r>
        <w:rPr>
          <w:rStyle w:val="17"/>
          <w:rFonts w:hint="eastAsia" w:ascii="Times New Roman"/>
          <w:color w:val="auto"/>
          <w:kern w:val="0"/>
          <w:sz w:val="15"/>
          <w:szCs w:val="15"/>
        </w:rPr>
        <w:fldChar w:fldCharType="end"/>
      </w:r>
    </w:p>
    <w:p w14:paraId="6D6C12C4">
      <w:pPr>
        <w:pStyle w:val="10"/>
        <w:rPr>
          <w:rFonts w:ascii="Times New Roman" w:hAnsi="Times New Roman"/>
          <w:sz w:val="15"/>
          <w:szCs w:val="15"/>
          <w:u w:val="single"/>
        </w:rPr>
      </w:pPr>
      <w:r>
        <w:fldChar w:fldCharType="begin"/>
      </w:r>
      <w:r>
        <w:instrText xml:space="preserve"> HYPERLINK \l "_Toc480630797" </w:instrText>
      </w:r>
      <w:r>
        <w:fldChar w:fldCharType="separate"/>
      </w:r>
      <w:r>
        <w:rPr>
          <w:rStyle w:val="17"/>
          <w:rFonts w:ascii="Times New Roman" w:hAnsi="Times New Roman"/>
          <w:color w:val="auto"/>
          <w:kern w:val="0"/>
          <w:sz w:val="15"/>
          <w:szCs w:val="15"/>
        </w:rPr>
        <w:t>2.</w:t>
      </w:r>
      <w:r>
        <w:rPr>
          <w:rFonts w:ascii="Times New Roman" w:hAnsi="Times New Roman"/>
          <w:sz w:val="15"/>
          <w:szCs w:val="15"/>
          <w:u w:val="single"/>
        </w:rPr>
        <w:tab/>
      </w:r>
      <w:r>
        <w:rPr>
          <w:rStyle w:val="17"/>
          <w:rFonts w:hint="eastAsia" w:ascii="Times New Roman"/>
          <w:color w:val="auto"/>
          <w:kern w:val="0"/>
          <w:sz w:val="15"/>
          <w:szCs w:val="15"/>
        </w:rPr>
        <w:t>范围</w:t>
      </w:r>
      <w:r>
        <w:rPr>
          <w:rStyle w:val="17"/>
          <w:rFonts w:hint="eastAsia" w:ascii="Times New Roman"/>
          <w:color w:val="auto"/>
          <w:kern w:val="0"/>
          <w:sz w:val="15"/>
          <w:szCs w:val="15"/>
        </w:rPr>
        <w:fldChar w:fldCharType="end"/>
      </w:r>
    </w:p>
    <w:p w14:paraId="5A51074C">
      <w:pPr>
        <w:pStyle w:val="10"/>
        <w:rPr>
          <w:rFonts w:ascii="Times New Roman" w:hAnsi="Times New Roman"/>
          <w:sz w:val="15"/>
          <w:szCs w:val="15"/>
          <w:u w:val="single"/>
        </w:rPr>
      </w:pPr>
      <w:r>
        <w:fldChar w:fldCharType="begin"/>
      </w:r>
      <w:r>
        <w:instrText xml:space="preserve"> HYPERLINK \l "_Toc480630798" </w:instrText>
      </w:r>
      <w:r>
        <w:fldChar w:fldCharType="separate"/>
      </w:r>
      <w:r>
        <w:rPr>
          <w:rStyle w:val="17"/>
          <w:rFonts w:ascii="Times New Roman" w:hAnsi="Times New Roman"/>
          <w:bCs/>
          <w:color w:val="auto"/>
          <w:kern w:val="0"/>
          <w:sz w:val="15"/>
          <w:szCs w:val="15"/>
        </w:rPr>
        <w:t>3.</w:t>
      </w:r>
      <w:r>
        <w:rPr>
          <w:rFonts w:ascii="Times New Roman" w:hAnsi="Times New Roman"/>
          <w:sz w:val="15"/>
          <w:szCs w:val="15"/>
          <w:u w:val="single"/>
        </w:rPr>
        <w:tab/>
      </w:r>
      <w:r>
        <w:rPr>
          <w:rStyle w:val="17"/>
          <w:rFonts w:hint="eastAsia" w:ascii="Times New Roman"/>
          <w:bCs/>
          <w:color w:val="auto"/>
          <w:kern w:val="0"/>
          <w:sz w:val="15"/>
          <w:szCs w:val="15"/>
        </w:rPr>
        <w:t>健康风险</w:t>
      </w:r>
      <w:r>
        <w:rPr>
          <w:rStyle w:val="17"/>
          <w:rFonts w:hint="eastAsia" w:ascii="Times New Roman"/>
          <w:bCs/>
          <w:color w:val="auto"/>
          <w:kern w:val="0"/>
          <w:sz w:val="15"/>
          <w:szCs w:val="15"/>
        </w:rPr>
        <w:fldChar w:fldCharType="end"/>
      </w:r>
    </w:p>
    <w:p w14:paraId="7D61BCBC">
      <w:pPr>
        <w:pStyle w:val="10"/>
        <w:rPr>
          <w:rFonts w:ascii="Times New Roman" w:hAnsi="Times New Roman"/>
          <w:sz w:val="15"/>
          <w:szCs w:val="15"/>
          <w:u w:val="single"/>
        </w:rPr>
      </w:pPr>
      <w:r>
        <w:fldChar w:fldCharType="begin"/>
      </w:r>
      <w:r>
        <w:instrText xml:space="preserve"> HYPERLINK \l "_Toc480630799" </w:instrText>
      </w:r>
      <w:r>
        <w:fldChar w:fldCharType="separate"/>
      </w:r>
      <w:r>
        <w:rPr>
          <w:rStyle w:val="17"/>
          <w:rFonts w:ascii="Times New Roman" w:hAnsi="Times New Roman"/>
          <w:color w:val="auto"/>
          <w:kern w:val="0"/>
          <w:sz w:val="15"/>
          <w:szCs w:val="15"/>
        </w:rPr>
        <w:t>4</w:t>
      </w:r>
      <w:r>
        <w:rPr>
          <w:rStyle w:val="17"/>
          <w:rFonts w:hint="eastAsia" w:ascii="Times New Roman"/>
          <w:color w:val="auto"/>
          <w:kern w:val="0"/>
          <w:sz w:val="15"/>
          <w:szCs w:val="15"/>
        </w:rPr>
        <w:t>．</w:t>
      </w:r>
      <w:r>
        <w:rPr>
          <w:rStyle w:val="17"/>
          <w:rFonts w:ascii="Times New Roman"/>
          <w:color w:val="auto"/>
          <w:kern w:val="0"/>
          <w:sz w:val="15"/>
          <w:szCs w:val="15"/>
        </w:rPr>
        <w:tab/>
      </w:r>
      <w:r>
        <w:rPr>
          <w:rStyle w:val="17"/>
          <w:rFonts w:hint="eastAsia" w:ascii="Times New Roman"/>
          <w:color w:val="auto"/>
          <w:kern w:val="0"/>
          <w:sz w:val="15"/>
          <w:szCs w:val="15"/>
        </w:rPr>
        <w:t>控制</w:t>
      </w:r>
      <w:r>
        <w:rPr>
          <w:rStyle w:val="17"/>
          <w:rFonts w:hint="eastAsia" w:ascii="Times New Roman"/>
          <w:color w:val="auto"/>
          <w:kern w:val="0"/>
          <w:sz w:val="15"/>
          <w:szCs w:val="15"/>
        </w:rPr>
        <w:fldChar w:fldCharType="end"/>
      </w:r>
    </w:p>
    <w:p w14:paraId="4288603D">
      <w:pPr>
        <w:pStyle w:val="10"/>
        <w:rPr>
          <w:rFonts w:ascii="Times New Roman" w:hAnsi="Times New Roman"/>
          <w:sz w:val="15"/>
          <w:szCs w:val="15"/>
          <w:u w:val="single"/>
        </w:rPr>
      </w:pPr>
      <w:r>
        <w:fldChar w:fldCharType="begin"/>
      </w:r>
      <w:r>
        <w:instrText xml:space="preserve"> HYPERLINK \l "_Toc480630800" </w:instrText>
      </w:r>
      <w:r>
        <w:fldChar w:fldCharType="separate"/>
      </w:r>
      <w:r>
        <w:rPr>
          <w:rStyle w:val="17"/>
          <w:rFonts w:ascii="Times New Roman" w:hAnsi="Times New Roman"/>
          <w:color w:val="auto"/>
          <w:kern w:val="0"/>
          <w:sz w:val="15"/>
          <w:szCs w:val="15"/>
        </w:rPr>
        <w:t>5.</w:t>
      </w:r>
      <w:r>
        <w:rPr>
          <w:rFonts w:ascii="Times New Roman" w:hAnsi="Times New Roman"/>
          <w:sz w:val="15"/>
          <w:szCs w:val="15"/>
          <w:u w:val="single"/>
        </w:rPr>
        <w:tab/>
      </w:r>
      <w:r>
        <w:rPr>
          <w:rStyle w:val="17"/>
          <w:rFonts w:hint="eastAsia" w:ascii="Times New Roman"/>
          <w:color w:val="auto"/>
          <w:kern w:val="0"/>
          <w:sz w:val="15"/>
          <w:szCs w:val="15"/>
        </w:rPr>
        <w:t>简略</w:t>
      </w:r>
      <w:r>
        <w:rPr>
          <w:rStyle w:val="17"/>
          <w:rFonts w:ascii="Times New Roman" w:hAnsi="Times New Roman"/>
          <w:color w:val="auto"/>
          <w:kern w:val="0"/>
          <w:sz w:val="15"/>
          <w:szCs w:val="15"/>
        </w:rPr>
        <w:t>510(k)</w:t>
      </w:r>
      <w:r>
        <w:rPr>
          <w:rStyle w:val="17"/>
          <w:rFonts w:hint="eastAsia" w:ascii="Times New Roman"/>
          <w:color w:val="auto"/>
          <w:kern w:val="0"/>
          <w:sz w:val="15"/>
          <w:szCs w:val="15"/>
        </w:rPr>
        <w:t>内容</w:t>
      </w:r>
      <w:r>
        <w:rPr>
          <w:rStyle w:val="17"/>
          <w:rFonts w:hint="eastAsia" w:ascii="Times New Roman"/>
          <w:color w:val="auto"/>
          <w:kern w:val="0"/>
          <w:sz w:val="15"/>
          <w:szCs w:val="15"/>
        </w:rPr>
        <w:fldChar w:fldCharType="end"/>
      </w:r>
    </w:p>
    <w:p w14:paraId="5737F0DA">
      <w:pPr>
        <w:pStyle w:val="10"/>
        <w:rPr>
          <w:rFonts w:ascii="Times New Roman" w:hAnsi="Times New Roman"/>
          <w:sz w:val="15"/>
          <w:szCs w:val="15"/>
          <w:u w:val="single"/>
        </w:rPr>
      </w:pPr>
      <w:r>
        <w:fldChar w:fldCharType="begin"/>
      </w:r>
      <w:r>
        <w:instrText xml:space="preserve"> HYPERLINK \l "_Toc480630801" </w:instrText>
      </w:r>
      <w:r>
        <w:fldChar w:fldCharType="separate"/>
      </w:r>
      <w:r>
        <w:rPr>
          <w:rStyle w:val="17"/>
          <w:rFonts w:ascii="Times New Roman" w:hAnsi="Times New Roman"/>
          <w:color w:val="auto"/>
          <w:kern w:val="0"/>
          <w:sz w:val="15"/>
          <w:szCs w:val="15"/>
        </w:rPr>
        <w:t>6.</w:t>
      </w:r>
      <w:r>
        <w:rPr>
          <w:rFonts w:ascii="Times New Roman" w:hAnsi="Times New Roman"/>
          <w:sz w:val="15"/>
          <w:szCs w:val="15"/>
          <w:u w:val="single"/>
        </w:rPr>
        <w:tab/>
      </w:r>
      <w:r>
        <w:rPr>
          <w:rStyle w:val="17"/>
          <w:rFonts w:hint="eastAsia" w:ascii="Times New Roman"/>
          <w:color w:val="auto"/>
          <w:kern w:val="0"/>
          <w:sz w:val="15"/>
          <w:szCs w:val="15"/>
        </w:rPr>
        <w:t>无菌</w:t>
      </w:r>
      <w:r>
        <w:rPr>
          <w:rStyle w:val="17"/>
          <w:rFonts w:hint="eastAsia" w:ascii="Times New Roman"/>
          <w:color w:val="auto"/>
          <w:kern w:val="0"/>
          <w:sz w:val="15"/>
          <w:szCs w:val="15"/>
        </w:rPr>
        <w:fldChar w:fldCharType="end"/>
      </w:r>
    </w:p>
    <w:p w14:paraId="5A17C908">
      <w:pPr>
        <w:pStyle w:val="10"/>
        <w:rPr>
          <w:rFonts w:ascii="Times New Roman" w:hAnsi="Times New Roman"/>
          <w:sz w:val="15"/>
          <w:szCs w:val="15"/>
          <w:u w:val="single"/>
        </w:rPr>
      </w:pPr>
      <w:r>
        <w:fldChar w:fldCharType="begin"/>
      </w:r>
      <w:r>
        <w:instrText xml:space="preserve"> HYPERLINK \l "_Toc480630802" </w:instrText>
      </w:r>
      <w:r>
        <w:fldChar w:fldCharType="separate"/>
      </w:r>
      <w:r>
        <w:rPr>
          <w:rStyle w:val="17"/>
          <w:rFonts w:ascii="Times New Roman" w:hAnsi="Times New Roman"/>
          <w:color w:val="auto"/>
          <w:kern w:val="0"/>
          <w:sz w:val="15"/>
          <w:szCs w:val="15"/>
        </w:rPr>
        <w:t>7.</w:t>
      </w:r>
      <w:r>
        <w:rPr>
          <w:rFonts w:ascii="Times New Roman" w:hAnsi="Times New Roman"/>
          <w:sz w:val="15"/>
          <w:szCs w:val="15"/>
          <w:u w:val="single"/>
        </w:rPr>
        <w:tab/>
      </w:r>
      <w:r>
        <w:rPr>
          <w:rStyle w:val="17"/>
          <w:rFonts w:hint="eastAsia" w:ascii="Times New Roman"/>
          <w:color w:val="auto"/>
          <w:kern w:val="0"/>
          <w:sz w:val="15"/>
          <w:szCs w:val="15"/>
        </w:rPr>
        <w:t>材料和性能特征</w:t>
      </w:r>
      <w:r>
        <w:rPr>
          <w:rStyle w:val="17"/>
          <w:rFonts w:hint="eastAsia" w:ascii="Times New Roman"/>
          <w:color w:val="auto"/>
          <w:kern w:val="0"/>
          <w:sz w:val="15"/>
          <w:szCs w:val="15"/>
        </w:rPr>
        <w:fldChar w:fldCharType="end"/>
      </w:r>
    </w:p>
    <w:p w14:paraId="5E6B9EC4">
      <w:pPr>
        <w:pStyle w:val="10"/>
        <w:rPr>
          <w:rFonts w:ascii="Times New Roman" w:hAnsi="Times New Roman"/>
          <w:sz w:val="15"/>
          <w:szCs w:val="15"/>
          <w:u w:val="single"/>
        </w:rPr>
      </w:pPr>
      <w:r>
        <w:fldChar w:fldCharType="begin"/>
      </w:r>
      <w:r>
        <w:instrText xml:space="preserve"> HYPERLINK \l "_Toc480630803" </w:instrText>
      </w:r>
      <w:r>
        <w:fldChar w:fldCharType="separate"/>
      </w:r>
      <w:r>
        <w:rPr>
          <w:rStyle w:val="17"/>
          <w:rFonts w:ascii="Times New Roman" w:hAnsi="Times New Roman"/>
          <w:color w:val="auto"/>
          <w:kern w:val="0"/>
          <w:sz w:val="15"/>
          <w:szCs w:val="15"/>
        </w:rPr>
        <w:t>8.</w:t>
      </w:r>
      <w:r>
        <w:rPr>
          <w:rFonts w:ascii="Times New Roman" w:hAnsi="Times New Roman"/>
          <w:sz w:val="15"/>
          <w:szCs w:val="15"/>
          <w:u w:val="single"/>
        </w:rPr>
        <w:tab/>
      </w:r>
      <w:r>
        <w:rPr>
          <w:rStyle w:val="17"/>
          <w:rFonts w:hint="eastAsia" w:ascii="Times New Roman"/>
          <w:color w:val="auto"/>
          <w:kern w:val="0"/>
          <w:sz w:val="15"/>
          <w:szCs w:val="15"/>
        </w:rPr>
        <w:t>标签</w:t>
      </w:r>
      <w:r>
        <w:rPr>
          <w:rStyle w:val="17"/>
          <w:rFonts w:hint="eastAsia" w:ascii="Times New Roman"/>
          <w:color w:val="auto"/>
          <w:kern w:val="0"/>
          <w:sz w:val="15"/>
          <w:szCs w:val="15"/>
        </w:rPr>
        <w:fldChar w:fldCharType="end"/>
      </w:r>
    </w:p>
    <w:p w14:paraId="3147BFE3">
      <w:pPr>
        <w:pStyle w:val="10"/>
        <w:rPr>
          <w:rFonts w:ascii="Times New Roman" w:hAnsi="Times New Roman"/>
          <w:sz w:val="15"/>
          <w:szCs w:val="15"/>
          <w:u w:val="single"/>
        </w:rPr>
      </w:pPr>
      <w:r>
        <w:fldChar w:fldCharType="begin"/>
      </w:r>
      <w:r>
        <w:instrText xml:space="preserve"> HYPERLINK \l "_Toc480630804" </w:instrText>
      </w:r>
      <w:r>
        <w:fldChar w:fldCharType="separate"/>
      </w:r>
      <w:r>
        <w:rPr>
          <w:rStyle w:val="17"/>
          <w:rFonts w:ascii="Times New Roman" w:hAnsi="Times New Roman"/>
          <w:color w:val="auto"/>
          <w:kern w:val="0"/>
          <w:sz w:val="15"/>
          <w:szCs w:val="15"/>
        </w:rPr>
        <w:t>9</w:t>
      </w:r>
      <w:r>
        <w:rPr>
          <w:rStyle w:val="17"/>
          <w:rFonts w:hint="eastAsia" w:ascii="Times New Roman"/>
          <w:color w:val="auto"/>
          <w:kern w:val="0"/>
          <w:sz w:val="15"/>
          <w:szCs w:val="15"/>
        </w:rPr>
        <w:t>．</w:t>
      </w:r>
      <w:r>
        <w:rPr>
          <w:rStyle w:val="17"/>
          <w:rFonts w:ascii="Times New Roman"/>
          <w:color w:val="auto"/>
          <w:kern w:val="0"/>
          <w:sz w:val="15"/>
          <w:szCs w:val="15"/>
        </w:rPr>
        <w:tab/>
      </w:r>
      <w:r>
        <w:rPr>
          <w:rStyle w:val="17"/>
          <w:rFonts w:hint="eastAsia" w:ascii="Times New Roman"/>
          <w:color w:val="auto"/>
          <w:kern w:val="0"/>
          <w:sz w:val="15"/>
          <w:szCs w:val="15"/>
        </w:rPr>
        <w:t>试验用器械豁免</w:t>
      </w:r>
      <w:r>
        <w:rPr>
          <w:rStyle w:val="17"/>
          <w:rFonts w:hint="eastAsia" w:ascii="Times New Roman"/>
          <w:color w:val="auto"/>
          <w:kern w:val="0"/>
          <w:sz w:val="15"/>
          <w:szCs w:val="15"/>
        </w:rPr>
        <w:fldChar w:fldCharType="end"/>
      </w:r>
    </w:p>
    <w:p w14:paraId="4FEF8B90">
      <w:pPr>
        <w:widowControl/>
        <w:spacing w:line="360" w:lineRule="auto"/>
        <w:ind w:firstLine="0"/>
        <w:rPr>
          <w:rFonts w:ascii="Times New Roman" w:hAnsi="Times New Roman"/>
          <w:b/>
          <w:kern w:val="0"/>
          <w:sz w:val="23"/>
          <w:szCs w:val="23"/>
        </w:rPr>
      </w:pPr>
      <w:r>
        <w:rPr>
          <w:kern w:val="0"/>
        </w:rPr>
        <w:fldChar w:fldCharType="end"/>
      </w:r>
    </w:p>
    <w:p w14:paraId="257DA341">
      <w:pPr>
        <w:widowControl/>
        <w:shd w:val="clear" w:color="auto" w:fill="FFFFFF"/>
        <w:spacing w:before="240" w:after="240" w:line="207" w:lineRule="atLeast"/>
        <w:ind w:firstLine="0"/>
        <w:jc w:val="center"/>
        <w:rPr>
          <w:rFonts w:ascii="Times New Roman" w:hAnsi="Times New Roman"/>
          <w:b/>
          <w:kern w:val="0"/>
          <w:sz w:val="27"/>
          <w:szCs w:val="27"/>
        </w:rPr>
      </w:pPr>
      <w:r>
        <w:rPr>
          <w:rFonts w:hint="eastAsia" w:ascii="Times New Roman"/>
          <w:b/>
          <w:kern w:val="0"/>
          <w:sz w:val="27"/>
          <w:szCs w:val="27"/>
        </w:rPr>
        <w:t>行业指南及FDA工作人员指导：</w:t>
      </w:r>
      <w:r>
        <w:rPr>
          <w:rFonts w:ascii="Times New Roman" w:hAnsi="Times New Roman"/>
          <w:b/>
          <w:kern w:val="0"/>
          <w:sz w:val="27"/>
          <w:szCs w:val="27"/>
        </w:rPr>
        <w:t>II</w:t>
      </w:r>
      <w:r>
        <w:rPr>
          <w:rFonts w:hint="eastAsia" w:ascii="Times New Roman"/>
          <w:b/>
          <w:kern w:val="0"/>
          <w:sz w:val="27"/>
          <w:szCs w:val="27"/>
        </w:rPr>
        <w:t>类特殊管理指导性文件：髋关节金属</w:t>
      </w:r>
      <w:r>
        <w:rPr>
          <w:rFonts w:ascii="Times New Roman" w:hAnsi="Times New Roman"/>
          <w:b/>
          <w:kern w:val="0"/>
          <w:sz w:val="27"/>
          <w:szCs w:val="27"/>
        </w:rPr>
        <w:t>/</w:t>
      </w:r>
      <w:r>
        <w:rPr>
          <w:rFonts w:hint="eastAsia" w:ascii="Times New Roman"/>
          <w:b/>
          <w:kern w:val="0"/>
          <w:sz w:val="27"/>
          <w:szCs w:val="27"/>
        </w:rPr>
        <w:t>聚合物骨水泥或非骨水泥假体</w:t>
      </w:r>
    </w:p>
    <w:p w14:paraId="712BB467">
      <w:pPr>
        <w:widowControl/>
        <w:spacing w:before="330" w:after="100"/>
        <w:ind w:firstLine="0"/>
        <w:outlineLvl w:val="0"/>
        <w:rPr>
          <w:rFonts w:ascii="Times New Roman" w:hAnsi="Times New Roman"/>
          <w:b/>
          <w:kern w:val="0"/>
          <w:sz w:val="23"/>
          <w:szCs w:val="23"/>
        </w:rPr>
      </w:pPr>
      <w:bookmarkStart w:id="2" w:name="_Toc480630796"/>
      <w:r>
        <w:rPr>
          <w:rFonts w:ascii="Times New Roman" w:hAnsi="Times New Roman"/>
          <w:b/>
          <w:kern w:val="0"/>
          <w:sz w:val="23"/>
          <w:szCs w:val="23"/>
        </w:rPr>
        <w:t>1.</w:t>
      </w:r>
      <w:r>
        <w:rPr>
          <w:rFonts w:ascii="Times New Roman" w:hAnsi="Times New Roman"/>
          <w:b/>
          <w:kern w:val="0"/>
          <w:sz w:val="23"/>
          <w:szCs w:val="23"/>
        </w:rPr>
        <w:tab/>
      </w:r>
      <w:r>
        <w:rPr>
          <w:rFonts w:hint="eastAsia" w:ascii="Times New Roman"/>
          <w:b/>
          <w:kern w:val="0"/>
          <w:sz w:val="23"/>
          <w:szCs w:val="23"/>
        </w:rPr>
        <w:t>背景</w:t>
      </w:r>
      <w:bookmarkEnd w:id="2"/>
    </w:p>
    <w:p w14:paraId="57DB4AE6">
      <w:pPr>
        <w:widowControl/>
        <w:shd w:val="clear" w:color="auto" w:fill="FFFFFF"/>
        <w:spacing w:line="207" w:lineRule="atLeast"/>
        <w:ind w:firstLine="0"/>
        <w:rPr>
          <w:rFonts w:ascii="Times New Roman" w:hAnsi="Times New Roman"/>
          <w:kern w:val="0"/>
          <w:sz w:val="15"/>
          <w:szCs w:val="15"/>
        </w:rPr>
      </w:pPr>
      <w:r>
        <w:rPr>
          <w:rFonts w:hint="eastAsia" w:ascii="Times New Roman"/>
          <w:kern w:val="0"/>
          <w:sz w:val="15"/>
          <w:szCs w:val="15"/>
        </w:rPr>
        <w:t>本指南文件是作为特殊控制指南而制定的，用于支持将髋关节金属</w:t>
      </w:r>
      <w:r>
        <w:rPr>
          <w:rFonts w:ascii="Times New Roman" w:hAnsi="Times New Roman"/>
          <w:kern w:val="0"/>
          <w:sz w:val="15"/>
          <w:szCs w:val="15"/>
        </w:rPr>
        <w:t>/</w:t>
      </w:r>
      <w:r>
        <w:rPr>
          <w:rFonts w:hint="eastAsia" w:ascii="Times New Roman"/>
          <w:kern w:val="0"/>
          <w:sz w:val="15"/>
          <w:szCs w:val="15"/>
        </w:rPr>
        <w:t>聚合物骨水泥或非骨水泥假体重新分类为</w:t>
      </w:r>
      <w:r>
        <w:rPr>
          <w:rFonts w:ascii="Times New Roman" w:hAnsi="Times New Roman"/>
          <w:kern w:val="0"/>
          <w:sz w:val="15"/>
          <w:szCs w:val="15"/>
        </w:rPr>
        <w:t>II</w:t>
      </w:r>
      <w:r>
        <w:rPr>
          <w:rFonts w:hint="eastAsia" w:ascii="Times New Roman"/>
          <w:kern w:val="0"/>
          <w:sz w:val="15"/>
          <w:szCs w:val="15"/>
        </w:rPr>
        <w:t>类产品。根据分类，该器械用于更换髋关节。本指南将与联邦公报通知一并发布，通知该器械类型的重新分类。</w:t>
      </w:r>
    </w:p>
    <w:p w14:paraId="66877A8E">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FDA</w:t>
      </w:r>
      <w:r>
        <w:rPr>
          <w:rFonts w:hint="eastAsia" w:ascii="Times New Roman"/>
          <w:kern w:val="0"/>
          <w:sz w:val="15"/>
          <w:szCs w:val="15"/>
        </w:rPr>
        <w:t>认为，特殊控制结合一般控制，足以为髋关节金属</w:t>
      </w:r>
      <w:r>
        <w:rPr>
          <w:rFonts w:ascii="Times New Roman" w:hAnsi="Times New Roman"/>
          <w:kern w:val="0"/>
          <w:sz w:val="15"/>
          <w:szCs w:val="15"/>
        </w:rPr>
        <w:t>/</w:t>
      </w:r>
      <w:r>
        <w:rPr>
          <w:rFonts w:hint="eastAsia" w:ascii="Times New Roman"/>
          <w:kern w:val="0"/>
          <w:sz w:val="15"/>
          <w:szCs w:val="15"/>
        </w:rPr>
        <w:t>聚合物骨水泥或非骨水泥假体的安全性和有效性提供合理保证。</w:t>
      </w:r>
      <w:r>
        <w:rPr>
          <w:rFonts w:hint="eastAsia" w:ascii="Times New Roman"/>
          <w:sz w:val="15"/>
          <w:szCs w:val="15"/>
        </w:rPr>
        <w:t>因此，有意上市这种通用型装置的制造商应做到：（</w:t>
      </w:r>
      <w:r>
        <w:rPr>
          <w:rFonts w:ascii="Times New Roman" w:hAnsi="Times New Roman"/>
          <w:sz w:val="15"/>
          <w:szCs w:val="15"/>
        </w:rPr>
        <w:t>1</w:t>
      </w:r>
      <w:r>
        <w:rPr>
          <w:rFonts w:hint="eastAsia" w:ascii="Times New Roman"/>
          <w:sz w:val="15"/>
          <w:szCs w:val="15"/>
        </w:rPr>
        <w:t>）符合</w:t>
      </w:r>
      <w:r>
        <w:rPr>
          <w:rFonts w:ascii="Times New Roman" w:hAnsi="Times New Roman"/>
          <w:sz w:val="15"/>
          <w:szCs w:val="15"/>
        </w:rPr>
        <w:t>“</w:t>
      </w:r>
      <w:r>
        <w:rPr>
          <w:rFonts w:hint="eastAsia" w:ascii="Times New Roman"/>
          <w:sz w:val="15"/>
          <w:szCs w:val="15"/>
        </w:rPr>
        <w:t>联邦食品，药品和化妆品法案</w:t>
      </w:r>
      <w:r>
        <w:rPr>
          <w:rFonts w:ascii="Times New Roman" w:hAnsi="Times New Roman"/>
          <w:sz w:val="15"/>
          <w:szCs w:val="15"/>
        </w:rPr>
        <w:t>”</w:t>
      </w:r>
      <w:r>
        <w:rPr>
          <w:rFonts w:hint="eastAsia" w:ascii="Times New Roman"/>
          <w:sz w:val="15"/>
          <w:szCs w:val="15"/>
        </w:rPr>
        <w:t>（下述为该法案）的一般控制措施，包括</w:t>
      </w:r>
      <w:r>
        <w:fldChar w:fldCharType="begin"/>
      </w:r>
      <w:r>
        <w:instrText xml:space="preserve"> HYPERLINK "http://www.accessdata.fda.gov/scripts/cdrh/cfdocs/cfCFR/showCFR.cfm?CFRPart=807" \h </w:instrText>
      </w:r>
      <w:r>
        <w:fldChar w:fldCharType="separate"/>
      </w:r>
      <w:r>
        <w:rPr>
          <w:rFonts w:ascii="Times New Roman" w:hAnsi="Times New Roman"/>
          <w:kern w:val="0"/>
          <w:sz w:val="15"/>
          <w:szCs w:val="15"/>
          <w:u w:val="single"/>
        </w:rPr>
        <w:t>21 CFR 807 E</w:t>
      </w:r>
      <w:r>
        <w:rPr>
          <w:rFonts w:hint="eastAsia" w:ascii="Times New Roman"/>
          <w:kern w:val="0"/>
          <w:sz w:val="15"/>
          <w:szCs w:val="15"/>
          <w:u w:val="single"/>
        </w:rPr>
        <w:t>子部分</w:t>
      </w:r>
      <w:r>
        <w:rPr>
          <w:rFonts w:hint="eastAsia" w:ascii="Times New Roman"/>
          <w:kern w:val="0"/>
          <w:sz w:val="15"/>
          <w:szCs w:val="15"/>
          <w:u w:val="single"/>
        </w:rPr>
        <w:fldChar w:fldCharType="end"/>
      </w:r>
      <w:r>
        <w:rPr>
          <w:rFonts w:hint="eastAsia" w:ascii="Times New Roman"/>
          <w:sz w:val="15"/>
          <w:szCs w:val="15"/>
        </w:rPr>
        <w:t>中所描述的上市前通知要求，</w:t>
      </w:r>
      <w:r>
        <w:rPr>
          <w:rFonts w:ascii="Times New Roman" w:hAnsi="Times New Roman"/>
          <w:sz w:val="15"/>
          <w:szCs w:val="15"/>
        </w:rPr>
        <w:t xml:space="preserve">(2) </w:t>
      </w:r>
      <w:r>
        <w:rPr>
          <w:rFonts w:hint="eastAsia" w:ascii="Times New Roman"/>
          <w:sz w:val="15"/>
          <w:szCs w:val="15"/>
        </w:rPr>
        <w:t>解决本指南所确定与髋关节金属</w:t>
      </w:r>
      <w:r>
        <w:rPr>
          <w:rFonts w:ascii="Times New Roman" w:hAnsi="Times New Roman"/>
          <w:sz w:val="15"/>
          <w:szCs w:val="15"/>
        </w:rPr>
        <w:t>/</w:t>
      </w:r>
      <w:r>
        <w:rPr>
          <w:rFonts w:hint="eastAsia" w:ascii="Times New Roman"/>
          <w:sz w:val="15"/>
          <w:szCs w:val="15"/>
        </w:rPr>
        <w:t>聚合物骨水泥或非骨水泥假体相关的健康特殊风险，除非豁免于该法案的上市前通知要求，（</w:t>
      </w:r>
      <w:r>
        <w:rPr>
          <w:rFonts w:ascii="Times New Roman" w:hAnsi="Times New Roman"/>
          <w:sz w:val="15"/>
          <w:szCs w:val="15"/>
        </w:rPr>
        <w:t>3</w:t>
      </w:r>
      <w:r>
        <w:rPr>
          <w:rFonts w:hint="eastAsia" w:ascii="Times New Roman"/>
          <w:sz w:val="15"/>
          <w:szCs w:val="15"/>
        </w:rPr>
        <w:t>）解决本指南中所确定与椎间融合装置相关的健康特殊风险，以及（</w:t>
      </w:r>
      <w:r>
        <w:rPr>
          <w:rFonts w:ascii="Times New Roman" w:hAnsi="Times New Roman"/>
          <w:sz w:val="15"/>
          <w:szCs w:val="15"/>
        </w:rPr>
        <w:t>3</w:t>
      </w:r>
      <w:r>
        <w:rPr>
          <w:rFonts w:hint="eastAsia" w:ascii="Times New Roman"/>
          <w:sz w:val="15"/>
          <w:szCs w:val="15"/>
        </w:rPr>
        <w:t>）在装置上市之前，从</w:t>
      </w:r>
      <w:r>
        <w:rPr>
          <w:rFonts w:ascii="Times New Roman" w:hAnsi="Times New Roman"/>
          <w:sz w:val="15"/>
          <w:szCs w:val="15"/>
        </w:rPr>
        <w:t>FDA</w:t>
      </w:r>
      <w:r>
        <w:rPr>
          <w:rFonts w:hint="eastAsia" w:ascii="Times New Roman"/>
          <w:sz w:val="15"/>
          <w:szCs w:val="15"/>
        </w:rPr>
        <w:t>获得实质等效判定结果。</w:t>
      </w:r>
    </w:p>
    <w:p w14:paraId="24540E8A">
      <w:pPr>
        <w:widowControl/>
        <w:shd w:val="clear" w:color="auto" w:fill="FFFFFF"/>
        <w:spacing w:before="240" w:after="240" w:line="207" w:lineRule="atLeast"/>
        <w:ind w:firstLine="0"/>
        <w:rPr>
          <w:rFonts w:ascii="Times New Roman" w:hAnsi="Times New Roman"/>
          <w:sz w:val="15"/>
          <w:szCs w:val="15"/>
        </w:rPr>
      </w:pPr>
      <w:r>
        <w:rPr>
          <w:rFonts w:hint="eastAsia" w:ascii="Times New Roman"/>
          <w:kern w:val="0"/>
          <w:sz w:val="15"/>
          <w:szCs w:val="15"/>
        </w:rPr>
        <w:t>该特殊控制指南文件确定了髋关节金属</w:t>
      </w:r>
      <w:r>
        <w:rPr>
          <w:rFonts w:ascii="Times New Roman" w:hAnsi="Times New Roman"/>
          <w:kern w:val="0"/>
          <w:sz w:val="15"/>
          <w:szCs w:val="15"/>
        </w:rPr>
        <w:t>/</w:t>
      </w:r>
      <w:r>
        <w:rPr>
          <w:rFonts w:hint="eastAsia" w:ascii="Times New Roman"/>
          <w:kern w:val="0"/>
          <w:sz w:val="15"/>
          <w:szCs w:val="15"/>
        </w:rPr>
        <w:t>聚合物骨水泥或非骨水泥假体的分类、产品代码和分类识别。此外，它列出了</w:t>
      </w:r>
      <w:r>
        <w:rPr>
          <w:rFonts w:ascii="Times New Roman" w:hAnsi="Times New Roman"/>
          <w:kern w:val="0"/>
          <w:sz w:val="15"/>
          <w:szCs w:val="15"/>
        </w:rPr>
        <w:t>FDA</w:t>
      </w:r>
      <w:r>
        <w:rPr>
          <w:rFonts w:hint="eastAsia" w:ascii="Times New Roman"/>
          <w:kern w:val="0"/>
          <w:sz w:val="15"/>
          <w:szCs w:val="15"/>
        </w:rPr>
        <w:t>所确定的健康风险，并作为特殊控制，当遵循并结合一般控制措施时，基本能解决与这些通用器械类型相关的风险并能及时进入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）审查和批准。</w:t>
      </w:r>
      <w:r>
        <w:rPr>
          <w:rFonts w:ascii="Times New Roman" w:hAnsi="Times New Roman"/>
          <w:kern w:val="0"/>
          <w:sz w:val="15"/>
          <w:szCs w:val="15"/>
        </w:rPr>
        <w:br w:type="textWrapping"/>
      </w:r>
      <w:r>
        <w:rPr>
          <w:rFonts w:hint="eastAsia" w:ascii="Times New Roman"/>
          <w:sz w:val="15"/>
          <w:szCs w:val="15"/>
        </w:rPr>
        <w:t>对于</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）提交的具体内容要求，您应参考</w:t>
      </w:r>
      <w:r>
        <w:fldChar w:fldCharType="begin"/>
      </w:r>
      <w:r>
        <w:instrText xml:space="preserve"> HYPERLINK "http://www.accessdata.fda.gov/scripts/cdrh/cfdocs/cfCFR/showCFR.cfm?FR=807.87" \h </w:instrText>
      </w:r>
      <w:r>
        <w:fldChar w:fldCharType="separate"/>
      </w:r>
      <w:r>
        <w:rPr>
          <w:rFonts w:ascii="Times New Roman" w:hAnsi="Times New Roman"/>
          <w:kern w:val="0"/>
          <w:sz w:val="15"/>
          <w:szCs w:val="15"/>
          <w:u w:val="single"/>
        </w:rPr>
        <w:t>21 CFR 807.87</w:t>
      </w:r>
      <w:r>
        <w:rPr>
          <w:rFonts w:ascii="Times New Roman" w:hAnsi="Times New Roman"/>
          <w:kern w:val="0"/>
          <w:sz w:val="15"/>
          <w:szCs w:val="15"/>
          <w:u w:val="single"/>
        </w:rPr>
        <w:fldChar w:fldCharType="end"/>
      </w:r>
      <w:r>
        <w:rPr>
          <w:rFonts w:ascii="Times New Roman" w:hAnsi="Times New Roman"/>
          <w:kern w:val="0"/>
          <w:sz w:val="15"/>
          <w:szCs w:val="15"/>
        </w:rPr>
        <w:t> </w:t>
      </w:r>
      <w:r>
        <w:rPr>
          <w:rFonts w:hint="eastAsia" w:ascii="Times New Roman"/>
          <w:sz w:val="15"/>
          <w:szCs w:val="15"/>
        </w:rPr>
        <w:t>和其他关于本主题的机构文件，如</w:t>
      </w:r>
      <w:r>
        <w:rPr>
          <w:rFonts w:ascii="Times New Roman" w:hAnsi="Times New Roman"/>
          <w:kern w:val="0"/>
          <w:sz w:val="15"/>
          <w:szCs w:val="15"/>
        </w:rPr>
        <w:t> </w:t>
      </w:r>
      <w:r>
        <w:fldChar w:fldCharType="begin"/>
      </w:r>
      <w:r>
        <w:instrText xml:space="preserve"> HYPERLINK "https://www.fda.gov/MedicalDevices/DeviceRegulationandGuidance/HowtoMarketYourDevice/PremarketSubmissions/PremarketNotification510k/default.htm" \h </w:instrText>
      </w:r>
      <w:r>
        <w:fldChar w:fldCharType="separate"/>
      </w:r>
      <w:r>
        <w:rPr>
          <w:rFonts w:hint="eastAsia" w:ascii="Times New Roman"/>
          <w:b/>
          <w:kern w:val="0"/>
          <w:sz w:val="15"/>
          <w:szCs w:val="15"/>
        </w:rPr>
        <w:t>上市前通知</w:t>
      </w:r>
      <w:r>
        <w:rPr>
          <w:rFonts w:ascii="Times New Roman" w:hAnsi="Times New Roman"/>
          <w:b/>
          <w:kern w:val="0"/>
          <w:sz w:val="15"/>
          <w:szCs w:val="15"/>
        </w:rPr>
        <w:t xml:space="preserve"> 510(k)</w:t>
      </w:r>
      <w:r>
        <w:rPr>
          <w:rFonts w:ascii="Times New Roman" w:hAnsi="Times New Roman"/>
          <w:b/>
          <w:kern w:val="0"/>
          <w:sz w:val="15"/>
          <w:szCs w:val="15"/>
        </w:rPr>
        <w:fldChar w:fldCharType="end"/>
      </w:r>
      <w:r>
        <w:rPr>
          <w:rFonts w:hint="eastAsia" w:ascii="Times New Roman"/>
          <w:sz w:val="15"/>
          <w:szCs w:val="15"/>
        </w:rPr>
        <w:t>。</w:t>
      </w:r>
    </w:p>
    <w:p w14:paraId="6139EE23">
      <w:pPr>
        <w:widowControl/>
        <w:ind w:firstLine="0"/>
        <w:rPr>
          <w:rFonts w:ascii="Times New Roman" w:hAnsi="Times New Roman"/>
          <w:kern w:val="0"/>
          <w:sz w:val="15"/>
          <w:szCs w:val="15"/>
        </w:rPr>
      </w:pPr>
      <w:r>
        <w:rPr>
          <w:rFonts w:ascii="Times New Roman" w:hAnsi="Times New Roman"/>
          <w:sz w:val="15"/>
          <w:szCs w:val="15"/>
        </w:rPr>
        <w:br w:type="page"/>
      </w:r>
      <w:r>
        <w:rPr>
          <w:rFonts w:hint="eastAsia" w:ascii="Times New Roman"/>
          <w:kern w:val="0"/>
          <w:sz w:val="15"/>
          <w:szCs w:val="15"/>
        </w:rPr>
        <w:t>器械生产商可以提交简略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w:t>
      </w:r>
      <w:r>
        <w:rPr>
          <w:rFonts w:ascii="Times New Roman" w:hAnsi="Times New Roman"/>
          <w:kern w:val="0"/>
          <w:sz w:val="15"/>
          <w:szCs w:val="15"/>
        </w:rPr>
        <w:t>1</w:t>
      </w:r>
      <w:r>
        <w:rPr>
          <w:rFonts w:hint="eastAsia" w:ascii="Times New Roman"/>
          <w:kern w:val="0"/>
          <w:sz w:val="15"/>
          <w:szCs w:val="15"/>
        </w:rPr>
        <w:t>）存在指南文件，（</w:t>
      </w:r>
      <w:r>
        <w:rPr>
          <w:rFonts w:ascii="Times New Roman" w:hAnsi="Times New Roman"/>
          <w:kern w:val="0"/>
          <w:sz w:val="15"/>
          <w:szCs w:val="15"/>
        </w:rPr>
        <w:t>2</w:t>
      </w:r>
      <w:r>
        <w:rPr>
          <w:rFonts w:hint="eastAsia" w:ascii="Times New Roman"/>
          <w:kern w:val="0"/>
          <w:sz w:val="15"/>
          <w:szCs w:val="15"/>
        </w:rPr>
        <w:t>）已经建立了特殊控制措施，或者（</w:t>
      </w:r>
      <w:r>
        <w:rPr>
          <w:rFonts w:ascii="Times New Roman" w:hAnsi="Times New Roman"/>
          <w:kern w:val="0"/>
          <w:sz w:val="15"/>
          <w:szCs w:val="15"/>
        </w:rPr>
        <w:t>3</w:t>
      </w:r>
      <w:r>
        <w:rPr>
          <w:rFonts w:hint="eastAsia" w:ascii="Times New Roman"/>
          <w:kern w:val="0"/>
          <w:sz w:val="15"/>
          <w:szCs w:val="15"/>
        </w:rPr>
        <w:t>）</w:t>
      </w:r>
      <w:r>
        <w:rPr>
          <w:rFonts w:ascii="Times New Roman" w:hAnsi="Times New Roman"/>
          <w:kern w:val="0"/>
          <w:sz w:val="15"/>
          <w:szCs w:val="15"/>
        </w:rPr>
        <w:t>FDA</w:t>
      </w:r>
      <w:r>
        <w:rPr>
          <w:rFonts w:hint="eastAsia" w:ascii="Times New Roman"/>
          <w:kern w:val="0"/>
          <w:sz w:val="15"/>
          <w:szCs w:val="15"/>
        </w:rPr>
        <w:t>已经确认了相关的共识标准。</w:t>
      </w:r>
      <w:r>
        <w:rPr>
          <w:rFonts w:ascii="Times New Roman" w:hAnsi="Times New Roman"/>
          <w:kern w:val="0"/>
          <w:sz w:val="15"/>
          <w:szCs w:val="15"/>
        </w:rPr>
        <w:br w:type="textWrapping"/>
      </w:r>
      <w:r>
        <w:rPr>
          <w:rFonts w:ascii="Times New Roman" w:hAnsi="Times New Roman"/>
          <w:kern w:val="0"/>
          <w:sz w:val="15"/>
          <w:szCs w:val="15"/>
        </w:rPr>
        <w:t>FDA</w:t>
      </w:r>
      <w:r>
        <w:rPr>
          <w:rFonts w:hint="eastAsia" w:ascii="Times New Roman"/>
          <w:kern w:val="0"/>
          <w:sz w:val="15"/>
          <w:szCs w:val="15"/>
        </w:rPr>
        <w:t>认为，一旦</w:t>
      </w:r>
      <w:r>
        <w:rPr>
          <w:rFonts w:ascii="Times New Roman" w:hAnsi="Times New Roman"/>
          <w:kern w:val="0"/>
          <w:sz w:val="15"/>
          <w:szCs w:val="15"/>
        </w:rPr>
        <w:t xml:space="preserve"> II </w:t>
      </w:r>
      <w:r>
        <w:rPr>
          <w:rFonts w:hint="eastAsia" w:ascii="Times New Roman"/>
          <w:kern w:val="0"/>
          <w:sz w:val="15"/>
          <w:szCs w:val="15"/>
        </w:rPr>
        <w:t>类特殊控制指南文件发布之后，简略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）是证明新器械有实质等效的最低负担。另见</w:t>
      </w:r>
      <w:r>
        <w:fldChar w:fldCharType="begin"/>
      </w:r>
      <w:r>
        <w:instrText xml:space="preserve"> HYPERLINK "https://www.fda.gov/MedicalDevices/DeviceRegulationandGuidance/GuidanceDocuments/ucm080187.htm" \h </w:instrText>
      </w:r>
      <w:r>
        <w:fldChar w:fldCharType="separate"/>
      </w:r>
      <w:r>
        <w:rPr>
          <w:rFonts w:hint="eastAsia" w:ascii="Times New Roman"/>
          <w:b/>
          <w:kern w:val="0"/>
          <w:sz w:val="15"/>
          <w:szCs w:val="15"/>
        </w:rPr>
        <w:t>新</w:t>
      </w:r>
      <w:r>
        <w:rPr>
          <w:rFonts w:ascii="Times New Roman" w:hAnsi="Times New Roman"/>
          <w:b/>
          <w:kern w:val="0"/>
          <w:sz w:val="15"/>
          <w:szCs w:val="15"/>
        </w:rPr>
        <w:t>510</w:t>
      </w:r>
      <w:r>
        <w:rPr>
          <w:rFonts w:hint="eastAsia" w:ascii="Times New Roman"/>
          <w:b/>
          <w:kern w:val="0"/>
          <w:sz w:val="15"/>
          <w:szCs w:val="15"/>
        </w:rPr>
        <w:t>（</w:t>
      </w:r>
      <w:r>
        <w:rPr>
          <w:rFonts w:ascii="Times New Roman" w:hAnsi="Times New Roman"/>
          <w:b/>
          <w:kern w:val="0"/>
          <w:sz w:val="15"/>
          <w:szCs w:val="15"/>
        </w:rPr>
        <w:t>k</w:t>
      </w:r>
      <w:r>
        <w:rPr>
          <w:rFonts w:hint="eastAsia" w:ascii="Times New Roman"/>
          <w:b/>
          <w:kern w:val="0"/>
          <w:sz w:val="15"/>
          <w:szCs w:val="15"/>
        </w:rPr>
        <w:t>）范例</w:t>
      </w:r>
      <w:r>
        <w:rPr>
          <w:rFonts w:ascii="Times New Roman" w:hAnsi="Times New Roman"/>
          <w:b/>
          <w:kern w:val="0"/>
          <w:sz w:val="15"/>
          <w:szCs w:val="15"/>
        </w:rPr>
        <w:t xml:space="preserve"> - </w:t>
      </w:r>
      <w:r>
        <w:rPr>
          <w:rFonts w:hint="eastAsia" w:ascii="Times New Roman"/>
          <w:b/>
          <w:kern w:val="0"/>
          <w:sz w:val="15"/>
          <w:szCs w:val="15"/>
        </w:rPr>
        <w:t>在上市前通知中显示实质等效的替代方法；最终指南</w:t>
      </w:r>
      <w:r>
        <w:rPr>
          <w:rFonts w:hint="eastAsia" w:ascii="Times New Roman"/>
          <w:b/>
          <w:kern w:val="0"/>
          <w:sz w:val="15"/>
          <w:szCs w:val="15"/>
        </w:rPr>
        <w:fldChar w:fldCharType="end"/>
      </w:r>
      <w:r>
        <w:rPr>
          <w:rFonts w:hint="eastAsia" w:ascii="Times New Roman"/>
          <w:sz w:val="15"/>
          <w:szCs w:val="15"/>
        </w:rPr>
        <w:t>。</w:t>
      </w:r>
    </w:p>
    <w:p w14:paraId="3B9F184E">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sz w:val="15"/>
          <w:szCs w:val="15"/>
        </w:rPr>
        <w:t>简略</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）提交应包括</w:t>
      </w:r>
      <w:r>
        <w:fldChar w:fldCharType="begin"/>
      </w:r>
      <w:r>
        <w:instrText xml:space="preserve"> HYPERLINK "http://www.accessdata.fda.gov/scripts/cdrh/cfdocs/cfCFR/showCFR.cfm?FR=807.87" \h </w:instrText>
      </w:r>
      <w:r>
        <w:fldChar w:fldCharType="separate"/>
      </w:r>
      <w:r>
        <w:rPr>
          <w:rFonts w:ascii="Times New Roman" w:hAnsi="Times New Roman"/>
          <w:kern w:val="0"/>
          <w:sz w:val="15"/>
          <w:szCs w:val="15"/>
          <w:u w:val="single"/>
        </w:rPr>
        <w:t>21 CFR 807.87</w:t>
      </w:r>
      <w:r>
        <w:rPr>
          <w:rFonts w:ascii="Times New Roman" w:hAnsi="Times New Roman"/>
          <w:kern w:val="0"/>
          <w:sz w:val="15"/>
          <w:szCs w:val="15"/>
          <w:u w:val="single"/>
        </w:rPr>
        <w:fldChar w:fldCharType="end"/>
      </w:r>
      <w:r>
        <w:rPr>
          <w:rFonts w:hint="eastAsia" w:ascii="Times New Roman"/>
          <w:sz w:val="15"/>
          <w:szCs w:val="15"/>
        </w:rPr>
        <w:t>中所确定的要素，包括器械的描述、器械的预期用途以及器械的建议标签。</w:t>
      </w:r>
      <w:r>
        <w:rPr>
          <w:rFonts w:hint="eastAsia" w:ascii="Times New Roman"/>
          <w:kern w:val="0"/>
          <w:sz w:val="15"/>
          <w:szCs w:val="15"/>
        </w:rPr>
        <w:t>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）还应包括总结报告。</w:t>
      </w:r>
      <w:r>
        <w:rPr>
          <w:rFonts w:ascii="Times New Roman" w:hAnsi="Times New Roman"/>
          <w:kern w:val="0"/>
          <w:sz w:val="15"/>
          <w:szCs w:val="15"/>
        </w:rPr>
        <w:br w:type="textWrapping"/>
      </w:r>
      <w:r>
        <w:rPr>
          <w:rFonts w:hint="eastAsia" w:ascii="Times New Roman"/>
          <w:sz w:val="15"/>
          <w:szCs w:val="15"/>
        </w:rPr>
        <w:t>在简略</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）中，</w:t>
      </w:r>
      <w:r>
        <w:rPr>
          <w:rFonts w:ascii="Times New Roman" w:hAnsi="Times New Roman"/>
          <w:sz w:val="15"/>
          <w:szCs w:val="15"/>
        </w:rPr>
        <w:t>FDA</w:t>
      </w:r>
      <w:r>
        <w:rPr>
          <w:rFonts w:hint="eastAsia" w:ascii="Times New Roman"/>
          <w:sz w:val="15"/>
          <w:szCs w:val="15"/>
        </w:rPr>
        <w:t>可以将总结报告的内容视为</w:t>
      </w:r>
      <w:r>
        <w:fldChar w:fldCharType="begin"/>
      </w:r>
      <w:r>
        <w:instrText xml:space="preserve"> HYPERLINK "http://www.accessdata.fda.gov/scripts/cdrh/cfdocs/cfCFR/showCFR.cfm?FR=807.87" \h </w:instrText>
      </w:r>
      <w:r>
        <w:fldChar w:fldCharType="separate"/>
      </w:r>
      <w:r>
        <w:rPr>
          <w:rFonts w:ascii="Times New Roman" w:hAnsi="Times New Roman"/>
          <w:kern w:val="0"/>
          <w:sz w:val="15"/>
          <w:szCs w:val="15"/>
          <w:u w:val="single"/>
        </w:rPr>
        <w:t xml:space="preserve">21 CFR 807.87(f) </w:t>
      </w:r>
      <w:r>
        <w:rPr>
          <w:rFonts w:hint="eastAsia" w:ascii="Times New Roman"/>
          <w:kern w:val="0"/>
          <w:sz w:val="15"/>
          <w:szCs w:val="15"/>
          <w:u w:val="single"/>
        </w:rPr>
        <w:t>或</w:t>
      </w:r>
      <w:r>
        <w:rPr>
          <w:rFonts w:ascii="Times New Roman" w:hAnsi="Times New Roman"/>
          <w:kern w:val="0"/>
          <w:sz w:val="15"/>
          <w:szCs w:val="15"/>
          <w:u w:val="single"/>
        </w:rPr>
        <w:t xml:space="preserve"> (g)</w:t>
      </w:r>
      <w:r>
        <w:rPr>
          <w:rFonts w:ascii="Times New Roman" w:hAnsi="Times New Roman"/>
          <w:kern w:val="0"/>
          <w:sz w:val="15"/>
          <w:szCs w:val="15"/>
          <w:u w:val="single"/>
        </w:rPr>
        <w:fldChar w:fldCharType="end"/>
      </w:r>
      <w:r>
        <w:rPr>
          <w:rFonts w:hint="eastAsia" w:ascii="Times New Roman"/>
          <w:sz w:val="15"/>
          <w:szCs w:val="15"/>
        </w:rPr>
        <w:t>所指的适当支持数据。</w:t>
      </w:r>
    </w:p>
    <w:p w14:paraId="75E7786D">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总结报告应简要描述所用的方法或试验以及用于解决本指南文件中确定风险以及您器械特定其他风险的验收标准。当遵循建议的试验方法时，对该方法的简单引用可以视为可接受的描述。如果与建议的试验方法有任何偏差，您应该在总结报告中提供更详细的信息，以表征特殊偏差。总结报告还应（</w:t>
      </w:r>
      <w:r>
        <w:rPr>
          <w:rFonts w:ascii="Times New Roman" w:hAnsi="Times New Roman"/>
          <w:kern w:val="0"/>
          <w:sz w:val="15"/>
          <w:szCs w:val="15"/>
        </w:rPr>
        <w:t>1</w:t>
      </w:r>
      <w:r>
        <w:rPr>
          <w:rFonts w:hint="eastAsia" w:ascii="Times New Roman"/>
          <w:kern w:val="0"/>
          <w:sz w:val="15"/>
          <w:szCs w:val="15"/>
        </w:rPr>
        <w:t>）以表格形式简要呈现每次试验产生的数据，或（</w:t>
      </w:r>
      <w:r>
        <w:rPr>
          <w:rFonts w:ascii="Times New Roman" w:hAnsi="Times New Roman"/>
          <w:kern w:val="0"/>
          <w:sz w:val="15"/>
          <w:szCs w:val="15"/>
        </w:rPr>
        <w:t>2</w:t>
      </w:r>
      <w:r>
        <w:rPr>
          <w:rFonts w:hint="eastAsia" w:ascii="Times New Roman"/>
          <w:kern w:val="0"/>
          <w:sz w:val="15"/>
          <w:szCs w:val="15"/>
        </w:rPr>
        <w:t>）描述应用于试验结果的验收标准。</w:t>
      </w:r>
      <w:r>
        <w:rPr>
          <w:rFonts w:hint="eastAsia" w:ascii="Times New Roman"/>
          <w:sz w:val="15"/>
          <w:szCs w:val="15"/>
        </w:rPr>
        <w:t>（另见</w:t>
      </w:r>
      <w:r>
        <w:fldChar w:fldCharType="begin"/>
      </w:r>
      <w:r>
        <w:instrText xml:space="preserve"> HYPERLINK "http://www.accessdata.fda.gov/scripts/cdrh/cfdocs/cfCFR/showCFR.cfm?FR=820.30" \h </w:instrText>
      </w:r>
      <w:r>
        <w:fldChar w:fldCharType="separate"/>
      </w:r>
      <w:r>
        <w:rPr>
          <w:rFonts w:ascii="Times New Roman" w:hAnsi="Times New Roman"/>
          <w:kern w:val="0"/>
          <w:sz w:val="15"/>
          <w:szCs w:val="15"/>
          <w:u w:val="single"/>
        </w:rPr>
        <w:t>21 CFR 820.30 C</w:t>
      </w:r>
      <w:r>
        <w:rPr>
          <w:rFonts w:hint="eastAsia" w:ascii="Times New Roman"/>
          <w:kern w:val="0"/>
          <w:sz w:val="15"/>
          <w:szCs w:val="15"/>
          <w:u w:val="single"/>
        </w:rPr>
        <w:t>子部分</w:t>
      </w:r>
      <w:r>
        <w:rPr>
          <w:rFonts w:hint="eastAsia" w:ascii="Times New Roman"/>
          <w:kern w:val="0"/>
          <w:sz w:val="15"/>
          <w:szCs w:val="15"/>
          <w:u w:val="single"/>
        </w:rPr>
        <w:fldChar w:fldCharType="end"/>
      </w:r>
      <w:r>
        <w:rPr>
          <w:rFonts w:ascii="Times New Roman" w:hAnsi="Times New Roman"/>
          <w:kern w:val="0"/>
          <w:sz w:val="15"/>
          <w:szCs w:val="15"/>
        </w:rPr>
        <w:t> </w:t>
      </w:r>
      <w:r>
        <w:rPr>
          <w:rFonts w:hint="eastAsia" w:ascii="Times New Roman"/>
          <w:sz w:val="15"/>
          <w:szCs w:val="15"/>
        </w:rPr>
        <w:t>质量体系规章的设计控制。）</w:t>
      </w:r>
    </w:p>
    <w:p w14:paraId="064D7A4A">
      <w:pPr>
        <w:ind w:firstLine="0"/>
        <w:rPr>
          <w:rFonts w:ascii="Times New Roman" w:hAnsi="Times New Roman"/>
          <w:b/>
          <w:sz w:val="15"/>
          <w:szCs w:val="15"/>
        </w:rPr>
      </w:pPr>
      <w:r>
        <w:rPr>
          <w:rFonts w:hint="eastAsia" w:ascii="Times New Roman"/>
          <w:b/>
          <w:sz w:val="15"/>
          <w:szCs w:val="15"/>
        </w:rPr>
        <w:t>最小负担方法</w:t>
      </w:r>
    </w:p>
    <w:p w14:paraId="1C55A202">
      <w:pPr>
        <w:widowControl/>
        <w:shd w:val="clear" w:color="auto" w:fill="FFFFFF"/>
        <w:spacing w:after="240" w:line="207" w:lineRule="atLeast"/>
        <w:ind w:firstLine="0"/>
        <w:rPr>
          <w:rFonts w:ascii="Times New Roman" w:hAnsi="Times New Roman"/>
          <w:kern w:val="0"/>
          <w:sz w:val="15"/>
          <w:szCs w:val="15"/>
        </w:rPr>
      </w:pPr>
      <w:r>
        <w:rPr>
          <w:rFonts w:hint="eastAsia" w:ascii="Times New Roman"/>
          <w:sz w:val="15"/>
          <w:szCs w:val="15"/>
        </w:rPr>
        <w:t>本指导文件中发现的问题代表了您的器械上市前我们认为需要解决的问题。在制定指南时，我们认真考虑了机构决策相关的法定标准。</w:t>
      </w:r>
      <w:r>
        <w:rPr>
          <w:rFonts w:hint="eastAsia" w:ascii="Times New Roman"/>
          <w:kern w:val="0"/>
          <w:sz w:val="15"/>
          <w:szCs w:val="15"/>
        </w:rPr>
        <w:t>我们还考虑了你们在遵守本指导意见以及尝试解决我们发现的这些问题的过程中需承受的负担。我们相信，我们已经考虑到了用来解决本指导意见所述问题的最简便的方法。</w:t>
      </w:r>
      <w:r>
        <w:rPr>
          <w:rFonts w:hint="eastAsia" w:ascii="Times New Roman"/>
          <w:sz w:val="15"/>
          <w:szCs w:val="15"/>
        </w:rPr>
        <w:t>但是，如果您认为处理这些问题有更简单的方式，则应遵循文件中概述的步骤</w:t>
      </w:r>
      <w:r>
        <w:rPr>
          <w:rFonts w:ascii="Times New Roman" w:hAnsi="Times New Roman"/>
          <w:b/>
          <w:sz w:val="15"/>
          <w:szCs w:val="15"/>
        </w:rPr>
        <w:t>“</w:t>
      </w:r>
      <w:r>
        <w:rPr>
          <w:rFonts w:hint="eastAsia" w:ascii="Times New Roman"/>
          <w:b/>
          <w:sz w:val="15"/>
          <w:szCs w:val="15"/>
        </w:rPr>
        <w:t>解决最小负担问题建议的方法</w:t>
      </w:r>
      <w:r>
        <w:rPr>
          <w:rFonts w:ascii="Times New Roman" w:hAnsi="Times New Roman"/>
          <w:b/>
          <w:sz w:val="15"/>
          <w:szCs w:val="15"/>
        </w:rPr>
        <w:t>”</w:t>
      </w:r>
      <w:r>
        <w:rPr>
          <w:rFonts w:hint="eastAsia" w:ascii="Times New Roman"/>
          <w:sz w:val="15"/>
          <w:szCs w:val="15"/>
        </w:rPr>
        <w:t>。</w:t>
      </w:r>
    </w:p>
    <w:p w14:paraId="5EC6A5DF">
      <w:pPr>
        <w:widowControl/>
        <w:shd w:val="clear" w:color="auto" w:fill="FFFFFF"/>
        <w:spacing w:before="240" w:after="240"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0CF75D94">
      <w:pPr>
        <w:widowControl/>
        <w:shd w:val="clear" w:color="auto" w:fill="FFFFFF"/>
        <w:spacing w:before="240" w:line="207" w:lineRule="atLeast"/>
        <w:ind w:firstLine="0"/>
        <w:outlineLvl w:val="0"/>
        <w:rPr>
          <w:rFonts w:ascii="Times New Roman" w:hAnsi="Times New Roman"/>
          <w:b/>
          <w:kern w:val="0"/>
          <w:sz w:val="23"/>
          <w:szCs w:val="23"/>
        </w:rPr>
      </w:pPr>
      <w:bookmarkStart w:id="3" w:name="_Toc480630797"/>
      <w:r>
        <w:rPr>
          <w:rFonts w:ascii="Times New Roman" w:hAnsi="Times New Roman"/>
          <w:b/>
          <w:kern w:val="0"/>
          <w:sz w:val="23"/>
          <w:szCs w:val="23"/>
        </w:rPr>
        <w:t>2.</w:t>
      </w:r>
      <w:r>
        <w:rPr>
          <w:rFonts w:ascii="Times New Roman" w:hAnsi="Times New Roman"/>
          <w:b/>
          <w:kern w:val="0"/>
          <w:sz w:val="23"/>
          <w:szCs w:val="23"/>
        </w:rPr>
        <w:tab/>
      </w:r>
      <w:r>
        <w:rPr>
          <w:rFonts w:hint="eastAsia" w:ascii="Times New Roman"/>
          <w:b/>
          <w:kern w:val="0"/>
          <w:sz w:val="23"/>
          <w:szCs w:val="23"/>
        </w:rPr>
        <w:t>范围</w:t>
      </w:r>
      <w:bookmarkEnd w:id="3"/>
    </w:p>
    <w:p w14:paraId="364CCE1F">
      <w:pPr>
        <w:widowControl/>
        <w:shd w:val="clear" w:color="auto" w:fill="FFFFFF"/>
        <w:spacing w:line="207" w:lineRule="atLeast"/>
        <w:ind w:firstLine="0"/>
        <w:rPr>
          <w:rFonts w:ascii="Times New Roman" w:hAnsi="Times New Roman"/>
          <w:kern w:val="0"/>
          <w:sz w:val="15"/>
          <w:szCs w:val="15"/>
        </w:rPr>
      </w:pPr>
      <w:r>
        <w:rPr>
          <w:rFonts w:hint="eastAsia" w:ascii="Times New Roman"/>
          <w:sz w:val="15"/>
          <w:szCs w:val="15"/>
        </w:rPr>
        <w:t>本文件的适用范围仅限于髋关节金属</w:t>
      </w:r>
      <w:r>
        <w:rPr>
          <w:rFonts w:ascii="Times New Roman" w:hAnsi="Times New Roman"/>
          <w:sz w:val="15"/>
          <w:szCs w:val="15"/>
        </w:rPr>
        <w:t>/</w:t>
      </w:r>
      <w:r>
        <w:rPr>
          <w:rFonts w:hint="eastAsia" w:ascii="Times New Roman"/>
          <w:sz w:val="15"/>
          <w:szCs w:val="15"/>
        </w:rPr>
        <w:t>聚合物骨水泥或非骨水泥假体、法规编号</w:t>
      </w:r>
      <w:r>
        <w:rPr>
          <w:rFonts w:ascii="Times New Roman" w:hAnsi="Times New Roman"/>
          <w:kern w:val="0"/>
          <w:sz w:val="15"/>
          <w:szCs w:val="15"/>
        </w:rPr>
        <w:t> </w:t>
      </w:r>
      <w:r>
        <w:fldChar w:fldCharType="begin"/>
      </w:r>
      <w:r>
        <w:instrText xml:space="preserve"> HYPERLINK "http://www.accessdata.fda.gov/scripts/cdrh/cfdocs/cfCFR/showCFR.cfm?FR=888.3310" \h </w:instrText>
      </w:r>
      <w:r>
        <w:fldChar w:fldCharType="separate"/>
      </w:r>
      <w:r>
        <w:rPr>
          <w:rFonts w:ascii="Times New Roman" w:hAnsi="Times New Roman"/>
          <w:kern w:val="0"/>
          <w:sz w:val="15"/>
          <w:szCs w:val="15"/>
          <w:u w:val="single"/>
        </w:rPr>
        <w:t>21 CFR §888.3310</w:t>
      </w:r>
      <w:r>
        <w:rPr>
          <w:rFonts w:ascii="Times New Roman" w:hAnsi="Times New Roman"/>
          <w:kern w:val="0"/>
          <w:sz w:val="15"/>
          <w:szCs w:val="15"/>
          <w:u w:val="single"/>
        </w:rPr>
        <w:fldChar w:fldCharType="end"/>
      </w:r>
      <w:r>
        <w:rPr>
          <w:rFonts w:hint="eastAsia" w:ascii="Times New Roman"/>
          <w:sz w:val="15"/>
          <w:szCs w:val="15"/>
        </w:rPr>
        <w:t>和产品代码</w:t>
      </w:r>
      <w:r>
        <w:rPr>
          <w:rFonts w:ascii="Times New Roman" w:hAnsi="Times New Roman"/>
          <w:sz w:val="15"/>
          <w:szCs w:val="15"/>
        </w:rPr>
        <w:t>KWZ</w:t>
      </w:r>
      <w:r>
        <w:rPr>
          <w:rFonts w:hint="eastAsia" w:ascii="Times New Roman"/>
          <w:sz w:val="15"/>
          <w:szCs w:val="15"/>
        </w:rPr>
        <w:t>。</w:t>
      </w:r>
    </w:p>
    <w:p w14:paraId="20E23FFF">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 xml:space="preserve">§888.3310 </w:t>
      </w:r>
      <w:r>
        <w:rPr>
          <w:rFonts w:hint="eastAsia" w:ascii="Times New Roman"/>
          <w:kern w:val="0"/>
          <w:sz w:val="15"/>
          <w:szCs w:val="15"/>
        </w:rPr>
        <w:t>髋关节金属</w:t>
      </w:r>
      <w:r>
        <w:rPr>
          <w:rFonts w:ascii="Times New Roman" w:hAnsi="Times New Roman"/>
          <w:kern w:val="0"/>
          <w:sz w:val="15"/>
          <w:szCs w:val="15"/>
        </w:rPr>
        <w:t>/</w:t>
      </w:r>
      <w:r>
        <w:rPr>
          <w:rFonts w:hint="eastAsia" w:ascii="Times New Roman"/>
          <w:kern w:val="0"/>
          <w:sz w:val="15"/>
          <w:szCs w:val="15"/>
        </w:rPr>
        <w:t>聚合物骨水泥或非骨水泥假体。</w:t>
      </w:r>
    </w:p>
    <w:p w14:paraId="26DC18D8">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w:t>
      </w:r>
      <w:r>
        <w:rPr>
          <w:rFonts w:ascii="Times New Roman" w:hAnsi="Times New Roman"/>
          <w:kern w:val="0"/>
          <w:sz w:val="15"/>
          <w:szCs w:val="15"/>
        </w:rPr>
        <w:t>a</w:t>
      </w:r>
      <w:r>
        <w:rPr>
          <w:rFonts w:hint="eastAsia" w:ascii="Times New Roman"/>
          <w:kern w:val="0"/>
          <w:sz w:val="15"/>
          <w:szCs w:val="15"/>
        </w:rPr>
        <w:t>）识别。髋关节金属</w:t>
      </w:r>
      <w:r>
        <w:rPr>
          <w:rFonts w:ascii="Times New Roman" w:hAnsi="Times New Roman"/>
          <w:kern w:val="0"/>
          <w:sz w:val="15"/>
          <w:szCs w:val="15"/>
        </w:rPr>
        <w:t>/</w:t>
      </w:r>
      <w:r>
        <w:rPr>
          <w:rFonts w:hint="eastAsia" w:ascii="Times New Roman"/>
          <w:kern w:val="0"/>
          <w:sz w:val="15"/>
          <w:szCs w:val="15"/>
        </w:rPr>
        <w:t>聚合物骨水泥或非骨水泥假体是一种植入以替代髋关节的器械。该器械防止多于一个解剖平面中的脱位，并有连接在一起的部件。该通用类型器械包括具有由合金（例如钴</w:t>
      </w:r>
      <w:r>
        <w:rPr>
          <w:rFonts w:ascii="Times New Roman" w:hAnsi="Times New Roman"/>
          <w:kern w:val="0"/>
          <w:sz w:val="15"/>
          <w:szCs w:val="15"/>
        </w:rPr>
        <w:t>-</w:t>
      </w:r>
      <w:r>
        <w:rPr>
          <w:rFonts w:hint="eastAsia" w:ascii="Times New Roman"/>
          <w:kern w:val="0"/>
          <w:sz w:val="15"/>
          <w:szCs w:val="15"/>
        </w:rPr>
        <w:t>铬</w:t>
      </w:r>
      <w:r>
        <w:rPr>
          <w:rFonts w:ascii="Times New Roman" w:hAnsi="Times New Roman"/>
          <w:kern w:val="0"/>
          <w:sz w:val="15"/>
          <w:szCs w:val="15"/>
        </w:rPr>
        <w:t>-</w:t>
      </w:r>
      <w:r>
        <w:rPr>
          <w:rFonts w:hint="eastAsia" w:ascii="Times New Roman"/>
          <w:kern w:val="0"/>
          <w:sz w:val="15"/>
          <w:szCs w:val="15"/>
        </w:rPr>
        <w:t>钼）制成的股骨部件假体，以及由具有或不具有金属壳（由合金制成，例如钴</w:t>
      </w:r>
      <w:r>
        <w:rPr>
          <w:rFonts w:ascii="Times New Roman" w:hAnsi="Times New Roman"/>
          <w:kern w:val="0"/>
          <w:sz w:val="15"/>
          <w:szCs w:val="15"/>
        </w:rPr>
        <w:t xml:space="preserve"> - </w:t>
      </w:r>
      <w:r>
        <w:rPr>
          <w:rFonts w:hint="eastAsia" w:ascii="Times New Roman"/>
          <w:kern w:val="0"/>
          <w:sz w:val="15"/>
          <w:szCs w:val="15"/>
        </w:rPr>
        <w:t>铬</w:t>
      </w:r>
      <w:r>
        <w:rPr>
          <w:rFonts w:ascii="Times New Roman" w:hAnsi="Times New Roman"/>
          <w:kern w:val="0"/>
          <w:sz w:val="15"/>
          <w:szCs w:val="15"/>
        </w:rPr>
        <w:t xml:space="preserve"> - </w:t>
      </w:r>
      <w:r>
        <w:rPr>
          <w:rFonts w:hint="eastAsia" w:ascii="Times New Roman"/>
          <w:kern w:val="0"/>
          <w:sz w:val="15"/>
          <w:szCs w:val="15"/>
        </w:rPr>
        <w:t>钼和钛合金）的超高分子量聚乙烯制成的髋臼部件。</w:t>
      </w:r>
      <w:r>
        <w:rPr>
          <w:rFonts w:hint="eastAsia" w:ascii="Times New Roman"/>
          <w:sz w:val="15"/>
          <w:szCs w:val="15"/>
        </w:rPr>
        <w:t>该通用类型器械预定使用时可结合骨水泥一起使用或</w:t>
      </w:r>
      <w:r>
        <w:rPr>
          <w:rFonts w:hint="eastAsia" w:ascii="Times New Roman"/>
          <w:kern w:val="0"/>
          <w:sz w:val="15"/>
          <w:szCs w:val="15"/>
        </w:rPr>
        <w:t>单独使用</w:t>
      </w:r>
      <w:r>
        <w:rPr>
          <w:rFonts w:ascii="Times New Roman" w:hAnsi="Times New Roman"/>
          <w:kern w:val="0"/>
          <w:sz w:val="15"/>
          <w:szCs w:val="15"/>
        </w:rPr>
        <w:t>(</w:t>
      </w:r>
      <w:r>
        <w:fldChar w:fldCharType="begin"/>
      </w:r>
      <w:r>
        <w:instrText xml:space="preserve"> HYPERLINK "http://www.accessdata.fda.gov/scripts/cdrh/cfdocs/cfCFR/showCFR.cfm?FR=888.3027" \h </w:instrText>
      </w:r>
      <w:r>
        <w:fldChar w:fldCharType="separate"/>
      </w:r>
      <w:r>
        <w:rPr>
          <w:rFonts w:ascii="Times New Roman" w:hAnsi="Times New Roman"/>
          <w:kern w:val="0"/>
          <w:sz w:val="15"/>
          <w:szCs w:val="15"/>
          <w:u w:val="single"/>
        </w:rPr>
        <w:t>21 CFR §888.3027</w:t>
      </w:r>
      <w:r>
        <w:rPr>
          <w:rFonts w:ascii="Times New Roman" w:hAnsi="Times New Roman"/>
          <w:kern w:val="0"/>
          <w:sz w:val="15"/>
          <w:szCs w:val="15"/>
          <w:u w:val="single"/>
        </w:rPr>
        <w:fldChar w:fldCharType="end"/>
      </w:r>
      <w:r>
        <w:rPr>
          <w:rFonts w:ascii="Times New Roman" w:hAnsi="Times New Roman"/>
          <w:kern w:val="0"/>
          <w:sz w:val="15"/>
          <w:szCs w:val="15"/>
        </w:rPr>
        <w:t>)</w:t>
      </w:r>
      <w:r>
        <w:rPr>
          <w:rFonts w:hint="eastAsia" w:ascii="Times New Roman"/>
          <w:kern w:val="0"/>
          <w:sz w:val="15"/>
          <w:szCs w:val="15"/>
        </w:rPr>
        <w:t>。</w:t>
      </w:r>
    </w:p>
    <w:p w14:paraId="3E9A2B73">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(b) </w:t>
      </w:r>
      <w:r>
        <w:rPr>
          <w:rFonts w:hint="eastAsia" w:ascii="Times New Roman"/>
          <w:i/>
          <w:kern w:val="0"/>
          <w:sz w:val="15"/>
          <w:szCs w:val="15"/>
        </w:rPr>
        <w:t>分类。</w:t>
      </w:r>
      <w:r>
        <w:rPr>
          <w:rFonts w:ascii="Times New Roman" w:hAnsi="Times New Roman"/>
          <w:kern w:val="0"/>
          <w:sz w:val="15"/>
          <w:szCs w:val="15"/>
        </w:rPr>
        <w:t>II</w:t>
      </w:r>
      <w:r>
        <w:rPr>
          <w:rFonts w:hint="eastAsia" w:ascii="Times New Roman"/>
          <w:kern w:val="0"/>
          <w:sz w:val="15"/>
          <w:szCs w:val="15"/>
        </w:rPr>
        <w:t>类</w:t>
      </w:r>
      <w:r>
        <w:rPr>
          <w:rFonts w:ascii="Times New Roman" w:hAnsi="Times New Roman"/>
          <w:kern w:val="0"/>
          <w:sz w:val="15"/>
          <w:szCs w:val="15"/>
        </w:rPr>
        <w:t xml:space="preserve"> (</w:t>
      </w:r>
      <w:r>
        <w:rPr>
          <w:rFonts w:hint="eastAsia" w:ascii="Times New Roman"/>
          <w:kern w:val="0"/>
          <w:sz w:val="15"/>
          <w:szCs w:val="15"/>
        </w:rPr>
        <w:t>特殊控制</w:t>
      </w:r>
      <w:r>
        <w:rPr>
          <w:rFonts w:ascii="Times New Roman" w:hAnsi="Times New Roman"/>
          <w:kern w:val="0"/>
          <w:sz w:val="15"/>
          <w:szCs w:val="15"/>
        </w:rPr>
        <w:t>)</w:t>
      </w:r>
      <w:r>
        <w:rPr>
          <w:rFonts w:hint="eastAsia" w:ascii="Times New Roman"/>
          <w:kern w:val="0"/>
          <w:sz w:val="15"/>
          <w:szCs w:val="15"/>
        </w:rPr>
        <w:t>。该器械的特殊控制是</w:t>
      </w:r>
      <w:r>
        <w:rPr>
          <w:rFonts w:ascii="Times New Roman" w:hAnsi="Times New Roman"/>
          <w:kern w:val="0"/>
          <w:sz w:val="15"/>
          <w:szCs w:val="15"/>
        </w:rPr>
        <w:t>FDA</w:t>
      </w:r>
      <w:r>
        <w:rPr>
          <w:rFonts w:hint="eastAsia" w:ascii="Times New Roman"/>
          <w:kern w:val="0"/>
          <w:sz w:val="15"/>
          <w:szCs w:val="15"/>
        </w:rPr>
        <w:t>指南文件，标题为</w:t>
      </w:r>
      <w:r>
        <w:rPr>
          <w:rFonts w:ascii="Times New Roman" w:hAnsi="Times New Roman"/>
          <w:kern w:val="0"/>
          <w:sz w:val="15"/>
          <w:szCs w:val="15"/>
        </w:rPr>
        <w:t>“II</w:t>
      </w:r>
      <w:r>
        <w:rPr>
          <w:rFonts w:hint="eastAsia" w:ascii="Times New Roman"/>
          <w:kern w:val="0"/>
          <w:sz w:val="15"/>
          <w:szCs w:val="15"/>
        </w:rPr>
        <w:t>类特殊控制指南</w:t>
      </w:r>
      <w:r>
        <w:rPr>
          <w:rFonts w:ascii="Times New Roman" w:hAnsi="Times New Roman"/>
          <w:kern w:val="0"/>
          <w:sz w:val="15"/>
          <w:szCs w:val="15"/>
        </w:rPr>
        <w:t xml:space="preserve">- </w:t>
      </w:r>
      <w:r>
        <w:rPr>
          <w:rFonts w:hint="eastAsia" w:ascii="Times New Roman"/>
          <w:kern w:val="0"/>
          <w:sz w:val="15"/>
          <w:szCs w:val="15"/>
        </w:rPr>
        <w:t>髋关节金属</w:t>
      </w:r>
      <w:r>
        <w:rPr>
          <w:rFonts w:ascii="Times New Roman" w:hAnsi="Times New Roman"/>
          <w:kern w:val="0"/>
          <w:sz w:val="15"/>
          <w:szCs w:val="15"/>
        </w:rPr>
        <w:t>/</w:t>
      </w:r>
      <w:r>
        <w:rPr>
          <w:rFonts w:hint="eastAsia" w:ascii="Times New Roman"/>
          <w:kern w:val="0"/>
          <w:sz w:val="15"/>
          <w:szCs w:val="15"/>
        </w:rPr>
        <w:t>聚合物骨水泥或非骨水泥假体</w:t>
      </w:r>
      <w:r>
        <w:rPr>
          <w:rFonts w:ascii="Times New Roman" w:hAnsi="Times New Roman"/>
          <w:kern w:val="0"/>
          <w:sz w:val="15"/>
          <w:szCs w:val="15"/>
        </w:rPr>
        <w:t>”</w:t>
      </w:r>
      <w:r>
        <w:rPr>
          <w:rFonts w:hint="eastAsia" w:ascii="Times New Roman"/>
          <w:kern w:val="0"/>
          <w:sz w:val="15"/>
          <w:szCs w:val="15"/>
        </w:rPr>
        <w:t>。</w:t>
      </w:r>
      <w:r>
        <w:rPr>
          <w:rFonts w:ascii="Times New Roman" w:hAnsi="Times New Roman"/>
          <w:kern w:val="0"/>
          <w:sz w:val="15"/>
          <w:szCs w:val="15"/>
        </w:rPr>
        <w:br w:type="textWrapping"/>
      </w:r>
    </w:p>
    <w:p w14:paraId="24B1EE97">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6" o:spt="1" style="height:0pt;width:0pt;" fillcolor="#333333" filled="t" stroked="f" coordsize="21600,21600" o:hr="t" o:hrstd="t" o:hrnoshade="t" o:hralign="center">
            <v:path/>
            <v:fill on="t" focussize="0,0"/>
            <v:stroke on="f"/>
            <v:imagedata o:title=""/>
            <o:lock v:ext="edit"/>
            <w10:wrap type="none"/>
            <w10:anchorlock/>
          </v:rect>
        </w:pict>
      </w:r>
    </w:p>
    <w:p w14:paraId="47596F44">
      <w:pPr>
        <w:widowControl/>
        <w:shd w:val="clear" w:color="auto" w:fill="FFFFFF"/>
        <w:spacing w:line="207" w:lineRule="atLeast"/>
        <w:ind w:firstLine="0"/>
        <w:rPr>
          <w:rFonts w:ascii="Times New Roman" w:hAnsi="Times New Roman"/>
          <w:kern w:val="0"/>
          <w:sz w:val="15"/>
          <w:szCs w:val="15"/>
          <w:u w:val="single"/>
        </w:rPr>
      </w:pPr>
      <w:r>
        <w:rPr>
          <w:rFonts w:ascii="Times New Roman"/>
          <w:kern w:val="0"/>
          <w:sz w:val="15"/>
          <w:szCs w:val="15"/>
        </w:rPr>
        <w:br w:type="page"/>
      </w:r>
      <w:r>
        <w:rPr>
          <w:rFonts w:hint="eastAsia" w:ascii="Times New Roman"/>
          <w:kern w:val="0"/>
          <w:sz w:val="15"/>
          <w:szCs w:val="15"/>
          <w:u w:val="single"/>
        </w:rPr>
        <w:t>返回顶部</w:t>
      </w:r>
    </w:p>
    <w:p w14:paraId="4829C6E6">
      <w:pPr>
        <w:widowControl/>
        <w:shd w:val="clear" w:color="auto" w:fill="FFFFFF"/>
        <w:spacing w:before="236" w:after="118"/>
        <w:ind w:firstLine="0"/>
        <w:outlineLvl w:val="0"/>
        <w:rPr>
          <w:rFonts w:ascii="Times New Roman" w:hAnsi="Times New Roman"/>
          <w:b/>
          <w:bCs/>
          <w:kern w:val="0"/>
          <w:sz w:val="23"/>
          <w:szCs w:val="23"/>
        </w:rPr>
      </w:pPr>
      <w:bookmarkStart w:id="4" w:name="_Toc480630798"/>
      <w:r>
        <w:rPr>
          <w:rFonts w:ascii="Times New Roman" w:hAnsi="Times New Roman"/>
          <w:b/>
          <w:bCs/>
          <w:kern w:val="0"/>
          <w:sz w:val="23"/>
          <w:szCs w:val="23"/>
        </w:rPr>
        <w:t>3.</w:t>
      </w:r>
      <w:r>
        <w:rPr>
          <w:rFonts w:ascii="Times New Roman" w:hAnsi="Times New Roman"/>
          <w:b/>
          <w:bCs/>
          <w:kern w:val="0"/>
          <w:sz w:val="23"/>
          <w:szCs w:val="23"/>
        </w:rPr>
        <w:tab/>
      </w:r>
      <w:r>
        <w:rPr>
          <w:rFonts w:hint="eastAsia" w:ascii="Times New Roman"/>
          <w:b/>
          <w:bCs/>
          <w:kern w:val="0"/>
          <w:sz w:val="23"/>
          <w:szCs w:val="23"/>
        </w:rPr>
        <w:t>健康风险</w:t>
      </w:r>
      <w:bookmarkEnd w:id="4"/>
    </w:p>
    <w:p w14:paraId="3FB83F18">
      <w:pPr>
        <w:widowControl/>
        <w:shd w:val="clear" w:color="auto" w:fill="FFFFFF"/>
        <w:spacing w:line="207" w:lineRule="atLeast"/>
        <w:ind w:firstLine="0"/>
        <w:rPr>
          <w:rFonts w:ascii="Times New Roman" w:hAnsi="Times New Roman"/>
          <w:kern w:val="0"/>
          <w:sz w:val="15"/>
          <w:szCs w:val="15"/>
        </w:rPr>
      </w:pPr>
      <w:r>
        <w:rPr>
          <w:rFonts w:ascii="Times New Roman" w:hAnsi="Times New Roman"/>
          <w:kern w:val="0"/>
          <w:sz w:val="15"/>
          <w:szCs w:val="15"/>
        </w:rPr>
        <w:t>FDA</w:t>
      </w:r>
      <w:r>
        <w:rPr>
          <w:rFonts w:hint="eastAsia" w:ascii="Times New Roman"/>
          <w:kern w:val="0"/>
          <w:sz w:val="15"/>
          <w:szCs w:val="15"/>
        </w:rPr>
        <w:t>已经确定了使用髋关节金属</w:t>
      </w:r>
      <w:r>
        <w:rPr>
          <w:rFonts w:ascii="Times New Roman" w:hAnsi="Times New Roman"/>
          <w:kern w:val="0"/>
          <w:sz w:val="15"/>
          <w:szCs w:val="15"/>
        </w:rPr>
        <w:t>/</w:t>
      </w:r>
      <w:r>
        <w:rPr>
          <w:rFonts w:hint="eastAsia" w:ascii="Times New Roman"/>
          <w:kern w:val="0"/>
          <w:sz w:val="15"/>
          <w:szCs w:val="15"/>
        </w:rPr>
        <w:t>聚合物骨水泥或非骨水泥假体时的健康风险，如下表所示。在提交</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）之前，您还应进行一项风险分析以确定您器械所特有的任何其他风险。该</w:t>
      </w:r>
      <w:r>
        <w:rPr>
          <w:rFonts w:ascii="Times New Roman" w:hAnsi="Times New Roman"/>
          <w:kern w:val="0"/>
          <w:sz w:val="15"/>
          <w:szCs w:val="15"/>
        </w:rPr>
        <w:t xml:space="preserve">510(k) </w:t>
      </w:r>
      <w:r>
        <w:rPr>
          <w:rFonts w:hint="eastAsia" w:ascii="Times New Roman"/>
          <w:kern w:val="0"/>
          <w:sz w:val="15"/>
          <w:szCs w:val="15"/>
        </w:rPr>
        <w:t>应描述风险分析方法。在本指导性文件中给出了减轻这些风险的推荐措施，如下表所示。（如果生产商选择使用替代方法来解决特殊风险或指南中已经确定的其他风险，您应提供足够的详细资料来支持该替代方法。）</w:t>
      </w:r>
    </w:p>
    <w:tbl>
      <w:tblPr>
        <w:tblStyle w:val="13"/>
        <w:tblW w:w="76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4119"/>
        <w:gridCol w:w="3532"/>
      </w:tblGrid>
      <w:tr w14:paraId="42BF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C0C0C0"/>
            <w:tcMar>
              <w:top w:w="54" w:type="dxa"/>
              <w:left w:w="54" w:type="dxa"/>
              <w:bottom w:w="54" w:type="dxa"/>
              <w:right w:w="54" w:type="dxa"/>
            </w:tcMar>
            <w:vAlign w:val="bottom"/>
          </w:tcPr>
          <w:p w14:paraId="77C42E26">
            <w:pPr>
              <w:widowControl/>
              <w:spacing w:before="285" w:after="285"/>
              <w:ind w:firstLine="0"/>
              <w:rPr>
                <w:rFonts w:ascii="Times New Roman" w:hAnsi="Times New Roman"/>
                <w:b/>
                <w:bCs/>
                <w:szCs w:val="21"/>
              </w:rPr>
            </w:pPr>
            <w:r>
              <w:rPr>
                <w:rFonts w:hint="eastAsia" w:ascii="Times New Roman"/>
                <w:b/>
                <w:bCs/>
                <w:szCs w:val="21"/>
              </w:rPr>
              <w:t>已知风险</w:t>
            </w:r>
          </w:p>
        </w:tc>
        <w:tc>
          <w:tcPr>
            <w:tcW w:w="0" w:type="auto"/>
            <w:shd w:val="clear" w:color="auto" w:fill="C0C0C0"/>
            <w:tcMar>
              <w:top w:w="54" w:type="dxa"/>
              <w:left w:w="54" w:type="dxa"/>
              <w:bottom w:w="54" w:type="dxa"/>
              <w:right w:w="54" w:type="dxa"/>
            </w:tcMar>
            <w:vAlign w:val="bottom"/>
          </w:tcPr>
          <w:p w14:paraId="7DBD0AB6">
            <w:pPr>
              <w:widowControl/>
              <w:spacing w:before="285" w:after="285"/>
              <w:ind w:firstLine="0"/>
              <w:rPr>
                <w:rFonts w:ascii="Times New Roman" w:hAnsi="Times New Roman"/>
                <w:b/>
                <w:bCs/>
                <w:szCs w:val="21"/>
              </w:rPr>
            </w:pPr>
            <w:r>
              <w:rPr>
                <w:rFonts w:hint="eastAsia" w:ascii="Times New Roman"/>
                <w:b/>
                <w:bCs/>
                <w:szCs w:val="21"/>
              </w:rPr>
              <w:t>推荐的缓解措施</w:t>
            </w:r>
          </w:p>
        </w:tc>
      </w:tr>
      <w:tr w14:paraId="7D841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vAlign w:val="center"/>
          </w:tcPr>
          <w:p w14:paraId="494C8037">
            <w:pPr>
              <w:widowControl/>
              <w:spacing w:before="285" w:after="285"/>
              <w:ind w:firstLine="0"/>
              <w:rPr>
                <w:rFonts w:ascii="Times New Roman" w:hAnsi="Times New Roman"/>
                <w:kern w:val="0"/>
                <w:szCs w:val="21"/>
              </w:rPr>
            </w:pPr>
          </w:p>
        </w:tc>
        <w:tc>
          <w:tcPr>
            <w:tcW w:w="0" w:type="auto"/>
            <w:vAlign w:val="center"/>
          </w:tcPr>
          <w:p w14:paraId="746C6DE6">
            <w:pPr>
              <w:widowControl/>
              <w:ind w:firstLine="0"/>
              <w:rPr>
                <w:rFonts w:ascii="Times New Roman" w:hAnsi="Times New Roman"/>
                <w:kern w:val="0"/>
                <w:szCs w:val="21"/>
              </w:rPr>
            </w:pPr>
          </w:p>
        </w:tc>
      </w:tr>
      <w:tr w14:paraId="7522F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0C7155E0">
            <w:pPr>
              <w:widowControl/>
              <w:spacing w:before="285" w:after="285"/>
              <w:ind w:firstLine="0"/>
              <w:rPr>
                <w:rFonts w:ascii="Times New Roman" w:hAnsi="Times New Roman"/>
                <w:kern w:val="0"/>
                <w:szCs w:val="21"/>
              </w:rPr>
            </w:pPr>
            <w:r>
              <w:rPr>
                <w:rFonts w:hint="eastAsia" w:ascii="Times New Roman"/>
                <w:kern w:val="0"/>
                <w:szCs w:val="21"/>
              </w:rPr>
              <w:t>感染</w:t>
            </w:r>
          </w:p>
        </w:tc>
        <w:tc>
          <w:tcPr>
            <w:tcW w:w="0" w:type="auto"/>
            <w:tcMar>
              <w:top w:w="54" w:type="dxa"/>
              <w:left w:w="54" w:type="dxa"/>
              <w:bottom w:w="54" w:type="dxa"/>
              <w:right w:w="54" w:type="dxa"/>
            </w:tcMar>
          </w:tcPr>
          <w:p w14:paraId="6D694ACA">
            <w:pPr>
              <w:widowControl/>
              <w:ind w:firstLine="0"/>
              <w:rPr>
                <w:rFonts w:ascii="Times New Roman" w:hAnsi="Times New Roman"/>
                <w:kern w:val="0"/>
                <w:szCs w:val="21"/>
              </w:rPr>
            </w:pPr>
            <w:r>
              <w:fldChar w:fldCharType="begin"/>
            </w:r>
            <w:r>
              <w:instrText xml:space="preserve"> HYPERLINK "https://www.fda.gov/medicaldevices/deviceregulationandguidance/guidancedocuments/ucm072917.htm" \l "_Toc1890687" </w:instrText>
            </w:r>
            <w:r>
              <w:fldChar w:fldCharType="separate"/>
            </w:r>
            <w:r>
              <w:rPr>
                <w:rFonts w:hint="eastAsia" w:ascii="Times New Roman"/>
                <w:kern w:val="0"/>
                <w:szCs w:val="21"/>
                <w:u w:val="single"/>
              </w:rPr>
              <w:t>第</w:t>
            </w:r>
            <w:r>
              <w:rPr>
                <w:rFonts w:ascii="Times New Roman" w:hAnsi="Times New Roman"/>
                <w:kern w:val="0"/>
                <w:szCs w:val="21"/>
                <w:u w:val="single"/>
              </w:rPr>
              <w:t>6</w:t>
            </w:r>
            <w:r>
              <w:rPr>
                <w:rFonts w:ascii="Times New Roman" w:hAnsi="Times New Roman"/>
                <w:kern w:val="0"/>
                <w:szCs w:val="21"/>
                <w:u w:val="single"/>
              </w:rPr>
              <w:fldChar w:fldCharType="end"/>
            </w:r>
            <w:r>
              <w:rPr>
                <w:rFonts w:hint="eastAsia" w:ascii="Times New Roman"/>
                <w:szCs w:val="21"/>
              </w:rPr>
              <w:t>节</w:t>
            </w:r>
          </w:p>
        </w:tc>
      </w:tr>
      <w:tr w14:paraId="6EFE3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69C7DB2F">
            <w:pPr>
              <w:widowControl/>
              <w:ind w:firstLine="0"/>
              <w:rPr>
                <w:rFonts w:ascii="Times New Roman" w:hAnsi="Times New Roman"/>
                <w:kern w:val="0"/>
                <w:szCs w:val="21"/>
              </w:rPr>
            </w:pPr>
            <w:r>
              <w:rPr>
                <w:rFonts w:hint="eastAsia" w:ascii="Times New Roman"/>
                <w:kern w:val="0"/>
                <w:szCs w:val="21"/>
              </w:rPr>
              <w:t>不良组织反应</w:t>
            </w:r>
          </w:p>
        </w:tc>
        <w:tc>
          <w:tcPr>
            <w:tcW w:w="0" w:type="auto"/>
            <w:tcMar>
              <w:top w:w="54" w:type="dxa"/>
              <w:left w:w="54" w:type="dxa"/>
              <w:bottom w:w="54" w:type="dxa"/>
              <w:right w:w="54" w:type="dxa"/>
            </w:tcMar>
          </w:tcPr>
          <w:p w14:paraId="29F01F3B">
            <w:pPr>
              <w:widowControl/>
              <w:ind w:firstLine="0"/>
              <w:rPr>
                <w:rFonts w:ascii="Times New Roman" w:hAnsi="Times New Roman"/>
                <w:kern w:val="0"/>
                <w:szCs w:val="21"/>
              </w:rPr>
            </w:pPr>
            <w:r>
              <w:fldChar w:fldCharType="begin"/>
            </w:r>
            <w:r>
              <w:instrText xml:space="preserve"> HYPERLINK "https://www.fda.gov/medicaldevices/deviceregulationandguidance/guidancedocuments/ucm072917.htm" \l "_Toc1890688" </w:instrText>
            </w:r>
            <w:r>
              <w:fldChar w:fldCharType="separate"/>
            </w:r>
            <w:r>
              <w:rPr>
                <w:rFonts w:hint="eastAsia" w:ascii="Times New Roman"/>
                <w:kern w:val="0"/>
                <w:szCs w:val="21"/>
                <w:u w:val="single"/>
              </w:rPr>
              <w:t>第</w:t>
            </w:r>
            <w:r>
              <w:rPr>
                <w:rFonts w:ascii="Times New Roman" w:hAnsi="Times New Roman"/>
                <w:kern w:val="0"/>
                <w:szCs w:val="21"/>
                <w:u w:val="single"/>
              </w:rPr>
              <w:t xml:space="preserve"> 7</w:t>
            </w:r>
            <w:r>
              <w:rPr>
                <w:rFonts w:ascii="Times New Roman" w:hAnsi="Times New Roman"/>
                <w:kern w:val="0"/>
                <w:szCs w:val="21"/>
                <w:u w:val="single"/>
              </w:rPr>
              <w:fldChar w:fldCharType="end"/>
            </w:r>
            <w:r>
              <w:rPr>
                <w:rFonts w:hint="eastAsia" w:ascii="Times New Roman"/>
                <w:szCs w:val="21"/>
              </w:rPr>
              <w:t>节</w:t>
            </w:r>
          </w:p>
        </w:tc>
      </w:tr>
      <w:tr w14:paraId="3550A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14457479">
            <w:pPr>
              <w:widowControl/>
              <w:ind w:firstLine="0"/>
              <w:rPr>
                <w:rFonts w:ascii="Times New Roman" w:hAnsi="Times New Roman"/>
                <w:kern w:val="0"/>
                <w:szCs w:val="21"/>
                <w:lang w:val="en-US"/>
              </w:rPr>
            </w:pPr>
            <w:r>
              <w:rPr>
                <w:rFonts w:hint="eastAsia" w:ascii="Times New Roman"/>
                <w:szCs w:val="21"/>
              </w:rPr>
              <w:t>疼痛和</w:t>
            </w:r>
            <w:r>
              <w:rPr>
                <w:rFonts w:ascii="Times New Roman" w:hAnsi="Times New Roman"/>
                <w:szCs w:val="21"/>
              </w:rPr>
              <w:t>/</w:t>
            </w:r>
            <w:r>
              <w:rPr>
                <w:rFonts w:hint="eastAsia" w:ascii="Times New Roman"/>
                <w:szCs w:val="21"/>
              </w:rPr>
              <w:t>或丧失功能</w:t>
            </w:r>
          </w:p>
        </w:tc>
        <w:tc>
          <w:tcPr>
            <w:tcW w:w="0" w:type="auto"/>
            <w:tcMar>
              <w:top w:w="54" w:type="dxa"/>
              <w:left w:w="54" w:type="dxa"/>
              <w:bottom w:w="54" w:type="dxa"/>
              <w:right w:w="54" w:type="dxa"/>
            </w:tcMar>
          </w:tcPr>
          <w:p w14:paraId="274C4650">
            <w:pPr>
              <w:widowControl/>
              <w:ind w:firstLine="0"/>
              <w:rPr>
                <w:rFonts w:ascii="Times New Roman" w:hAnsi="Times New Roman"/>
                <w:kern w:val="0"/>
                <w:szCs w:val="21"/>
              </w:rPr>
            </w:pPr>
            <w:r>
              <w:fldChar w:fldCharType="begin"/>
            </w:r>
            <w:r>
              <w:instrText xml:space="preserve"> HYPERLINK "https://www.fda.gov/medicaldevices/deviceregulationandguidance/guidancedocuments/ucm072917.htm" \l "_Toc1890688" </w:instrText>
            </w:r>
            <w:r>
              <w:fldChar w:fldCharType="separate"/>
            </w:r>
            <w:r>
              <w:rPr>
                <w:rFonts w:hint="eastAsia" w:ascii="Times New Roman"/>
                <w:kern w:val="0"/>
                <w:szCs w:val="21"/>
                <w:u w:val="single"/>
              </w:rPr>
              <w:t>第</w:t>
            </w:r>
            <w:r>
              <w:rPr>
                <w:rFonts w:hint="eastAsia" w:ascii="Times New Roman"/>
                <w:kern w:val="0"/>
                <w:szCs w:val="21"/>
                <w:u w:val="single"/>
              </w:rPr>
              <w:fldChar w:fldCharType="end"/>
            </w:r>
            <w:r>
              <w:rPr>
                <w:rFonts w:ascii="Times New Roman" w:hAnsi="Times New Roman"/>
                <w:kern w:val="0"/>
                <w:szCs w:val="21"/>
              </w:rPr>
              <w:t> 7</w:t>
            </w:r>
            <w:r>
              <w:rPr>
                <w:rFonts w:hint="eastAsia" w:ascii="Times New Roman"/>
                <w:kern w:val="0"/>
                <w:szCs w:val="21"/>
              </w:rPr>
              <w:t>和</w:t>
            </w:r>
            <w:r>
              <w:rPr>
                <w:rFonts w:ascii="Times New Roman" w:hAnsi="Times New Roman"/>
                <w:kern w:val="0"/>
                <w:szCs w:val="21"/>
              </w:rPr>
              <w:t>8</w:t>
            </w:r>
            <w:r>
              <w:rPr>
                <w:rFonts w:hint="eastAsia" w:ascii="Times New Roman"/>
                <w:kern w:val="0"/>
                <w:szCs w:val="21"/>
              </w:rPr>
              <w:t>节</w:t>
            </w:r>
          </w:p>
          <w:p w14:paraId="4106F772">
            <w:pPr>
              <w:widowControl/>
              <w:ind w:firstLine="0"/>
              <w:rPr>
                <w:rFonts w:ascii="Times New Roman" w:hAnsi="Times New Roman"/>
                <w:kern w:val="0"/>
                <w:szCs w:val="21"/>
              </w:rPr>
            </w:pPr>
            <w:r>
              <w:rPr>
                <w:rFonts w:ascii="Times New Roman" w:hAnsi="Times New Roman"/>
                <w:kern w:val="0"/>
                <w:szCs w:val="21"/>
              </w:rPr>
              <w:t> </w:t>
            </w:r>
          </w:p>
        </w:tc>
      </w:tr>
      <w:tr w14:paraId="4F6D0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7104AAE5">
            <w:pPr>
              <w:widowControl/>
              <w:ind w:firstLine="0"/>
              <w:rPr>
                <w:rFonts w:ascii="Times New Roman" w:hAnsi="Times New Roman"/>
                <w:kern w:val="0"/>
                <w:szCs w:val="21"/>
              </w:rPr>
            </w:pPr>
            <w:r>
              <w:rPr>
                <w:rFonts w:hint="eastAsia" w:ascii="Times New Roman"/>
                <w:kern w:val="0"/>
                <w:szCs w:val="21"/>
              </w:rPr>
              <w:t>修订版</w:t>
            </w:r>
          </w:p>
        </w:tc>
        <w:tc>
          <w:tcPr>
            <w:tcW w:w="0" w:type="auto"/>
            <w:tcMar>
              <w:top w:w="54" w:type="dxa"/>
              <w:left w:w="54" w:type="dxa"/>
              <w:bottom w:w="54" w:type="dxa"/>
              <w:right w:w="54" w:type="dxa"/>
            </w:tcMar>
          </w:tcPr>
          <w:p w14:paraId="74D1464B">
            <w:pPr>
              <w:widowControl/>
              <w:ind w:firstLine="0"/>
              <w:rPr>
                <w:rFonts w:ascii="Times New Roman" w:hAnsi="Times New Roman"/>
                <w:kern w:val="0"/>
                <w:szCs w:val="21"/>
              </w:rPr>
            </w:pPr>
            <w:r>
              <w:fldChar w:fldCharType="begin"/>
            </w:r>
            <w:r>
              <w:instrText xml:space="preserve"> HYPERLINK "https://www.fda.gov/medicaldevices/deviceregulationandguidance/guidancedocuments/ucm072917.htm" \l "_Toc1890688" </w:instrText>
            </w:r>
            <w:r>
              <w:fldChar w:fldCharType="separate"/>
            </w:r>
            <w:r>
              <w:rPr>
                <w:rFonts w:hint="eastAsia" w:ascii="Times New Roman"/>
                <w:kern w:val="0"/>
                <w:szCs w:val="21"/>
                <w:u w:val="single"/>
              </w:rPr>
              <w:t>第</w:t>
            </w:r>
            <w:r>
              <w:rPr>
                <w:rFonts w:hint="eastAsia" w:ascii="Times New Roman"/>
                <w:kern w:val="0"/>
                <w:szCs w:val="21"/>
                <w:u w:val="single"/>
              </w:rPr>
              <w:fldChar w:fldCharType="end"/>
            </w:r>
            <w:r>
              <w:rPr>
                <w:rFonts w:ascii="Times New Roman" w:hAnsi="Times New Roman"/>
                <w:kern w:val="0"/>
                <w:szCs w:val="21"/>
              </w:rPr>
              <w:t> 7</w:t>
            </w:r>
            <w:r>
              <w:rPr>
                <w:rFonts w:hint="eastAsia" w:ascii="Times New Roman"/>
                <w:kern w:val="0"/>
                <w:szCs w:val="21"/>
              </w:rPr>
              <w:t>和</w:t>
            </w:r>
            <w:r>
              <w:rPr>
                <w:rFonts w:ascii="Times New Roman" w:hAnsi="Times New Roman"/>
                <w:kern w:val="0"/>
                <w:szCs w:val="21"/>
              </w:rPr>
              <w:t>8</w:t>
            </w:r>
            <w:r>
              <w:rPr>
                <w:rFonts w:hint="eastAsia" w:ascii="Times New Roman"/>
                <w:kern w:val="0"/>
                <w:szCs w:val="21"/>
              </w:rPr>
              <w:t>节</w:t>
            </w:r>
          </w:p>
        </w:tc>
      </w:tr>
    </w:tbl>
    <w:p w14:paraId="42F1F0EB">
      <w:pPr>
        <w:widowControl/>
        <w:shd w:val="clear" w:color="auto" w:fill="FFFFFF"/>
        <w:spacing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31AA23B7">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7" o:spt="1" style="height:0pt;width:0pt;" fillcolor="#333333" filled="t" stroked="f" coordsize="21600,21600" o:hr="t" o:hrstd="t" o:hrnoshade="t" o:hralign="center">
            <v:path/>
            <v:fill on="t" focussize="0,0"/>
            <v:stroke on="f"/>
            <v:imagedata o:title=""/>
            <o:lock v:ext="edit"/>
            <w10:wrap type="none"/>
            <w10:anchorlock/>
          </v:rect>
        </w:pict>
      </w:r>
    </w:p>
    <w:p w14:paraId="5014D5E4">
      <w:pPr>
        <w:widowControl/>
        <w:shd w:val="clear" w:color="auto" w:fill="FFFFFF"/>
        <w:spacing w:after="118"/>
        <w:ind w:firstLine="0"/>
        <w:outlineLvl w:val="0"/>
        <w:rPr>
          <w:rFonts w:ascii="Times New Roman" w:hAnsi="Times New Roman"/>
          <w:b/>
          <w:bCs/>
          <w:kern w:val="0"/>
          <w:sz w:val="23"/>
          <w:szCs w:val="23"/>
        </w:rPr>
      </w:pPr>
      <w:bookmarkStart w:id="5" w:name="_Toc480630799"/>
      <w:r>
        <w:rPr>
          <w:rFonts w:ascii="Times New Roman" w:hAnsi="Times New Roman"/>
          <w:b/>
          <w:kern w:val="0"/>
          <w:sz w:val="23"/>
          <w:szCs w:val="23"/>
        </w:rPr>
        <w:t>4</w:t>
      </w:r>
      <w:r>
        <w:rPr>
          <w:rFonts w:hint="eastAsia" w:ascii="Times New Roman"/>
          <w:b/>
          <w:kern w:val="0"/>
          <w:sz w:val="23"/>
          <w:szCs w:val="23"/>
        </w:rPr>
        <w:t>．控制</w:t>
      </w:r>
      <w:bookmarkEnd w:id="5"/>
    </w:p>
    <w:p w14:paraId="28AF6741">
      <w:pPr>
        <w:widowControl/>
        <w:shd w:val="clear" w:color="auto" w:fill="FFFFFF"/>
        <w:spacing w:line="207" w:lineRule="atLeast"/>
        <w:ind w:firstLine="0"/>
        <w:rPr>
          <w:rFonts w:ascii="Times New Roman" w:hAnsi="Times New Roman"/>
          <w:kern w:val="0"/>
          <w:sz w:val="15"/>
          <w:szCs w:val="15"/>
        </w:rPr>
      </w:pPr>
      <w:r>
        <w:rPr>
          <w:rFonts w:ascii="Times New Roman" w:hAnsi="Times New Roman"/>
          <w:kern w:val="0"/>
          <w:sz w:val="15"/>
          <w:szCs w:val="15"/>
        </w:rPr>
        <w:t>FDA</w:t>
      </w:r>
      <w:r>
        <w:rPr>
          <w:rFonts w:hint="eastAsia" w:ascii="Times New Roman"/>
          <w:kern w:val="0"/>
          <w:sz w:val="15"/>
          <w:szCs w:val="15"/>
        </w:rPr>
        <w:t>认为，本指南下列各节中所述的措施在结合一般控制时，能解决使用髋关节金属</w:t>
      </w:r>
      <w:r>
        <w:rPr>
          <w:rFonts w:ascii="Times New Roman" w:hAnsi="Times New Roman"/>
          <w:kern w:val="0"/>
          <w:sz w:val="15"/>
          <w:szCs w:val="15"/>
        </w:rPr>
        <w:t>/</w:t>
      </w:r>
      <w:r>
        <w:rPr>
          <w:rFonts w:hint="eastAsia" w:ascii="Times New Roman"/>
          <w:kern w:val="0"/>
          <w:sz w:val="15"/>
          <w:szCs w:val="15"/>
        </w:rPr>
        <w:t>聚合物骨水泥或非骨水泥假体时所确定的健康风险。该公司必须表明其器械通过满足本指南的建议，或通过提供安全性和有效性等效保证的其他方式，来解决本指南中确定的安全性和有效性问题。如果您已确定有任何专属于您器械特的其他风险，在您的</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）中应确定这些风险，以及所用的方法或试验和解决这些的验收标准。</w:t>
      </w:r>
    </w:p>
    <w:p w14:paraId="4F91D0EF">
      <w:pPr>
        <w:widowControl/>
        <w:shd w:val="clear" w:color="auto" w:fill="FFFFFF"/>
        <w:spacing w:beforeLines="50"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4F66B313">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8" o:spt="1" style="height:0pt;width:0pt;" fillcolor="#333333" filled="t" stroked="f" coordsize="21600,21600" o:hr="t" o:hrstd="t" o:hrnoshade="t" o:hralign="center">
            <v:path/>
            <v:fill on="t" focussize="0,0"/>
            <v:stroke on="f"/>
            <v:imagedata o:title=""/>
            <o:lock v:ext="edit"/>
            <w10:wrap type="none"/>
            <w10:anchorlock/>
          </v:rect>
        </w:pict>
      </w:r>
    </w:p>
    <w:p w14:paraId="120FD391">
      <w:pPr>
        <w:widowControl/>
        <w:shd w:val="clear" w:color="auto" w:fill="FFFFFF"/>
        <w:spacing w:after="118"/>
        <w:ind w:firstLine="0"/>
        <w:outlineLvl w:val="0"/>
        <w:rPr>
          <w:rFonts w:ascii="Times New Roman" w:hAnsi="Times New Roman"/>
          <w:b/>
          <w:bCs/>
          <w:kern w:val="0"/>
          <w:sz w:val="23"/>
          <w:szCs w:val="23"/>
        </w:rPr>
      </w:pPr>
      <w:bookmarkStart w:id="6" w:name="_Toc480630800"/>
      <w:r>
        <w:rPr>
          <w:rFonts w:ascii="Times New Roman" w:hAnsi="Times New Roman"/>
          <w:b/>
          <w:kern w:val="0"/>
          <w:sz w:val="23"/>
          <w:szCs w:val="23"/>
        </w:rPr>
        <w:t>5.</w:t>
      </w:r>
      <w:r>
        <w:rPr>
          <w:rFonts w:ascii="Times New Roman" w:hAnsi="Times New Roman"/>
          <w:b/>
          <w:kern w:val="0"/>
          <w:sz w:val="23"/>
          <w:szCs w:val="23"/>
        </w:rPr>
        <w:tab/>
      </w:r>
      <w:r>
        <w:rPr>
          <w:rFonts w:hint="eastAsia" w:ascii="Times New Roman"/>
          <w:b/>
          <w:kern w:val="0"/>
          <w:sz w:val="23"/>
          <w:szCs w:val="23"/>
        </w:rPr>
        <w:t>简略</w:t>
      </w:r>
      <w:r>
        <w:rPr>
          <w:rFonts w:ascii="Times New Roman" w:hAnsi="Times New Roman"/>
          <w:b/>
          <w:kern w:val="0"/>
          <w:sz w:val="23"/>
          <w:szCs w:val="23"/>
        </w:rPr>
        <w:t>510(k)</w:t>
      </w:r>
      <w:r>
        <w:rPr>
          <w:rFonts w:hint="eastAsia" w:ascii="Times New Roman"/>
          <w:b/>
          <w:kern w:val="0"/>
          <w:sz w:val="23"/>
          <w:szCs w:val="23"/>
        </w:rPr>
        <w:t>内容</w:t>
      </w:r>
      <w:bookmarkEnd w:id="6"/>
    </w:p>
    <w:p w14:paraId="6289CFC4">
      <w:pPr>
        <w:widowControl/>
        <w:shd w:val="clear" w:color="auto" w:fill="FFFFFF"/>
        <w:spacing w:line="207" w:lineRule="atLeast"/>
        <w:ind w:firstLine="0"/>
        <w:rPr>
          <w:rFonts w:ascii="Times New Roman" w:hAnsi="Times New Roman"/>
          <w:kern w:val="0"/>
          <w:sz w:val="15"/>
          <w:szCs w:val="15"/>
        </w:rPr>
      </w:pPr>
      <w:r>
        <w:rPr>
          <w:rFonts w:hint="eastAsia" w:ascii="Times New Roman"/>
          <w:kern w:val="0"/>
          <w:sz w:val="15"/>
          <w:szCs w:val="15"/>
        </w:rPr>
        <w:t>依赖</w:t>
      </w:r>
      <w:r>
        <w:rPr>
          <w:rFonts w:ascii="Times New Roman" w:hAnsi="Times New Roman"/>
          <w:kern w:val="0"/>
          <w:sz w:val="15"/>
          <w:szCs w:val="15"/>
        </w:rPr>
        <w:t>“II</w:t>
      </w:r>
      <w:r>
        <w:rPr>
          <w:rFonts w:hint="eastAsia" w:ascii="Times New Roman"/>
          <w:kern w:val="0"/>
          <w:sz w:val="15"/>
          <w:szCs w:val="15"/>
        </w:rPr>
        <w:t>类特殊控制指南文件</w:t>
      </w:r>
      <w:r>
        <w:rPr>
          <w:rFonts w:ascii="Times New Roman" w:hAnsi="Times New Roman"/>
          <w:kern w:val="0"/>
          <w:sz w:val="15"/>
          <w:szCs w:val="15"/>
        </w:rPr>
        <w:t>”</w:t>
      </w:r>
      <w:r>
        <w:rPr>
          <w:rFonts w:hint="eastAsia" w:ascii="Times New Roman"/>
          <w:kern w:val="0"/>
          <w:sz w:val="15"/>
          <w:szCs w:val="15"/>
        </w:rPr>
        <w:t>的简略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）应包含以下内容。</w:t>
      </w:r>
    </w:p>
    <w:p w14:paraId="796F7365">
      <w:pPr>
        <w:widowControl/>
        <w:shd w:val="clear" w:color="auto" w:fill="FFFFFF"/>
        <w:spacing w:before="240" w:after="240" w:line="207" w:lineRule="atLeast"/>
        <w:ind w:firstLine="0"/>
        <w:rPr>
          <w:rFonts w:ascii="Times New Roman" w:hAnsi="Times New Roman"/>
          <w:b/>
          <w:kern w:val="0"/>
          <w:sz w:val="15"/>
          <w:szCs w:val="15"/>
        </w:rPr>
      </w:pPr>
      <w:r>
        <w:rPr>
          <w:rFonts w:ascii="Times New Roman"/>
          <w:b/>
          <w:kern w:val="0"/>
          <w:sz w:val="15"/>
          <w:szCs w:val="15"/>
        </w:rPr>
        <w:br w:type="page"/>
      </w:r>
      <w:r>
        <w:rPr>
          <w:rFonts w:hint="eastAsia" w:ascii="Times New Roman"/>
          <w:b/>
          <w:kern w:val="0"/>
          <w:sz w:val="15"/>
          <w:szCs w:val="15"/>
        </w:rPr>
        <w:t>封面</w:t>
      </w:r>
    </w:p>
    <w:p w14:paraId="066925E8">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封面应突出该提交作为简略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）的识别，并引用本</w:t>
      </w:r>
      <w:r>
        <w:rPr>
          <w:rFonts w:ascii="Times New Roman" w:hAnsi="Times New Roman"/>
          <w:kern w:val="0"/>
          <w:sz w:val="15"/>
          <w:szCs w:val="15"/>
        </w:rPr>
        <w:t>II</w:t>
      </w:r>
      <w:r>
        <w:rPr>
          <w:rFonts w:hint="eastAsia" w:ascii="Times New Roman"/>
          <w:kern w:val="0"/>
          <w:sz w:val="15"/>
          <w:szCs w:val="15"/>
        </w:rPr>
        <w:t>类特殊控制指南文件的标题。</w:t>
      </w:r>
    </w:p>
    <w:p w14:paraId="48EAAEC1">
      <w:pPr>
        <w:widowControl/>
        <w:shd w:val="clear" w:color="auto" w:fill="FFFFFF"/>
        <w:spacing w:before="240" w:after="240" w:line="207" w:lineRule="atLeast"/>
        <w:ind w:firstLine="0"/>
        <w:rPr>
          <w:rFonts w:ascii="Times New Roman" w:hAnsi="Times New Roman"/>
          <w:kern w:val="0"/>
          <w:sz w:val="15"/>
          <w:szCs w:val="15"/>
        </w:rPr>
      </w:pPr>
      <w:r>
        <w:fldChar w:fldCharType="begin"/>
      </w:r>
      <w:r>
        <w:instrText xml:space="preserve"> HYPERLINK "http://www.accessdata.fda.gov/scripts/cdrh/cfdocs/cfCFR/showCFR.cfm?FR=807.87" \h </w:instrText>
      </w:r>
      <w:r>
        <w:fldChar w:fldCharType="separate"/>
      </w:r>
      <w:r>
        <w:rPr>
          <w:rFonts w:ascii="Times New Roman" w:hAnsi="Times New Roman"/>
          <w:b/>
          <w:kern w:val="0"/>
          <w:sz w:val="15"/>
          <w:szCs w:val="15"/>
          <w:u w:val="single"/>
        </w:rPr>
        <w:t>21 CFR 807.87</w:t>
      </w:r>
      <w:r>
        <w:rPr>
          <w:rFonts w:ascii="Times New Roman" w:hAnsi="Times New Roman"/>
          <w:b/>
          <w:kern w:val="0"/>
          <w:sz w:val="15"/>
          <w:szCs w:val="15"/>
          <w:u w:val="single"/>
        </w:rPr>
        <w:fldChar w:fldCharType="end"/>
      </w:r>
      <w:r>
        <w:rPr>
          <w:rFonts w:hint="eastAsia" w:ascii="Times New Roman"/>
          <w:sz w:val="15"/>
          <w:szCs w:val="15"/>
        </w:rPr>
        <w:t>中要求的项目</w:t>
      </w:r>
    </w:p>
    <w:p w14:paraId="39A96535">
      <w:pPr>
        <w:widowControl/>
        <w:shd w:val="clear" w:color="auto" w:fill="FFFFFF"/>
        <w:spacing w:before="240" w:after="240" w:line="207" w:lineRule="atLeast"/>
        <w:ind w:firstLine="0"/>
        <w:rPr>
          <w:rFonts w:ascii="Times New Roman" w:hAnsi="Times New Roman"/>
          <w:kern w:val="0"/>
          <w:sz w:val="15"/>
          <w:szCs w:val="15"/>
        </w:rPr>
      </w:pPr>
      <w:r>
        <w:fldChar w:fldCharType="begin"/>
      </w:r>
      <w:r>
        <w:instrText xml:space="preserve"> HYPERLINK "http://www.accessdata.fda.gov/scripts/cdrh/cfdocs/cfCFR/showCFR.cfm?FR=807.87" \h </w:instrText>
      </w:r>
      <w:r>
        <w:fldChar w:fldCharType="separate"/>
      </w:r>
      <w:r>
        <w:rPr>
          <w:rFonts w:ascii="Times New Roman" w:hAnsi="Times New Roman"/>
          <w:kern w:val="0"/>
          <w:sz w:val="15"/>
          <w:szCs w:val="15"/>
          <w:u w:val="single"/>
        </w:rPr>
        <w:t>21 CFR 807.87</w:t>
      </w:r>
      <w:r>
        <w:rPr>
          <w:rFonts w:ascii="Times New Roman" w:hAnsi="Times New Roman"/>
          <w:kern w:val="0"/>
          <w:sz w:val="15"/>
          <w:szCs w:val="15"/>
          <w:u w:val="single"/>
        </w:rPr>
        <w:fldChar w:fldCharType="end"/>
      </w:r>
      <w:r>
        <w:rPr>
          <w:rFonts w:hint="eastAsia" w:ascii="Times New Roman"/>
          <w:sz w:val="15"/>
          <w:szCs w:val="15"/>
        </w:rPr>
        <w:t>中要求的项目有</w:t>
      </w:r>
      <w:r>
        <w:rPr>
          <w:rFonts w:ascii="Times New Roman" w:hAnsi="Times New Roman"/>
          <w:kern w:val="0"/>
          <w:sz w:val="15"/>
          <w:szCs w:val="15"/>
        </w:rPr>
        <w:t>:</w:t>
      </w:r>
    </w:p>
    <w:p w14:paraId="255A9074">
      <w:pPr>
        <w:widowControl/>
        <w:numPr>
          <w:ilvl w:val="0"/>
          <w:numId w:val="1"/>
        </w:numPr>
        <w:shd w:val="clear" w:color="auto" w:fill="FFFFFF"/>
        <w:spacing w:line="207" w:lineRule="atLeast"/>
        <w:ind w:left="602" w:hanging="602" w:hangingChars="400"/>
        <w:rPr>
          <w:rFonts w:ascii="Times New Roman" w:hAnsi="Times New Roman"/>
          <w:kern w:val="0"/>
          <w:sz w:val="15"/>
          <w:szCs w:val="15"/>
        </w:rPr>
      </w:pPr>
      <w:r>
        <w:rPr>
          <w:rFonts w:hint="eastAsia" w:ascii="Times New Roman"/>
          <w:b/>
          <w:kern w:val="0"/>
          <w:sz w:val="15"/>
          <w:szCs w:val="15"/>
        </w:rPr>
        <w:t>器械的描述及其预期用途。</w:t>
      </w:r>
      <w:r>
        <w:rPr>
          <w:rFonts w:hint="eastAsia" w:ascii="Times New Roman"/>
          <w:kern w:val="0"/>
          <w:sz w:val="15"/>
          <w:szCs w:val="15"/>
        </w:rPr>
        <w:t>描述中包括性能标准的完整讨论，并且在适当情况下，还可包括该器械详细标记的图纸。您还应提交</w:t>
      </w:r>
      <w:r>
        <w:rPr>
          <w:rFonts w:ascii="Times New Roman" w:hAnsi="Times New Roman"/>
          <w:kern w:val="0"/>
          <w:sz w:val="15"/>
          <w:szCs w:val="15"/>
        </w:rPr>
        <w:t>“</w:t>
      </w:r>
      <w:r>
        <w:rPr>
          <w:rFonts w:hint="eastAsia" w:ascii="Times New Roman"/>
          <w:kern w:val="0"/>
          <w:sz w:val="15"/>
          <w:szCs w:val="15"/>
        </w:rPr>
        <w:t>使用适应证</w:t>
      </w:r>
      <w:r>
        <w:rPr>
          <w:rFonts w:ascii="Times New Roman" w:hAnsi="Times New Roman"/>
          <w:kern w:val="0"/>
          <w:sz w:val="15"/>
          <w:szCs w:val="15"/>
        </w:rPr>
        <w:t>”</w:t>
      </w:r>
      <w:r>
        <w:rPr>
          <w:rFonts w:hint="eastAsia" w:ascii="Times New Roman"/>
          <w:kern w:val="0"/>
          <w:sz w:val="15"/>
          <w:szCs w:val="15"/>
        </w:rPr>
        <w:t>附件。</w:t>
      </w:r>
      <w:r>
        <w:rPr>
          <w:rFonts w:hint="eastAsia" w:ascii="Times New Roman"/>
          <w:sz w:val="15"/>
          <w:szCs w:val="15"/>
        </w:rPr>
        <w:t>推荐的格式请参考</w:t>
      </w:r>
      <w:r>
        <w:fldChar w:fldCharType="begin"/>
      </w:r>
      <w:r>
        <w:instrText xml:space="preserve"> HYPERLINK "http://www.fda.gov/downloads/aboutfda/reportsmanualsforms/forms/ucm360431.pdf" \h </w:instrText>
      </w:r>
      <w:r>
        <w:fldChar w:fldCharType="separate"/>
      </w:r>
      <w:r>
        <w:rPr>
          <w:rFonts w:hint="eastAsia" w:ascii="Times New Roman"/>
          <w:kern w:val="0"/>
          <w:sz w:val="15"/>
          <w:szCs w:val="15"/>
          <w:u w:val="single"/>
        </w:rPr>
        <w:t>使用适应证格式</w:t>
      </w:r>
      <w:r>
        <w:rPr>
          <w:rFonts w:hint="eastAsia" w:ascii="Times New Roman"/>
          <w:kern w:val="0"/>
          <w:sz w:val="15"/>
          <w:szCs w:val="15"/>
          <w:u w:val="single"/>
        </w:rPr>
        <w:fldChar w:fldCharType="end"/>
      </w:r>
      <w:r>
        <w:rPr>
          <w:rFonts w:ascii="Times New Roman" w:hAnsi="Times New Roman"/>
          <w:kern w:val="0"/>
          <w:sz w:val="15"/>
          <w:szCs w:val="15"/>
        </w:rPr>
        <w:t> (PDF</w:t>
      </w:r>
      <w:r>
        <w:rPr>
          <w:rFonts w:hint="eastAsia" w:ascii="Times New Roman"/>
          <w:kern w:val="0"/>
          <w:sz w:val="15"/>
          <w:szCs w:val="15"/>
        </w:rPr>
        <w:t>文件大小</w:t>
      </w:r>
      <w:r>
        <w:rPr>
          <w:rFonts w:ascii="Times New Roman" w:hAnsi="Times New Roman"/>
          <w:kern w:val="0"/>
          <w:sz w:val="15"/>
          <w:szCs w:val="15"/>
        </w:rPr>
        <w:t>: 1.03MB)</w:t>
      </w:r>
      <w:r>
        <w:rPr>
          <w:rFonts w:hint="eastAsia" w:ascii="Times New Roman"/>
          <w:kern w:val="0"/>
          <w:sz w:val="15"/>
          <w:szCs w:val="15"/>
        </w:rPr>
        <w:t>。</w:t>
      </w:r>
    </w:p>
    <w:p w14:paraId="57FAF369">
      <w:pPr>
        <w:widowControl/>
        <w:numPr>
          <w:ilvl w:val="0"/>
          <w:numId w:val="1"/>
        </w:numPr>
        <w:shd w:val="clear" w:color="auto" w:fill="FFFFFF"/>
        <w:spacing w:before="120" w:line="207" w:lineRule="atLeast"/>
        <w:ind w:left="602" w:hanging="602" w:hangingChars="400"/>
        <w:rPr>
          <w:rFonts w:ascii="Times New Roman" w:hAnsi="Times New Roman"/>
          <w:kern w:val="0"/>
          <w:sz w:val="15"/>
          <w:szCs w:val="15"/>
        </w:rPr>
      </w:pPr>
      <w:r>
        <w:rPr>
          <w:rFonts w:hint="eastAsia" w:ascii="Times New Roman"/>
          <w:b/>
          <w:kern w:val="0"/>
          <w:sz w:val="15"/>
          <w:szCs w:val="15"/>
        </w:rPr>
        <w:t>建议的标签</w:t>
      </w:r>
    </w:p>
    <w:p w14:paraId="39BF9E01">
      <w:pPr>
        <w:widowControl/>
        <w:numPr>
          <w:ilvl w:val="0"/>
          <w:numId w:val="1"/>
        </w:numPr>
        <w:shd w:val="clear" w:color="auto" w:fill="FFFFFF"/>
        <w:spacing w:before="120" w:line="207" w:lineRule="atLeast"/>
        <w:ind w:left="602" w:hanging="602" w:hangingChars="400"/>
        <w:rPr>
          <w:rFonts w:ascii="Times New Roman" w:hAnsi="Times New Roman"/>
          <w:kern w:val="0"/>
          <w:sz w:val="15"/>
          <w:szCs w:val="15"/>
        </w:rPr>
      </w:pPr>
      <w:r>
        <w:rPr>
          <w:rFonts w:hint="eastAsia" w:ascii="Times New Roman"/>
          <w:b/>
          <w:kern w:val="0"/>
          <w:sz w:val="15"/>
          <w:szCs w:val="15"/>
        </w:rPr>
        <w:t>总结报告</w:t>
      </w:r>
      <w:r>
        <w:rPr>
          <w:rFonts w:hint="eastAsia" w:ascii="Times New Roman"/>
          <w:kern w:val="0"/>
          <w:sz w:val="15"/>
          <w:szCs w:val="15"/>
        </w:rPr>
        <w:t>总结报告应描述如何使用</w:t>
      </w:r>
      <w:r>
        <w:rPr>
          <w:rFonts w:ascii="Times New Roman" w:hAnsi="Times New Roman"/>
          <w:kern w:val="0"/>
          <w:sz w:val="15"/>
          <w:szCs w:val="15"/>
        </w:rPr>
        <w:t>“II</w:t>
      </w:r>
      <w:r>
        <w:rPr>
          <w:rFonts w:hint="eastAsia" w:ascii="Times New Roman"/>
          <w:kern w:val="0"/>
          <w:sz w:val="15"/>
          <w:szCs w:val="15"/>
        </w:rPr>
        <w:t>类特殊控制指南文件</w:t>
      </w:r>
      <w:r>
        <w:rPr>
          <w:rFonts w:ascii="Times New Roman" w:hAnsi="Times New Roman"/>
          <w:kern w:val="0"/>
          <w:sz w:val="15"/>
          <w:szCs w:val="15"/>
        </w:rPr>
        <w:t>”</w:t>
      </w:r>
      <w:r>
        <w:rPr>
          <w:rFonts w:hint="eastAsia" w:ascii="Times New Roman"/>
          <w:kern w:val="0"/>
          <w:sz w:val="15"/>
          <w:szCs w:val="15"/>
        </w:rPr>
        <w:t>来解决与特定器械类型相关的风险。总结报告应包含：</w:t>
      </w:r>
    </w:p>
    <w:p w14:paraId="482A3299">
      <w:pPr>
        <w:widowControl/>
        <w:shd w:val="clear" w:color="auto" w:fill="FFFFFF"/>
        <w:spacing w:before="240" w:line="207" w:lineRule="atLeast"/>
        <w:ind w:left="420" w:leftChars="200" w:firstLine="0"/>
        <w:rPr>
          <w:rFonts w:ascii="Times New Roman" w:hAnsi="Times New Roman"/>
          <w:kern w:val="0"/>
          <w:sz w:val="15"/>
          <w:szCs w:val="15"/>
        </w:rPr>
      </w:pPr>
      <w:r>
        <w:rPr>
          <w:rFonts w:hint="eastAsia" w:ascii="Times New Roman"/>
          <w:kern w:val="0"/>
          <w:sz w:val="15"/>
          <w:szCs w:val="15"/>
        </w:rPr>
        <w:t>风险分析。</w:t>
      </w:r>
    </w:p>
    <w:p w14:paraId="379DFFFF">
      <w:pPr>
        <w:widowControl/>
        <w:shd w:val="clear" w:color="auto" w:fill="FFFFFF"/>
        <w:spacing w:before="240" w:after="240" w:line="207" w:lineRule="atLeast"/>
        <w:ind w:left="420" w:leftChars="200" w:firstLine="0"/>
        <w:rPr>
          <w:rFonts w:ascii="Times New Roman" w:hAnsi="Times New Roman"/>
          <w:kern w:val="0"/>
          <w:sz w:val="15"/>
          <w:szCs w:val="15"/>
        </w:rPr>
      </w:pPr>
      <w:r>
        <w:rPr>
          <w:rFonts w:hint="eastAsia" w:ascii="Times New Roman"/>
          <w:kern w:val="0"/>
          <w:sz w:val="15"/>
          <w:szCs w:val="15"/>
        </w:rPr>
        <w:t>器械性能要求的描述</w:t>
      </w:r>
    </w:p>
    <w:p w14:paraId="12974B4A">
      <w:pPr>
        <w:widowControl/>
        <w:shd w:val="clear" w:color="auto" w:fill="FFFFFF"/>
        <w:spacing w:before="240" w:after="240" w:line="207" w:lineRule="atLeast"/>
        <w:ind w:left="420" w:leftChars="200" w:firstLine="0"/>
        <w:rPr>
          <w:rFonts w:ascii="Times New Roman" w:hAnsi="Times New Roman"/>
          <w:kern w:val="0"/>
          <w:sz w:val="15"/>
          <w:szCs w:val="15"/>
        </w:rPr>
      </w:pPr>
      <w:r>
        <w:rPr>
          <w:rFonts w:hint="eastAsia" w:ascii="Times New Roman"/>
          <w:kern w:val="0"/>
          <w:sz w:val="15"/>
          <w:szCs w:val="15"/>
        </w:rPr>
        <w:t>解决本</w:t>
      </w:r>
      <w:r>
        <w:rPr>
          <w:rFonts w:ascii="Times New Roman" w:hAnsi="Times New Roman"/>
          <w:kern w:val="0"/>
          <w:sz w:val="15"/>
          <w:szCs w:val="15"/>
        </w:rPr>
        <w:t>II</w:t>
      </w:r>
      <w:r>
        <w:rPr>
          <w:rFonts w:hint="eastAsia" w:ascii="Times New Roman"/>
          <w:kern w:val="0"/>
          <w:sz w:val="15"/>
          <w:szCs w:val="15"/>
        </w:rPr>
        <w:t>类特殊控制指南文件中所确定风险以及您风险分析中所确定任何其他风险的器械特点和功能讨论。</w:t>
      </w:r>
    </w:p>
    <w:p w14:paraId="04B1C008">
      <w:pPr>
        <w:widowControl/>
        <w:shd w:val="clear" w:color="auto" w:fill="FFFFFF"/>
        <w:spacing w:before="240" w:after="240" w:line="207" w:lineRule="atLeast"/>
        <w:ind w:left="420" w:leftChars="200" w:firstLine="0"/>
        <w:rPr>
          <w:rFonts w:ascii="Times New Roman" w:hAnsi="Times New Roman"/>
          <w:kern w:val="0"/>
          <w:sz w:val="15"/>
          <w:szCs w:val="15"/>
        </w:rPr>
      </w:pPr>
      <w:r>
        <w:rPr>
          <w:rFonts w:hint="eastAsia" w:ascii="Times New Roman"/>
          <w:kern w:val="0"/>
          <w:sz w:val="15"/>
          <w:szCs w:val="15"/>
        </w:rPr>
        <w:t>对于本</w:t>
      </w:r>
      <w:r>
        <w:rPr>
          <w:rFonts w:ascii="Times New Roman" w:hAnsi="Times New Roman"/>
          <w:kern w:val="0"/>
          <w:sz w:val="15"/>
          <w:szCs w:val="15"/>
        </w:rPr>
        <w:t>“II</w:t>
      </w:r>
      <w:r>
        <w:rPr>
          <w:rFonts w:hint="eastAsia" w:ascii="Times New Roman"/>
          <w:kern w:val="0"/>
          <w:sz w:val="15"/>
          <w:szCs w:val="15"/>
        </w:rPr>
        <w:t>类特殊控制指南</w:t>
      </w:r>
      <w:r>
        <w:rPr>
          <w:rFonts w:ascii="Times New Roman" w:hAnsi="Times New Roman"/>
          <w:kern w:val="0"/>
          <w:sz w:val="15"/>
          <w:szCs w:val="15"/>
        </w:rPr>
        <w:t>”</w:t>
      </w:r>
      <w:r>
        <w:rPr>
          <w:rFonts w:hint="eastAsia" w:ascii="Times New Roman"/>
          <w:kern w:val="0"/>
          <w:sz w:val="15"/>
          <w:szCs w:val="15"/>
        </w:rPr>
        <w:t>文件第</w:t>
      </w:r>
      <w:r>
        <w:rPr>
          <w:rFonts w:ascii="Times New Roman" w:hAnsi="Times New Roman"/>
          <w:kern w:val="0"/>
          <w:sz w:val="15"/>
          <w:szCs w:val="15"/>
        </w:rPr>
        <w:t>6-7</w:t>
      </w:r>
      <w:r>
        <w:rPr>
          <w:rFonts w:hint="eastAsia" w:ascii="Times New Roman"/>
          <w:kern w:val="0"/>
          <w:sz w:val="15"/>
          <w:szCs w:val="15"/>
        </w:rPr>
        <w:t>节中确定的每项性能方面，您应该简要讨论每种试验方法并确定您的验收标准。当遵循建议的试验方法时，对该方法的简单引用可以视为可接受的描述。如果与建议的试验方法有任何偏差，您应该在总结报告中提供更详细的信息，以表征特殊偏差。总结报告还应（</w:t>
      </w:r>
      <w:r>
        <w:rPr>
          <w:rFonts w:ascii="Times New Roman" w:hAnsi="Times New Roman"/>
          <w:kern w:val="0"/>
          <w:sz w:val="15"/>
          <w:szCs w:val="15"/>
        </w:rPr>
        <w:t>1</w:t>
      </w:r>
      <w:r>
        <w:rPr>
          <w:rFonts w:hint="eastAsia" w:ascii="Times New Roman"/>
          <w:kern w:val="0"/>
          <w:sz w:val="15"/>
          <w:szCs w:val="15"/>
        </w:rPr>
        <w:t>）以表格形式简要呈现每次试验产生的数据，或（</w:t>
      </w:r>
      <w:r>
        <w:rPr>
          <w:rFonts w:ascii="Times New Roman" w:hAnsi="Times New Roman"/>
          <w:kern w:val="0"/>
          <w:sz w:val="15"/>
          <w:szCs w:val="15"/>
        </w:rPr>
        <w:t>2</w:t>
      </w:r>
      <w:r>
        <w:rPr>
          <w:rFonts w:hint="eastAsia" w:ascii="Times New Roman"/>
          <w:kern w:val="0"/>
          <w:sz w:val="15"/>
          <w:szCs w:val="15"/>
        </w:rPr>
        <w:t>）描述应用于试验结果的验收标准。</w:t>
      </w:r>
      <w:r>
        <w:rPr>
          <w:rFonts w:hint="eastAsia" w:ascii="Times New Roman"/>
          <w:sz w:val="15"/>
          <w:szCs w:val="15"/>
        </w:rPr>
        <w:t>如果任何试验项目不符合确定的验收标准，您可能不能上市您的器械，并且您必须提交新的</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）以及修订后的验收标准，</w:t>
      </w:r>
      <w:r>
        <w:rPr>
          <w:rFonts w:ascii="Times New Roman" w:hAnsi="Times New Roman"/>
          <w:kern w:val="0"/>
          <w:sz w:val="15"/>
          <w:szCs w:val="15"/>
        </w:rPr>
        <w:t> </w:t>
      </w:r>
      <w:r>
        <w:fldChar w:fldCharType="begin"/>
      </w:r>
      <w:r>
        <w:instrText xml:space="preserve"> HYPERLINK "http://www.accessdata.fda.gov/scripts/cdrh/cfdocs/cfCFR/showCFR.cfm?FR=807.81" \h </w:instrText>
      </w:r>
      <w:r>
        <w:fldChar w:fldCharType="separate"/>
      </w:r>
      <w:r>
        <w:rPr>
          <w:rFonts w:ascii="Times New Roman" w:hAnsi="Times New Roman"/>
          <w:kern w:val="0"/>
          <w:sz w:val="15"/>
          <w:szCs w:val="15"/>
          <w:u w:val="single"/>
        </w:rPr>
        <w:t>21 CFR 807.81(a)(3)</w:t>
      </w:r>
      <w:r>
        <w:rPr>
          <w:rFonts w:ascii="Times New Roman" w:hAnsi="Times New Roman"/>
          <w:kern w:val="0"/>
          <w:sz w:val="15"/>
          <w:szCs w:val="15"/>
          <w:u w:val="single"/>
        </w:rPr>
        <w:fldChar w:fldCharType="end"/>
      </w:r>
      <w:r>
        <w:rPr>
          <w:rFonts w:hint="eastAsia" w:ascii="Times New Roman"/>
          <w:sz w:val="15"/>
          <w:szCs w:val="15"/>
        </w:rPr>
        <w:t>。</w:t>
      </w:r>
      <w:r>
        <w:rPr>
          <w:rFonts w:hint="eastAsia" w:ascii="Times New Roman"/>
          <w:kern w:val="0"/>
          <w:sz w:val="15"/>
          <w:szCs w:val="15"/>
        </w:rPr>
        <w:t>新</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）必须在您上市器械之前由</w:t>
      </w:r>
      <w:r>
        <w:rPr>
          <w:rFonts w:ascii="Times New Roman" w:hAnsi="Times New Roman"/>
          <w:kern w:val="0"/>
          <w:sz w:val="15"/>
          <w:szCs w:val="15"/>
        </w:rPr>
        <w:t>FDA</w:t>
      </w:r>
      <w:r>
        <w:rPr>
          <w:rFonts w:hint="eastAsia" w:ascii="Times New Roman"/>
          <w:kern w:val="0"/>
          <w:sz w:val="15"/>
          <w:szCs w:val="15"/>
        </w:rPr>
        <w:t>批准，</w:t>
      </w:r>
      <w:r>
        <w:rPr>
          <w:rFonts w:ascii="Times New Roman" w:hAnsi="Times New Roman"/>
          <w:kern w:val="0"/>
          <w:sz w:val="15"/>
          <w:szCs w:val="15"/>
        </w:rPr>
        <w:t>21 USC 513</w:t>
      </w:r>
      <w:r>
        <w:rPr>
          <w:rFonts w:hint="eastAsia" w:ascii="Times New Roman"/>
          <w:kern w:val="0"/>
          <w:sz w:val="15"/>
          <w:szCs w:val="15"/>
        </w:rPr>
        <w:t>（</w:t>
      </w:r>
      <w:r>
        <w:rPr>
          <w:rFonts w:ascii="Times New Roman" w:hAnsi="Times New Roman"/>
          <w:kern w:val="0"/>
          <w:sz w:val="15"/>
          <w:szCs w:val="15"/>
        </w:rPr>
        <w:t>i</w:t>
      </w:r>
      <w:r>
        <w:rPr>
          <w:rFonts w:hint="eastAsia" w:ascii="Times New Roman"/>
          <w:kern w:val="0"/>
          <w:sz w:val="15"/>
          <w:szCs w:val="15"/>
        </w:rPr>
        <w:t>）（</w:t>
      </w:r>
      <w:r>
        <w:rPr>
          <w:rFonts w:ascii="Times New Roman" w:hAnsi="Times New Roman"/>
          <w:kern w:val="0"/>
          <w:sz w:val="15"/>
          <w:szCs w:val="15"/>
        </w:rPr>
        <w:t>1</w:t>
      </w:r>
      <w:r>
        <w:rPr>
          <w:rFonts w:hint="eastAsia" w:ascii="Times New Roman"/>
          <w:kern w:val="0"/>
          <w:sz w:val="15"/>
          <w:szCs w:val="15"/>
        </w:rPr>
        <w:t>）（</w:t>
      </w:r>
      <w:r>
        <w:rPr>
          <w:rFonts w:ascii="Times New Roman" w:hAnsi="Times New Roman"/>
          <w:kern w:val="0"/>
          <w:sz w:val="15"/>
          <w:szCs w:val="15"/>
        </w:rPr>
        <w:t>A</w:t>
      </w:r>
      <w:r>
        <w:rPr>
          <w:rFonts w:hint="eastAsia" w:ascii="Times New Roman"/>
          <w:kern w:val="0"/>
          <w:sz w:val="15"/>
          <w:szCs w:val="15"/>
        </w:rPr>
        <w:t>））。</w:t>
      </w:r>
    </w:p>
    <w:p w14:paraId="337E71D5">
      <w:pPr>
        <w:widowControl/>
        <w:shd w:val="clear" w:color="auto" w:fill="FFFFFF"/>
        <w:spacing w:before="240" w:after="240" w:line="207" w:lineRule="atLeast"/>
        <w:ind w:left="420" w:leftChars="200" w:firstLine="0"/>
        <w:rPr>
          <w:rFonts w:ascii="Times New Roman" w:hAnsi="Times New Roman"/>
          <w:kern w:val="0"/>
          <w:sz w:val="15"/>
          <w:szCs w:val="15"/>
        </w:rPr>
      </w:pPr>
      <w:r>
        <w:rPr>
          <w:rFonts w:hint="eastAsia" w:ascii="Times New Roman"/>
          <w:kern w:val="0"/>
          <w:sz w:val="15"/>
          <w:szCs w:val="15"/>
        </w:rPr>
        <w:t>如果器械设计或试验的任何部分依赖于公认标准，则总结报告应包括：</w:t>
      </w:r>
      <w:r>
        <w:rPr>
          <w:rFonts w:hint="eastAsia" w:ascii="Times New Roman"/>
          <w:sz w:val="15"/>
          <w:szCs w:val="15"/>
        </w:rPr>
        <w:t>（</w:t>
      </w:r>
      <w:r>
        <w:rPr>
          <w:rFonts w:ascii="Times New Roman" w:hAnsi="Times New Roman"/>
          <w:sz w:val="15"/>
          <w:szCs w:val="15"/>
        </w:rPr>
        <w:t>1</w:t>
      </w:r>
      <w:r>
        <w:rPr>
          <w:rFonts w:hint="eastAsia" w:ascii="Times New Roman"/>
          <w:sz w:val="15"/>
          <w:szCs w:val="15"/>
        </w:rPr>
        <w:t>）一份在产品上市之前进行试验并符合规定的验收标准的声明，或（</w:t>
      </w:r>
      <w:r>
        <w:rPr>
          <w:rFonts w:ascii="Times New Roman" w:hAnsi="Times New Roman"/>
          <w:sz w:val="15"/>
          <w:szCs w:val="15"/>
        </w:rPr>
        <w:t>2</w:t>
      </w:r>
      <w:r>
        <w:rPr>
          <w:rFonts w:hint="eastAsia" w:ascii="Times New Roman"/>
          <w:sz w:val="15"/>
          <w:szCs w:val="15"/>
        </w:rPr>
        <w:t>）符合标准的声明。</w:t>
      </w:r>
      <w:r>
        <w:rPr>
          <w:rFonts w:ascii="Times New Roman" w:hAnsi="Times New Roman"/>
          <w:sz w:val="15"/>
          <w:szCs w:val="15"/>
        </w:rPr>
        <w:t>1</w:t>
      </w:r>
      <w:r>
        <w:rPr>
          <w:rFonts w:hint="eastAsia" w:ascii="Times New Roman"/>
          <w:sz w:val="15"/>
          <w:szCs w:val="15"/>
        </w:rPr>
        <w:t>在符合公认标准的声明提交之前，必须完成相关试验。</w:t>
      </w:r>
      <w:r>
        <w:rPr>
          <w:rFonts w:ascii="Times New Roman" w:hAnsi="Times New Roman"/>
          <w:kern w:val="0"/>
          <w:sz w:val="15"/>
          <w:szCs w:val="15"/>
        </w:rPr>
        <w:t>(21 USC 514(c)(2)(B))</w:t>
      </w:r>
      <w:r>
        <w:rPr>
          <w:rFonts w:hint="eastAsia" w:ascii="Times New Roman"/>
          <w:kern w:val="0"/>
          <w:sz w:val="15"/>
          <w:szCs w:val="15"/>
        </w:rPr>
        <w:t>。</w:t>
      </w:r>
      <w:r>
        <w:rPr>
          <w:rFonts w:hint="eastAsia" w:ascii="Times New Roman"/>
          <w:sz w:val="15"/>
          <w:szCs w:val="15"/>
        </w:rPr>
        <w:t>更多信息请参阅</w:t>
      </w:r>
      <w:r>
        <w:rPr>
          <w:rFonts w:ascii="Times New Roman" w:hAnsi="Times New Roman"/>
          <w:sz w:val="15"/>
          <w:szCs w:val="15"/>
        </w:rPr>
        <w:t>FDA</w:t>
      </w:r>
      <w:r>
        <w:rPr>
          <w:rFonts w:hint="eastAsia" w:ascii="Times New Roman"/>
          <w:sz w:val="15"/>
          <w:szCs w:val="15"/>
        </w:rPr>
        <w:t>指导，</w:t>
      </w:r>
      <w:r>
        <w:fldChar w:fldCharType="begin"/>
      </w:r>
      <w:r>
        <w:instrText xml:space="preserve"> HYPERLINK "https://www.fda.gov/MedicalDevices/DeviceRegulationandGuidance/GuidanceDocuments/ucm073752.htm" \h </w:instrText>
      </w:r>
      <w:r>
        <w:fldChar w:fldCharType="separate"/>
      </w:r>
      <w:r>
        <w:rPr>
          <w:rFonts w:hint="eastAsia" w:ascii="Times New Roman"/>
          <w:b/>
          <w:kern w:val="0"/>
          <w:sz w:val="15"/>
          <w:szCs w:val="15"/>
        </w:rPr>
        <w:t>使用标准进行实质等效判定</w:t>
      </w:r>
      <w:r>
        <w:rPr>
          <w:rFonts w:ascii="Times New Roman" w:hAnsi="Times New Roman"/>
          <w:b/>
          <w:kern w:val="0"/>
          <w:sz w:val="15"/>
          <w:szCs w:val="15"/>
        </w:rPr>
        <w:t>-</w:t>
      </w:r>
      <w:r>
        <w:rPr>
          <w:rFonts w:hint="eastAsia" w:ascii="Times New Roman"/>
          <w:b/>
          <w:kern w:val="0"/>
          <w:sz w:val="15"/>
          <w:szCs w:val="15"/>
        </w:rPr>
        <w:t>行业指南和</w:t>
      </w:r>
      <w:r>
        <w:rPr>
          <w:rFonts w:ascii="Times New Roman" w:hAnsi="Times New Roman"/>
          <w:b/>
          <w:kern w:val="0"/>
          <w:sz w:val="15"/>
          <w:szCs w:val="15"/>
        </w:rPr>
        <w:t>FDA</w:t>
      </w:r>
      <w:r>
        <w:rPr>
          <w:rFonts w:hint="eastAsia" w:ascii="Times New Roman"/>
          <w:b/>
          <w:kern w:val="0"/>
          <w:sz w:val="15"/>
          <w:szCs w:val="15"/>
        </w:rPr>
        <w:t>最终指导</w:t>
      </w:r>
      <w:r>
        <w:rPr>
          <w:rFonts w:hint="eastAsia" w:ascii="Times New Roman"/>
          <w:b/>
          <w:kern w:val="0"/>
          <w:sz w:val="15"/>
          <w:szCs w:val="15"/>
        </w:rPr>
        <w:fldChar w:fldCharType="end"/>
      </w:r>
      <w:r>
        <w:rPr>
          <w:rFonts w:hint="eastAsia" w:ascii="Times New Roman"/>
          <w:sz w:val="15"/>
          <w:szCs w:val="15"/>
        </w:rPr>
        <w:t>。</w:t>
      </w:r>
    </w:p>
    <w:p w14:paraId="6402AFFF">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如果尚不清楚您已解决</w:t>
      </w:r>
      <w:r>
        <w:rPr>
          <w:rFonts w:ascii="Times New Roman" w:hAnsi="Times New Roman"/>
          <w:kern w:val="0"/>
          <w:sz w:val="15"/>
          <w:szCs w:val="15"/>
        </w:rPr>
        <w:t>FDA</w:t>
      </w:r>
      <w:r>
        <w:rPr>
          <w:rFonts w:hint="eastAsia" w:ascii="Times New Roman"/>
          <w:kern w:val="0"/>
          <w:sz w:val="15"/>
          <w:szCs w:val="15"/>
        </w:rPr>
        <w:t>或通过风险分析确定的风险，我们可能会要求提供有关器械性能特征方面的其他资料。如果我们需要它来评估您验收标准是否充分，我们也可能会要求提供其他资料。</w:t>
      </w:r>
    </w:p>
    <w:p w14:paraId="1C170614">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作为简略</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）提交的替代方案，您可以提交传统</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），即所有资料和数据均依据本指南所述来提供。传统</w:t>
      </w:r>
      <w:r>
        <w:rPr>
          <w:rFonts w:ascii="Times New Roman" w:hAnsi="Times New Roman"/>
          <w:kern w:val="0"/>
          <w:sz w:val="15"/>
          <w:szCs w:val="15"/>
        </w:rPr>
        <w:t>510</w:t>
      </w:r>
      <w:r>
        <w:rPr>
          <w:rFonts w:hint="eastAsia" w:ascii="Times New Roman"/>
          <w:kern w:val="0"/>
          <w:sz w:val="15"/>
          <w:szCs w:val="15"/>
        </w:rPr>
        <w:t>（</w:t>
      </w:r>
      <w:r>
        <w:rPr>
          <w:rFonts w:ascii="Times New Roman" w:hAnsi="Times New Roman"/>
          <w:kern w:val="0"/>
          <w:sz w:val="15"/>
          <w:szCs w:val="15"/>
        </w:rPr>
        <w:t>k</w:t>
      </w:r>
      <w:r>
        <w:rPr>
          <w:rFonts w:hint="eastAsia" w:ascii="Times New Roman"/>
          <w:kern w:val="0"/>
          <w:sz w:val="15"/>
          <w:szCs w:val="15"/>
        </w:rPr>
        <w:t>）应包括您的所有方法、数据、验收标准和结论。</w:t>
      </w:r>
    </w:p>
    <w:p w14:paraId="03BAA661">
      <w:pPr>
        <w:widowControl/>
        <w:shd w:val="clear" w:color="auto" w:fill="FFFFFF"/>
        <w:spacing w:before="240" w:after="240" w:line="207" w:lineRule="atLeast"/>
        <w:ind w:firstLine="0"/>
        <w:rPr>
          <w:rFonts w:ascii="Times New Roman" w:hAnsi="Times New Roman"/>
          <w:kern w:val="0"/>
          <w:sz w:val="15"/>
          <w:szCs w:val="15"/>
          <w:u w:val="single"/>
        </w:rPr>
      </w:pPr>
      <w:r>
        <w:rPr>
          <w:rFonts w:ascii="Times New Roman"/>
          <w:kern w:val="0"/>
          <w:sz w:val="15"/>
          <w:szCs w:val="15"/>
        </w:rPr>
        <w:br w:type="page"/>
      </w:r>
      <w:r>
        <w:rPr>
          <w:rFonts w:hint="eastAsia" w:ascii="Times New Roman"/>
          <w:kern w:val="0"/>
          <w:sz w:val="15"/>
          <w:szCs w:val="15"/>
          <w:u w:val="single"/>
        </w:rPr>
        <w:t>返回顶部</w:t>
      </w:r>
    </w:p>
    <w:p w14:paraId="2948F575">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9" o:spt="1" style="height:0pt;width:0pt;" fillcolor="#333333" filled="t" stroked="f" coordsize="21600,21600" o:hr="t" o:hrstd="t" o:hrnoshade="t" o:hralign="center">
            <v:path/>
            <v:fill on="t" focussize="0,0"/>
            <v:stroke on="f"/>
            <v:imagedata o:title=""/>
            <o:lock v:ext="edit"/>
            <w10:wrap type="none"/>
            <w10:anchorlock/>
          </v:rect>
        </w:pict>
      </w:r>
    </w:p>
    <w:p w14:paraId="2BB94644">
      <w:pPr>
        <w:widowControl/>
        <w:shd w:val="clear" w:color="auto" w:fill="FFFFFF"/>
        <w:spacing w:after="118"/>
        <w:ind w:firstLine="0"/>
        <w:outlineLvl w:val="0"/>
        <w:rPr>
          <w:rFonts w:ascii="Times New Roman" w:hAnsi="Times New Roman"/>
          <w:b/>
          <w:bCs/>
          <w:kern w:val="0"/>
          <w:sz w:val="23"/>
          <w:szCs w:val="23"/>
        </w:rPr>
      </w:pPr>
      <w:bookmarkStart w:id="7" w:name="_Toc480630801"/>
      <w:r>
        <w:rPr>
          <w:rFonts w:ascii="Times New Roman" w:hAnsi="Times New Roman"/>
          <w:b/>
          <w:kern w:val="0"/>
          <w:sz w:val="23"/>
          <w:szCs w:val="23"/>
        </w:rPr>
        <w:t>6.</w:t>
      </w:r>
      <w:r>
        <w:rPr>
          <w:rFonts w:ascii="Times New Roman" w:hAnsi="Times New Roman"/>
          <w:b/>
          <w:kern w:val="0"/>
          <w:sz w:val="23"/>
          <w:szCs w:val="23"/>
        </w:rPr>
        <w:tab/>
      </w:r>
      <w:r>
        <w:rPr>
          <w:rFonts w:hint="eastAsia" w:ascii="Times New Roman"/>
          <w:b/>
          <w:kern w:val="0"/>
          <w:sz w:val="23"/>
          <w:szCs w:val="23"/>
        </w:rPr>
        <w:t>无菌</w:t>
      </w:r>
      <w:bookmarkEnd w:id="7"/>
    </w:p>
    <w:p w14:paraId="71C241AD">
      <w:pPr>
        <w:widowControl/>
        <w:shd w:val="clear" w:color="auto" w:fill="FFFFFF"/>
        <w:spacing w:line="207" w:lineRule="atLeast"/>
        <w:ind w:firstLine="0"/>
        <w:rPr>
          <w:rFonts w:ascii="Times New Roman" w:hAnsi="Times New Roman"/>
          <w:kern w:val="0"/>
          <w:sz w:val="15"/>
          <w:szCs w:val="15"/>
        </w:rPr>
      </w:pPr>
      <w:r>
        <w:rPr>
          <w:rFonts w:hint="eastAsia" w:ascii="Times New Roman"/>
          <w:sz w:val="15"/>
          <w:szCs w:val="15"/>
        </w:rPr>
        <w:t>根据</w:t>
      </w:r>
      <w:r>
        <w:fldChar w:fldCharType="begin"/>
      </w:r>
      <w:r>
        <w:instrText xml:space="preserve"> HYPERLINK "https://www.fda.gov/MedicalDevices/DeviceRegulationandGuidance/GuidanceDocuments/ucm072783.htm" \h </w:instrText>
      </w:r>
      <w:r>
        <w:fldChar w:fldCharType="separate"/>
      </w:r>
      <w:r>
        <w:rPr>
          <w:rFonts w:hint="eastAsia" w:ascii="Times New Roman"/>
          <w:b/>
          <w:kern w:val="0"/>
          <w:sz w:val="15"/>
          <w:szCs w:val="15"/>
        </w:rPr>
        <w:t>更新版</w:t>
      </w:r>
      <w:r>
        <w:rPr>
          <w:rFonts w:ascii="Times New Roman" w:hAnsi="Times New Roman"/>
          <w:b/>
          <w:kern w:val="0"/>
          <w:sz w:val="15"/>
          <w:szCs w:val="15"/>
        </w:rPr>
        <w:t xml:space="preserve">510(k) </w:t>
      </w:r>
      <w:r>
        <w:rPr>
          <w:rFonts w:hint="eastAsia" w:ascii="Times New Roman"/>
          <w:b/>
          <w:kern w:val="0"/>
          <w:sz w:val="15"/>
          <w:szCs w:val="15"/>
        </w:rPr>
        <w:t>无菌审查指南</w:t>
      </w:r>
      <w:r>
        <w:rPr>
          <w:rFonts w:ascii="Times New Roman" w:hAnsi="Times New Roman"/>
          <w:b/>
          <w:kern w:val="0"/>
          <w:sz w:val="15"/>
          <w:szCs w:val="15"/>
        </w:rPr>
        <w:t xml:space="preserve"> K90-1; </w:t>
      </w:r>
      <w:r>
        <w:rPr>
          <w:rFonts w:hint="eastAsia" w:ascii="Times New Roman"/>
          <w:b/>
          <w:kern w:val="0"/>
          <w:sz w:val="15"/>
          <w:szCs w:val="15"/>
        </w:rPr>
        <w:t>行业指南和</w:t>
      </w:r>
      <w:r>
        <w:rPr>
          <w:rFonts w:ascii="Times New Roman" w:hAnsi="Times New Roman"/>
          <w:b/>
          <w:kern w:val="0"/>
          <w:sz w:val="15"/>
          <w:szCs w:val="15"/>
        </w:rPr>
        <w:t>FDA</w:t>
      </w:r>
      <w:r>
        <w:rPr>
          <w:rFonts w:hint="eastAsia" w:ascii="Times New Roman"/>
          <w:b/>
          <w:kern w:val="0"/>
          <w:sz w:val="15"/>
          <w:szCs w:val="15"/>
        </w:rPr>
        <w:t>最终指导</w:t>
      </w:r>
      <w:r>
        <w:rPr>
          <w:rFonts w:hint="eastAsia" w:ascii="Times New Roman"/>
          <w:b/>
          <w:kern w:val="0"/>
          <w:sz w:val="15"/>
          <w:szCs w:val="15"/>
        </w:rPr>
        <w:fldChar w:fldCharType="end"/>
      </w:r>
      <w:r>
        <w:rPr>
          <w:rFonts w:hint="eastAsia" w:ascii="Times New Roman"/>
          <w:sz w:val="15"/>
          <w:szCs w:val="15"/>
        </w:rPr>
        <w:t>，您应评估器械的无菌情况。</w:t>
      </w:r>
    </w:p>
    <w:p w14:paraId="397DB8CC">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您的总结报告中应包含器械是以无菌方式上市的下列资料：</w:t>
      </w:r>
    </w:p>
    <w:p w14:paraId="17A18882">
      <w:pPr>
        <w:widowControl/>
        <w:numPr>
          <w:ilvl w:val="0"/>
          <w:numId w:val="2"/>
        </w:numPr>
        <w:shd w:val="clear" w:color="auto" w:fill="FFFFFF"/>
        <w:spacing w:line="207" w:lineRule="atLeast"/>
        <w:ind w:left="0" w:firstLine="0"/>
        <w:rPr>
          <w:rFonts w:ascii="Times New Roman" w:hAnsi="Times New Roman"/>
          <w:kern w:val="0"/>
          <w:sz w:val="15"/>
          <w:szCs w:val="15"/>
        </w:rPr>
      </w:pPr>
      <w:r>
        <w:rPr>
          <w:rFonts w:hint="eastAsia" w:ascii="Times New Roman"/>
          <w:kern w:val="0"/>
          <w:sz w:val="15"/>
          <w:szCs w:val="15"/>
        </w:rPr>
        <w:t>灭菌循环中使用的灭菌方法（例如干热、环氧乙烷（</w:t>
      </w:r>
      <w:r>
        <w:rPr>
          <w:rFonts w:ascii="Times New Roman" w:hAnsi="Times New Roman"/>
          <w:kern w:val="0"/>
          <w:sz w:val="15"/>
          <w:szCs w:val="15"/>
        </w:rPr>
        <w:t>EtO</w:t>
      </w:r>
      <w:r>
        <w:rPr>
          <w:rFonts w:hint="eastAsia" w:ascii="Times New Roman"/>
          <w:kern w:val="0"/>
          <w:sz w:val="15"/>
          <w:szCs w:val="15"/>
        </w:rPr>
        <w:t>）、蒸汽、辐射）；</w:t>
      </w:r>
    </w:p>
    <w:p w14:paraId="16EC1908">
      <w:pPr>
        <w:widowControl/>
        <w:numPr>
          <w:ilvl w:val="0"/>
          <w:numId w:val="2"/>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将用于验证灭菌循环（但不是验证数据）方法的描述；</w:t>
      </w:r>
    </w:p>
    <w:p w14:paraId="3E6FD132">
      <w:pPr>
        <w:widowControl/>
        <w:numPr>
          <w:ilvl w:val="0"/>
          <w:numId w:val="2"/>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维持器械无菌（但不是包装完整性试验的数据）的包装描述；</w:t>
      </w:r>
    </w:p>
    <w:p w14:paraId="4D97E792">
      <w:pPr>
        <w:widowControl/>
        <w:numPr>
          <w:ilvl w:val="0"/>
          <w:numId w:val="2"/>
        </w:numPr>
        <w:shd w:val="clear" w:color="auto" w:fill="FFFFFF"/>
        <w:spacing w:before="120" w:line="207" w:lineRule="atLeast"/>
        <w:ind w:left="0" w:firstLine="0"/>
        <w:rPr>
          <w:rFonts w:ascii="Times New Roman" w:hAnsi="Times New Roman"/>
          <w:kern w:val="0"/>
          <w:sz w:val="15"/>
          <w:szCs w:val="15"/>
        </w:rPr>
      </w:pPr>
      <w:r>
        <w:rPr>
          <w:rFonts w:hint="eastAsia" w:ascii="Times New Roman"/>
          <w:sz w:val="15"/>
          <w:szCs w:val="15"/>
        </w:rPr>
        <w:t>无菌保证水平标准（</w:t>
      </w:r>
      <w:r>
        <w:rPr>
          <w:rFonts w:ascii="Times New Roman" w:hAnsi="Times New Roman"/>
          <w:sz w:val="15"/>
          <w:szCs w:val="15"/>
        </w:rPr>
        <w:t>SAL</w:t>
      </w:r>
      <w:r>
        <w:rPr>
          <w:rFonts w:hint="eastAsia" w:ascii="Times New Roman"/>
          <w:sz w:val="15"/>
          <w:szCs w:val="15"/>
        </w:rPr>
        <w:t>）；</w:t>
      </w:r>
      <w:r>
        <w:fldChar w:fldCharType="begin"/>
      </w:r>
      <w:r>
        <w:instrText xml:space="preserve"> HYPERLINK "https://www.fda.gov/medicaldevices/deviceregulationandguidance/guidancedocuments/ucm072917.htm" \l "footnote_2" \h </w:instrText>
      </w:r>
      <w:r>
        <w:fldChar w:fldCharType="separate"/>
      </w:r>
      <w:r>
        <w:rPr>
          <w:rFonts w:ascii="Times New Roman" w:hAnsi="Times New Roman"/>
          <w:kern w:val="0"/>
          <w:sz w:val="15"/>
          <w:szCs w:val="15"/>
          <w:u w:val="single"/>
          <w:vertAlign w:val="superscript"/>
        </w:rPr>
        <w:t>2</w:t>
      </w:r>
      <w:r>
        <w:rPr>
          <w:rFonts w:ascii="Times New Roman" w:hAnsi="Times New Roman"/>
          <w:kern w:val="0"/>
          <w:sz w:val="15"/>
          <w:szCs w:val="15"/>
          <w:u w:val="single"/>
          <w:vertAlign w:val="superscript"/>
        </w:rPr>
        <w:fldChar w:fldCharType="end"/>
      </w:r>
    </w:p>
    <w:p w14:paraId="2CC369BF">
      <w:pPr>
        <w:widowControl/>
        <w:numPr>
          <w:ilvl w:val="0"/>
          <w:numId w:val="2"/>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如果产品被标记为无热原，则要描述用于确定的方法，例如鲎试剂（</w:t>
      </w:r>
      <w:r>
        <w:rPr>
          <w:rFonts w:ascii="Times New Roman" w:hAnsi="Times New Roman"/>
          <w:kern w:val="0"/>
          <w:sz w:val="15"/>
          <w:szCs w:val="15"/>
        </w:rPr>
        <w:t>LAL</w:t>
      </w:r>
      <w:r>
        <w:rPr>
          <w:rFonts w:hint="eastAsia" w:ascii="Times New Roman"/>
          <w:kern w:val="0"/>
          <w:sz w:val="15"/>
          <w:szCs w:val="15"/>
        </w:rPr>
        <w:t>）方法；</w:t>
      </w:r>
    </w:p>
    <w:p w14:paraId="35E72FE1">
      <w:pPr>
        <w:widowControl/>
        <w:numPr>
          <w:ilvl w:val="0"/>
          <w:numId w:val="2"/>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如果采用的是</w:t>
      </w:r>
      <w:r>
        <w:rPr>
          <w:rFonts w:ascii="Times New Roman" w:hAnsi="Times New Roman"/>
          <w:kern w:val="0"/>
          <w:sz w:val="15"/>
          <w:szCs w:val="15"/>
        </w:rPr>
        <w:t>EtO</w:t>
      </w:r>
      <w:r>
        <w:rPr>
          <w:rFonts w:hint="eastAsia" w:ascii="Times New Roman"/>
          <w:kern w:val="0"/>
          <w:sz w:val="15"/>
          <w:szCs w:val="15"/>
        </w:rPr>
        <w:t>灭菌，应有</w:t>
      </w:r>
      <w:r>
        <w:rPr>
          <w:rFonts w:ascii="Times New Roman" w:hAnsi="Times New Roman"/>
          <w:kern w:val="0"/>
          <w:sz w:val="15"/>
          <w:szCs w:val="15"/>
        </w:rPr>
        <w:t>EtO</w:t>
      </w:r>
      <w:r>
        <w:rPr>
          <w:rFonts w:hint="eastAsia" w:ascii="Times New Roman"/>
          <w:kern w:val="0"/>
          <w:sz w:val="15"/>
          <w:szCs w:val="15"/>
        </w:rPr>
        <w:t>和乙二醇残留物的最高水；和</w:t>
      </w:r>
    </w:p>
    <w:p w14:paraId="2C274F08">
      <w:pPr>
        <w:widowControl/>
        <w:numPr>
          <w:ilvl w:val="0"/>
          <w:numId w:val="2"/>
        </w:numPr>
        <w:shd w:val="clear" w:color="auto" w:fill="FFFFFF"/>
        <w:spacing w:before="120" w:line="207" w:lineRule="atLeast"/>
        <w:ind w:left="0" w:firstLine="0"/>
        <w:rPr>
          <w:rFonts w:ascii="Times New Roman" w:hAnsi="Times New Roman"/>
          <w:kern w:val="0"/>
          <w:sz w:val="15"/>
          <w:szCs w:val="15"/>
        </w:rPr>
      </w:pPr>
      <w:r>
        <w:rPr>
          <w:rFonts w:hint="eastAsia" w:ascii="Times New Roman"/>
          <w:kern w:val="0"/>
          <w:sz w:val="15"/>
          <w:szCs w:val="15"/>
        </w:rPr>
        <w:t>如果采用辐射灭菌，应有辐射剂量。</w:t>
      </w:r>
    </w:p>
    <w:p w14:paraId="3BDCC993">
      <w:pPr>
        <w:widowControl/>
        <w:shd w:val="clear" w:color="auto" w:fill="FFFFFF"/>
        <w:spacing w:before="120"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02355F20">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0" o:spt="1" style="height:0pt;width:0pt;" fillcolor="#333333" filled="t" stroked="f" coordsize="21600,21600" o:hr="t" o:hrstd="t" o:hrnoshade="t" o:hralign="center">
            <v:path/>
            <v:fill on="t" focussize="0,0"/>
            <v:stroke on="f"/>
            <v:imagedata o:title=""/>
            <o:lock v:ext="edit"/>
            <w10:wrap type="none"/>
            <w10:anchorlock/>
          </v:rect>
        </w:pict>
      </w:r>
    </w:p>
    <w:p w14:paraId="4864F4F2">
      <w:pPr>
        <w:widowControl/>
        <w:shd w:val="clear" w:color="auto" w:fill="FFFFFF"/>
        <w:spacing w:after="118"/>
        <w:ind w:firstLine="0"/>
        <w:outlineLvl w:val="0"/>
        <w:rPr>
          <w:rFonts w:ascii="Times New Roman" w:hAnsi="Times New Roman"/>
          <w:b/>
          <w:bCs/>
          <w:kern w:val="0"/>
          <w:sz w:val="23"/>
          <w:szCs w:val="23"/>
        </w:rPr>
      </w:pPr>
      <w:bookmarkStart w:id="8" w:name="_Toc480630802"/>
      <w:r>
        <w:rPr>
          <w:rFonts w:ascii="Times New Roman" w:hAnsi="Times New Roman"/>
          <w:b/>
          <w:kern w:val="0"/>
          <w:sz w:val="23"/>
          <w:szCs w:val="23"/>
        </w:rPr>
        <w:t>7.</w:t>
      </w:r>
      <w:r>
        <w:rPr>
          <w:rFonts w:ascii="Times New Roman" w:hAnsi="Times New Roman"/>
          <w:b/>
          <w:kern w:val="0"/>
          <w:sz w:val="23"/>
          <w:szCs w:val="23"/>
        </w:rPr>
        <w:tab/>
      </w:r>
      <w:r>
        <w:rPr>
          <w:rFonts w:hint="eastAsia" w:ascii="Times New Roman"/>
          <w:b/>
          <w:kern w:val="0"/>
          <w:sz w:val="23"/>
          <w:szCs w:val="23"/>
        </w:rPr>
        <w:t>材料和性能特征</w:t>
      </w:r>
      <w:bookmarkEnd w:id="8"/>
    </w:p>
    <w:p w14:paraId="74FBD1C9">
      <w:pPr>
        <w:widowControl/>
        <w:shd w:val="clear" w:color="auto" w:fill="FFFFFF"/>
        <w:spacing w:line="207" w:lineRule="atLeast"/>
        <w:ind w:firstLine="0"/>
        <w:rPr>
          <w:rFonts w:ascii="Times New Roman" w:hAnsi="Times New Roman"/>
          <w:kern w:val="0"/>
          <w:sz w:val="15"/>
          <w:szCs w:val="15"/>
        </w:rPr>
      </w:pPr>
      <w:r>
        <w:rPr>
          <w:rFonts w:hint="eastAsia" w:ascii="Times New Roman"/>
          <w:kern w:val="0"/>
          <w:sz w:val="15"/>
          <w:szCs w:val="15"/>
        </w:rPr>
        <w:t>您应使用以下所列的适用</w:t>
      </w:r>
      <w:r>
        <w:rPr>
          <w:rFonts w:ascii="Times New Roman" w:hAnsi="Times New Roman"/>
          <w:kern w:val="0"/>
          <w:sz w:val="15"/>
          <w:szCs w:val="15"/>
        </w:rPr>
        <w:t>FDA</w:t>
      </w:r>
      <w:r>
        <w:rPr>
          <w:rFonts w:hint="eastAsia" w:ascii="Times New Roman"/>
          <w:kern w:val="0"/>
          <w:sz w:val="15"/>
          <w:szCs w:val="15"/>
        </w:rPr>
        <w:t>指南文件和共识标准来确定器械的材料和性能特征。</w:t>
      </w:r>
    </w:p>
    <w:p w14:paraId="501A614E">
      <w:pPr>
        <w:pStyle w:val="31"/>
        <w:widowControl/>
        <w:numPr>
          <w:ilvl w:val="0"/>
          <w:numId w:val="3"/>
        </w:numPr>
        <w:shd w:val="clear" w:color="auto" w:fill="FFFFFF"/>
        <w:spacing w:line="207" w:lineRule="atLeast"/>
        <w:ind w:left="0" w:firstLine="0" w:firstLineChars="0"/>
        <w:rPr>
          <w:rFonts w:ascii="Times New Roman" w:hAnsi="Times New Roman"/>
          <w:b/>
          <w:bCs/>
          <w:kern w:val="0"/>
          <w:sz w:val="19"/>
          <w:szCs w:val="19"/>
        </w:rPr>
      </w:pPr>
      <w:r>
        <w:rPr>
          <w:rFonts w:ascii="Times New Roman" w:hAnsi="Times New Roman"/>
          <w:b/>
          <w:bCs/>
          <w:kern w:val="0"/>
          <w:sz w:val="19"/>
          <w:szCs w:val="19"/>
        </w:rPr>
        <w:t>FDA</w:t>
      </w:r>
      <w:r>
        <w:rPr>
          <w:rFonts w:hint="eastAsia" w:ascii="Times New Roman"/>
          <w:b/>
          <w:bCs/>
          <w:kern w:val="0"/>
          <w:sz w:val="19"/>
          <w:szCs w:val="19"/>
        </w:rPr>
        <w:t>指南文件：</w:t>
      </w:r>
    </w:p>
    <w:p w14:paraId="713BB208">
      <w:pPr>
        <w:widowControl/>
        <w:numPr>
          <w:ilvl w:val="0"/>
          <w:numId w:val="4"/>
        </w:numPr>
        <w:ind w:left="0" w:firstLine="0"/>
        <w:rPr>
          <w:rFonts w:ascii="Times New Roman" w:hAnsi="Times New Roman"/>
          <w:kern w:val="0"/>
          <w:sz w:val="15"/>
          <w:szCs w:val="15"/>
        </w:rPr>
      </w:pPr>
      <w:r>
        <w:fldChar w:fldCharType="begin"/>
      </w:r>
      <w:r>
        <w:instrText xml:space="preserve"> HYPERLINK "https://www.fda.gov/MedicalDevices/DeviceRegulationandGuidance/GuidanceDocuments/ucm081034.htm" </w:instrText>
      </w:r>
      <w:r>
        <w:fldChar w:fldCharType="separate"/>
      </w:r>
      <w:r>
        <w:rPr>
          <w:rFonts w:ascii="Times New Roman" w:hAnsi="Times New Roman"/>
          <w:kern w:val="0"/>
          <w:sz w:val="15"/>
          <w:szCs w:val="15"/>
          <w:u w:val="single"/>
        </w:rPr>
        <w:t>"</w:t>
      </w:r>
      <w:r>
        <w:rPr>
          <w:rFonts w:hint="eastAsia" w:ascii="Times New Roman"/>
          <w:kern w:val="0"/>
          <w:sz w:val="15"/>
          <w:szCs w:val="15"/>
          <w:u w:val="single"/>
        </w:rPr>
        <w:t>面向骨或者骨水泥的含改进型金属表面的骨科植入物的测试指导意见</w:t>
      </w:r>
      <w:r>
        <w:rPr>
          <w:rFonts w:ascii="Times New Roman" w:hAnsi="Times New Roman"/>
          <w:kern w:val="0"/>
          <w:sz w:val="15"/>
          <w:szCs w:val="15"/>
          <w:u w:val="single"/>
        </w:rPr>
        <w:t>"</w:t>
      </w:r>
      <w:r>
        <w:rPr>
          <w:rFonts w:ascii="Times New Roman" w:hAnsi="Times New Roman"/>
          <w:kern w:val="0"/>
          <w:sz w:val="15"/>
          <w:szCs w:val="15"/>
          <w:u w:val="single"/>
        </w:rPr>
        <w:fldChar w:fldCharType="end"/>
      </w:r>
    </w:p>
    <w:p w14:paraId="5BCE6118">
      <w:pPr>
        <w:widowControl/>
        <w:numPr>
          <w:ilvl w:val="0"/>
          <w:numId w:val="4"/>
        </w:numPr>
        <w:ind w:left="0" w:firstLine="0"/>
        <w:rPr>
          <w:rFonts w:ascii="Times New Roman" w:hAnsi="Times New Roman"/>
          <w:kern w:val="0"/>
          <w:sz w:val="15"/>
          <w:szCs w:val="15"/>
        </w:rPr>
      </w:pPr>
      <w:r>
        <w:fldChar w:fldCharType="begin"/>
      </w:r>
      <w:r>
        <w:instrText xml:space="preserve"> HYPERLINK "https://www.fda.gov/MedicalDevices/DeviceRegulationandGuidance/GuidanceDocuments/ucm080709.htm" </w:instrText>
      </w:r>
      <w:r>
        <w:fldChar w:fldCharType="separate"/>
      </w:r>
      <w:r>
        <w:rPr>
          <w:rFonts w:ascii="Times New Roman" w:hAnsi="Times New Roman"/>
          <w:kern w:val="0"/>
          <w:sz w:val="15"/>
          <w:szCs w:val="15"/>
          <w:u w:val="single"/>
        </w:rPr>
        <w:t>"</w:t>
      </w:r>
      <w:r>
        <w:rPr>
          <w:rFonts w:hint="eastAsia" w:ascii="Times New Roman"/>
          <w:kern w:val="0"/>
          <w:sz w:val="15"/>
          <w:szCs w:val="15"/>
          <w:u w:val="single"/>
        </w:rPr>
        <w:t>非接合机械锁定单元型植入物部件的测试指导意见</w:t>
      </w:r>
      <w:r>
        <w:rPr>
          <w:rFonts w:ascii="Times New Roman" w:hAnsi="Times New Roman"/>
          <w:kern w:val="0"/>
          <w:sz w:val="15"/>
          <w:szCs w:val="15"/>
          <w:u w:val="single"/>
        </w:rPr>
        <w:t>"</w:t>
      </w:r>
      <w:r>
        <w:rPr>
          <w:rFonts w:ascii="Times New Roman" w:hAnsi="Times New Roman"/>
          <w:kern w:val="0"/>
          <w:sz w:val="15"/>
          <w:szCs w:val="15"/>
          <w:u w:val="single"/>
        </w:rPr>
        <w:fldChar w:fldCharType="end"/>
      </w:r>
    </w:p>
    <w:p w14:paraId="1758A6EC">
      <w:pPr>
        <w:widowControl/>
        <w:numPr>
          <w:ilvl w:val="0"/>
          <w:numId w:val="4"/>
        </w:numPr>
        <w:ind w:left="0" w:firstLine="0"/>
        <w:rPr>
          <w:rFonts w:ascii="Times New Roman" w:hAnsi="Times New Roman"/>
          <w:kern w:val="0"/>
          <w:sz w:val="15"/>
          <w:szCs w:val="15"/>
        </w:rPr>
      </w:pPr>
      <w:r>
        <w:rPr>
          <w:rFonts w:ascii="Times New Roman" w:hAnsi="Times New Roman"/>
          <w:kern w:val="0"/>
          <w:sz w:val="15"/>
          <w:szCs w:val="15"/>
        </w:rPr>
        <w:t>“</w:t>
      </w:r>
      <w:r>
        <w:rPr>
          <w:rFonts w:hint="eastAsia" w:ascii="Times New Roman"/>
          <w:kern w:val="0"/>
          <w:sz w:val="15"/>
          <w:szCs w:val="15"/>
        </w:rPr>
        <w:t>骨科器械上市前通告（</w:t>
      </w:r>
      <w:r>
        <w:rPr>
          <w:rFonts w:ascii="Times New Roman" w:hAnsi="Times New Roman"/>
          <w:kern w:val="0"/>
          <w:sz w:val="15"/>
          <w:szCs w:val="15"/>
        </w:rPr>
        <w:t>510(k)</w:t>
      </w:r>
      <w:r>
        <w:rPr>
          <w:rFonts w:hint="eastAsia" w:ascii="Times New Roman"/>
          <w:kern w:val="0"/>
          <w:sz w:val="15"/>
          <w:szCs w:val="15"/>
        </w:rPr>
        <w:t>）申报资料的制作指导意见草案</w:t>
      </w:r>
      <w:r>
        <w:rPr>
          <w:rFonts w:ascii="Times New Roman" w:hAnsi="Times New Roman"/>
          <w:kern w:val="0"/>
          <w:sz w:val="15"/>
          <w:szCs w:val="15"/>
        </w:rPr>
        <w:t xml:space="preserve"> - </w:t>
      </w:r>
      <w:r>
        <w:rPr>
          <w:rFonts w:hint="eastAsia" w:ascii="Times New Roman"/>
          <w:kern w:val="0"/>
          <w:sz w:val="15"/>
          <w:szCs w:val="15"/>
        </w:rPr>
        <w:t>基本元素</w:t>
      </w:r>
      <w:r>
        <w:rPr>
          <w:rFonts w:ascii="Times New Roman" w:hAnsi="Times New Roman"/>
          <w:kern w:val="0"/>
          <w:sz w:val="15"/>
          <w:szCs w:val="15"/>
        </w:rPr>
        <w:t>http://www.fda.gov/cdrh/ode/832.htm”</w:t>
      </w:r>
    </w:p>
    <w:p w14:paraId="1627632C">
      <w:pPr>
        <w:widowControl/>
        <w:numPr>
          <w:ilvl w:val="0"/>
          <w:numId w:val="4"/>
        </w:numPr>
        <w:ind w:left="0" w:firstLine="0"/>
        <w:rPr>
          <w:rFonts w:ascii="Times New Roman" w:hAnsi="Times New Roman"/>
          <w:kern w:val="0"/>
          <w:sz w:val="15"/>
          <w:szCs w:val="15"/>
        </w:rPr>
      </w:pPr>
      <w:r>
        <w:rPr>
          <w:rFonts w:ascii="Times New Roman" w:hAnsi="Times New Roman"/>
          <w:kern w:val="0"/>
          <w:sz w:val="15"/>
          <w:szCs w:val="15"/>
        </w:rPr>
        <w:t>“</w:t>
      </w:r>
      <w:r>
        <w:rPr>
          <w:rFonts w:hint="eastAsia" w:ascii="Times New Roman"/>
          <w:kern w:val="0"/>
          <w:sz w:val="15"/>
          <w:szCs w:val="15"/>
        </w:rPr>
        <w:t>骨科器械中使用的超高分子量聚乙烯（</w:t>
      </w:r>
      <w:r>
        <w:rPr>
          <w:rFonts w:ascii="Times New Roman" w:hAnsi="Times New Roman"/>
          <w:kern w:val="0"/>
          <w:sz w:val="15"/>
          <w:szCs w:val="15"/>
        </w:rPr>
        <w:t>UHMWPe</w:t>
      </w:r>
      <w:r>
        <w:rPr>
          <w:rFonts w:hint="eastAsia" w:ascii="Times New Roman"/>
          <w:kern w:val="0"/>
          <w:sz w:val="15"/>
          <w:szCs w:val="15"/>
        </w:rPr>
        <w:t>）的数据要求</w:t>
      </w:r>
      <w:r>
        <w:rPr>
          <w:rFonts w:ascii="Times New Roman" w:hAnsi="Times New Roman"/>
          <w:kern w:val="0"/>
          <w:sz w:val="15"/>
          <w:szCs w:val="15"/>
        </w:rPr>
        <w:t>http://www.fda.gov/cdrh/ode/180.htm”</w:t>
      </w:r>
    </w:p>
    <w:p w14:paraId="3EA5FCA8">
      <w:pPr>
        <w:widowControl/>
        <w:numPr>
          <w:ilvl w:val="0"/>
          <w:numId w:val="5"/>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w:t>
      </w:r>
      <w:r>
        <w:rPr>
          <w:rFonts w:hint="eastAsia" w:ascii="Times New Roman"/>
          <w:kern w:val="0"/>
          <w:sz w:val="15"/>
          <w:szCs w:val="15"/>
        </w:rPr>
        <w:t>股骨柄假体指南草案文件</w:t>
      </w:r>
      <w:r>
        <w:rPr>
          <w:rFonts w:ascii="Times New Roman" w:hAnsi="Times New Roman"/>
          <w:kern w:val="0"/>
          <w:sz w:val="15"/>
          <w:szCs w:val="15"/>
        </w:rPr>
        <w:t>”http://www.fda.gov/cdrh/ode/187.html</w:t>
      </w:r>
    </w:p>
    <w:p w14:paraId="2E8CF027">
      <w:pPr>
        <w:widowControl/>
        <w:numPr>
          <w:ilvl w:val="0"/>
          <w:numId w:val="5"/>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w:t>
      </w:r>
      <w:r>
        <w:rPr>
          <w:rFonts w:hint="eastAsia" w:ascii="Times New Roman"/>
          <w:kern w:val="0"/>
          <w:sz w:val="15"/>
          <w:szCs w:val="15"/>
        </w:rPr>
        <w:t>髋臼假体试验指南草案文件</w:t>
      </w:r>
      <w:r>
        <w:rPr>
          <w:rFonts w:ascii="Times New Roman" w:hAnsi="Times New Roman"/>
          <w:kern w:val="0"/>
          <w:sz w:val="15"/>
          <w:szCs w:val="15"/>
        </w:rPr>
        <w:t>”http://www.fda.gov/cdrh/ode/453.html</w:t>
      </w:r>
    </w:p>
    <w:p w14:paraId="5845EE2C">
      <w:pPr>
        <w:pStyle w:val="31"/>
        <w:widowControl/>
        <w:numPr>
          <w:ilvl w:val="0"/>
          <w:numId w:val="3"/>
        </w:numPr>
        <w:shd w:val="clear" w:color="auto" w:fill="FFFFFF"/>
        <w:spacing w:before="236" w:after="118"/>
        <w:ind w:left="0" w:firstLine="0" w:firstLineChars="0"/>
        <w:outlineLvl w:val="3"/>
        <w:rPr>
          <w:rFonts w:ascii="Times New Roman" w:hAnsi="Times New Roman"/>
          <w:b/>
          <w:kern w:val="0"/>
          <w:sz w:val="19"/>
          <w:szCs w:val="19"/>
        </w:rPr>
      </w:pPr>
      <w:r>
        <w:rPr>
          <w:rFonts w:hint="eastAsia" w:ascii="Times New Roman"/>
          <w:b/>
          <w:kern w:val="0"/>
          <w:sz w:val="19"/>
          <w:szCs w:val="19"/>
        </w:rPr>
        <w:t>美国试验和材料学会（</w:t>
      </w:r>
      <w:r>
        <w:rPr>
          <w:rFonts w:ascii="Times New Roman" w:hAnsi="Times New Roman"/>
          <w:b/>
          <w:kern w:val="0"/>
          <w:sz w:val="19"/>
          <w:szCs w:val="19"/>
        </w:rPr>
        <w:t>ASTM</w:t>
      </w:r>
      <w:r>
        <w:rPr>
          <w:rFonts w:hint="eastAsia" w:ascii="Times New Roman"/>
          <w:b/>
          <w:kern w:val="0"/>
          <w:sz w:val="19"/>
          <w:szCs w:val="19"/>
        </w:rPr>
        <w:t>）共识标准</w:t>
      </w:r>
    </w:p>
    <w:p w14:paraId="27F99FBA">
      <w:pPr>
        <w:widowControl/>
        <w:numPr>
          <w:ilvl w:val="0"/>
          <w:numId w:val="6"/>
        </w:numPr>
        <w:spacing w:before="120"/>
        <w:ind w:left="0" w:firstLine="0"/>
        <w:rPr>
          <w:rFonts w:ascii="Times New Roman" w:hAnsi="Times New Roman"/>
          <w:kern w:val="0"/>
          <w:sz w:val="15"/>
          <w:szCs w:val="15"/>
        </w:rPr>
      </w:pPr>
      <w:r>
        <w:rPr>
          <w:rFonts w:ascii="Times New Roman" w:hAnsi="Times New Roman"/>
          <w:kern w:val="0"/>
          <w:sz w:val="15"/>
          <w:szCs w:val="15"/>
        </w:rPr>
        <w:t>F 67-00, "</w:t>
      </w:r>
      <w:r>
        <w:rPr>
          <w:rFonts w:hint="eastAsia" w:ascii="Times New Roman"/>
          <w:kern w:val="0"/>
          <w:sz w:val="15"/>
          <w:szCs w:val="15"/>
        </w:rPr>
        <w:t>用于外科植入物的非合金钛的标准规范</w:t>
      </w:r>
      <w:r>
        <w:rPr>
          <w:rFonts w:ascii="Times New Roman" w:hAnsi="Times New Roman"/>
          <w:kern w:val="0"/>
          <w:sz w:val="15"/>
          <w:szCs w:val="15"/>
        </w:rPr>
        <w:t>"</w:t>
      </w:r>
    </w:p>
    <w:p w14:paraId="215CCD85">
      <w:pPr>
        <w:widowControl/>
        <w:numPr>
          <w:ilvl w:val="0"/>
          <w:numId w:val="6"/>
        </w:numPr>
        <w:spacing w:before="120"/>
        <w:ind w:left="0" w:firstLine="0"/>
        <w:rPr>
          <w:rFonts w:ascii="Times New Roman" w:hAnsi="Times New Roman"/>
          <w:kern w:val="0"/>
          <w:sz w:val="15"/>
          <w:szCs w:val="15"/>
        </w:rPr>
      </w:pPr>
      <w:r>
        <w:rPr>
          <w:rFonts w:ascii="Times New Roman" w:hAnsi="Times New Roman"/>
          <w:kern w:val="0"/>
          <w:sz w:val="15"/>
          <w:szCs w:val="15"/>
        </w:rPr>
        <w:t>F 75-98, "</w:t>
      </w:r>
      <w:r>
        <w:rPr>
          <w:rFonts w:hint="eastAsia" w:ascii="Times New Roman"/>
          <w:kern w:val="0"/>
          <w:sz w:val="15"/>
          <w:szCs w:val="15"/>
        </w:rPr>
        <w:t>用于外科植入物的钴</w:t>
      </w:r>
      <w:r>
        <w:rPr>
          <w:rFonts w:ascii="Times New Roman" w:hAnsi="Times New Roman"/>
          <w:kern w:val="0"/>
          <w:sz w:val="15"/>
          <w:szCs w:val="15"/>
        </w:rPr>
        <w:t>-28</w:t>
      </w:r>
      <w:r>
        <w:rPr>
          <w:rFonts w:hint="eastAsia" w:ascii="Times New Roman"/>
          <w:kern w:val="0"/>
          <w:sz w:val="15"/>
          <w:szCs w:val="15"/>
        </w:rPr>
        <w:t>铬</w:t>
      </w:r>
      <w:r>
        <w:rPr>
          <w:rFonts w:ascii="Times New Roman" w:hAnsi="Times New Roman"/>
          <w:kern w:val="0"/>
          <w:sz w:val="15"/>
          <w:szCs w:val="15"/>
        </w:rPr>
        <w:t>-6</w:t>
      </w:r>
      <w:r>
        <w:rPr>
          <w:rFonts w:hint="eastAsia" w:ascii="Times New Roman"/>
          <w:kern w:val="0"/>
          <w:sz w:val="15"/>
          <w:szCs w:val="15"/>
        </w:rPr>
        <w:t>钼铸造合金和铸造产品的标准规范</w:t>
      </w:r>
      <w:r>
        <w:rPr>
          <w:rFonts w:ascii="Times New Roman" w:hAnsi="Times New Roman"/>
          <w:kern w:val="0"/>
          <w:sz w:val="15"/>
          <w:szCs w:val="15"/>
        </w:rPr>
        <w:t>(UNS R30075)"</w:t>
      </w:r>
    </w:p>
    <w:p w14:paraId="04D87889">
      <w:pPr>
        <w:widowControl/>
        <w:spacing w:before="120"/>
        <w:ind w:firstLine="0"/>
        <w:rPr>
          <w:rFonts w:ascii="Times New Roman" w:hAnsi="Times New Roman"/>
          <w:kern w:val="0"/>
          <w:sz w:val="15"/>
          <w:szCs w:val="15"/>
        </w:rPr>
      </w:pPr>
      <w:r>
        <w:rPr>
          <w:rFonts w:ascii="Times New Roman" w:hAnsi="Times New Roman"/>
          <w:kern w:val="0"/>
          <w:sz w:val="15"/>
          <w:szCs w:val="15"/>
        </w:rPr>
        <w:br w:type="page"/>
      </w:r>
    </w:p>
    <w:p w14:paraId="313C18FB">
      <w:pPr>
        <w:widowControl/>
        <w:numPr>
          <w:ilvl w:val="0"/>
          <w:numId w:val="6"/>
        </w:numPr>
        <w:spacing w:before="120"/>
        <w:ind w:left="0" w:firstLine="0"/>
        <w:rPr>
          <w:rFonts w:ascii="Times New Roman" w:hAnsi="Times New Roman"/>
          <w:kern w:val="0"/>
          <w:sz w:val="15"/>
          <w:szCs w:val="15"/>
        </w:rPr>
      </w:pPr>
      <w:r>
        <w:rPr>
          <w:rFonts w:ascii="Times New Roman" w:hAnsi="Times New Roman"/>
          <w:kern w:val="0"/>
          <w:sz w:val="15"/>
          <w:szCs w:val="15"/>
        </w:rPr>
        <w:t>F 86-01, "</w:t>
      </w:r>
      <w:r>
        <w:rPr>
          <w:rFonts w:hint="eastAsia" w:ascii="Times New Roman"/>
          <w:kern w:val="0"/>
          <w:sz w:val="15"/>
          <w:szCs w:val="15"/>
        </w:rPr>
        <w:t>金属外科植入物的表面准备和标记的标准操作规范</w:t>
      </w:r>
      <w:r>
        <w:rPr>
          <w:rFonts w:ascii="Times New Roman" w:hAnsi="Times New Roman"/>
          <w:kern w:val="0"/>
          <w:sz w:val="15"/>
          <w:szCs w:val="15"/>
        </w:rPr>
        <w:t>"</w:t>
      </w:r>
    </w:p>
    <w:p w14:paraId="370FE8A1">
      <w:pPr>
        <w:widowControl/>
        <w:numPr>
          <w:ilvl w:val="0"/>
          <w:numId w:val="7"/>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F 90-97</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外科植入物用锻造钴</w:t>
      </w:r>
      <w:r>
        <w:rPr>
          <w:rFonts w:ascii="Times New Roman" w:hAnsi="Times New Roman"/>
          <w:kern w:val="0"/>
          <w:sz w:val="15"/>
          <w:szCs w:val="15"/>
        </w:rPr>
        <w:t>-20</w:t>
      </w:r>
      <w:r>
        <w:rPr>
          <w:rFonts w:hint="eastAsia" w:ascii="Times New Roman"/>
          <w:kern w:val="0"/>
          <w:sz w:val="15"/>
          <w:szCs w:val="15"/>
        </w:rPr>
        <w:t>铬</w:t>
      </w:r>
      <w:r>
        <w:rPr>
          <w:rFonts w:ascii="Times New Roman" w:hAnsi="Times New Roman"/>
          <w:kern w:val="0"/>
          <w:sz w:val="15"/>
          <w:szCs w:val="15"/>
        </w:rPr>
        <w:t>-15</w:t>
      </w:r>
      <w:r>
        <w:rPr>
          <w:rFonts w:hint="eastAsia" w:ascii="Times New Roman"/>
          <w:kern w:val="0"/>
          <w:sz w:val="15"/>
          <w:szCs w:val="15"/>
        </w:rPr>
        <w:t>钨</w:t>
      </w:r>
      <w:r>
        <w:rPr>
          <w:rFonts w:ascii="Times New Roman" w:hAnsi="Times New Roman"/>
          <w:kern w:val="0"/>
          <w:sz w:val="15"/>
          <w:szCs w:val="15"/>
        </w:rPr>
        <w:t>-10</w:t>
      </w:r>
      <w:r>
        <w:rPr>
          <w:rFonts w:hint="eastAsia" w:ascii="Times New Roman"/>
          <w:kern w:val="0"/>
          <w:sz w:val="15"/>
          <w:szCs w:val="15"/>
        </w:rPr>
        <w:t>镍合金的标准规范（</w:t>
      </w:r>
      <w:r>
        <w:rPr>
          <w:rFonts w:ascii="Times New Roman" w:hAnsi="Times New Roman"/>
          <w:kern w:val="0"/>
          <w:sz w:val="15"/>
          <w:szCs w:val="15"/>
        </w:rPr>
        <w:t>UNS R30605</w:t>
      </w:r>
      <w:r>
        <w:rPr>
          <w:rFonts w:hint="eastAsia" w:ascii="Times New Roman"/>
          <w:kern w:val="0"/>
          <w:sz w:val="15"/>
          <w:szCs w:val="15"/>
        </w:rPr>
        <w:t>）</w:t>
      </w:r>
      <w:r>
        <w:rPr>
          <w:rFonts w:ascii="Times New Roman" w:hAnsi="Times New Roman"/>
          <w:kern w:val="0"/>
          <w:sz w:val="15"/>
          <w:szCs w:val="15"/>
        </w:rPr>
        <w:t>”</w:t>
      </w:r>
    </w:p>
    <w:p w14:paraId="13312C00">
      <w:pPr>
        <w:pStyle w:val="31"/>
        <w:widowControl/>
        <w:numPr>
          <w:ilvl w:val="0"/>
          <w:numId w:val="7"/>
        </w:numPr>
        <w:spacing w:before="120"/>
        <w:ind w:left="0" w:firstLine="0" w:firstLineChars="0"/>
        <w:rPr>
          <w:rFonts w:ascii="Times New Roman" w:hAnsi="Times New Roman"/>
          <w:kern w:val="0"/>
          <w:sz w:val="15"/>
          <w:szCs w:val="15"/>
        </w:rPr>
      </w:pPr>
      <w:r>
        <w:rPr>
          <w:rFonts w:ascii="Times New Roman" w:hAnsi="Times New Roman"/>
          <w:kern w:val="0"/>
          <w:sz w:val="15"/>
          <w:szCs w:val="15"/>
        </w:rPr>
        <w:t>F 136-98, "</w:t>
      </w:r>
      <w:r>
        <w:rPr>
          <w:rFonts w:hint="eastAsia" w:ascii="Times New Roman"/>
          <w:kern w:val="0"/>
          <w:sz w:val="15"/>
          <w:szCs w:val="15"/>
        </w:rPr>
        <w:t>用于外科植入物的变形钛</w:t>
      </w:r>
      <w:r>
        <w:rPr>
          <w:rFonts w:ascii="Times New Roman" w:hAnsi="Times New Roman"/>
          <w:kern w:val="0"/>
          <w:sz w:val="15"/>
          <w:szCs w:val="15"/>
        </w:rPr>
        <w:t>-6</w:t>
      </w:r>
      <w:r>
        <w:rPr>
          <w:rFonts w:hint="eastAsia" w:ascii="Times New Roman"/>
          <w:kern w:val="0"/>
          <w:sz w:val="15"/>
          <w:szCs w:val="15"/>
        </w:rPr>
        <w:t>铝</w:t>
      </w:r>
      <w:r>
        <w:rPr>
          <w:rFonts w:ascii="Times New Roman" w:hAnsi="Times New Roman"/>
          <w:kern w:val="0"/>
          <w:sz w:val="15"/>
          <w:szCs w:val="15"/>
        </w:rPr>
        <w:t>-4</w:t>
      </w:r>
      <w:r>
        <w:rPr>
          <w:rFonts w:hint="eastAsia" w:ascii="Times New Roman"/>
          <w:kern w:val="0"/>
          <w:sz w:val="15"/>
          <w:szCs w:val="15"/>
        </w:rPr>
        <w:t>钒</w:t>
      </w:r>
      <w:r>
        <w:rPr>
          <w:rFonts w:ascii="Times New Roman" w:hAnsi="Times New Roman"/>
          <w:kern w:val="0"/>
          <w:sz w:val="15"/>
          <w:szCs w:val="15"/>
        </w:rPr>
        <w:t>ELI</w:t>
      </w:r>
      <w:r>
        <w:rPr>
          <w:rFonts w:hint="eastAsia" w:ascii="Times New Roman"/>
          <w:kern w:val="0"/>
          <w:sz w:val="15"/>
          <w:szCs w:val="15"/>
        </w:rPr>
        <w:t>（超低间隙）合金的标准规范（</w:t>
      </w:r>
      <w:r>
        <w:rPr>
          <w:rFonts w:ascii="Times New Roman" w:hAnsi="Times New Roman"/>
          <w:kern w:val="0"/>
          <w:sz w:val="15"/>
          <w:szCs w:val="15"/>
        </w:rPr>
        <w:t>UNS R56401</w:t>
      </w:r>
      <w:r>
        <w:rPr>
          <w:rFonts w:hint="eastAsia" w:ascii="Times New Roman"/>
          <w:kern w:val="0"/>
          <w:sz w:val="15"/>
          <w:szCs w:val="15"/>
        </w:rPr>
        <w:t>）</w:t>
      </w:r>
      <w:r>
        <w:rPr>
          <w:rFonts w:ascii="Times New Roman" w:hAnsi="Times New Roman"/>
          <w:kern w:val="0"/>
          <w:sz w:val="15"/>
          <w:szCs w:val="15"/>
        </w:rPr>
        <w:t>"</w:t>
      </w:r>
    </w:p>
    <w:p w14:paraId="4609D775">
      <w:pPr>
        <w:widowControl/>
        <w:numPr>
          <w:ilvl w:val="0"/>
          <w:numId w:val="7"/>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F 138-00“</w:t>
      </w:r>
      <w:r>
        <w:rPr>
          <w:rFonts w:hint="eastAsia" w:ascii="Times New Roman"/>
          <w:kern w:val="0"/>
          <w:sz w:val="15"/>
          <w:szCs w:val="15"/>
        </w:rPr>
        <w:t>外科植入物用锻造</w:t>
      </w:r>
      <w:r>
        <w:rPr>
          <w:rFonts w:ascii="Times New Roman" w:hAnsi="Times New Roman"/>
          <w:kern w:val="0"/>
          <w:sz w:val="15"/>
          <w:szCs w:val="15"/>
        </w:rPr>
        <w:t>18</w:t>
      </w:r>
      <w:r>
        <w:rPr>
          <w:rFonts w:hint="eastAsia" w:ascii="Times New Roman"/>
          <w:kern w:val="0"/>
          <w:sz w:val="15"/>
          <w:szCs w:val="15"/>
        </w:rPr>
        <w:t>铬</w:t>
      </w:r>
      <w:r>
        <w:rPr>
          <w:rFonts w:ascii="Times New Roman" w:hAnsi="Times New Roman"/>
          <w:kern w:val="0"/>
          <w:sz w:val="15"/>
          <w:szCs w:val="15"/>
        </w:rPr>
        <w:t>-14</w:t>
      </w:r>
      <w:r>
        <w:rPr>
          <w:rFonts w:hint="eastAsia" w:ascii="Times New Roman"/>
          <w:kern w:val="0"/>
          <w:sz w:val="15"/>
          <w:szCs w:val="15"/>
        </w:rPr>
        <w:t>镍</w:t>
      </w:r>
      <w:r>
        <w:rPr>
          <w:rFonts w:ascii="Times New Roman" w:hAnsi="Times New Roman"/>
          <w:kern w:val="0"/>
          <w:sz w:val="15"/>
          <w:szCs w:val="15"/>
        </w:rPr>
        <w:t>-2.5</w:t>
      </w:r>
      <w:r>
        <w:rPr>
          <w:rFonts w:hint="eastAsia" w:ascii="Times New Roman"/>
          <w:kern w:val="0"/>
          <w:sz w:val="15"/>
          <w:szCs w:val="15"/>
        </w:rPr>
        <w:t>钼不锈钢棒及钢丝的标准规范</w:t>
      </w:r>
      <w:r>
        <w:rPr>
          <w:rFonts w:ascii="Times New Roman" w:hAnsi="Times New Roman"/>
          <w:kern w:val="0"/>
          <w:sz w:val="15"/>
          <w:szCs w:val="15"/>
        </w:rPr>
        <w:t>”</w:t>
      </w:r>
      <w:r>
        <w:rPr>
          <w:rFonts w:hint="eastAsia" w:ascii="Times New Roman"/>
          <w:kern w:val="0"/>
          <w:sz w:val="15"/>
          <w:szCs w:val="15"/>
        </w:rPr>
        <w:t>（</w:t>
      </w:r>
      <w:r>
        <w:rPr>
          <w:rFonts w:ascii="Times New Roman" w:hAnsi="Times New Roman"/>
          <w:kern w:val="0"/>
          <w:sz w:val="15"/>
          <w:szCs w:val="15"/>
        </w:rPr>
        <w:t>UNS S31673</w:t>
      </w:r>
      <w:r>
        <w:rPr>
          <w:rFonts w:hint="eastAsia" w:ascii="Times New Roman"/>
          <w:kern w:val="0"/>
          <w:sz w:val="15"/>
          <w:szCs w:val="15"/>
        </w:rPr>
        <w:t>）</w:t>
      </w:r>
      <w:r>
        <w:rPr>
          <w:rFonts w:ascii="Times New Roman" w:hAnsi="Times New Roman"/>
          <w:kern w:val="0"/>
          <w:sz w:val="15"/>
          <w:szCs w:val="15"/>
        </w:rPr>
        <w:t>“</w:t>
      </w:r>
    </w:p>
    <w:p w14:paraId="307E7B8A">
      <w:pPr>
        <w:widowControl/>
        <w:numPr>
          <w:ilvl w:val="0"/>
          <w:numId w:val="7"/>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F 562-00</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外科植入物用锻造钴</w:t>
      </w:r>
      <w:r>
        <w:rPr>
          <w:rFonts w:ascii="Times New Roman" w:hAnsi="Times New Roman"/>
          <w:kern w:val="0"/>
          <w:sz w:val="15"/>
          <w:szCs w:val="15"/>
        </w:rPr>
        <w:t>-35</w:t>
      </w:r>
      <w:r>
        <w:rPr>
          <w:rFonts w:hint="eastAsia" w:ascii="Times New Roman"/>
          <w:kern w:val="0"/>
          <w:sz w:val="15"/>
          <w:szCs w:val="15"/>
        </w:rPr>
        <w:t>镍</w:t>
      </w:r>
      <w:r>
        <w:rPr>
          <w:rFonts w:ascii="Times New Roman" w:hAnsi="Times New Roman"/>
          <w:kern w:val="0"/>
          <w:sz w:val="15"/>
          <w:szCs w:val="15"/>
        </w:rPr>
        <w:t>-20</w:t>
      </w:r>
      <w:r>
        <w:rPr>
          <w:rFonts w:hint="eastAsia" w:ascii="Times New Roman"/>
          <w:kern w:val="0"/>
          <w:sz w:val="15"/>
          <w:szCs w:val="15"/>
        </w:rPr>
        <w:t>铬</w:t>
      </w:r>
      <w:r>
        <w:rPr>
          <w:rFonts w:ascii="Times New Roman" w:hAnsi="Times New Roman"/>
          <w:kern w:val="0"/>
          <w:sz w:val="15"/>
          <w:szCs w:val="15"/>
        </w:rPr>
        <w:t>-10</w:t>
      </w:r>
      <w:r>
        <w:rPr>
          <w:rFonts w:hint="eastAsia" w:ascii="Times New Roman"/>
          <w:kern w:val="0"/>
          <w:sz w:val="15"/>
          <w:szCs w:val="15"/>
        </w:rPr>
        <w:t>钼合金的标准规范</w:t>
      </w:r>
      <w:r>
        <w:rPr>
          <w:rFonts w:ascii="Times New Roman" w:hAnsi="Times New Roman"/>
          <w:kern w:val="0"/>
          <w:sz w:val="15"/>
          <w:szCs w:val="15"/>
        </w:rPr>
        <w:t>”</w:t>
      </w:r>
    </w:p>
    <w:p w14:paraId="609F133A">
      <w:pPr>
        <w:widowControl/>
        <w:numPr>
          <w:ilvl w:val="0"/>
          <w:numId w:val="7"/>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F 620-00“</w:t>
      </w:r>
      <w:r>
        <w:rPr>
          <w:rFonts w:hint="eastAsia" w:ascii="Times New Roman"/>
          <w:kern w:val="0"/>
          <w:sz w:val="15"/>
          <w:szCs w:val="15"/>
        </w:rPr>
        <w:t>外科植入物用锻造钛</w:t>
      </w:r>
      <w:r>
        <w:rPr>
          <w:rFonts w:ascii="Times New Roman" w:hAnsi="Times New Roman"/>
          <w:kern w:val="0"/>
          <w:sz w:val="15"/>
          <w:szCs w:val="15"/>
        </w:rPr>
        <w:t>-6</w:t>
      </w:r>
      <w:r>
        <w:rPr>
          <w:rFonts w:hint="eastAsia" w:ascii="Times New Roman"/>
          <w:kern w:val="0"/>
          <w:sz w:val="15"/>
          <w:szCs w:val="15"/>
        </w:rPr>
        <w:t>铝</w:t>
      </w:r>
      <w:r>
        <w:rPr>
          <w:rFonts w:ascii="Times New Roman" w:hAnsi="Times New Roman"/>
          <w:kern w:val="0"/>
          <w:sz w:val="15"/>
          <w:szCs w:val="15"/>
        </w:rPr>
        <w:t>-4</w:t>
      </w:r>
      <w:r>
        <w:rPr>
          <w:rFonts w:hint="eastAsia" w:ascii="Times New Roman"/>
          <w:kern w:val="0"/>
          <w:sz w:val="15"/>
          <w:szCs w:val="15"/>
        </w:rPr>
        <w:t>钒</w:t>
      </w:r>
      <w:r>
        <w:rPr>
          <w:rFonts w:ascii="Times New Roman" w:hAnsi="Times New Roman"/>
          <w:kern w:val="0"/>
          <w:sz w:val="15"/>
          <w:szCs w:val="15"/>
        </w:rPr>
        <w:t>ELI</w:t>
      </w:r>
      <w:r>
        <w:rPr>
          <w:rFonts w:hint="eastAsia" w:ascii="Times New Roman"/>
          <w:kern w:val="0"/>
          <w:sz w:val="15"/>
          <w:szCs w:val="15"/>
        </w:rPr>
        <w:t>合金锻件的标准规范（</w:t>
      </w:r>
      <w:r>
        <w:rPr>
          <w:rFonts w:ascii="Times New Roman" w:hAnsi="Times New Roman"/>
          <w:kern w:val="0"/>
          <w:sz w:val="15"/>
          <w:szCs w:val="15"/>
        </w:rPr>
        <w:t>UNS R56401</w:t>
      </w:r>
      <w:r>
        <w:rPr>
          <w:rFonts w:hint="eastAsia" w:ascii="Times New Roman"/>
          <w:kern w:val="0"/>
          <w:sz w:val="15"/>
          <w:szCs w:val="15"/>
        </w:rPr>
        <w:t>）</w:t>
      </w:r>
      <w:r>
        <w:rPr>
          <w:rFonts w:ascii="Times New Roman" w:hAnsi="Times New Roman"/>
          <w:kern w:val="0"/>
          <w:sz w:val="15"/>
          <w:szCs w:val="15"/>
        </w:rPr>
        <w:t>”</w:t>
      </w:r>
    </w:p>
    <w:p w14:paraId="04F0C92C">
      <w:pPr>
        <w:pStyle w:val="31"/>
        <w:widowControl/>
        <w:numPr>
          <w:ilvl w:val="0"/>
          <w:numId w:val="7"/>
        </w:numPr>
        <w:spacing w:before="120"/>
        <w:ind w:left="0" w:firstLine="0" w:firstLineChars="0"/>
        <w:rPr>
          <w:rFonts w:ascii="Times New Roman" w:hAnsi="Times New Roman"/>
          <w:kern w:val="0"/>
          <w:sz w:val="15"/>
          <w:szCs w:val="15"/>
        </w:rPr>
      </w:pPr>
      <w:r>
        <w:rPr>
          <w:rFonts w:ascii="Times New Roman" w:hAnsi="Times New Roman"/>
          <w:kern w:val="0"/>
          <w:sz w:val="15"/>
          <w:szCs w:val="15"/>
        </w:rPr>
        <w:t>F 648-00, "</w:t>
      </w:r>
      <w:r>
        <w:rPr>
          <w:rFonts w:hint="eastAsia" w:ascii="Times New Roman"/>
          <w:kern w:val="0"/>
          <w:sz w:val="15"/>
          <w:szCs w:val="15"/>
        </w:rPr>
        <w:t>用于外科植入物的超高分子量聚乙烯粉末和制造形式的标准规范</w:t>
      </w:r>
      <w:r>
        <w:rPr>
          <w:rFonts w:ascii="Times New Roman" w:hAnsi="Times New Roman"/>
          <w:kern w:val="0"/>
          <w:sz w:val="15"/>
          <w:szCs w:val="15"/>
        </w:rPr>
        <w:t>"</w:t>
      </w:r>
    </w:p>
    <w:p w14:paraId="60B997C1">
      <w:pPr>
        <w:widowControl/>
        <w:numPr>
          <w:ilvl w:val="0"/>
          <w:numId w:val="7"/>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F 745-00</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铸造和固溶退火外科植入物用</w:t>
      </w:r>
      <w:r>
        <w:rPr>
          <w:rFonts w:ascii="Times New Roman" w:hAnsi="Times New Roman"/>
          <w:kern w:val="0"/>
          <w:sz w:val="15"/>
          <w:szCs w:val="15"/>
        </w:rPr>
        <w:t>18</w:t>
      </w:r>
      <w:r>
        <w:rPr>
          <w:rFonts w:hint="eastAsia" w:ascii="Times New Roman"/>
          <w:kern w:val="0"/>
          <w:sz w:val="15"/>
          <w:szCs w:val="15"/>
        </w:rPr>
        <w:t>铬</w:t>
      </w:r>
      <w:r>
        <w:rPr>
          <w:rFonts w:ascii="Times New Roman" w:hAnsi="Times New Roman"/>
          <w:kern w:val="0"/>
          <w:sz w:val="15"/>
          <w:szCs w:val="15"/>
        </w:rPr>
        <w:t>-12.5</w:t>
      </w:r>
      <w:r>
        <w:rPr>
          <w:rFonts w:hint="eastAsia" w:ascii="Times New Roman"/>
          <w:kern w:val="0"/>
          <w:sz w:val="15"/>
          <w:szCs w:val="15"/>
        </w:rPr>
        <w:t>镍</w:t>
      </w:r>
      <w:r>
        <w:rPr>
          <w:rFonts w:ascii="Times New Roman" w:hAnsi="Times New Roman"/>
          <w:kern w:val="0"/>
          <w:sz w:val="15"/>
          <w:szCs w:val="15"/>
        </w:rPr>
        <w:t>-2.5</w:t>
      </w:r>
      <w:r>
        <w:rPr>
          <w:rFonts w:hint="eastAsia" w:ascii="Times New Roman"/>
          <w:kern w:val="0"/>
          <w:sz w:val="15"/>
          <w:szCs w:val="15"/>
        </w:rPr>
        <w:t>钼不锈钢的标准规范</w:t>
      </w:r>
      <w:r>
        <w:rPr>
          <w:rFonts w:ascii="Times New Roman" w:hAnsi="Times New Roman"/>
          <w:kern w:val="0"/>
          <w:sz w:val="15"/>
          <w:szCs w:val="15"/>
        </w:rPr>
        <w:t>”</w:t>
      </w:r>
    </w:p>
    <w:p w14:paraId="013CA407">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746-87 (99), "</w:t>
      </w:r>
      <w:r>
        <w:rPr>
          <w:rFonts w:hint="eastAsia" w:ascii="Times New Roman"/>
          <w:kern w:val="0"/>
          <w:sz w:val="15"/>
          <w:szCs w:val="15"/>
        </w:rPr>
        <w:t>金属外科植入物材料的点蚀和缝隙腐蚀的标准测试方法</w:t>
      </w:r>
      <w:r>
        <w:rPr>
          <w:rFonts w:ascii="Times New Roman" w:hAnsi="Times New Roman"/>
          <w:kern w:val="0"/>
          <w:sz w:val="15"/>
          <w:szCs w:val="15"/>
        </w:rPr>
        <w:t>"</w:t>
      </w:r>
    </w:p>
    <w:p w14:paraId="29660C2C">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799-99, "</w:t>
      </w:r>
      <w:r>
        <w:rPr>
          <w:rFonts w:hint="eastAsia" w:ascii="Times New Roman"/>
          <w:kern w:val="0"/>
          <w:sz w:val="15"/>
          <w:szCs w:val="15"/>
        </w:rPr>
        <w:t>用于外科植入物的钴</w:t>
      </w:r>
      <w:r>
        <w:rPr>
          <w:rFonts w:ascii="Times New Roman" w:hAnsi="Times New Roman"/>
          <w:kern w:val="0"/>
          <w:sz w:val="15"/>
          <w:szCs w:val="15"/>
        </w:rPr>
        <w:t>-28</w:t>
      </w:r>
      <w:r>
        <w:rPr>
          <w:rFonts w:hint="eastAsia" w:ascii="Times New Roman"/>
          <w:kern w:val="0"/>
          <w:sz w:val="15"/>
          <w:szCs w:val="15"/>
        </w:rPr>
        <w:t>铬</w:t>
      </w:r>
      <w:r>
        <w:rPr>
          <w:rFonts w:ascii="Times New Roman" w:hAnsi="Times New Roman"/>
          <w:kern w:val="0"/>
          <w:sz w:val="15"/>
          <w:szCs w:val="15"/>
        </w:rPr>
        <w:t>-6</w:t>
      </w:r>
      <w:r>
        <w:rPr>
          <w:rFonts w:hint="eastAsia" w:ascii="Times New Roman"/>
          <w:kern w:val="0"/>
          <w:sz w:val="15"/>
          <w:szCs w:val="15"/>
        </w:rPr>
        <w:t>钼合金锻件的标准规范</w:t>
      </w:r>
      <w:r>
        <w:rPr>
          <w:rFonts w:ascii="Times New Roman" w:hAnsi="Times New Roman"/>
          <w:kern w:val="0"/>
          <w:sz w:val="15"/>
          <w:szCs w:val="15"/>
        </w:rPr>
        <w:t>(UNS R31537, R31538, R31539)</w:t>
      </w:r>
    </w:p>
    <w:p w14:paraId="47E76C3B">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983-86 (2000), "</w:t>
      </w:r>
      <w:r>
        <w:rPr>
          <w:rFonts w:hint="eastAsia" w:ascii="Times New Roman"/>
          <w:kern w:val="0"/>
          <w:sz w:val="15"/>
          <w:szCs w:val="15"/>
        </w:rPr>
        <w:t>骨科植入物部件永久性标记的标准操作规范</w:t>
      </w:r>
      <w:r>
        <w:rPr>
          <w:rFonts w:ascii="Times New Roman" w:hAnsi="Times New Roman"/>
          <w:kern w:val="0"/>
          <w:sz w:val="15"/>
          <w:szCs w:val="15"/>
        </w:rPr>
        <w:t>"</w:t>
      </w:r>
    </w:p>
    <w:p w14:paraId="0AB2E159">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1044-99, "</w:t>
      </w:r>
      <w:r>
        <w:rPr>
          <w:rFonts w:hint="eastAsia" w:ascii="Times New Roman"/>
          <w:kern w:val="0"/>
          <w:sz w:val="15"/>
          <w:szCs w:val="15"/>
        </w:rPr>
        <w:t>磷酸钙涂层和金属涂层的剪切测试标准方法</w:t>
      </w:r>
      <w:r>
        <w:rPr>
          <w:rFonts w:ascii="Times New Roman" w:hAnsi="Times New Roman"/>
          <w:kern w:val="0"/>
          <w:sz w:val="15"/>
          <w:szCs w:val="15"/>
        </w:rPr>
        <w:t>"</w:t>
      </w:r>
    </w:p>
    <w:p w14:paraId="7245B1DD">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1108-97a, "</w:t>
      </w:r>
      <w:r>
        <w:rPr>
          <w:rFonts w:hint="eastAsia" w:ascii="Times New Roman"/>
          <w:kern w:val="0"/>
          <w:sz w:val="15"/>
          <w:szCs w:val="15"/>
        </w:rPr>
        <w:t>用于外科植入物的钛</w:t>
      </w:r>
      <w:r>
        <w:rPr>
          <w:rFonts w:ascii="Times New Roman" w:hAnsi="Times New Roman"/>
          <w:kern w:val="0"/>
          <w:sz w:val="15"/>
          <w:szCs w:val="15"/>
        </w:rPr>
        <w:t>-6</w:t>
      </w:r>
      <w:r>
        <w:rPr>
          <w:rFonts w:hint="eastAsia" w:ascii="Times New Roman"/>
          <w:kern w:val="0"/>
          <w:sz w:val="15"/>
          <w:szCs w:val="15"/>
        </w:rPr>
        <w:t>铝</w:t>
      </w:r>
      <w:r>
        <w:rPr>
          <w:rFonts w:ascii="Times New Roman" w:hAnsi="Times New Roman"/>
          <w:kern w:val="0"/>
          <w:sz w:val="15"/>
          <w:szCs w:val="15"/>
        </w:rPr>
        <w:t>-4</w:t>
      </w:r>
      <w:r>
        <w:rPr>
          <w:rFonts w:hint="eastAsia" w:ascii="Times New Roman"/>
          <w:kern w:val="0"/>
          <w:sz w:val="15"/>
          <w:szCs w:val="15"/>
        </w:rPr>
        <w:t>钒合金铸件的标准规范</w:t>
      </w:r>
      <w:r>
        <w:rPr>
          <w:rFonts w:ascii="Times New Roman" w:hAnsi="Times New Roman"/>
          <w:kern w:val="0"/>
          <w:sz w:val="15"/>
          <w:szCs w:val="15"/>
        </w:rPr>
        <w:t>(UNS R56406)</w:t>
      </w:r>
    </w:p>
    <w:p w14:paraId="4D1E39F1">
      <w:pPr>
        <w:pStyle w:val="31"/>
        <w:widowControl/>
        <w:numPr>
          <w:ilvl w:val="0"/>
          <w:numId w:val="7"/>
        </w:numPr>
        <w:spacing w:before="120"/>
        <w:ind w:left="0" w:firstLine="0" w:firstLineChars="0"/>
        <w:rPr>
          <w:rFonts w:ascii="Times New Roman" w:hAnsi="Times New Roman"/>
          <w:kern w:val="0"/>
          <w:sz w:val="15"/>
          <w:szCs w:val="15"/>
        </w:rPr>
      </w:pPr>
      <w:r>
        <w:rPr>
          <w:rFonts w:ascii="Times New Roman" w:hAnsi="Times New Roman"/>
          <w:kern w:val="0"/>
          <w:sz w:val="15"/>
          <w:szCs w:val="15"/>
        </w:rPr>
        <w:t>F 1147-99, "</w:t>
      </w:r>
      <w:r>
        <w:rPr>
          <w:rFonts w:hint="eastAsia" w:ascii="Times New Roman"/>
          <w:kern w:val="0"/>
          <w:sz w:val="15"/>
          <w:szCs w:val="15"/>
        </w:rPr>
        <w:t>磷酸钙涂层和金属涂层的抗拉测试标准方法</w:t>
      </w:r>
      <w:r>
        <w:rPr>
          <w:rFonts w:ascii="Times New Roman" w:hAnsi="Times New Roman"/>
          <w:kern w:val="0"/>
          <w:sz w:val="15"/>
          <w:szCs w:val="15"/>
        </w:rPr>
        <w:t>"</w:t>
      </w:r>
    </w:p>
    <w:p w14:paraId="48EDAEF7">
      <w:pPr>
        <w:pStyle w:val="31"/>
        <w:widowControl/>
        <w:numPr>
          <w:ilvl w:val="0"/>
          <w:numId w:val="7"/>
        </w:numPr>
        <w:shd w:val="clear" w:color="auto" w:fill="FFFFFF"/>
        <w:spacing w:before="120" w:line="207" w:lineRule="atLeast"/>
        <w:ind w:left="0" w:firstLine="0" w:firstLineChars="0"/>
        <w:rPr>
          <w:rFonts w:ascii="Times New Roman" w:hAnsi="Times New Roman"/>
          <w:kern w:val="0"/>
          <w:sz w:val="15"/>
          <w:szCs w:val="15"/>
        </w:rPr>
      </w:pPr>
      <w:r>
        <w:rPr>
          <w:rFonts w:ascii="Times New Roman" w:hAnsi="Times New Roman"/>
          <w:kern w:val="0"/>
          <w:sz w:val="15"/>
          <w:szCs w:val="15"/>
        </w:rPr>
        <w:t>F 1160-00, "</w:t>
      </w:r>
      <w:r>
        <w:rPr>
          <w:rFonts w:hint="eastAsia" w:ascii="Times New Roman"/>
          <w:kern w:val="0"/>
          <w:sz w:val="15"/>
          <w:szCs w:val="15"/>
        </w:rPr>
        <w:t>磷酸钙和金属医疗涂层的剪切和弯曲疲劳测试标准方法</w:t>
      </w:r>
      <w:r>
        <w:rPr>
          <w:rFonts w:ascii="Times New Roman" w:hAnsi="Times New Roman"/>
          <w:kern w:val="0"/>
          <w:sz w:val="15"/>
          <w:szCs w:val="15"/>
        </w:rPr>
        <w:t>"</w:t>
      </w:r>
    </w:p>
    <w:p w14:paraId="4151F3C1">
      <w:pPr>
        <w:pStyle w:val="31"/>
        <w:widowControl/>
        <w:numPr>
          <w:ilvl w:val="0"/>
          <w:numId w:val="7"/>
        </w:numPr>
        <w:spacing w:before="120"/>
        <w:ind w:left="0" w:firstLine="0" w:firstLineChars="0"/>
        <w:rPr>
          <w:rFonts w:ascii="Times New Roman" w:hAnsi="Times New Roman"/>
          <w:kern w:val="0"/>
          <w:sz w:val="15"/>
          <w:szCs w:val="15"/>
        </w:rPr>
      </w:pPr>
      <w:r>
        <w:rPr>
          <w:rFonts w:ascii="Times New Roman" w:hAnsi="Times New Roman"/>
          <w:kern w:val="0"/>
          <w:sz w:val="15"/>
          <w:szCs w:val="15"/>
        </w:rPr>
        <w:t>.F 1377-98a, "</w:t>
      </w:r>
      <w:r>
        <w:rPr>
          <w:rFonts w:hint="eastAsia" w:ascii="Times New Roman"/>
          <w:kern w:val="0"/>
          <w:sz w:val="15"/>
          <w:szCs w:val="15"/>
        </w:rPr>
        <w:t>用于骨科植入物涂层的钴</w:t>
      </w:r>
      <w:r>
        <w:rPr>
          <w:rFonts w:ascii="Times New Roman" w:hAnsi="Times New Roman"/>
          <w:kern w:val="0"/>
          <w:sz w:val="15"/>
          <w:szCs w:val="15"/>
        </w:rPr>
        <w:t>-28</w:t>
      </w:r>
      <w:r>
        <w:rPr>
          <w:rFonts w:hint="eastAsia" w:ascii="Times New Roman"/>
          <w:kern w:val="0"/>
          <w:sz w:val="15"/>
          <w:szCs w:val="15"/>
        </w:rPr>
        <w:t>铬</w:t>
      </w:r>
      <w:r>
        <w:rPr>
          <w:rFonts w:ascii="Times New Roman" w:hAnsi="Times New Roman"/>
          <w:kern w:val="0"/>
          <w:sz w:val="15"/>
          <w:szCs w:val="15"/>
        </w:rPr>
        <w:t>-6</w:t>
      </w:r>
      <w:r>
        <w:rPr>
          <w:rFonts w:hint="eastAsia" w:ascii="Times New Roman"/>
          <w:kern w:val="0"/>
          <w:sz w:val="15"/>
          <w:szCs w:val="15"/>
        </w:rPr>
        <w:t>钼粉末的标准规范</w:t>
      </w:r>
      <w:r>
        <w:rPr>
          <w:rFonts w:ascii="Times New Roman" w:hAnsi="Times New Roman"/>
          <w:kern w:val="0"/>
          <w:sz w:val="15"/>
          <w:szCs w:val="15"/>
        </w:rPr>
        <w:t>(UNS R30075)"</w:t>
      </w:r>
    </w:p>
    <w:p w14:paraId="0435A946">
      <w:pPr>
        <w:widowControl/>
        <w:numPr>
          <w:ilvl w:val="0"/>
          <w:numId w:val="7"/>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F 1440-92</w:t>
      </w:r>
      <w:r>
        <w:rPr>
          <w:rFonts w:hint="eastAsia" w:ascii="Times New Roman"/>
          <w:kern w:val="0"/>
          <w:sz w:val="15"/>
          <w:szCs w:val="15"/>
        </w:rPr>
        <w:t>（</w:t>
      </w:r>
      <w:r>
        <w:rPr>
          <w:rFonts w:ascii="Times New Roman" w:hAnsi="Times New Roman"/>
          <w:kern w:val="0"/>
          <w:sz w:val="15"/>
          <w:szCs w:val="15"/>
        </w:rPr>
        <w:t>97</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无扭矩作用的金属柄髋关节假体置换股骨部件的循环疲劳试验标准实践</w:t>
      </w:r>
      <w:r>
        <w:rPr>
          <w:rFonts w:ascii="Times New Roman" w:hAnsi="Times New Roman"/>
          <w:kern w:val="0"/>
          <w:sz w:val="15"/>
          <w:szCs w:val="15"/>
        </w:rPr>
        <w:t>”</w:t>
      </w:r>
    </w:p>
    <w:p w14:paraId="5AFA740D">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1472-00, "</w:t>
      </w:r>
      <w:r>
        <w:rPr>
          <w:rFonts w:hint="eastAsia" w:ascii="Times New Roman"/>
          <w:kern w:val="0"/>
          <w:sz w:val="15"/>
          <w:szCs w:val="15"/>
        </w:rPr>
        <w:t>用于外科植入物的变形钛</w:t>
      </w:r>
      <w:r>
        <w:rPr>
          <w:rFonts w:ascii="Times New Roman" w:hAnsi="Times New Roman"/>
          <w:kern w:val="0"/>
          <w:sz w:val="15"/>
          <w:szCs w:val="15"/>
        </w:rPr>
        <w:t>-6</w:t>
      </w:r>
      <w:r>
        <w:rPr>
          <w:rFonts w:hint="eastAsia" w:ascii="Times New Roman"/>
          <w:kern w:val="0"/>
          <w:sz w:val="15"/>
          <w:szCs w:val="15"/>
        </w:rPr>
        <w:t>铝</w:t>
      </w:r>
      <w:r>
        <w:rPr>
          <w:rFonts w:ascii="Times New Roman" w:hAnsi="Times New Roman"/>
          <w:kern w:val="0"/>
          <w:sz w:val="15"/>
          <w:szCs w:val="15"/>
        </w:rPr>
        <w:t>-4</w:t>
      </w:r>
      <w:r>
        <w:rPr>
          <w:rFonts w:hint="eastAsia" w:ascii="Times New Roman"/>
          <w:kern w:val="0"/>
          <w:sz w:val="15"/>
          <w:szCs w:val="15"/>
        </w:rPr>
        <w:t>钒合金的标准规范</w:t>
      </w:r>
      <w:r>
        <w:rPr>
          <w:rFonts w:ascii="Times New Roman" w:hAnsi="Times New Roman"/>
          <w:kern w:val="0"/>
          <w:sz w:val="15"/>
          <w:szCs w:val="15"/>
        </w:rPr>
        <w:t>(UNS R56400)"</w:t>
      </w:r>
    </w:p>
    <w:p w14:paraId="1C5F92AB">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1537-00, "</w:t>
      </w:r>
      <w:r>
        <w:rPr>
          <w:rFonts w:hint="eastAsia" w:ascii="Times New Roman"/>
          <w:kern w:val="0"/>
          <w:sz w:val="15"/>
          <w:szCs w:val="15"/>
        </w:rPr>
        <w:t>用于外科植入物的变形钴</w:t>
      </w:r>
      <w:r>
        <w:rPr>
          <w:rFonts w:ascii="Times New Roman" w:hAnsi="Times New Roman"/>
          <w:kern w:val="0"/>
          <w:sz w:val="15"/>
          <w:szCs w:val="15"/>
        </w:rPr>
        <w:t>-28</w:t>
      </w:r>
      <w:r>
        <w:rPr>
          <w:rFonts w:hint="eastAsia" w:ascii="Times New Roman"/>
          <w:kern w:val="0"/>
          <w:sz w:val="15"/>
          <w:szCs w:val="15"/>
        </w:rPr>
        <w:t>铬</w:t>
      </w:r>
      <w:r>
        <w:rPr>
          <w:rFonts w:ascii="Times New Roman" w:hAnsi="Times New Roman"/>
          <w:kern w:val="0"/>
          <w:sz w:val="15"/>
          <w:szCs w:val="15"/>
        </w:rPr>
        <w:t>-6</w:t>
      </w:r>
      <w:r>
        <w:rPr>
          <w:rFonts w:hint="eastAsia" w:ascii="Times New Roman"/>
          <w:kern w:val="0"/>
          <w:sz w:val="15"/>
          <w:szCs w:val="15"/>
        </w:rPr>
        <w:t>钼合金的标准规范</w:t>
      </w:r>
      <w:r>
        <w:rPr>
          <w:rFonts w:ascii="Times New Roman" w:hAnsi="Times New Roman"/>
          <w:kern w:val="0"/>
          <w:sz w:val="15"/>
          <w:szCs w:val="15"/>
        </w:rPr>
        <w:t>"</w:t>
      </w:r>
    </w:p>
    <w:p w14:paraId="3A9EAF97">
      <w:pPr>
        <w:pStyle w:val="31"/>
        <w:widowControl/>
        <w:numPr>
          <w:ilvl w:val="0"/>
          <w:numId w:val="7"/>
        </w:numPr>
        <w:spacing w:before="120"/>
        <w:ind w:left="0" w:firstLine="0" w:firstLineChars="0"/>
        <w:rPr>
          <w:rFonts w:ascii="Times New Roman" w:hAnsi="Times New Roman"/>
          <w:kern w:val="0"/>
          <w:sz w:val="15"/>
          <w:szCs w:val="15"/>
        </w:rPr>
      </w:pPr>
      <w:r>
        <w:rPr>
          <w:rFonts w:ascii="Times New Roman" w:hAnsi="Times New Roman"/>
          <w:kern w:val="0"/>
          <w:sz w:val="15"/>
          <w:szCs w:val="15"/>
        </w:rPr>
        <w:t>F 1580-95, "</w:t>
      </w:r>
      <w:r>
        <w:rPr>
          <w:rFonts w:hint="eastAsia" w:ascii="Times New Roman"/>
          <w:kern w:val="0"/>
          <w:sz w:val="15"/>
          <w:szCs w:val="15"/>
        </w:rPr>
        <w:t>用于外科植入物涂层的钛和钛</w:t>
      </w:r>
      <w:r>
        <w:rPr>
          <w:rFonts w:ascii="Times New Roman" w:hAnsi="Times New Roman"/>
          <w:kern w:val="0"/>
          <w:sz w:val="15"/>
          <w:szCs w:val="15"/>
        </w:rPr>
        <w:t>-6%</w:t>
      </w:r>
      <w:r>
        <w:rPr>
          <w:rFonts w:hint="eastAsia" w:ascii="Times New Roman"/>
          <w:kern w:val="0"/>
          <w:sz w:val="15"/>
          <w:szCs w:val="15"/>
        </w:rPr>
        <w:t>铝</w:t>
      </w:r>
      <w:r>
        <w:rPr>
          <w:rFonts w:ascii="Times New Roman" w:hAnsi="Times New Roman"/>
          <w:kern w:val="0"/>
          <w:sz w:val="15"/>
          <w:szCs w:val="15"/>
        </w:rPr>
        <w:t>-4%</w:t>
      </w:r>
      <w:r>
        <w:rPr>
          <w:rFonts w:hint="eastAsia" w:ascii="Times New Roman"/>
          <w:kern w:val="0"/>
          <w:sz w:val="15"/>
          <w:szCs w:val="15"/>
        </w:rPr>
        <w:t>钒合金粉末的标准规范</w:t>
      </w:r>
      <w:r>
        <w:rPr>
          <w:rFonts w:ascii="Times New Roman" w:hAnsi="Times New Roman"/>
          <w:kern w:val="0"/>
          <w:sz w:val="15"/>
          <w:szCs w:val="15"/>
        </w:rPr>
        <w:t>"</w:t>
      </w:r>
    </w:p>
    <w:p w14:paraId="36AD08EB">
      <w:pPr>
        <w:widowControl/>
        <w:numPr>
          <w:ilvl w:val="0"/>
          <w:numId w:val="7"/>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F 1612-95</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有扭矩作用的金属柄髋关节假体置换股骨部件的循环疲劳试验标准实践</w:t>
      </w:r>
      <w:r>
        <w:rPr>
          <w:rFonts w:ascii="Times New Roman" w:hAnsi="Times New Roman"/>
          <w:kern w:val="0"/>
          <w:sz w:val="15"/>
          <w:szCs w:val="15"/>
        </w:rPr>
        <w:t>”</w:t>
      </w:r>
    </w:p>
    <w:p w14:paraId="1B8259A4">
      <w:pPr>
        <w:widowControl/>
        <w:spacing w:before="120"/>
        <w:ind w:firstLine="0"/>
        <w:rPr>
          <w:rFonts w:ascii="Times New Roman" w:hAnsi="Times New Roman"/>
          <w:kern w:val="0"/>
          <w:sz w:val="15"/>
          <w:szCs w:val="15"/>
        </w:rPr>
      </w:pPr>
      <w:r>
        <w:rPr>
          <w:rFonts w:ascii="Times New Roman" w:hAnsi="Times New Roman"/>
          <w:kern w:val="0"/>
          <w:sz w:val="15"/>
          <w:szCs w:val="15"/>
        </w:rPr>
        <w:br w:type="page"/>
      </w:r>
    </w:p>
    <w:p w14:paraId="4209B305">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1814-97a, "</w:t>
      </w:r>
      <w:r>
        <w:rPr>
          <w:rFonts w:hint="eastAsia" w:ascii="Times New Roman"/>
          <w:kern w:val="0"/>
          <w:sz w:val="15"/>
          <w:szCs w:val="15"/>
        </w:rPr>
        <w:t>评估单元型髋关节和膝关节置换系统的标准指南</w:t>
      </w:r>
      <w:r>
        <w:rPr>
          <w:rFonts w:ascii="Times New Roman" w:hAnsi="Times New Roman"/>
          <w:kern w:val="0"/>
          <w:sz w:val="15"/>
          <w:szCs w:val="15"/>
        </w:rPr>
        <w:t>"</w:t>
      </w:r>
    </w:p>
    <w:p w14:paraId="1CC6A068">
      <w:pPr>
        <w:widowControl/>
        <w:numPr>
          <w:ilvl w:val="0"/>
          <w:numId w:val="7"/>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F 1820-97</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测定模块化髋臼装置轴向拆卸力的标准试验方法</w:t>
      </w:r>
      <w:r>
        <w:rPr>
          <w:rFonts w:ascii="Times New Roman" w:hAnsi="Times New Roman"/>
          <w:kern w:val="0"/>
          <w:sz w:val="15"/>
          <w:szCs w:val="15"/>
        </w:rPr>
        <w:t>”</w:t>
      </w:r>
    </w:p>
    <w:p w14:paraId="14CB3ED3">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1854-98, "</w:t>
      </w:r>
      <w:r>
        <w:rPr>
          <w:rFonts w:hint="eastAsia" w:ascii="Times New Roman"/>
          <w:kern w:val="0"/>
          <w:sz w:val="15"/>
          <w:szCs w:val="15"/>
        </w:rPr>
        <w:t>医学植入物上多孔涂层的体视学评估的标准测试方法</w:t>
      </w:r>
      <w:r>
        <w:rPr>
          <w:rFonts w:ascii="Times New Roman" w:hAnsi="Times New Roman"/>
          <w:kern w:val="0"/>
          <w:sz w:val="15"/>
          <w:szCs w:val="15"/>
        </w:rPr>
        <w:t>"</w:t>
      </w:r>
    </w:p>
    <w:p w14:paraId="2878599D">
      <w:pPr>
        <w:widowControl/>
        <w:numPr>
          <w:ilvl w:val="0"/>
          <w:numId w:val="7"/>
        </w:numPr>
        <w:spacing w:before="120"/>
        <w:ind w:left="0" w:firstLine="0"/>
        <w:rPr>
          <w:rFonts w:ascii="Times New Roman" w:hAnsi="Times New Roman"/>
          <w:kern w:val="0"/>
          <w:sz w:val="15"/>
          <w:szCs w:val="15"/>
        </w:rPr>
      </w:pPr>
      <w:r>
        <w:rPr>
          <w:rFonts w:ascii="Times New Roman" w:hAnsi="Times New Roman"/>
          <w:kern w:val="0"/>
          <w:sz w:val="15"/>
          <w:szCs w:val="15"/>
        </w:rPr>
        <w:t>F 1978-99, "</w:t>
      </w:r>
      <w:r>
        <w:rPr>
          <w:rFonts w:hint="eastAsia" w:ascii="Times New Roman"/>
          <w:kern w:val="0"/>
          <w:sz w:val="15"/>
          <w:szCs w:val="15"/>
        </w:rPr>
        <w:t>采用</w:t>
      </w:r>
      <w:r>
        <w:rPr>
          <w:rFonts w:ascii="Times New Roman" w:hAnsi="Times New Roman"/>
          <w:kern w:val="0"/>
          <w:sz w:val="15"/>
          <w:szCs w:val="15"/>
        </w:rPr>
        <w:t>Taber™</w:t>
      </w:r>
      <w:r>
        <w:rPr>
          <w:rFonts w:hint="eastAsia" w:ascii="Times New Roman"/>
          <w:kern w:val="0"/>
          <w:sz w:val="15"/>
          <w:szCs w:val="15"/>
        </w:rPr>
        <w:t>研磨器测定金属热喷雾涂层的耐磨性的标准测试方法</w:t>
      </w:r>
      <w:r>
        <w:rPr>
          <w:rFonts w:ascii="Times New Roman" w:hAnsi="Times New Roman"/>
          <w:kern w:val="0"/>
          <w:sz w:val="15"/>
          <w:szCs w:val="15"/>
        </w:rPr>
        <w:t>"</w:t>
      </w:r>
    </w:p>
    <w:p w14:paraId="3E98000C">
      <w:pPr>
        <w:widowControl/>
        <w:spacing w:before="120" w:after="60"/>
        <w:ind w:firstLine="0"/>
        <w:rPr>
          <w:rFonts w:ascii="Times New Roman" w:hAnsi="Times New Roman"/>
          <w:kern w:val="0"/>
          <w:sz w:val="15"/>
          <w:szCs w:val="15"/>
        </w:rPr>
      </w:pPr>
      <w:r>
        <w:rPr>
          <w:rFonts w:ascii="Times New Roman" w:hAnsi="Times New Roman"/>
          <w:b/>
          <w:bCs/>
          <w:kern w:val="0"/>
          <w:sz w:val="15"/>
          <w:szCs w:val="15"/>
        </w:rPr>
        <w:t>C.</w:t>
      </w:r>
      <w:r>
        <w:rPr>
          <w:rFonts w:hint="eastAsia" w:ascii="Times New Roman"/>
          <w:b/>
          <w:bCs/>
          <w:kern w:val="0"/>
          <w:sz w:val="15"/>
          <w:szCs w:val="15"/>
        </w:rPr>
        <w:t>国际标准化组织（</w:t>
      </w:r>
      <w:r>
        <w:rPr>
          <w:rFonts w:ascii="Times New Roman" w:hAnsi="Times New Roman"/>
          <w:b/>
          <w:bCs/>
          <w:kern w:val="0"/>
          <w:sz w:val="15"/>
          <w:szCs w:val="15"/>
        </w:rPr>
        <w:t>ISO</w:t>
      </w:r>
      <w:r>
        <w:rPr>
          <w:rFonts w:hint="eastAsia" w:ascii="Times New Roman"/>
          <w:b/>
          <w:bCs/>
          <w:kern w:val="0"/>
          <w:sz w:val="15"/>
          <w:szCs w:val="15"/>
        </w:rPr>
        <w:t>）共识标准：</w:t>
      </w:r>
    </w:p>
    <w:p w14:paraId="3369FA7D">
      <w:pPr>
        <w:widowControl/>
        <w:numPr>
          <w:ilvl w:val="0"/>
          <w:numId w:val="8"/>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ISO 5832-1997</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外科用植入物</w:t>
      </w:r>
      <w:r>
        <w:rPr>
          <w:rFonts w:ascii="Times New Roman" w:hAnsi="Times New Roman"/>
          <w:kern w:val="0"/>
          <w:sz w:val="15"/>
          <w:szCs w:val="15"/>
        </w:rPr>
        <w:t xml:space="preserve"> - </w:t>
      </w:r>
      <w:r>
        <w:rPr>
          <w:rFonts w:hint="eastAsia" w:ascii="Times New Roman"/>
          <w:kern w:val="0"/>
          <w:sz w:val="15"/>
          <w:szCs w:val="15"/>
        </w:rPr>
        <w:t>金属材料</w:t>
      </w:r>
      <w:r>
        <w:rPr>
          <w:rFonts w:ascii="Times New Roman" w:hAnsi="Times New Roman"/>
          <w:kern w:val="0"/>
          <w:sz w:val="15"/>
          <w:szCs w:val="15"/>
        </w:rPr>
        <w:t xml:space="preserve"> - </w:t>
      </w:r>
      <w:r>
        <w:rPr>
          <w:rFonts w:hint="eastAsia" w:ascii="Times New Roman"/>
          <w:kern w:val="0"/>
          <w:sz w:val="15"/>
          <w:szCs w:val="15"/>
        </w:rPr>
        <w:t>第</w:t>
      </w:r>
      <w:r>
        <w:rPr>
          <w:rFonts w:ascii="Times New Roman" w:hAnsi="Times New Roman"/>
          <w:kern w:val="0"/>
          <w:sz w:val="15"/>
          <w:szCs w:val="15"/>
        </w:rPr>
        <w:t>1</w:t>
      </w:r>
      <w:r>
        <w:rPr>
          <w:rFonts w:hint="eastAsia" w:ascii="Times New Roman"/>
          <w:kern w:val="0"/>
          <w:sz w:val="15"/>
          <w:szCs w:val="15"/>
        </w:rPr>
        <w:t>部分：锻造不锈钢</w:t>
      </w:r>
      <w:r>
        <w:rPr>
          <w:rFonts w:ascii="Times New Roman" w:hAnsi="Times New Roman"/>
          <w:kern w:val="0"/>
          <w:sz w:val="15"/>
          <w:szCs w:val="15"/>
        </w:rPr>
        <w:t>”</w:t>
      </w:r>
    </w:p>
    <w:p w14:paraId="08D0D962">
      <w:pPr>
        <w:widowControl/>
        <w:numPr>
          <w:ilvl w:val="0"/>
          <w:numId w:val="8"/>
        </w:numPr>
        <w:spacing w:before="120"/>
        <w:ind w:left="0" w:firstLine="0"/>
        <w:rPr>
          <w:rFonts w:ascii="Times New Roman" w:hAnsi="Times New Roman"/>
          <w:kern w:val="0"/>
          <w:sz w:val="15"/>
          <w:szCs w:val="15"/>
        </w:rPr>
      </w:pPr>
      <w:r>
        <w:rPr>
          <w:rFonts w:ascii="Times New Roman" w:hAnsi="Times New Roman"/>
          <w:kern w:val="0"/>
          <w:sz w:val="15"/>
          <w:szCs w:val="15"/>
        </w:rPr>
        <w:t>ISO 5832-1996, "</w:t>
      </w:r>
      <w:r>
        <w:rPr>
          <w:rFonts w:hint="eastAsia" w:ascii="Times New Roman"/>
          <w:kern w:val="0"/>
          <w:sz w:val="15"/>
          <w:szCs w:val="15"/>
        </w:rPr>
        <w:t>外科植入物</w:t>
      </w:r>
      <w:r>
        <w:rPr>
          <w:rFonts w:ascii="Times New Roman" w:hAnsi="Times New Roman"/>
          <w:kern w:val="0"/>
          <w:sz w:val="15"/>
          <w:szCs w:val="15"/>
        </w:rPr>
        <w:t xml:space="preserve"> – </w:t>
      </w:r>
      <w:r>
        <w:rPr>
          <w:rFonts w:hint="eastAsia" w:ascii="Times New Roman"/>
          <w:kern w:val="0"/>
          <w:sz w:val="15"/>
          <w:szCs w:val="15"/>
        </w:rPr>
        <w:t>金属材料</w:t>
      </w:r>
      <w:r>
        <w:rPr>
          <w:rFonts w:ascii="Times New Roman" w:hAnsi="Times New Roman"/>
          <w:kern w:val="0"/>
          <w:sz w:val="15"/>
          <w:szCs w:val="15"/>
        </w:rPr>
        <w:t xml:space="preserve"> – </w:t>
      </w:r>
      <w:r>
        <w:rPr>
          <w:rFonts w:hint="eastAsia" w:ascii="Times New Roman"/>
          <w:kern w:val="0"/>
          <w:sz w:val="15"/>
          <w:szCs w:val="15"/>
        </w:rPr>
        <w:t>第</w:t>
      </w:r>
      <w:r>
        <w:rPr>
          <w:rFonts w:ascii="Times New Roman" w:hAnsi="Times New Roman"/>
          <w:kern w:val="0"/>
          <w:sz w:val="15"/>
          <w:szCs w:val="15"/>
        </w:rPr>
        <w:t>3</w:t>
      </w:r>
      <w:r>
        <w:rPr>
          <w:rFonts w:hint="eastAsia" w:ascii="Times New Roman"/>
          <w:kern w:val="0"/>
          <w:sz w:val="15"/>
          <w:szCs w:val="15"/>
        </w:rPr>
        <w:t>部分：变形钛</w:t>
      </w:r>
      <w:r>
        <w:rPr>
          <w:rFonts w:ascii="Times New Roman" w:hAnsi="Times New Roman"/>
          <w:kern w:val="0"/>
          <w:sz w:val="15"/>
          <w:szCs w:val="15"/>
        </w:rPr>
        <w:t>-6</w:t>
      </w:r>
      <w:r>
        <w:rPr>
          <w:rFonts w:hint="eastAsia" w:ascii="Times New Roman"/>
          <w:kern w:val="0"/>
          <w:sz w:val="15"/>
          <w:szCs w:val="15"/>
        </w:rPr>
        <w:t>铝</w:t>
      </w:r>
      <w:r>
        <w:rPr>
          <w:rFonts w:ascii="Times New Roman" w:hAnsi="Times New Roman"/>
          <w:kern w:val="0"/>
          <w:sz w:val="15"/>
          <w:szCs w:val="15"/>
        </w:rPr>
        <w:t>-4</w:t>
      </w:r>
      <w:r>
        <w:rPr>
          <w:rFonts w:hint="eastAsia" w:ascii="Times New Roman"/>
          <w:kern w:val="0"/>
          <w:sz w:val="15"/>
          <w:szCs w:val="15"/>
        </w:rPr>
        <w:t>钒合金</w:t>
      </w:r>
      <w:r>
        <w:rPr>
          <w:rFonts w:ascii="Times New Roman" w:hAnsi="Times New Roman"/>
          <w:kern w:val="0"/>
          <w:sz w:val="15"/>
          <w:szCs w:val="15"/>
        </w:rPr>
        <w:t>"</w:t>
      </w:r>
    </w:p>
    <w:p w14:paraId="62243508">
      <w:pPr>
        <w:widowControl/>
        <w:numPr>
          <w:ilvl w:val="0"/>
          <w:numId w:val="8"/>
        </w:numPr>
        <w:spacing w:before="120"/>
        <w:ind w:left="0" w:firstLine="0"/>
        <w:rPr>
          <w:rFonts w:ascii="Times New Roman" w:hAnsi="Times New Roman"/>
          <w:kern w:val="0"/>
          <w:sz w:val="15"/>
          <w:szCs w:val="15"/>
        </w:rPr>
      </w:pPr>
      <w:r>
        <w:rPr>
          <w:rFonts w:ascii="Times New Roman" w:hAnsi="Times New Roman"/>
          <w:kern w:val="0"/>
          <w:sz w:val="15"/>
          <w:szCs w:val="15"/>
        </w:rPr>
        <w:t>ISO 5832-1996, "</w:t>
      </w:r>
      <w:r>
        <w:rPr>
          <w:rFonts w:hint="eastAsia" w:ascii="Times New Roman"/>
          <w:kern w:val="0"/>
          <w:sz w:val="15"/>
          <w:szCs w:val="15"/>
        </w:rPr>
        <w:t>外科植入物</w:t>
      </w:r>
      <w:r>
        <w:rPr>
          <w:rFonts w:ascii="Times New Roman" w:hAnsi="Times New Roman"/>
          <w:kern w:val="0"/>
          <w:sz w:val="15"/>
          <w:szCs w:val="15"/>
        </w:rPr>
        <w:t xml:space="preserve"> – </w:t>
      </w:r>
      <w:r>
        <w:rPr>
          <w:rFonts w:hint="eastAsia" w:ascii="Times New Roman"/>
          <w:kern w:val="0"/>
          <w:sz w:val="15"/>
          <w:szCs w:val="15"/>
        </w:rPr>
        <w:t>金属材料</w:t>
      </w:r>
      <w:r>
        <w:rPr>
          <w:rFonts w:ascii="Times New Roman" w:hAnsi="Times New Roman"/>
          <w:kern w:val="0"/>
          <w:sz w:val="15"/>
          <w:szCs w:val="15"/>
        </w:rPr>
        <w:t xml:space="preserve"> – </w:t>
      </w:r>
      <w:r>
        <w:rPr>
          <w:rFonts w:hint="eastAsia" w:ascii="Times New Roman"/>
          <w:kern w:val="0"/>
          <w:sz w:val="15"/>
          <w:szCs w:val="15"/>
        </w:rPr>
        <w:t>第</w:t>
      </w:r>
      <w:r>
        <w:rPr>
          <w:rFonts w:ascii="Times New Roman" w:hAnsi="Times New Roman"/>
          <w:kern w:val="0"/>
          <w:sz w:val="15"/>
          <w:szCs w:val="15"/>
        </w:rPr>
        <w:t>4</w:t>
      </w:r>
      <w:r>
        <w:rPr>
          <w:rFonts w:hint="eastAsia" w:ascii="Times New Roman"/>
          <w:kern w:val="0"/>
          <w:sz w:val="15"/>
          <w:szCs w:val="15"/>
        </w:rPr>
        <w:t>部分：钴</w:t>
      </w:r>
      <w:r>
        <w:rPr>
          <w:rFonts w:ascii="Times New Roman" w:hAnsi="Times New Roman"/>
          <w:kern w:val="0"/>
          <w:sz w:val="15"/>
          <w:szCs w:val="15"/>
        </w:rPr>
        <w:t>-</w:t>
      </w:r>
      <w:r>
        <w:rPr>
          <w:rFonts w:hint="eastAsia" w:ascii="Times New Roman"/>
          <w:kern w:val="0"/>
          <w:sz w:val="15"/>
          <w:szCs w:val="15"/>
        </w:rPr>
        <w:t>铬</w:t>
      </w:r>
      <w:r>
        <w:rPr>
          <w:rFonts w:ascii="Times New Roman" w:hAnsi="Times New Roman"/>
          <w:kern w:val="0"/>
          <w:sz w:val="15"/>
          <w:szCs w:val="15"/>
        </w:rPr>
        <w:t>-</w:t>
      </w:r>
      <w:r>
        <w:rPr>
          <w:rFonts w:hint="eastAsia" w:ascii="Times New Roman"/>
          <w:kern w:val="0"/>
          <w:sz w:val="15"/>
          <w:szCs w:val="15"/>
        </w:rPr>
        <w:t>钼合金铸件</w:t>
      </w:r>
      <w:r>
        <w:rPr>
          <w:rFonts w:ascii="Times New Roman" w:hAnsi="Times New Roman"/>
          <w:kern w:val="0"/>
          <w:sz w:val="15"/>
          <w:szCs w:val="15"/>
        </w:rPr>
        <w:t>"</w:t>
      </w:r>
    </w:p>
    <w:p w14:paraId="2EE1965A">
      <w:pPr>
        <w:widowControl/>
        <w:numPr>
          <w:ilvl w:val="0"/>
          <w:numId w:val="8"/>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ISO 5832-1992</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外科用植入物</w:t>
      </w:r>
      <w:r>
        <w:rPr>
          <w:rFonts w:ascii="Times New Roman" w:hAnsi="Times New Roman"/>
          <w:kern w:val="0"/>
          <w:sz w:val="15"/>
          <w:szCs w:val="15"/>
        </w:rPr>
        <w:t xml:space="preserve"> - </w:t>
      </w:r>
      <w:r>
        <w:rPr>
          <w:rFonts w:hint="eastAsia" w:ascii="Times New Roman"/>
          <w:kern w:val="0"/>
          <w:sz w:val="15"/>
          <w:szCs w:val="15"/>
        </w:rPr>
        <w:t>金属材料</w:t>
      </w:r>
      <w:r>
        <w:rPr>
          <w:rFonts w:ascii="Times New Roman" w:hAnsi="Times New Roman"/>
          <w:kern w:val="0"/>
          <w:sz w:val="15"/>
          <w:szCs w:val="15"/>
        </w:rPr>
        <w:t xml:space="preserve"> - </w:t>
      </w:r>
      <w:r>
        <w:rPr>
          <w:rFonts w:hint="eastAsia" w:ascii="Times New Roman"/>
          <w:kern w:val="0"/>
          <w:sz w:val="15"/>
          <w:szCs w:val="15"/>
        </w:rPr>
        <w:t>第</w:t>
      </w:r>
      <w:r>
        <w:rPr>
          <w:rFonts w:ascii="Times New Roman" w:hAnsi="Times New Roman"/>
          <w:kern w:val="0"/>
          <w:sz w:val="15"/>
          <w:szCs w:val="15"/>
        </w:rPr>
        <w:t>9</w:t>
      </w:r>
      <w:r>
        <w:rPr>
          <w:rFonts w:hint="eastAsia" w:ascii="Times New Roman"/>
          <w:kern w:val="0"/>
          <w:sz w:val="15"/>
          <w:szCs w:val="15"/>
        </w:rPr>
        <w:t>部分：锻造高氮不锈钢</w:t>
      </w:r>
      <w:r>
        <w:rPr>
          <w:rFonts w:ascii="Times New Roman" w:hAnsi="Times New Roman"/>
          <w:kern w:val="0"/>
          <w:sz w:val="15"/>
          <w:szCs w:val="15"/>
        </w:rPr>
        <w:t>”</w:t>
      </w:r>
    </w:p>
    <w:p w14:paraId="14F8C487">
      <w:pPr>
        <w:widowControl/>
        <w:numPr>
          <w:ilvl w:val="0"/>
          <w:numId w:val="8"/>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ISO 7206-1989</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外科用植入物</w:t>
      </w:r>
      <w:r>
        <w:rPr>
          <w:rFonts w:ascii="Times New Roman" w:hAnsi="Times New Roman"/>
          <w:kern w:val="0"/>
          <w:sz w:val="15"/>
          <w:szCs w:val="15"/>
        </w:rPr>
        <w:t xml:space="preserve"> - </w:t>
      </w:r>
      <w:r>
        <w:rPr>
          <w:rFonts w:hint="eastAsia" w:ascii="Times New Roman"/>
          <w:kern w:val="0"/>
          <w:sz w:val="15"/>
          <w:szCs w:val="15"/>
        </w:rPr>
        <w:t>部分和全髋关节假体</w:t>
      </w:r>
      <w:r>
        <w:rPr>
          <w:rFonts w:ascii="Times New Roman" w:hAnsi="Times New Roman"/>
          <w:kern w:val="0"/>
          <w:sz w:val="15"/>
          <w:szCs w:val="15"/>
        </w:rPr>
        <w:t xml:space="preserve"> - </w:t>
      </w:r>
      <w:r>
        <w:rPr>
          <w:rFonts w:hint="eastAsia" w:ascii="Times New Roman"/>
          <w:kern w:val="0"/>
          <w:sz w:val="15"/>
          <w:szCs w:val="15"/>
        </w:rPr>
        <w:t>第</w:t>
      </w:r>
      <w:r>
        <w:rPr>
          <w:rFonts w:ascii="Times New Roman" w:hAnsi="Times New Roman"/>
          <w:kern w:val="0"/>
          <w:sz w:val="15"/>
          <w:szCs w:val="15"/>
        </w:rPr>
        <w:t>4</w:t>
      </w:r>
      <w:r>
        <w:rPr>
          <w:rFonts w:hint="eastAsia" w:ascii="Times New Roman"/>
          <w:kern w:val="0"/>
          <w:sz w:val="15"/>
          <w:szCs w:val="15"/>
        </w:rPr>
        <w:t>部分：有扭矩作用的带柄股骨部件疲劳性能的测定</w:t>
      </w:r>
      <w:r>
        <w:rPr>
          <w:rFonts w:ascii="Times New Roman" w:hAnsi="Times New Roman"/>
          <w:kern w:val="0"/>
          <w:sz w:val="15"/>
          <w:szCs w:val="15"/>
        </w:rPr>
        <w:t>”</w:t>
      </w:r>
    </w:p>
    <w:p w14:paraId="540E23DB">
      <w:pPr>
        <w:widowControl/>
        <w:numPr>
          <w:ilvl w:val="0"/>
          <w:numId w:val="8"/>
        </w:numPr>
        <w:shd w:val="clear" w:color="auto" w:fill="FFFFFF"/>
        <w:spacing w:before="120" w:line="207" w:lineRule="atLeast"/>
        <w:ind w:left="0" w:firstLine="0"/>
        <w:rPr>
          <w:rFonts w:ascii="Times New Roman" w:hAnsi="Times New Roman"/>
          <w:kern w:val="0"/>
          <w:sz w:val="15"/>
          <w:szCs w:val="15"/>
        </w:rPr>
      </w:pPr>
      <w:r>
        <w:rPr>
          <w:rFonts w:ascii="Times New Roman" w:hAnsi="Times New Roman"/>
          <w:kern w:val="0"/>
          <w:sz w:val="15"/>
          <w:szCs w:val="15"/>
        </w:rPr>
        <w:t>ISO 7206-1995</w:t>
      </w:r>
      <w:r>
        <w:rPr>
          <w:rFonts w:hint="eastAsia" w:ascii="Times New Roman"/>
          <w:kern w:val="0"/>
          <w:sz w:val="15"/>
          <w:szCs w:val="15"/>
        </w:rPr>
        <w:t>，</w:t>
      </w:r>
      <w:r>
        <w:rPr>
          <w:rFonts w:ascii="Times New Roman" w:hAnsi="Times New Roman"/>
          <w:kern w:val="0"/>
          <w:sz w:val="15"/>
          <w:szCs w:val="15"/>
        </w:rPr>
        <w:t>“</w:t>
      </w:r>
      <w:r>
        <w:rPr>
          <w:rFonts w:hint="eastAsia" w:ascii="Times New Roman"/>
          <w:kern w:val="0"/>
          <w:sz w:val="15"/>
          <w:szCs w:val="15"/>
        </w:rPr>
        <w:t>外科用植入物</w:t>
      </w:r>
      <w:r>
        <w:rPr>
          <w:rFonts w:ascii="Times New Roman" w:hAnsi="Times New Roman"/>
          <w:kern w:val="0"/>
          <w:sz w:val="15"/>
          <w:szCs w:val="15"/>
        </w:rPr>
        <w:t xml:space="preserve"> - </w:t>
      </w:r>
      <w:r>
        <w:rPr>
          <w:rFonts w:hint="eastAsia" w:ascii="Times New Roman"/>
          <w:kern w:val="0"/>
          <w:sz w:val="15"/>
          <w:szCs w:val="15"/>
        </w:rPr>
        <w:t>部分和全髋关节假体</w:t>
      </w:r>
      <w:r>
        <w:rPr>
          <w:rFonts w:ascii="Times New Roman" w:hAnsi="Times New Roman"/>
          <w:kern w:val="0"/>
          <w:sz w:val="15"/>
          <w:szCs w:val="15"/>
        </w:rPr>
        <w:t xml:space="preserve"> - </w:t>
      </w:r>
      <w:r>
        <w:rPr>
          <w:rFonts w:hint="eastAsia" w:ascii="Times New Roman"/>
          <w:kern w:val="0"/>
          <w:sz w:val="15"/>
          <w:szCs w:val="15"/>
        </w:rPr>
        <w:t>第</w:t>
      </w:r>
      <w:r>
        <w:rPr>
          <w:rFonts w:ascii="Times New Roman" w:hAnsi="Times New Roman"/>
          <w:kern w:val="0"/>
          <w:sz w:val="15"/>
          <w:szCs w:val="15"/>
        </w:rPr>
        <w:t>8</w:t>
      </w:r>
      <w:r>
        <w:rPr>
          <w:rFonts w:hint="eastAsia" w:ascii="Times New Roman"/>
          <w:kern w:val="0"/>
          <w:sz w:val="15"/>
          <w:szCs w:val="15"/>
        </w:rPr>
        <w:t>部分：有扭矩作用的带柄股骨部件疲劳性能</w:t>
      </w:r>
      <w:r>
        <w:rPr>
          <w:rFonts w:ascii="Times New Roman" w:hAnsi="Times New Roman"/>
          <w:kern w:val="0"/>
          <w:sz w:val="15"/>
          <w:szCs w:val="15"/>
        </w:rPr>
        <w:t>”</w:t>
      </w:r>
    </w:p>
    <w:p w14:paraId="0065D04A">
      <w:pPr>
        <w:widowControl/>
        <w:shd w:val="clear" w:color="auto" w:fill="FFFFFF"/>
        <w:spacing w:before="120"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0AC09412">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1" o:spt="1" style="height:0pt;width:0pt;" fillcolor="#333333" filled="t" stroked="f" coordsize="21600,21600" o:hr="t" o:hrstd="t" o:hrnoshade="t" o:hralign="center">
            <v:path/>
            <v:fill on="t" focussize="0,0"/>
            <v:stroke on="f"/>
            <v:imagedata o:title=""/>
            <o:lock v:ext="edit"/>
            <w10:wrap type="none"/>
            <w10:anchorlock/>
          </v:rect>
        </w:pict>
      </w:r>
    </w:p>
    <w:p w14:paraId="699AE1A0">
      <w:pPr>
        <w:widowControl/>
        <w:shd w:val="clear" w:color="auto" w:fill="FFFFFF"/>
        <w:spacing w:after="118"/>
        <w:ind w:firstLine="0"/>
        <w:outlineLvl w:val="0"/>
        <w:rPr>
          <w:rFonts w:ascii="Times New Roman" w:hAnsi="Times New Roman"/>
          <w:b/>
          <w:bCs/>
          <w:kern w:val="0"/>
          <w:sz w:val="23"/>
          <w:szCs w:val="23"/>
        </w:rPr>
      </w:pPr>
      <w:bookmarkStart w:id="9" w:name="_Toc480630803"/>
      <w:r>
        <w:rPr>
          <w:rFonts w:ascii="Times New Roman" w:hAnsi="Times New Roman"/>
          <w:b/>
          <w:kern w:val="0"/>
          <w:sz w:val="23"/>
          <w:szCs w:val="23"/>
        </w:rPr>
        <w:t>8.</w:t>
      </w:r>
      <w:r>
        <w:rPr>
          <w:rFonts w:ascii="Times New Roman" w:hAnsi="Times New Roman"/>
          <w:b/>
          <w:kern w:val="0"/>
          <w:sz w:val="23"/>
          <w:szCs w:val="23"/>
        </w:rPr>
        <w:tab/>
      </w:r>
      <w:r>
        <w:rPr>
          <w:rFonts w:hint="eastAsia" w:ascii="Times New Roman"/>
          <w:b/>
          <w:kern w:val="0"/>
          <w:sz w:val="23"/>
          <w:szCs w:val="23"/>
        </w:rPr>
        <w:t>标签</w:t>
      </w:r>
      <w:bookmarkEnd w:id="9"/>
    </w:p>
    <w:p w14:paraId="639C95E7">
      <w:pPr>
        <w:widowControl/>
        <w:shd w:val="clear" w:color="auto" w:fill="FFFFFF"/>
        <w:spacing w:line="207" w:lineRule="atLeast"/>
        <w:ind w:firstLine="0"/>
        <w:rPr>
          <w:rFonts w:ascii="Times New Roman" w:hAnsi="Times New Roman"/>
          <w:kern w:val="0"/>
          <w:sz w:val="15"/>
          <w:szCs w:val="15"/>
        </w:rPr>
      </w:pPr>
      <w:r>
        <w:rPr>
          <w:rFonts w:hint="eastAsia" w:ascii="Times New Roman"/>
          <w:sz w:val="15"/>
          <w:szCs w:val="15"/>
        </w:rPr>
        <w:t>上市前通知应包括足够详细的标签，以满足</w:t>
      </w:r>
      <w:r>
        <w:fldChar w:fldCharType="begin"/>
      </w:r>
      <w:r>
        <w:instrText xml:space="preserve"> HYPERLINK "http://www.accessdata.fda.gov/scripts/cdrh/cfdocs/cfCFR/showCFR.cfm?FR=807.87" \h </w:instrText>
      </w:r>
      <w:r>
        <w:fldChar w:fldCharType="separate"/>
      </w:r>
      <w:r>
        <w:rPr>
          <w:rFonts w:ascii="Times New Roman" w:hAnsi="Times New Roman"/>
          <w:kern w:val="0"/>
          <w:sz w:val="15"/>
          <w:szCs w:val="15"/>
          <w:u w:val="single"/>
        </w:rPr>
        <w:t>21 CFR 807.87(e)</w:t>
      </w:r>
      <w:r>
        <w:rPr>
          <w:rFonts w:ascii="Times New Roman" w:hAnsi="Times New Roman"/>
          <w:kern w:val="0"/>
          <w:sz w:val="15"/>
          <w:szCs w:val="15"/>
          <w:u w:val="single"/>
        </w:rPr>
        <w:fldChar w:fldCharType="end"/>
      </w:r>
      <w:r>
        <w:rPr>
          <w:rFonts w:hint="eastAsia" w:ascii="Times New Roman"/>
          <w:sz w:val="15"/>
          <w:szCs w:val="15"/>
        </w:rPr>
        <w:t>的要求。虽然</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）批准不需要最终标签，但在将医疗器械引入州际贸易之前，最终标签必须符合</w:t>
      </w:r>
      <w:r>
        <w:fldChar w:fldCharType="begin"/>
      </w:r>
      <w:r>
        <w:instrText xml:space="preserve"> HYPERLINK "http://www.accessdata.fda.gov/scripts/cdrh/cfdocs/cfCFR/showCFR.cfm?CFRPart=801" \h </w:instrText>
      </w:r>
      <w:r>
        <w:fldChar w:fldCharType="separate"/>
      </w:r>
      <w:r>
        <w:rPr>
          <w:rFonts w:ascii="Times New Roman" w:hAnsi="Times New Roman"/>
          <w:kern w:val="0"/>
          <w:sz w:val="15"/>
          <w:szCs w:val="15"/>
          <w:u w:val="single"/>
        </w:rPr>
        <w:t>21 CFR 801</w:t>
      </w:r>
      <w:r>
        <w:rPr>
          <w:rFonts w:ascii="Times New Roman" w:hAnsi="Times New Roman"/>
          <w:kern w:val="0"/>
          <w:sz w:val="15"/>
          <w:szCs w:val="15"/>
          <w:u w:val="single"/>
        </w:rPr>
        <w:fldChar w:fldCharType="end"/>
      </w:r>
      <w:r>
        <w:rPr>
          <w:rFonts w:hint="eastAsia" w:ascii="Times New Roman"/>
          <w:sz w:val="15"/>
          <w:szCs w:val="15"/>
        </w:rPr>
        <w:t>的要求。</w:t>
      </w:r>
      <w:r>
        <w:rPr>
          <w:rFonts w:ascii="Times New Roman" w:hAnsi="Times New Roman"/>
          <w:sz w:val="15"/>
          <w:szCs w:val="15"/>
        </w:rPr>
        <w:br w:type="textWrapping"/>
      </w:r>
      <w:r>
        <w:rPr>
          <w:rFonts w:hint="eastAsia" w:ascii="Times New Roman"/>
          <w:sz w:val="15"/>
          <w:szCs w:val="15"/>
        </w:rPr>
        <w:t>此外，处方医疗器械的最终标签必须符合</w:t>
      </w:r>
      <w:r>
        <w:fldChar w:fldCharType="begin"/>
      </w:r>
      <w:r>
        <w:instrText xml:space="preserve"> HYPERLINK "http://www.accessdata.fda.gov/scripts/cdrh/cfdocs/cfCFR/showCFR.cfm?FR=801.109" \h </w:instrText>
      </w:r>
      <w:r>
        <w:fldChar w:fldCharType="separate"/>
      </w:r>
      <w:r>
        <w:rPr>
          <w:rFonts w:ascii="Times New Roman" w:hAnsi="Times New Roman"/>
          <w:kern w:val="0"/>
          <w:sz w:val="15"/>
          <w:szCs w:val="15"/>
          <w:u w:val="single"/>
        </w:rPr>
        <w:t>21 CFR 801.109</w:t>
      </w:r>
      <w:r>
        <w:rPr>
          <w:rFonts w:ascii="Times New Roman" w:hAnsi="Times New Roman"/>
          <w:kern w:val="0"/>
          <w:sz w:val="15"/>
          <w:szCs w:val="15"/>
          <w:u w:val="single"/>
        </w:rPr>
        <w:fldChar w:fldCharType="end"/>
      </w:r>
      <w:r>
        <w:rPr>
          <w:rFonts w:hint="eastAsia" w:ascii="Times New Roman"/>
          <w:sz w:val="15"/>
          <w:szCs w:val="15"/>
        </w:rPr>
        <w:t>。以下建议旨在协助您遵守</w:t>
      </w:r>
      <w:r>
        <w:fldChar w:fldCharType="begin"/>
      </w:r>
      <w:r>
        <w:instrText xml:space="preserve"> HYPERLINK "http://www.accessdata.fda.gov/scripts/cdrh/cfdocs/cfCFR/showCFR.cfm?CFRPart=801" \h </w:instrText>
      </w:r>
      <w:r>
        <w:fldChar w:fldCharType="separate"/>
      </w:r>
      <w:r>
        <w:rPr>
          <w:rFonts w:ascii="Times New Roman" w:hAnsi="Times New Roman"/>
          <w:kern w:val="0"/>
          <w:sz w:val="15"/>
          <w:szCs w:val="15"/>
          <w:u w:val="single"/>
        </w:rPr>
        <w:t>21 CFR 801</w:t>
      </w:r>
      <w:r>
        <w:rPr>
          <w:rFonts w:ascii="Times New Roman" w:hAnsi="Times New Roman"/>
          <w:kern w:val="0"/>
          <w:sz w:val="15"/>
          <w:szCs w:val="15"/>
          <w:u w:val="single"/>
        </w:rPr>
        <w:fldChar w:fldCharType="end"/>
      </w:r>
      <w:r>
        <w:rPr>
          <w:rFonts w:hint="eastAsia" w:ascii="Times New Roman"/>
          <w:sz w:val="15"/>
          <w:szCs w:val="15"/>
        </w:rPr>
        <w:t>和</w:t>
      </w:r>
      <w:r>
        <w:fldChar w:fldCharType="begin"/>
      </w:r>
      <w:r>
        <w:instrText xml:space="preserve"> HYPERLINK "http://www.accessdata.fda.gov/scripts/cdrh/cfdocs/cfCFR/showCFR.cfm?FR=801.109" \h </w:instrText>
      </w:r>
      <w:r>
        <w:fldChar w:fldCharType="separate"/>
      </w:r>
      <w:r>
        <w:rPr>
          <w:rFonts w:ascii="Times New Roman" w:hAnsi="Times New Roman"/>
          <w:kern w:val="0"/>
          <w:sz w:val="15"/>
          <w:szCs w:val="15"/>
          <w:u w:val="single"/>
        </w:rPr>
        <w:t>21 CFR 801.109</w:t>
      </w:r>
      <w:r>
        <w:rPr>
          <w:rFonts w:ascii="Times New Roman" w:hAnsi="Times New Roman"/>
          <w:kern w:val="0"/>
          <w:sz w:val="15"/>
          <w:szCs w:val="15"/>
          <w:u w:val="single"/>
        </w:rPr>
        <w:fldChar w:fldCharType="end"/>
      </w:r>
      <w:r>
        <w:rPr>
          <w:rFonts w:hint="eastAsia" w:ascii="Times New Roman"/>
          <w:sz w:val="15"/>
          <w:szCs w:val="15"/>
        </w:rPr>
        <w:t>。</w:t>
      </w:r>
    </w:p>
    <w:p w14:paraId="6D3DF847">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sz w:val="15"/>
          <w:szCs w:val="15"/>
        </w:rPr>
        <w:t>处</w:t>
      </w:r>
      <w:r>
        <w:rPr>
          <w:rFonts w:hint="eastAsia" w:ascii="Times New Roman"/>
          <w:b/>
          <w:kern w:val="0"/>
          <w:sz w:val="15"/>
          <w:szCs w:val="15"/>
        </w:rPr>
        <w:t>方使用</w:t>
      </w:r>
      <w:r>
        <w:rPr>
          <w:rFonts w:ascii="Times New Roman" w:hAnsi="Times New Roman"/>
          <w:kern w:val="0"/>
          <w:sz w:val="15"/>
          <w:szCs w:val="15"/>
        </w:rPr>
        <w:br w:type="textWrapping"/>
      </w:r>
      <w:r>
        <w:rPr>
          <w:rFonts w:hint="eastAsia" w:ascii="Times New Roman"/>
          <w:kern w:val="0"/>
          <w:sz w:val="15"/>
          <w:szCs w:val="15"/>
        </w:rPr>
        <w:t>根据</w:t>
      </w:r>
      <w:r>
        <w:fldChar w:fldCharType="begin"/>
      </w:r>
      <w:r>
        <w:instrText xml:space="preserve"> HYPERLINK "http://www.accessdata.fda.gov/scripts/cdrh/cfdocs/cfCFR/showCFR.cfm?FR=801.109" \h </w:instrText>
      </w:r>
      <w:r>
        <w:fldChar w:fldCharType="separate"/>
      </w:r>
      <w:r>
        <w:rPr>
          <w:rFonts w:ascii="Times New Roman" w:hAnsi="Times New Roman"/>
          <w:kern w:val="0"/>
          <w:sz w:val="15"/>
          <w:szCs w:val="15"/>
          <w:u w:val="single"/>
        </w:rPr>
        <w:t>21 CFR 801.109</w:t>
      </w:r>
      <w:r>
        <w:rPr>
          <w:rFonts w:ascii="Times New Roman" w:hAnsi="Times New Roman"/>
          <w:kern w:val="0"/>
          <w:sz w:val="15"/>
          <w:szCs w:val="15"/>
          <w:u w:val="single"/>
        </w:rPr>
        <w:fldChar w:fldCharType="end"/>
      </w:r>
      <w:r>
        <w:rPr>
          <w:rFonts w:hint="eastAsia" w:ascii="Times New Roman"/>
          <w:sz w:val="15"/>
          <w:szCs w:val="15"/>
        </w:rPr>
        <w:t>，该器械必须遵守以下警示声明：</w:t>
      </w:r>
      <w:r>
        <w:rPr>
          <w:rFonts w:ascii="Times New Roman" w:hAnsi="Times New Roman"/>
          <w:kern w:val="0"/>
          <w:sz w:val="15"/>
          <w:szCs w:val="15"/>
        </w:rPr>
        <w:t>:“</w:t>
      </w:r>
      <w:r>
        <w:rPr>
          <w:rFonts w:hint="eastAsia" w:ascii="Times New Roman"/>
          <w:kern w:val="0"/>
          <w:sz w:val="15"/>
          <w:szCs w:val="15"/>
        </w:rPr>
        <w:t>警告：联邦法律将这种器械限制由医生出售或凭医嘱出售。</w:t>
      </w:r>
      <w:r>
        <w:rPr>
          <w:rFonts w:ascii="Times New Roman" w:hAnsi="Times New Roman"/>
          <w:kern w:val="0"/>
          <w:sz w:val="15"/>
          <w:szCs w:val="15"/>
        </w:rPr>
        <w:t>“</w:t>
      </w:r>
    </w:p>
    <w:p w14:paraId="32F22082">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b/>
          <w:sz w:val="15"/>
          <w:szCs w:val="15"/>
        </w:rPr>
        <w:t>包装说明书和外科技术</w:t>
      </w:r>
      <w:r>
        <w:rPr>
          <w:rFonts w:ascii="Times New Roman" w:hAnsi="Times New Roman"/>
          <w:kern w:val="0"/>
          <w:sz w:val="15"/>
          <w:szCs w:val="15"/>
        </w:rPr>
        <w:br w:type="textWrapping"/>
      </w:r>
      <w:r>
        <w:rPr>
          <w:rFonts w:hint="eastAsia" w:ascii="Times New Roman"/>
          <w:kern w:val="0"/>
          <w:sz w:val="15"/>
          <w:szCs w:val="15"/>
        </w:rPr>
        <w:t>包装说明书和外科技术应包括以下内容：</w:t>
      </w:r>
      <w:r>
        <w:rPr>
          <w:rFonts w:ascii="Times New Roman" w:hAnsi="Times New Roman"/>
          <w:kern w:val="0"/>
          <w:sz w:val="15"/>
          <w:szCs w:val="15"/>
        </w:rPr>
        <w:t>:</w:t>
      </w:r>
    </w:p>
    <w:p w14:paraId="5B60641F">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sz w:val="15"/>
          <w:szCs w:val="15"/>
        </w:rPr>
        <w:t>本髋关节金属</w:t>
      </w:r>
      <w:r>
        <w:rPr>
          <w:rFonts w:ascii="Times New Roman" w:hAnsi="Times New Roman"/>
          <w:sz w:val="15"/>
          <w:szCs w:val="15"/>
        </w:rPr>
        <w:t>/</w:t>
      </w:r>
      <w:r>
        <w:rPr>
          <w:rFonts w:hint="eastAsia" w:ascii="Times New Roman"/>
          <w:sz w:val="15"/>
          <w:szCs w:val="15"/>
        </w:rPr>
        <w:t>聚合物骨水泥或非骨水泥假体预定用于置换髋关节。</w:t>
      </w:r>
    </w:p>
    <w:p w14:paraId="432BB9A7">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该器械适用于由于先前脱位、骨质疏松、软组织松弛、神经肌肉疾病或手术中不稳定的病史而有高风险髋关节脱位的初次或修复患者，并且已考虑到限制髋臼部件的所有其他选择。</w:t>
      </w:r>
    </w:p>
    <w:p w14:paraId="2E924C10">
      <w:pPr>
        <w:widowControl/>
        <w:ind w:firstLine="0"/>
        <w:rPr>
          <w:rFonts w:ascii="Times New Roman" w:hAnsi="Times New Roman"/>
          <w:b/>
          <w:sz w:val="15"/>
          <w:szCs w:val="15"/>
        </w:rPr>
      </w:pPr>
      <w:r>
        <w:rPr>
          <w:rFonts w:ascii="Times New Roman" w:hAnsi="Times New Roman"/>
          <w:b/>
          <w:sz w:val="15"/>
          <w:szCs w:val="15"/>
        </w:rPr>
        <w:br w:type="page"/>
      </w:r>
    </w:p>
    <w:p w14:paraId="4762BC4A">
      <w:pPr>
        <w:widowControl/>
        <w:shd w:val="clear" w:color="auto" w:fill="FFFFFF"/>
        <w:spacing w:before="240" w:after="240" w:line="207" w:lineRule="atLeast"/>
        <w:ind w:firstLine="0"/>
        <w:rPr>
          <w:rFonts w:ascii="Times New Roman"/>
          <w:sz w:val="15"/>
          <w:szCs w:val="15"/>
        </w:rPr>
      </w:pPr>
      <w:r>
        <w:rPr>
          <w:rFonts w:hint="eastAsia" w:ascii="Times New Roman"/>
          <w:b/>
          <w:i/>
          <w:sz w:val="15"/>
          <w:szCs w:val="15"/>
        </w:rPr>
        <w:t>注意事项</w:t>
      </w:r>
      <w:r>
        <w:rPr>
          <w:rFonts w:ascii="Times New Roman" w:hAnsi="Times New Roman"/>
          <w:i/>
          <w:sz w:val="15"/>
          <w:szCs w:val="15"/>
        </w:rPr>
        <w:br w:type="textWrapping"/>
      </w:r>
      <w:r>
        <w:rPr>
          <w:rFonts w:hint="eastAsia" w:ascii="Times New Roman"/>
          <w:sz w:val="15"/>
          <w:szCs w:val="15"/>
        </w:rPr>
        <w:t>仅出于生物固定或使用水泥目的而使用金属壳时可能会发生壳</w:t>
      </w:r>
      <w:r>
        <w:rPr>
          <w:rFonts w:ascii="Times New Roman" w:hAnsi="Times New Roman"/>
          <w:sz w:val="15"/>
          <w:szCs w:val="15"/>
        </w:rPr>
        <w:t>-</w:t>
      </w:r>
      <w:r>
        <w:rPr>
          <w:rFonts w:hint="eastAsia" w:ascii="Times New Roman"/>
          <w:sz w:val="15"/>
          <w:szCs w:val="15"/>
        </w:rPr>
        <w:t>髋臼骨或骨</w:t>
      </w:r>
      <w:r>
        <w:rPr>
          <w:rFonts w:ascii="Times New Roman" w:hAnsi="Times New Roman"/>
          <w:sz w:val="15"/>
          <w:szCs w:val="15"/>
        </w:rPr>
        <w:t>-</w:t>
      </w:r>
      <w:r>
        <w:rPr>
          <w:rFonts w:hint="eastAsia" w:ascii="Times New Roman"/>
          <w:sz w:val="15"/>
          <w:szCs w:val="15"/>
        </w:rPr>
        <w:t>骨水泥界面的脱位和松动，为了最大限度地减少该风险，外科医生应考虑通过使用矫形骨固定装置（如接骨螺丝、钉、螺纹、翅片或其它骨固定装置）立即抵抗金属外壳与髋臼骨或骨水泥界面的张，。</w:t>
      </w:r>
    </w:p>
    <w:p w14:paraId="04186E32">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为了正确定位金属锁环，外科医生应参考生产商的说明以进行适当的器械组装。</w:t>
      </w:r>
    </w:p>
    <w:p w14:paraId="627102A3">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kern w:val="0"/>
          <w:sz w:val="15"/>
          <w:szCs w:val="15"/>
        </w:rPr>
        <w:t>使用模块化头部（带袖或裙）和延长衬垫时，医生应考虑部件错位、部件放置以及对活动范围的影响。</w:t>
      </w:r>
    </w:p>
    <w:p w14:paraId="5D7C1554">
      <w:pPr>
        <w:widowControl/>
        <w:shd w:val="clear" w:color="auto" w:fill="FFFFFF"/>
        <w:spacing w:before="240" w:after="240"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1BCE21DA">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2" o:spt="1" style="height:0pt;width:0pt;" fillcolor="#333333" filled="t" stroked="f" coordsize="21600,21600" o:hr="t" o:hrstd="t" o:hrnoshade="t" o:hralign="center">
            <v:path/>
            <v:fill on="t" focussize="0,0"/>
            <v:stroke on="f"/>
            <v:imagedata o:title=""/>
            <o:lock v:ext="edit"/>
            <w10:wrap type="none"/>
            <w10:anchorlock/>
          </v:rect>
        </w:pict>
      </w:r>
    </w:p>
    <w:p w14:paraId="3CE04F5D">
      <w:pPr>
        <w:widowControl/>
        <w:shd w:val="clear" w:color="auto" w:fill="FFFFFF"/>
        <w:spacing w:after="118"/>
        <w:ind w:firstLine="0"/>
        <w:outlineLvl w:val="0"/>
        <w:rPr>
          <w:rFonts w:ascii="Times New Roman" w:hAnsi="Times New Roman"/>
          <w:b/>
          <w:bCs/>
          <w:kern w:val="0"/>
          <w:sz w:val="23"/>
          <w:szCs w:val="23"/>
        </w:rPr>
      </w:pPr>
      <w:bookmarkStart w:id="10" w:name="_Toc480630804"/>
      <w:r>
        <w:rPr>
          <w:rFonts w:ascii="Times New Roman" w:hAnsi="Times New Roman"/>
          <w:b/>
          <w:kern w:val="0"/>
          <w:sz w:val="23"/>
          <w:szCs w:val="23"/>
        </w:rPr>
        <w:t>9</w:t>
      </w:r>
      <w:r>
        <w:rPr>
          <w:rFonts w:hint="eastAsia" w:ascii="Times New Roman"/>
          <w:b/>
          <w:kern w:val="0"/>
          <w:sz w:val="23"/>
          <w:szCs w:val="23"/>
        </w:rPr>
        <w:t>．试验用器械豁免</w:t>
      </w:r>
      <w:bookmarkEnd w:id="10"/>
    </w:p>
    <w:p w14:paraId="5C8F64BC">
      <w:pPr>
        <w:widowControl/>
        <w:shd w:val="clear" w:color="auto" w:fill="FFFFFF"/>
        <w:spacing w:line="207" w:lineRule="atLeast"/>
        <w:ind w:firstLine="0"/>
        <w:rPr>
          <w:rFonts w:ascii="Times New Roman" w:hAnsi="Times New Roman"/>
          <w:kern w:val="0"/>
          <w:sz w:val="15"/>
          <w:szCs w:val="15"/>
        </w:rPr>
      </w:pPr>
      <w:r>
        <w:rPr>
          <w:rFonts w:hint="eastAsia" w:ascii="Times New Roman"/>
          <w:sz w:val="15"/>
          <w:szCs w:val="15"/>
        </w:rPr>
        <w:t>根据</w:t>
      </w:r>
      <w:r>
        <w:fldChar w:fldCharType="begin"/>
      </w:r>
      <w:r>
        <w:instrText xml:space="preserve"> HYPERLINK "http://www.accessdata.fda.gov/scripts/cdrh/cfdocs/cfCFR/showCFR.cfm?FR=812.2" \h </w:instrText>
      </w:r>
      <w:r>
        <w:fldChar w:fldCharType="separate"/>
      </w:r>
      <w:r>
        <w:rPr>
          <w:rFonts w:ascii="Times New Roman" w:hAnsi="Times New Roman"/>
          <w:kern w:val="0"/>
          <w:sz w:val="15"/>
          <w:szCs w:val="15"/>
          <w:u w:val="single"/>
        </w:rPr>
        <w:t>21 CFR 812.2(c)(2)</w:t>
      </w:r>
      <w:r>
        <w:rPr>
          <w:rFonts w:ascii="Times New Roman" w:hAnsi="Times New Roman"/>
          <w:kern w:val="0"/>
          <w:sz w:val="15"/>
          <w:szCs w:val="15"/>
          <w:u w:val="single"/>
        </w:rPr>
        <w:fldChar w:fldCharType="end"/>
      </w:r>
      <w:r>
        <w:rPr>
          <w:rFonts w:hint="eastAsia" w:ascii="Times New Roman"/>
          <w:sz w:val="15"/>
          <w:szCs w:val="15"/>
        </w:rPr>
        <w:t>，在</w:t>
      </w:r>
      <w:r>
        <w:rPr>
          <w:rFonts w:ascii="Times New Roman" w:hAnsi="Times New Roman"/>
          <w:sz w:val="15"/>
          <w:szCs w:val="15"/>
        </w:rPr>
        <w:t>FDA</w:t>
      </w:r>
      <w:r>
        <w:rPr>
          <w:rFonts w:hint="eastAsia" w:ascii="Times New Roman"/>
          <w:sz w:val="15"/>
          <w:szCs w:val="15"/>
        </w:rPr>
        <w:t>确定该器械有实质等效之后实施的临床设计验证研究，可以按试验用器械豁免（</w:t>
      </w:r>
      <w:r>
        <w:rPr>
          <w:rFonts w:ascii="Times New Roman" w:hAnsi="Times New Roman"/>
          <w:sz w:val="15"/>
          <w:szCs w:val="15"/>
        </w:rPr>
        <w:t>IDE</w:t>
      </w:r>
      <w:r>
        <w:rPr>
          <w:rFonts w:hint="eastAsia" w:ascii="Times New Roman"/>
          <w:sz w:val="15"/>
          <w:szCs w:val="15"/>
        </w:rPr>
        <w:t>）要求获得豁免。但是，这些研究必须符合</w:t>
      </w:r>
      <w:r>
        <w:fldChar w:fldCharType="begin"/>
      </w:r>
      <w:r>
        <w:instrText xml:space="preserve"> HYPERLINK "http://www.accessdata.fda.gov/scripts/cdrh/cfdocs/cfCFR/showCFR.cfm?CFRPart=50" \h </w:instrText>
      </w:r>
      <w:r>
        <w:fldChar w:fldCharType="separate"/>
      </w:r>
      <w:r>
        <w:rPr>
          <w:rFonts w:ascii="Times New Roman" w:hAnsi="Times New Roman"/>
          <w:kern w:val="0"/>
          <w:sz w:val="15"/>
          <w:szCs w:val="15"/>
          <w:u w:val="single"/>
        </w:rPr>
        <w:t>21 CFR</w:t>
      </w:r>
      <w:r>
        <w:rPr>
          <w:rFonts w:hint="eastAsia" w:ascii="Times New Roman"/>
          <w:kern w:val="0"/>
          <w:sz w:val="15"/>
          <w:szCs w:val="15"/>
          <w:u w:val="single"/>
        </w:rPr>
        <w:t>第</w:t>
      </w:r>
      <w:r>
        <w:rPr>
          <w:rFonts w:ascii="Times New Roman" w:hAnsi="Times New Roman"/>
          <w:kern w:val="0"/>
          <w:sz w:val="15"/>
          <w:szCs w:val="15"/>
          <w:u w:val="single"/>
        </w:rPr>
        <w:t>50</w:t>
      </w:r>
      <w:r>
        <w:rPr>
          <w:rFonts w:ascii="Times New Roman" w:hAnsi="Times New Roman"/>
          <w:kern w:val="0"/>
          <w:sz w:val="15"/>
          <w:szCs w:val="15"/>
          <w:u w:val="single"/>
        </w:rPr>
        <w:fldChar w:fldCharType="end"/>
      </w:r>
      <w:r>
        <w:rPr>
          <w:rFonts w:hint="eastAsia" w:ascii="Times New Roman"/>
          <w:kern w:val="0"/>
          <w:sz w:val="15"/>
          <w:szCs w:val="15"/>
        </w:rPr>
        <w:t>和</w:t>
      </w:r>
      <w:r>
        <w:fldChar w:fldCharType="begin"/>
      </w:r>
      <w:r>
        <w:instrText xml:space="preserve"> HYPERLINK "http://www.accessdata.fda.gov/scripts/cdrh/cfdocs/cfCFR/showCFR.cfm?CFRPart=56" \h </w:instrText>
      </w:r>
      <w:r>
        <w:fldChar w:fldCharType="separate"/>
      </w:r>
      <w:r>
        <w:rPr>
          <w:rFonts w:ascii="Times New Roman" w:hAnsi="Times New Roman"/>
          <w:kern w:val="0"/>
          <w:sz w:val="15"/>
          <w:szCs w:val="15"/>
          <w:u w:val="single"/>
        </w:rPr>
        <w:t>56</w:t>
      </w:r>
      <w:r>
        <w:rPr>
          <w:rFonts w:ascii="Times New Roman" w:hAnsi="Times New Roman"/>
          <w:kern w:val="0"/>
          <w:sz w:val="15"/>
          <w:szCs w:val="15"/>
          <w:u w:val="single"/>
        </w:rPr>
        <w:fldChar w:fldCharType="end"/>
      </w:r>
      <w:r>
        <w:rPr>
          <w:rFonts w:hint="eastAsia" w:ascii="Times New Roman"/>
          <w:sz w:val="15"/>
          <w:szCs w:val="15"/>
        </w:rPr>
        <w:t>部分。</w:t>
      </w:r>
    </w:p>
    <w:p w14:paraId="181B673A">
      <w:pPr>
        <w:widowControl/>
        <w:shd w:val="clear" w:color="auto" w:fill="FFFFFF"/>
        <w:spacing w:before="240" w:after="240" w:line="207" w:lineRule="atLeast"/>
        <w:ind w:firstLine="0"/>
        <w:rPr>
          <w:rFonts w:ascii="Times New Roman" w:hAnsi="Times New Roman"/>
          <w:sz w:val="15"/>
          <w:szCs w:val="15"/>
        </w:rPr>
      </w:pPr>
      <w:r>
        <w:rPr>
          <w:rFonts w:hint="eastAsia" w:ascii="Times New Roman"/>
          <w:sz w:val="15"/>
          <w:szCs w:val="15"/>
        </w:rPr>
        <w:t>如果需要进行临床研究来证明实质等效（即，在获得装置</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）正式批准之前进行），则研究必须在</w:t>
      </w:r>
      <w:r>
        <w:rPr>
          <w:rFonts w:ascii="Times New Roman" w:hAnsi="Times New Roman"/>
          <w:sz w:val="15"/>
          <w:szCs w:val="15"/>
        </w:rPr>
        <w:t>“IDE</w:t>
      </w:r>
      <w:r>
        <w:rPr>
          <w:rFonts w:hint="eastAsia" w:ascii="Times New Roman"/>
          <w:sz w:val="15"/>
          <w:szCs w:val="15"/>
        </w:rPr>
        <w:t>法规</w:t>
      </w:r>
      <w:r>
        <w:rPr>
          <w:rFonts w:ascii="Times New Roman" w:hAnsi="Times New Roman"/>
          <w:sz w:val="15"/>
          <w:szCs w:val="15"/>
        </w:rPr>
        <w:t>”</w:t>
      </w:r>
      <w:r>
        <w:rPr>
          <w:rFonts w:ascii="Times New Roman" w:hAnsi="Times New Roman"/>
          <w:kern w:val="0"/>
          <w:sz w:val="15"/>
          <w:szCs w:val="15"/>
        </w:rPr>
        <w:t>(</w:t>
      </w:r>
      <w:r>
        <w:fldChar w:fldCharType="begin"/>
      </w:r>
      <w:r>
        <w:instrText xml:space="preserve"> HYPERLINK "http://www.accessdata.fda.gov/scripts/cdrh/cfdocs/cfCFR/showCFR.cfm?CFRPart=812" \h </w:instrText>
      </w:r>
      <w:r>
        <w:fldChar w:fldCharType="separate"/>
      </w:r>
      <w:r>
        <w:rPr>
          <w:rFonts w:ascii="Times New Roman" w:hAnsi="Times New Roman"/>
          <w:kern w:val="0"/>
          <w:sz w:val="15"/>
          <w:szCs w:val="15"/>
          <w:u w:val="single"/>
        </w:rPr>
        <w:t>21 CFR 812</w:t>
      </w:r>
      <w:r>
        <w:rPr>
          <w:rFonts w:ascii="Times New Roman" w:hAnsi="Times New Roman"/>
          <w:kern w:val="0"/>
          <w:sz w:val="15"/>
          <w:szCs w:val="15"/>
          <w:u w:val="single"/>
        </w:rPr>
        <w:fldChar w:fldCharType="end"/>
      </w:r>
      <w:r>
        <w:rPr>
          <w:rFonts w:ascii="Times New Roman" w:hAnsi="Times New Roman"/>
          <w:kern w:val="0"/>
          <w:sz w:val="15"/>
          <w:szCs w:val="15"/>
        </w:rPr>
        <w:t>)</w:t>
      </w:r>
      <w:r>
        <w:rPr>
          <w:rFonts w:hint="eastAsia" w:ascii="Times New Roman"/>
          <w:sz w:val="15"/>
          <w:szCs w:val="15"/>
        </w:rPr>
        <w:t>的要求下实施。</w:t>
      </w:r>
      <w:r>
        <w:rPr>
          <w:rFonts w:ascii="Times New Roman" w:hAnsi="Times New Roman"/>
          <w:sz w:val="15"/>
          <w:szCs w:val="15"/>
        </w:rPr>
        <w:t>FDA</w:t>
      </w:r>
      <w:r>
        <w:rPr>
          <w:rFonts w:hint="eastAsia" w:ascii="Times New Roman"/>
          <w:sz w:val="15"/>
          <w:szCs w:val="15"/>
        </w:rPr>
        <w:t>已经确定该器械符合</w:t>
      </w:r>
      <w:r>
        <w:fldChar w:fldCharType="begin"/>
      </w:r>
      <w:r>
        <w:instrText xml:space="preserve"> HYPERLINK "http://www.accessdata.fda.gov/scripts/cdrh/cfdocs/cfCFR/showCFR.cfm?FR=812.3" \h </w:instrText>
      </w:r>
      <w:r>
        <w:fldChar w:fldCharType="separate"/>
      </w:r>
      <w:r>
        <w:rPr>
          <w:rFonts w:ascii="Times New Roman" w:hAnsi="Times New Roman"/>
          <w:kern w:val="0"/>
          <w:sz w:val="15"/>
          <w:szCs w:val="15"/>
          <w:u w:val="single"/>
        </w:rPr>
        <w:t>21 CFR 812.3(m)(4)</w:t>
      </w:r>
      <w:r>
        <w:rPr>
          <w:rFonts w:ascii="Times New Roman" w:hAnsi="Times New Roman"/>
          <w:kern w:val="0"/>
          <w:sz w:val="15"/>
          <w:szCs w:val="15"/>
          <w:u w:val="single"/>
        </w:rPr>
        <w:fldChar w:fldCharType="end"/>
      </w:r>
      <w:r>
        <w:rPr>
          <w:rFonts w:hint="eastAsia" w:ascii="Times New Roman"/>
          <w:sz w:val="15"/>
          <w:szCs w:val="15"/>
        </w:rPr>
        <w:t>中定义的重要风险器械，因此涉及这些器械的研究不符合</w:t>
      </w:r>
      <w:r>
        <w:fldChar w:fldCharType="begin"/>
      </w:r>
      <w:r>
        <w:instrText xml:space="preserve"> HYPERLINK "http://www.accessdata.fda.gov/scripts/cdrh/cfdocs/cfCFR/showCFR.cfm?FR=812.2" \h </w:instrText>
      </w:r>
      <w:r>
        <w:fldChar w:fldCharType="separate"/>
      </w:r>
      <w:r>
        <w:rPr>
          <w:rFonts w:ascii="Times New Roman" w:hAnsi="Times New Roman"/>
          <w:kern w:val="0"/>
          <w:sz w:val="15"/>
          <w:szCs w:val="15"/>
          <w:u w:val="single"/>
        </w:rPr>
        <w:t>21 CFR 812.2(b)</w:t>
      </w:r>
      <w:r>
        <w:rPr>
          <w:rFonts w:ascii="Times New Roman" w:hAnsi="Times New Roman"/>
          <w:kern w:val="0"/>
          <w:sz w:val="15"/>
          <w:szCs w:val="15"/>
          <w:u w:val="single"/>
        </w:rPr>
        <w:fldChar w:fldCharType="end"/>
      </w:r>
      <w:r>
        <w:rPr>
          <w:rFonts w:hint="eastAsia" w:ascii="Times New Roman"/>
          <w:sz w:val="15"/>
          <w:szCs w:val="15"/>
        </w:rPr>
        <w:t>的简略</w:t>
      </w:r>
      <w:r>
        <w:rPr>
          <w:rFonts w:ascii="Times New Roman" w:hAnsi="Times New Roman"/>
          <w:sz w:val="15"/>
          <w:szCs w:val="15"/>
        </w:rPr>
        <w:t>IDE</w:t>
      </w:r>
      <w:r>
        <w:rPr>
          <w:rFonts w:hint="eastAsia" w:ascii="Times New Roman"/>
          <w:sz w:val="15"/>
          <w:szCs w:val="15"/>
        </w:rPr>
        <w:t>要求。除了要求获得</w:t>
      </w:r>
      <w:r>
        <w:rPr>
          <w:rFonts w:ascii="Times New Roman" w:hAnsi="Times New Roman"/>
          <w:sz w:val="15"/>
          <w:szCs w:val="15"/>
        </w:rPr>
        <w:t>FDA</w:t>
      </w:r>
      <w:r>
        <w:rPr>
          <w:rFonts w:hint="eastAsia" w:ascii="Times New Roman"/>
          <w:sz w:val="15"/>
          <w:szCs w:val="15"/>
        </w:rPr>
        <w:t>批准的</w:t>
      </w:r>
      <w:r>
        <w:rPr>
          <w:rFonts w:ascii="Times New Roman" w:hAnsi="Times New Roman"/>
          <w:sz w:val="15"/>
          <w:szCs w:val="15"/>
        </w:rPr>
        <w:t>IDE</w:t>
      </w:r>
      <w:r>
        <w:rPr>
          <w:rFonts w:hint="eastAsia" w:ascii="Times New Roman"/>
          <w:sz w:val="15"/>
          <w:szCs w:val="15"/>
        </w:rPr>
        <w:t>之外，此类试验的申办者还必须遵守有关机构审查委员会（</w:t>
      </w:r>
      <w:r>
        <w:rPr>
          <w:rFonts w:ascii="Times New Roman" w:hAnsi="Times New Roman"/>
          <w:sz w:val="15"/>
          <w:szCs w:val="15"/>
        </w:rPr>
        <w:t>21 CFR 56</w:t>
      </w:r>
      <w:r>
        <w:rPr>
          <w:rFonts w:hint="eastAsia" w:ascii="Times New Roman"/>
          <w:sz w:val="15"/>
          <w:szCs w:val="15"/>
        </w:rPr>
        <w:t>）和知情同意书（</w:t>
      </w:r>
      <w:r>
        <w:rPr>
          <w:rFonts w:ascii="Times New Roman" w:hAnsi="Times New Roman"/>
          <w:sz w:val="15"/>
          <w:szCs w:val="15"/>
        </w:rPr>
        <w:t>21 CFR 50</w:t>
      </w:r>
      <w:r>
        <w:rPr>
          <w:rFonts w:hint="eastAsia" w:ascii="Times New Roman"/>
          <w:sz w:val="15"/>
          <w:szCs w:val="15"/>
        </w:rPr>
        <w:t>）的规定。</w:t>
      </w:r>
    </w:p>
    <w:p w14:paraId="5339E475">
      <w:pPr>
        <w:widowControl/>
        <w:shd w:val="clear" w:color="auto" w:fill="FFFFFF"/>
        <w:spacing w:before="240" w:after="240" w:line="207" w:lineRule="atLeast"/>
        <w:ind w:firstLine="0"/>
        <w:rPr>
          <w:rFonts w:ascii="Times New Roman" w:hAnsi="Times New Roman"/>
          <w:kern w:val="0"/>
          <w:sz w:val="15"/>
          <w:szCs w:val="15"/>
          <w:u w:val="single"/>
        </w:rPr>
      </w:pPr>
      <w:r>
        <w:rPr>
          <w:rFonts w:hint="eastAsia" w:ascii="Times New Roman"/>
          <w:kern w:val="0"/>
          <w:sz w:val="15"/>
          <w:szCs w:val="15"/>
          <w:u w:val="single"/>
        </w:rPr>
        <w:t>返回顶部</w:t>
      </w:r>
    </w:p>
    <w:p w14:paraId="4F97781B">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3" o:spt="1" style="height:0pt;width:0pt;" fillcolor="#333333" filled="t" stroked="f" coordsize="21600,21600" o:hr="t" o:hrstd="t" o:hrnoshade="t" o:hralign="center">
            <v:path/>
            <v:fill on="t" focussize="0,0"/>
            <v:stroke on="f"/>
            <v:imagedata o:title=""/>
            <o:lock v:ext="edit"/>
            <w10:wrap type="none"/>
            <w10:anchorlock/>
          </v:rect>
        </w:pict>
      </w:r>
    </w:p>
    <w:p w14:paraId="56EFC46B">
      <w:pPr>
        <w:widowControl/>
        <w:shd w:val="clear" w:color="auto" w:fill="FFFFFF"/>
        <w:spacing w:line="207" w:lineRule="atLeast"/>
        <w:ind w:firstLine="0"/>
        <w:rPr>
          <w:rFonts w:ascii="Times New Roman" w:hAnsi="Times New Roman"/>
          <w:kern w:val="0"/>
          <w:sz w:val="15"/>
          <w:szCs w:val="15"/>
        </w:rPr>
      </w:pPr>
      <w:r>
        <w:rPr>
          <w:rFonts w:ascii="Times New Roman" w:hAnsi="Times New Roman"/>
          <w:sz w:val="15"/>
          <w:szCs w:val="15"/>
          <w:vertAlign w:val="superscript"/>
        </w:rPr>
        <w:t>1</w:t>
      </w:r>
      <w:r>
        <w:rPr>
          <w:rFonts w:hint="eastAsia" w:ascii="Times New Roman"/>
          <w:sz w:val="15"/>
          <w:szCs w:val="15"/>
        </w:rPr>
        <w:t>请参阅</w:t>
      </w:r>
      <w:r>
        <w:fldChar w:fldCharType="begin"/>
      </w:r>
      <w:r>
        <w:instrText xml:space="preserve"> HYPERLINK "https://www.fda.gov/MedicalDevices/DeviceRegulationandGuidance/HowtoMarketYourDevice/PremarketSubmissions/PremarketNotification510k/ucm142706.htm" \h </w:instrText>
      </w:r>
      <w:r>
        <w:fldChar w:fldCharType="separate"/>
      </w:r>
      <w:r>
        <w:rPr>
          <w:rFonts w:hint="eastAsia" w:ascii="Times New Roman"/>
          <w:kern w:val="0"/>
          <w:sz w:val="15"/>
          <w:szCs w:val="15"/>
          <w:u w:val="single"/>
        </w:rPr>
        <w:t>符合公认标准声明的必要要素</w:t>
      </w:r>
      <w:r>
        <w:rPr>
          <w:rFonts w:hint="eastAsia" w:ascii="Times New Roman"/>
          <w:kern w:val="0"/>
          <w:sz w:val="15"/>
          <w:szCs w:val="15"/>
          <w:u w:val="single"/>
        </w:rPr>
        <w:fldChar w:fldCharType="end"/>
      </w:r>
      <w:r>
        <w:rPr>
          <w:rFonts w:hint="eastAsia" w:ascii="Times New Roman"/>
          <w:sz w:val="15"/>
          <w:szCs w:val="15"/>
        </w:rPr>
        <w:t>（所有上市前通知</w:t>
      </w:r>
      <w:r>
        <w:rPr>
          <w:rFonts w:ascii="Times New Roman" w:hAnsi="Times New Roman"/>
          <w:sz w:val="15"/>
          <w:szCs w:val="15"/>
        </w:rPr>
        <w:t>[510</w:t>
      </w:r>
      <w:r>
        <w:rPr>
          <w:rFonts w:hint="eastAsia" w:ascii="Times New Roman"/>
          <w:sz w:val="15"/>
          <w:szCs w:val="15"/>
        </w:rPr>
        <w:t>（</w:t>
      </w:r>
      <w:r>
        <w:rPr>
          <w:rFonts w:ascii="Times New Roman" w:hAnsi="Times New Roman"/>
          <w:sz w:val="15"/>
          <w:szCs w:val="15"/>
        </w:rPr>
        <w:t>k</w:t>
      </w:r>
      <w:r>
        <w:rPr>
          <w:rFonts w:hint="eastAsia" w:ascii="Times New Roman"/>
          <w:sz w:val="15"/>
          <w:szCs w:val="15"/>
        </w:rPr>
        <w:t>）</w:t>
      </w:r>
      <w:r>
        <w:rPr>
          <w:rFonts w:ascii="Times New Roman" w:hAnsi="Times New Roman"/>
          <w:sz w:val="15"/>
          <w:szCs w:val="15"/>
        </w:rPr>
        <w:t>]</w:t>
      </w:r>
      <w:r>
        <w:rPr>
          <w:rFonts w:hint="eastAsia" w:ascii="Times New Roman"/>
          <w:sz w:val="15"/>
          <w:szCs w:val="15"/>
        </w:rPr>
        <w:t>提交的筛查清单）。</w:t>
      </w:r>
    </w:p>
    <w:p w14:paraId="195B9C6F">
      <w:pPr>
        <w:widowControl/>
        <w:shd w:val="clear" w:color="auto" w:fill="FFFFFF"/>
        <w:spacing w:before="240" w:after="240" w:line="207" w:lineRule="atLeast"/>
        <w:ind w:firstLine="0"/>
        <w:rPr>
          <w:rFonts w:ascii="Times New Roman" w:hAnsi="Times New Roman"/>
          <w:sz w:val="15"/>
          <w:szCs w:val="15"/>
        </w:rPr>
      </w:pPr>
      <w:r>
        <w:rPr>
          <w:rFonts w:ascii="Times New Roman" w:hAnsi="Times New Roman"/>
          <w:sz w:val="15"/>
          <w:szCs w:val="15"/>
          <w:vertAlign w:val="superscript"/>
        </w:rPr>
        <w:t>2</w:t>
      </w:r>
      <w:r>
        <w:rPr>
          <w:rFonts w:ascii="Times New Roman" w:hAnsi="Times New Roman"/>
          <w:sz w:val="15"/>
          <w:szCs w:val="15"/>
        </w:rPr>
        <w:t xml:space="preserve"> FDA</w:t>
      </w:r>
      <w:r>
        <w:rPr>
          <w:rFonts w:hint="eastAsia" w:ascii="Times New Roman"/>
          <w:sz w:val="15"/>
          <w:szCs w:val="15"/>
        </w:rPr>
        <w:t>对所有无菌装置建议的水平是</w:t>
      </w:r>
      <w:r>
        <w:rPr>
          <w:rFonts w:ascii="Times New Roman" w:hAnsi="Times New Roman"/>
          <w:sz w:val="15"/>
          <w:szCs w:val="15"/>
        </w:rPr>
        <w:t>10</w:t>
      </w:r>
      <w:r>
        <w:rPr>
          <w:rFonts w:ascii="Times New Roman" w:hAnsi="Times New Roman"/>
          <w:sz w:val="15"/>
          <w:szCs w:val="15"/>
          <w:vertAlign w:val="superscript"/>
        </w:rPr>
        <w:t>-6</w:t>
      </w:r>
      <w:r>
        <w:rPr>
          <w:rFonts w:hint="eastAsia" w:ascii="Times New Roman"/>
          <w:sz w:val="15"/>
          <w:szCs w:val="15"/>
        </w:rPr>
        <w:t>，但仅接受完整皮肤的无菌器械除外。</w:t>
      </w:r>
      <w:r>
        <w:rPr>
          <w:rFonts w:hint="eastAsia" w:ascii="Times New Roman"/>
          <w:kern w:val="0"/>
          <w:sz w:val="15"/>
          <w:szCs w:val="15"/>
        </w:rPr>
        <w:t>这些器械时应为</w:t>
      </w:r>
      <w:r>
        <w:rPr>
          <w:rFonts w:ascii="Times New Roman" w:hAnsi="Times New Roman"/>
          <w:kern w:val="0"/>
          <w:sz w:val="15"/>
          <w:szCs w:val="15"/>
        </w:rPr>
        <w:t xml:space="preserve"> 10</w:t>
      </w:r>
      <w:r>
        <w:rPr>
          <w:rFonts w:ascii="Times New Roman" w:hAnsi="Times New Roman"/>
          <w:kern w:val="0"/>
          <w:sz w:val="15"/>
          <w:szCs w:val="15"/>
          <w:vertAlign w:val="superscript"/>
        </w:rPr>
        <w:t>-3</w:t>
      </w:r>
      <w:r>
        <w:rPr>
          <w:rFonts w:hint="eastAsia" w:ascii="Times New Roman"/>
          <w:kern w:val="0"/>
          <w:sz w:val="15"/>
          <w:szCs w:val="15"/>
        </w:rPr>
        <w:t>。</w:t>
      </w:r>
    </w:p>
    <w:p w14:paraId="7AF28529">
      <w:pPr>
        <w:widowControl/>
        <w:shd w:val="clear" w:color="auto" w:fill="FFFFFF"/>
        <w:spacing w:before="240" w:after="240" w:line="207" w:lineRule="atLeast"/>
        <w:ind w:firstLine="0"/>
        <w:rPr>
          <w:rFonts w:hint="eastAsia" w:eastAsia="宋体"/>
          <w:lang w:eastAsia="zh-CN"/>
        </w:rPr>
      </w:pPr>
    </w:p>
    <w:p w14:paraId="6E1B8D48">
      <w:pPr>
        <w:widowControl/>
        <w:shd w:val="clear" w:color="auto" w:fill="FFFFFF"/>
        <w:spacing w:before="240" w:after="240" w:line="207" w:lineRule="atLeast"/>
        <w:ind w:firstLine="0"/>
        <w:jc w:val="center"/>
        <w:rPr>
          <w:rFonts w:hint="eastAsia" w:eastAsia="宋体"/>
          <w:lang w:eastAsia="zh-CN"/>
        </w:rPr>
      </w:pPr>
    </w:p>
    <w:p w14:paraId="57AD5463">
      <w:pPr>
        <w:widowControl/>
        <w:shd w:val="clear" w:color="auto" w:fill="FFFFFF"/>
        <w:spacing w:before="240" w:after="240" w:line="207" w:lineRule="atLeast"/>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CC31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A2C58"/>
    <w:multiLevelType w:val="multilevel"/>
    <w:tmpl w:val="027A2C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E3105C"/>
    <w:multiLevelType w:val="multilevel"/>
    <w:tmpl w:val="0CE310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DF82125"/>
    <w:multiLevelType w:val="multilevel"/>
    <w:tmpl w:val="0DF821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E4A2A9D"/>
    <w:multiLevelType w:val="multilevel"/>
    <w:tmpl w:val="1E4A2A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A635738"/>
    <w:multiLevelType w:val="multilevel"/>
    <w:tmpl w:val="2A6357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D3B6C4C"/>
    <w:multiLevelType w:val="multilevel"/>
    <w:tmpl w:val="5D3B6C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65445AA"/>
    <w:multiLevelType w:val="multilevel"/>
    <w:tmpl w:val="765445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D877D76"/>
    <w:multiLevelType w:val="multilevel"/>
    <w:tmpl w:val="7D877D76"/>
    <w:lvl w:ilvl="0" w:tentative="0">
      <w:start w:val="1"/>
      <w:numFmt w:val="upperLetter"/>
      <w:lvlText w:val="%1."/>
      <w:lvlJc w:val="left"/>
      <w:pPr>
        <w:ind w:left="120" w:hanging="120"/>
      </w:pPr>
      <w:rPr>
        <w:rFonts w:hint="default" w:cs="Arial"/>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7"/>
  </w:num>
  <w:num w:numId="4">
    <w:abstractNumId w:val="0"/>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5DAA"/>
    <w:rsid w:val="000016F0"/>
    <w:rsid w:val="0001611C"/>
    <w:rsid w:val="000376EB"/>
    <w:rsid w:val="0004180D"/>
    <w:rsid w:val="00054BD5"/>
    <w:rsid w:val="00060868"/>
    <w:rsid w:val="000950EE"/>
    <w:rsid w:val="000A41F8"/>
    <w:rsid w:val="000B26EE"/>
    <w:rsid w:val="000D7DA9"/>
    <w:rsid w:val="000F1468"/>
    <w:rsid w:val="000F5668"/>
    <w:rsid w:val="001963C5"/>
    <w:rsid w:val="00222662"/>
    <w:rsid w:val="00226452"/>
    <w:rsid w:val="0024003C"/>
    <w:rsid w:val="00254F8D"/>
    <w:rsid w:val="00266DAB"/>
    <w:rsid w:val="0028514C"/>
    <w:rsid w:val="002C0601"/>
    <w:rsid w:val="002C6C02"/>
    <w:rsid w:val="003115AC"/>
    <w:rsid w:val="003269D4"/>
    <w:rsid w:val="00342973"/>
    <w:rsid w:val="0035270F"/>
    <w:rsid w:val="003658B3"/>
    <w:rsid w:val="00390D3A"/>
    <w:rsid w:val="003B6590"/>
    <w:rsid w:val="003C60B6"/>
    <w:rsid w:val="003D2942"/>
    <w:rsid w:val="003F1EA1"/>
    <w:rsid w:val="0040334C"/>
    <w:rsid w:val="0041731E"/>
    <w:rsid w:val="00434238"/>
    <w:rsid w:val="00456094"/>
    <w:rsid w:val="004C6421"/>
    <w:rsid w:val="00523EF5"/>
    <w:rsid w:val="00561982"/>
    <w:rsid w:val="005728CF"/>
    <w:rsid w:val="005B6109"/>
    <w:rsid w:val="005D3390"/>
    <w:rsid w:val="005D78EC"/>
    <w:rsid w:val="00601180"/>
    <w:rsid w:val="00610EDE"/>
    <w:rsid w:val="006551D7"/>
    <w:rsid w:val="006637A3"/>
    <w:rsid w:val="00672B1F"/>
    <w:rsid w:val="006A0279"/>
    <w:rsid w:val="006A74FE"/>
    <w:rsid w:val="006C7FB3"/>
    <w:rsid w:val="00742427"/>
    <w:rsid w:val="00756E40"/>
    <w:rsid w:val="007B46C1"/>
    <w:rsid w:val="007D4843"/>
    <w:rsid w:val="007E5D9E"/>
    <w:rsid w:val="00800F15"/>
    <w:rsid w:val="008361C8"/>
    <w:rsid w:val="00887F99"/>
    <w:rsid w:val="008A146A"/>
    <w:rsid w:val="008A5DAA"/>
    <w:rsid w:val="008B3467"/>
    <w:rsid w:val="009627A9"/>
    <w:rsid w:val="009C1501"/>
    <w:rsid w:val="009C5653"/>
    <w:rsid w:val="009F2AC6"/>
    <w:rsid w:val="00A42991"/>
    <w:rsid w:val="00A6086B"/>
    <w:rsid w:val="00A63E65"/>
    <w:rsid w:val="00A80966"/>
    <w:rsid w:val="00AE675D"/>
    <w:rsid w:val="00B747C4"/>
    <w:rsid w:val="00B91297"/>
    <w:rsid w:val="00BA4CE0"/>
    <w:rsid w:val="00C55287"/>
    <w:rsid w:val="00C56C4D"/>
    <w:rsid w:val="00C672D5"/>
    <w:rsid w:val="00C75C0C"/>
    <w:rsid w:val="00C86804"/>
    <w:rsid w:val="00CA1F30"/>
    <w:rsid w:val="00CC3AFD"/>
    <w:rsid w:val="00CD7BE4"/>
    <w:rsid w:val="00CE1A4D"/>
    <w:rsid w:val="00D07BB9"/>
    <w:rsid w:val="00D1563E"/>
    <w:rsid w:val="00D15DB0"/>
    <w:rsid w:val="00D16970"/>
    <w:rsid w:val="00D216F7"/>
    <w:rsid w:val="00D34F22"/>
    <w:rsid w:val="00D610B0"/>
    <w:rsid w:val="00DD3769"/>
    <w:rsid w:val="00E0312E"/>
    <w:rsid w:val="00E619E0"/>
    <w:rsid w:val="00EB71A5"/>
    <w:rsid w:val="00EE6494"/>
    <w:rsid w:val="00F17ECF"/>
    <w:rsid w:val="00F36412"/>
    <w:rsid w:val="00F44996"/>
    <w:rsid w:val="00FC4413"/>
    <w:rsid w:val="00FC511E"/>
    <w:rsid w:val="00FD708C"/>
    <w:rsid w:val="55072D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1"/>
      <w:jc w:val="both"/>
    </w:pPr>
    <w:rPr>
      <w:rFonts w:ascii="宋体" w:hAnsi="宋体" w:eastAsia="宋体" w:cs="Times New Roman"/>
      <w:kern w:val="2"/>
      <w:sz w:val="21"/>
      <w:szCs w:val="22"/>
      <w:lang w:val="zh-CN" w:eastAsia="zh-CN" w:bidi="ar-SA"/>
    </w:rPr>
  </w:style>
  <w:style w:type="paragraph" w:styleId="2">
    <w:name w:val="heading 1"/>
    <w:basedOn w:val="1"/>
    <w:link w:val="19"/>
    <w:qFormat/>
    <w:uiPriority w:val="99"/>
    <w:pPr>
      <w:widowControl/>
      <w:spacing w:before="100" w:beforeAutospacing="1" w:after="100" w:afterAutospacing="1"/>
      <w:ind w:firstLine="0"/>
      <w:jc w:val="left"/>
      <w:outlineLvl w:val="0"/>
    </w:pPr>
    <w:rPr>
      <w:rFonts w:cs="宋体"/>
      <w:b/>
      <w:bCs/>
      <w:kern w:val="36"/>
      <w:sz w:val="48"/>
      <w:szCs w:val="48"/>
    </w:rPr>
  </w:style>
  <w:style w:type="paragraph" w:styleId="3">
    <w:name w:val="heading 2"/>
    <w:basedOn w:val="1"/>
    <w:link w:val="20"/>
    <w:qFormat/>
    <w:uiPriority w:val="99"/>
    <w:pPr>
      <w:widowControl/>
      <w:spacing w:before="100" w:beforeAutospacing="1" w:after="100" w:afterAutospacing="1"/>
      <w:ind w:firstLine="0"/>
      <w:jc w:val="left"/>
      <w:outlineLvl w:val="1"/>
    </w:pPr>
    <w:rPr>
      <w:rFonts w:cs="宋体"/>
      <w:b/>
      <w:bCs/>
      <w:kern w:val="0"/>
      <w:sz w:val="36"/>
      <w:szCs w:val="36"/>
    </w:rPr>
  </w:style>
  <w:style w:type="paragraph" w:styleId="4">
    <w:name w:val="heading 3"/>
    <w:basedOn w:val="1"/>
    <w:link w:val="21"/>
    <w:qFormat/>
    <w:uiPriority w:val="99"/>
    <w:pPr>
      <w:widowControl/>
      <w:spacing w:before="100" w:beforeAutospacing="1" w:after="100" w:afterAutospacing="1"/>
      <w:ind w:firstLine="0"/>
      <w:jc w:val="left"/>
      <w:outlineLvl w:val="2"/>
    </w:pPr>
    <w:rPr>
      <w:rFonts w:cs="宋体"/>
      <w:b/>
      <w:bCs/>
      <w:kern w:val="0"/>
      <w:sz w:val="27"/>
      <w:szCs w:val="27"/>
    </w:rPr>
  </w:style>
  <w:style w:type="paragraph" w:styleId="5">
    <w:name w:val="heading 4"/>
    <w:basedOn w:val="1"/>
    <w:link w:val="22"/>
    <w:qFormat/>
    <w:uiPriority w:val="99"/>
    <w:pPr>
      <w:widowControl/>
      <w:spacing w:before="100" w:beforeAutospacing="1" w:after="100" w:afterAutospacing="1"/>
      <w:ind w:firstLine="0"/>
      <w:jc w:val="left"/>
      <w:outlineLvl w:val="3"/>
    </w:pPr>
    <w:rPr>
      <w:rFonts w:cs="宋体"/>
      <w:b/>
      <w:bCs/>
      <w:kern w:val="0"/>
      <w:sz w:val="24"/>
      <w:szCs w:val="2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uiPriority w:val="99"/>
    <w:pPr>
      <w:jc w:val="left"/>
    </w:pPr>
  </w:style>
  <w:style w:type="paragraph" w:styleId="7">
    <w:name w:val="Balloon Text"/>
    <w:basedOn w:val="1"/>
    <w:link w:val="28"/>
    <w:semiHidden/>
    <w:qFormat/>
    <w:uiPriority w:val="99"/>
    <w:rPr>
      <w:sz w:val="18"/>
      <w:szCs w:val="18"/>
    </w:rPr>
  </w:style>
  <w:style w:type="paragraph" w:styleId="8">
    <w:name w:val="footer"/>
    <w:basedOn w:val="1"/>
    <w:link w:val="24"/>
    <w:semiHidden/>
    <w:uiPriority w:val="99"/>
    <w:pPr>
      <w:tabs>
        <w:tab w:val="center" w:pos="4153"/>
        <w:tab w:val="right" w:pos="8306"/>
      </w:tabs>
      <w:snapToGrid w:val="0"/>
      <w:jc w:val="left"/>
    </w:pPr>
    <w:rPr>
      <w:sz w:val="18"/>
      <w:szCs w:val="18"/>
    </w:rPr>
  </w:style>
  <w:style w:type="paragraph" w:styleId="9">
    <w:name w:val="header"/>
    <w:basedOn w:val="1"/>
    <w:link w:val="23"/>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locked/>
    <w:uiPriority w:val="99"/>
    <w:pPr>
      <w:spacing w:line="360" w:lineRule="auto"/>
      <w:ind w:firstLine="0"/>
    </w:pPr>
  </w:style>
  <w:style w:type="paragraph" w:styleId="11">
    <w:name w:val="Normal (Web)"/>
    <w:basedOn w:val="1"/>
    <w:qFormat/>
    <w:uiPriority w:val="99"/>
    <w:pPr>
      <w:widowControl/>
      <w:spacing w:before="100" w:beforeAutospacing="1" w:after="100" w:afterAutospacing="1"/>
      <w:ind w:firstLine="0"/>
      <w:jc w:val="left"/>
    </w:pPr>
    <w:rPr>
      <w:rFonts w:cs="宋体"/>
      <w:kern w:val="0"/>
      <w:sz w:val="24"/>
      <w:szCs w:val="24"/>
    </w:rPr>
  </w:style>
  <w:style w:type="paragraph" w:styleId="12">
    <w:name w:val="annotation subject"/>
    <w:basedOn w:val="6"/>
    <w:next w:val="6"/>
    <w:link w:val="30"/>
    <w:semiHidden/>
    <w:qFormat/>
    <w:uiPriority w:val="99"/>
    <w:rPr>
      <w:b/>
      <w:bCs/>
    </w:rPr>
  </w:style>
  <w:style w:type="character" w:styleId="15">
    <w:name w:val="Strong"/>
    <w:qFormat/>
    <w:uiPriority w:val="99"/>
    <w:rPr>
      <w:rFonts w:cs="Times New Roman"/>
      <w:b/>
      <w:bCs/>
    </w:rPr>
  </w:style>
  <w:style w:type="character" w:styleId="16">
    <w:name w:val="Emphasis"/>
    <w:qFormat/>
    <w:uiPriority w:val="99"/>
    <w:rPr>
      <w:rFonts w:cs="Times New Roman"/>
      <w:i/>
      <w:iCs/>
    </w:rPr>
  </w:style>
  <w:style w:type="character" w:styleId="17">
    <w:name w:val="Hyperlink"/>
    <w:semiHidden/>
    <w:qFormat/>
    <w:uiPriority w:val="99"/>
    <w:rPr>
      <w:rFonts w:cs="Times New Roman"/>
      <w:color w:val="0000FF"/>
      <w:u w:val="single"/>
    </w:rPr>
  </w:style>
  <w:style w:type="character" w:styleId="18">
    <w:name w:val="annotation reference"/>
    <w:semiHidden/>
    <w:uiPriority w:val="99"/>
    <w:rPr>
      <w:rFonts w:cs="Times New Roman"/>
      <w:sz w:val="21"/>
      <w:szCs w:val="21"/>
    </w:rPr>
  </w:style>
  <w:style w:type="character" w:customStyle="1" w:styleId="19">
    <w:name w:val="标题 1 Char"/>
    <w:link w:val="2"/>
    <w:locked/>
    <w:uiPriority w:val="99"/>
    <w:rPr>
      <w:rFonts w:ascii="宋体" w:hAnsi="宋体" w:cs="宋体"/>
      <w:b/>
      <w:bCs/>
      <w:kern w:val="36"/>
      <w:sz w:val="48"/>
      <w:szCs w:val="48"/>
    </w:rPr>
  </w:style>
  <w:style w:type="character" w:customStyle="1" w:styleId="20">
    <w:name w:val="标题 2 Char"/>
    <w:link w:val="3"/>
    <w:locked/>
    <w:uiPriority w:val="99"/>
    <w:rPr>
      <w:rFonts w:ascii="宋体" w:hAnsi="宋体" w:cs="宋体"/>
      <w:b/>
      <w:bCs/>
      <w:kern w:val="0"/>
      <w:sz w:val="36"/>
      <w:szCs w:val="36"/>
    </w:rPr>
  </w:style>
  <w:style w:type="character" w:customStyle="1" w:styleId="21">
    <w:name w:val="标题 3 Char"/>
    <w:link w:val="4"/>
    <w:locked/>
    <w:uiPriority w:val="99"/>
    <w:rPr>
      <w:rFonts w:ascii="宋体" w:hAnsi="宋体" w:cs="宋体"/>
      <w:b/>
      <w:bCs/>
      <w:kern w:val="0"/>
      <w:sz w:val="27"/>
      <w:szCs w:val="27"/>
    </w:rPr>
  </w:style>
  <w:style w:type="character" w:customStyle="1" w:styleId="22">
    <w:name w:val="标题 4 Char"/>
    <w:link w:val="5"/>
    <w:qFormat/>
    <w:locked/>
    <w:uiPriority w:val="99"/>
    <w:rPr>
      <w:rFonts w:ascii="宋体" w:hAnsi="宋体" w:cs="宋体"/>
      <w:b/>
      <w:bCs/>
      <w:kern w:val="0"/>
      <w:sz w:val="24"/>
      <w:szCs w:val="24"/>
    </w:rPr>
  </w:style>
  <w:style w:type="character" w:customStyle="1" w:styleId="23">
    <w:name w:val="页眉 Char"/>
    <w:link w:val="9"/>
    <w:semiHidden/>
    <w:locked/>
    <w:uiPriority w:val="99"/>
    <w:rPr>
      <w:rFonts w:cs="Times New Roman"/>
      <w:sz w:val="18"/>
      <w:szCs w:val="18"/>
    </w:rPr>
  </w:style>
  <w:style w:type="character" w:customStyle="1" w:styleId="24">
    <w:name w:val="页脚 Char"/>
    <w:link w:val="8"/>
    <w:semiHidden/>
    <w:locked/>
    <w:uiPriority w:val="99"/>
    <w:rPr>
      <w:rFonts w:cs="Times New Roman"/>
      <w:sz w:val="18"/>
      <w:szCs w:val="18"/>
    </w:rPr>
  </w:style>
  <w:style w:type="paragraph" w:customStyle="1" w:styleId="25">
    <w:name w:val="text-right"/>
    <w:basedOn w:val="1"/>
    <w:uiPriority w:val="99"/>
    <w:pPr>
      <w:widowControl/>
      <w:spacing w:before="100" w:beforeAutospacing="1" w:after="100" w:afterAutospacing="1"/>
      <w:ind w:firstLine="0"/>
      <w:jc w:val="left"/>
    </w:pPr>
    <w:rPr>
      <w:rFonts w:cs="宋体"/>
      <w:kern w:val="0"/>
      <w:sz w:val="24"/>
      <w:szCs w:val="24"/>
    </w:rPr>
  </w:style>
  <w:style w:type="character" w:customStyle="1" w:styleId="26">
    <w:name w:val="apple-converted-space"/>
    <w:uiPriority w:val="99"/>
    <w:rPr>
      <w:rFonts w:cs="Times New Roman"/>
    </w:rPr>
  </w:style>
  <w:style w:type="paragraph" w:customStyle="1" w:styleId="27">
    <w:name w:val="nudge-right"/>
    <w:basedOn w:val="1"/>
    <w:uiPriority w:val="99"/>
    <w:pPr>
      <w:widowControl/>
      <w:spacing w:before="100" w:beforeAutospacing="1" w:after="100" w:afterAutospacing="1"/>
      <w:ind w:firstLine="0"/>
      <w:jc w:val="left"/>
    </w:pPr>
    <w:rPr>
      <w:rFonts w:cs="宋体"/>
      <w:kern w:val="0"/>
      <w:sz w:val="24"/>
      <w:szCs w:val="24"/>
    </w:rPr>
  </w:style>
  <w:style w:type="character" w:customStyle="1" w:styleId="28">
    <w:name w:val="批注框文本 Char"/>
    <w:link w:val="7"/>
    <w:semiHidden/>
    <w:qFormat/>
    <w:locked/>
    <w:uiPriority w:val="99"/>
    <w:rPr>
      <w:rFonts w:cs="Times New Roman"/>
      <w:sz w:val="18"/>
      <w:szCs w:val="18"/>
    </w:rPr>
  </w:style>
  <w:style w:type="character" w:customStyle="1" w:styleId="29">
    <w:name w:val="批注文字 Char"/>
    <w:link w:val="6"/>
    <w:semiHidden/>
    <w:locked/>
    <w:uiPriority w:val="99"/>
    <w:rPr>
      <w:rFonts w:cs="Times New Roman"/>
    </w:rPr>
  </w:style>
  <w:style w:type="character" w:customStyle="1" w:styleId="30">
    <w:name w:val="批注主题 Char"/>
    <w:link w:val="12"/>
    <w:semiHidden/>
    <w:qFormat/>
    <w:locked/>
    <w:uiPriority w:val="99"/>
    <w:rPr>
      <w:rFonts w:cs="Times New Roman"/>
      <w:b/>
      <w:bCs/>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5510</Words>
  <Characters>6662</Characters>
  <Lines>78</Lines>
  <Paragraphs>22</Paragraphs>
  <TotalTime>105</TotalTime>
  <ScaleCrop>false</ScaleCrop>
  <LinksUpToDate>false</LinksUpToDate>
  <CharactersWithSpaces>6866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2017-03-24T09:40:00Z</dcterms:created>
  <dc:creator>xlmedtrans</dc:creator>
  <cp:lastModifiedBy>太极箫客</cp:lastModifiedBy>
  <dcterms:modified xsi:type="dcterms:W3CDTF">2025-08-14T06:18:15Z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3A47AC64695D4876B59D06F838B95E61_12</vt:lpwstr>
  </property>
</Properties>
</file>