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700D7E">
      <w:pPr>
        <w:widowControl/>
        <w:spacing w:before="20" w:after="20"/>
        <w:ind w:firstLine="0"/>
        <w:rPr>
          <w:rFonts w:ascii="Times New Roman" w:hAnsi="Times New Roman"/>
          <w:b/>
          <w:kern w:val="0"/>
          <w:sz w:val="32"/>
          <w:szCs w:val="32"/>
        </w:rPr>
      </w:pPr>
      <w:bookmarkStart w:id="11" w:name="_GoBack"/>
      <w:bookmarkEnd w:id="11"/>
      <w:r>
        <w:rPr>
          <w:rFonts w:hint="eastAsia" w:ascii="Times New Roman" w:hAnsi="宋体"/>
          <w:b/>
          <w:kern w:val="0"/>
          <w:sz w:val="32"/>
          <w:szCs w:val="32"/>
        </w:rPr>
        <w:t>行业指南和</w:t>
      </w:r>
      <w:r>
        <w:rPr>
          <w:rFonts w:ascii="Times New Roman" w:hAnsi="Times New Roman"/>
          <w:b/>
          <w:kern w:val="0"/>
          <w:sz w:val="32"/>
          <w:szCs w:val="32"/>
        </w:rPr>
        <w:t>FDA</w:t>
      </w:r>
      <w:r>
        <w:rPr>
          <w:rFonts w:hint="eastAsia" w:ascii="Times New Roman" w:hAnsi="宋体"/>
          <w:b/>
          <w:kern w:val="0"/>
          <w:sz w:val="32"/>
          <w:szCs w:val="32"/>
        </w:rPr>
        <w:t>人员指导：</w:t>
      </w:r>
      <w:r>
        <w:rPr>
          <w:rFonts w:ascii="Times New Roman" w:hAnsi="Times New Roman"/>
          <w:b/>
          <w:kern w:val="0"/>
          <w:sz w:val="32"/>
          <w:szCs w:val="32"/>
        </w:rPr>
        <w:t>II</w:t>
      </w:r>
      <w:r>
        <w:rPr>
          <w:rFonts w:hint="eastAsia" w:ascii="Times New Roman" w:hAnsi="宋体"/>
          <w:b/>
          <w:kern w:val="0"/>
          <w:sz w:val="32"/>
          <w:szCs w:val="32"/>
        </w:rPr>
        <w:t>类特殊管理指导性文件：牙骨移植材料</w:t>
      </w:r>
    </w:p>
    <w:p w14:paraId="755C792D">
      <w:pPr>
        <w:tabs>
          <w:tab w:val="left" w:pos="4596"/>
        </w:tabs>
        <w:spacing w:beforeLines="50"/>
        <w:ind w:firstLine="0"/>
        <w:rPr>
          <w:rFonts w:ascii="Times New Roman" w:hAnsi="Times New Roman"/>
          <w:b/>
          <w:sz w:val="15"/>
          <w:szCs w:val="15"/>
        </w:rPr>
      </w:pPr>
      <w:r>
        <w:rPr>
          <w:rFonts w:hint="eastAsia" w:ascii="Times New Roman" w:hAnsi="宋体"/>
          <w:b/>
          <w:sz w:val="15"/>
          <w:szCs w:val="15"/>
        </w:rPr>
        <w:t>文件发布日期：</w:t>
      </w:r>
      <w:r>
        <w:rPr>
          <w:rFonts w:ascii="Times New Roman" w:hAnsi="Times New Roman"/>
          <w:b/>
          <w:sz w:val="15"/>
          <w:szCs w:val="15"/>
        </w:rPr>
        <w:t>2005</w:t>
      </w:r>
      <w:r>
        <w:rPr>
          <w:rFonts w:hint="eastAsia" w:ascii="Times New Roman" w:hAnsi="宋体"/>
          <w:b/>
          <w:sz w:val="15"/>
          <w:szCs w:val="15"/>
        </w:rPr>
        <w:t>年</w:t>
      </w:r>
      <w:r>
        <w:rPr>
          <w:rFonts w:ascii="Times New Roman" w:hAnsi="Times New Roman"/>
          <w:b/>
          <w:sz w:val="15"/>
          <w:szCs w:val="15"/>
        </w:rPr>
        <w:t>4</w:t>
      </w:r>
      <w:r>
        <w:rPr>
          <w:rFonts w:hint="eastAsia" w:ascii="Times New Roman" w:hAnsi="宋体"/>
          <w:b/>
          <w:sz w:val="15"/>
          <w:szCs w:val="15"/>
        </w:rPr>
        <w:t>月</w:t>
      </w:r>
      <w:r>
        <w:rPr>
          <w:rFonts w:ascii="Times New Roman" w:hAnsi="Times New Roman"/>
          <w:b/>
          <w:sz w:val="15"/>
          <w:szCs w:val="15"/>
        </w:rPr>
        <w:t>28</w:t>
      </w:r>
      <w:r>
        <w:rPr>
          <w:rFonts w:hint="eastAsia" w:ascii="Times New Roman" w:hAnsi="宋体"/>
          <w:b/>
          <w:sz w:val="15"/>
          <w:szCs w:val="15"/>
        </w:rPr>
        <w:t>日</w:t>
      </w:r>
    </w:p>
    <w:p w14:paraId="4D736E15">
      <w:pPr>
        <w:tabs>
          <w:tab w:val="left" w:pos="4596"/>
        </w:tabs>
        <w:spacing w:beforeLines="50"/>
        <w:ind w:firstLine="0"/>
        <w:rPr>
          <w:rFonts w:ascii="Times New Roman" w:hAnsi="Times New Roman"/>
          <w:b/>
          <w:sz w:val="15"/>
          <w:szCs w:val="15"/>
        </w:rPr>
      </w:pPr>
      <w:r>
        <w:rPr>
          <w:rFonts w:hint="eastAsia" w:ascii="Times New Roman" w:hAnsi="宋体"/>
          <w:b/>
          <w:sz w:val="15"/>
          <w:szCs w:val="15"/>
        </w:rPr>
        <w:t>此文件的草稿发布日期：</w:t>
      </w:r>
      <w:r>
        <w:rPr>
          <w:rFonts w:ascii="Times New Roman" w:hAnsi="Times New Roman"/>
          <w:b/>
          <w:sz w:val="15"/>
          <w:szCs w:val="15"/>
        </w:rPr>
        <w:t>2004</w:t>
      </w:r>
      <w:r>
        <w:rPr>
          <w:rFonts w:hint="eastAsia" w:ascii="Times New Roman" w:hAnsi="宋体"/>
          <w:b/>
          <w:sz w:val="15"/>
          <w:szCs w:val="15"/>
        </w:rPr>
        <w:t>年</w:t>
      </w:r>
      <w:r>
        <w:rPr>
          <w:rFonts w:ascii="Times New Roman" w:hAnsi="Times New Roman"/>
          <w:b/>
          <w:sz w:val="15"/>
          <w:szCs w:val="15"/>
        </w:rPr>
        <w:t>6</w:t>
      </w:r>
      <w:r>
        <w:rPr>
          <w:rFonts w:hint="eastAsia" w:ascii="Times New Roman" w:hAnsi="宋体"/>
          <w:b/>
          <w:sz w:val="15"/>
          <w:szCs w:val="15"/>
        </w:rPr>
        <w:t>月</w:t>
      </w:r>
      <w:r>
        <w:rPr>
          <w:rFonts w:ascii="Times New Roman" w:hAnsi="Times New Roman"/>
          <w:b/>
          <w:sz w:val="15"/>
          <w:szCs w:val="15"/>
        </w:rPr>
        <w:t>30</w:t>
      </w:r>
      <w:r>
        <w:rPr>
          <w:rFonts w:hint="eastAsia" w:ascii="Times New Roman" w:hAnsi="宋体"/>
          <w:b/>
          <w:sz w:val="15"/>
          <w:szCs w:val="15"/>
        </w:rPr>
        <w:t>日</w:t>
      </w:r>
    </w:p>
    <w:p w14:paraId="1AA05F25">
      <w:pPr>
        <w:tabs>
          <w:tab w:val="left" w:pos="4596"/>
        </w:tabs>
        <w:spacing w:beforeLines="50"/>
        <w:ind w:firstLine="0"/>
        <w:rPr>
          <w:rFonts w:ascii="Times New Roman" w:hAnsi="Times New Roman"/>
          <w:sz w:val="15"/>
          <w:szCs w:val="15"/>
          <w:vertAlign w:val="subscript"/>
        </w:rPr>
      </w:pPr>
      <w:r>
        <w:rPr>
          <w:rFonts w:hint="eastAsia" w:ascii="Times New Roman" w:hAnsi="宋体"/>
          <w:sz w:val="15"/>
          <w:szCs w:val="15"/>
        </w:rPr>
        <w:t>关于本文件的问题，请通过</w:t>
      </w:r>
      <w:r>
        <w:rPr>
          <w:rFonts w:ascii="Times New Roman" w:hAnsi="Times New Roman"/>
          <w:sz w:val="15"/>
          <w:szCs w:val="15"/>
        </w:rPr>
        <w:t xml:space="preserve">301-796-6277 </w:t>
      </w:r>
      <w:r>
        <w:rPr>
          <w:rFonts w:hint="eastAsia" w:ascii="Times New Roman" w:hAnsi="宋体"/>
          <w:sz w:val="15"/>
          <w:szCs w:val="15"/>
        </w:rPr>
        <w:t>联系</w:t>
      </w:r>
      <w:r>
        <w:rPr>
          <w:rFonts w:ascii="Times New Roman" w:hAnsi="Times New Roman"/>
          <w:sz w:val="15"/>
          <w:szCs w:val="15"/>
        </w:rPr>
        <w:t>Bob Betz</w:t>
      </w:r>
      <w:r>
        <w:rPr>
          <w:rFonts w:hint="eastAsia" w:ascii="Times New Roman" w:hAnsi="宋体"/>
          <w:sz w:val="15"/>
          <w:szCs w:val="15"/>
        </w:rPr>
        <w:t>或发</w:t>
      </w:r>
      <w:r>
        <w:rPr>
          <w:rFonts w:ascii="Times New Roman" w:hAnsi="Times New Roman"/>
          <w:sz w:val="15"/>
          <w:szCs w:val="15"/>
        </w:rPr>
        <w:t xml:space="preserve">email </w:t>
      </w:r>
      <w:r>
        <w:rPr>
          <w:rFonts w:hint="eastAsia" w:ascii="Times New Roman" w:hAnsi="宋体"/>
          <w:sz w:val="15"/>
          <w:szCs w:val="15"/>
        </w:rPr>
        <w:t>到</w:t>
      </w:r>
      <w:r>
        <w:rPr>
          <w:rFonts w:ascii="Times New Roman" w:hAnsi="Times New Roman"/>
          <w:sz w:val="15"/>
          <w:szCs w:val="15"/>
        </w:rPr>
        <w:t>robert.betz@fda.hhs.gov</w:t>
      </w:r>
      <w:r>
        <w:rPr>
          <w:rFonts w:hint="eastAsia" w:ascii="Times New Roman" w:hAnsi="宋体"/>
          <w:sz w:val="15"/>
          <w:szCs w:val="15"/>
        </w:rPr>
        <w:t>。</w:t>
      </w:r>
    </w:p>
    <w:p w14:paraId="2FBBBB81">
      <w:pPr>
        <w:widowControl/>
        <w:ind w:right="420" w:firstLine="0"/>
        <w:rPr>
          <w:rFonts w:ascii="Times New Roman" w:hAnsi="Times New Roman"/>
          <w:kern w:val="0"/>
          <w:sz w:val="15"/>
          <w:szCs w:val="15"/>
        </w:rPr>
      </w:pPr>
      <w:r>
        <w:rPr>
          <w:rFonts w:ascii="Times New Roman" w:hAnsi="Times New Roman"/>
          <w:kern w:val="0"/>
          <w:sz w:val="15"/>
          <w:szCs w:val="15"/>
        </w:rPr>
        <w:pict>
          <v:shape id="_x0000_i1025" o:spt="75" alt="Image of CDRH Logo" type="#_x0000_t75" style="height:74.15pt;width:73.05pt;" filled="f" o:preferrelative="t" stroked="f" coordsize="21600,21600">
            <v:path/>
            <v:fill on="f" focussize="0,0"/>
            <v:stroke on="f" joinstyle="miter"/>
            <v:imagedata r:id="rId5" o:title=""/>
            <o:lock v:ext="edit" aspectratio="t"/>
            <w10:wrap type="none"/>
            <w10:anchorlock/>
          </v:shape>
        </w:pict>
      </w:r>
    </w:p>
    <w:p w14:paraId="30F9A553">
      <w:pPr>
        <w:widowControl/>
        <w:ind w:firstLine="0"/>
        <w:jc w:val="right"/>
        <w:rPr>
          <w:rFonts w:ascii="Times New Roman" w:hAnsi="Times New Roman"/>
          <w:b/>
          <w:kern w:val="0"/>
          <w:sz w:val="15"/>
          <w:szCs w:val="15"/>
        </w:rPr>
      </w:pPr>
      <w:r>
        <w:rPr>
          <w:rFonts w:hint="eastAsia" w:ascii="Times New Roman" w:hAnsi="宋体"/>
          <w:b/>
          <w:kern w:val="0"/>
          <w:sz w:val="15"/>
          <w:szCs w:val="15"/>
        </w:rPr>
        <w:t>美国卫生与人类服务部</w:t>
      </w:r>
    </w:p>
    <w:p w14:paraId="4709FC13">
      <w:pPr>
        <w:widowControl/>
        <w:ind w:firstLine="0"/>
        <w:jc w:val="right"/>
        <w:rPr>
          <w:rFonts w:ascii="Times New Roman" w:hAnsi="Times New Roman"/>
          <w:b/>
          <w:kern w:val="0"/>
          <w:sz w:val="15"/>
          <w:szCs w:val="15"/>
        </w:rPr>
      </w:pPr>
      <w:r>
        <w:rPr>
          <w:rFonts w:hint="eastAsia" w:ascii="Times New Roman" w:hAnsi="宋体"/>
          <w:b/>
          <w:kern w:val="0"/>
          <w:sz w:val="15"/>
          <w:szCs w:val="15"/>
        </w:rPr>
        <w:t>食品药品管理局</w:t>
      </w:r>
    </w:p>
    <w:p w14:paraId="49C0B7BA">
      <w:pPr>
        <w:widowControl/>
        <w:shd w:val="clear" w:color="auto" w:fill="FFFFFF"/>
        <w:spacing w:line="207" w:lineRule="atLeast"/>
        <w:ind w:firstLine="0"/>
        <w:jc w:val="right"/>
        <w:rPr>
          <w:rFonts w:ascii="Times New Roman" w:hAnsi="Times New Roman"/>
          <w:kern w:val="0"/>
          <w:sz w:val="15"/>
          <w:szCs w:val="15"/>
        </w:rPr>
      </w:pPr>
      <w:r>
        <w:rPr>
          <w:rFonts w:hint="eastAsia" w:ascii="Times New Roman" w:hAnsi="宋体"/>
          <w:b/>
          <w:kern w:val="0"/>
          <w:sz w:val="15"/>
          <w:szCs w:val="15"/>
        </w:rPr>
        <w:t>器械和放射健康中心</w:t>
      </w:r>
    </w:p>
    <w:p w14:paraId="2555E375">
      <w:pPr>
        <w:widowControl/>
        <w:shd w:val="clear" w:color="auto" w:fill="FFFFFF"/>
        <w:spacing w:beforeLines="150" w:line="207" w:lineRule="atLeast"/>
        <w:ind w:firstLine="0"/>
        <w:jc w:val="right"/>
        <w:rPr>
          <w:rFonts w:ascii="Times New Roman" w:hAnsi="Times New Roman"/>
          <w:b/>
          <w:bCs/>
          <w:kern w:val="0"/>
          <w:sz w:val="15"/>
          <w:szCs w:val="15"/>
        </w:rPr>
      </w:pPr>
      <w:r>
        <w:rPr>
          <w:rFonts w:hint="eastAsia" w:ascii="Times New Roman" w:hAnsi="宋体"/>
          <w:b/>
          <w:bCs/>
          <w:kern w:val="0"/>
          <w:sz w:val="15"/>
          <w:szCs w:val="15"/>
        </w:rPr>
        <w:t>齿科器械科</w:t>
      </w:r>
    </w:p>
    <w:p w14:paraId="2D0115FE">
      <w:pPr>
        <w:widowControl/>
        <w:shd w:val="clear" w:color="auto" w:fill="FFFFFF"/>
        <w:spacing w:line="207" w:lineRule="atLeast"/>
        <w:ind w:firstLine="0"/>
        <w:jc w:val="right"/>
        <w:rPr>
          <w:rFonts w:ascii="Times New Roman" w:hAnsi="Times New Roman"/>
          <w:kern w:val="0"/>
          <w:sz w:val="15"/>
          <w:szCs w:val="15"/>
        </w:rPr>
      </w:pPr>
      <w:r>
        <w:rPr>
          <w:rFonts w:hint="eastAsia" w:ascii="Times New Roman" w:hAnsi="宋体"/>
          <w:b/>
          <w:bCs/>
          <w:kern w:val="0"/>
          <w:sz w:val="15"/>
          <w:szCs w:val="15"/>
        </w:rPr>
        <w:t>麻醉部，感染控制，</w:t>
      </w:r>
      <w:r>
        <w:rPr>
          <w:rFonts w:ascii="Times New Roman" w:hAnsi="Times New Roman"/>
          <w:b/>
          <w:bCs/>
          <w:kern w:val="0"/>
          <w:sz w:val="15"/>
          <w:szCs w:val="15"/>
        </w:rPr>
        <w:br w:type="textWrapping"/>
      </w:r>
      <w:r>
        <w:rPr>
          <w:rFonts w:hint="eastAsia" w:ascii="Times New Roman" w:hAnsi="宋体"/>
          <w:b/>
          <w:bCs/>
          <w:kern w:val="0"/>
          <w:sz w:val="15"/>
          <w:szCs w:val="15"/>
        </w:rPr>
        <w:t>综合医院，和齿科服务部</w:t>
      </w:r>
      <w:r>
        <w:rPr>
          <w:rFonts w:ascii="Times New Roman" w:hAnsi="Times New Roman"/>
          <w:b/>
          <w:bCs/>
          <w:kern w:val="0"/>
          <w:sz w:val="15"/>
          <w:szCs w:val="15"/>
        </w:rPr>
        <w:br w:type="textWrapping"/>
      </w:r>
      <w:r>
        <w:rPr>
          <w:rFonts w:hint="eastAsia" w:ascii="Times New Roman" w:hAnsi="宋体"/>
          <w:b/>
          <w:sz w:val="15"/>
          <w:szCs w:val="15"/>
        </w:rPr>
        <w:t>器械评估办公室</w:t>
      </w:r>
    </w:p>
    <w:p w14:paraId="6F5244A0">
      <w:pPr>
        <w:spacing w:beforeLines="50"/>
        <w:jc w:val="center"/>
        <w:rPr>
          <w:rFonts w:ascii="Times New Roman" w:hAnsi="Times New Roman"/>
          <w:b/>
          <w:sz w:val="23"/>
          <w:szCs w:val="23"/>
        </w:rPr>
      </w:pPr>
      <w:r>
        <w:rPr>
          <w:rFonts w:ascii="Times New Roman" w:hAnsi="Times New Roman"/>
          <w:kern w:val="0"/>
          <w:sz w:val="15"/>
          <w:szCs w:val="15"/>
        </w:rPr>
        <w:pict>
          <v:rect id="_x0000_i1026" o:spt="1" style="height:0pt;width:0pt;" fillcolor="#333333" filled="t" stroked="f" coordsize="21600,21600" o:hr="t" o:hrstd="t" o:hrnoshade="t" o:hralign="center">
            <v:path/>
            <v:fill on="t" focussize="0,0"/>
            <v:stroke on="f"/>
            <v:imagedata o:title=""/>
            <o:lock v:ext="edit"/>
            <w10:wrap type="none"/>
            <w10:anchorlock/>
          </v:rect>
        </w:pict>
      </w:r>
      <w:r>
        <w:rPr>
          <w:rFonts w:hint="eastAsia" w:ascii="Times New Roman" w:hAnsi="宋体"/>
          <w:b/>
          <w:sz w:val="23"/>
          <w:szCs w:val="23"/>
        </w:rPr>
        <w:t>前言</w:t>
      </w:r>
    </w:p>
    <w:p w14:paraId="0F55F5C7">
      <w:pPr>
        <w:spacing w:beforeLines="50"/>
        <w:ind w:firstLine="0"/>
        <w:rPr>
          <w:rFonts w:ascii="Times New Roman" w:hAnsi="Times New Roman"/>
          <w:b/>
          <w:sz w:val="19"/>
          <w:szCs w:val="19"/>
        </w:rPr>
      </w:pPr>
      <w:r>
        <w:rPr>
          <w:rFonts w:hint="eastAsia" w:ascii="Times New Roman" w:hAnsi="宋体"/>
          <w:b/>
          <w:sz w:val="19"/>
          <w:szCs w:val="19"/>
        </w:rPr>
        <w:t>公众意见</w:t>
      </w:r>
    </w:p>
    <w:p w14:paraId="3CE05021">
      <w:pPr>
        <w:spacing w:beforeLines="50"/>
        <w:ind w:firstLine="0"/>
        <w:rPr>
          <w:rFonts w:ascii="Times New Roman" w:hAnsi="Times New Roman"/>
          <w:sz w:val="15"/>
          <w:szCs w:val="15"/>
        </w:rPr>
      </w:pPr>
      <w:r>
        <w:rPr>
          <w:rFonts w:hint="eastAsia" w:ascii="Times New Roman" w:hAnsi="宋体"/>
          <w:sz w:val="15"/>
          <w:szCs w:val="15"/>
        </w:rPr>
        <w:t>您可以随时向食品药品管理局（地址</w:t>
      </w:r>
      <w:r>
        <w:rPr>
          <w:rFonts w:ascii="Times New Roman" w:hAnsi="Times New Roman"/>
          <w:sz w:val="15"/>
          <w:szCs w:val="15"/>
        </w:rPr>
        <w:t>5630 Fishers Lane, rm. 1061, (HFA-305), Rockville, MD 20852</w:t>
      </w:r>
      <w:r>
        <w:rPr>
          <w:rFonts w:hint="eastAsia" w:ascii="Times New Roman" w:hAnsi="宋体"/>
          <w:sz w:val="15"/>
          <w:szCs w:val="15"/>
        </w:rPr>
        <w:t>）的文件管理部门提交您对该机构的书面意见和建议。</w:t>
      </w:r>
      <w:r>
        <w:rPr>
          <w:rFonts w:hint="eastAsia" w:ascii="Times New Roman" w:hAnsi="宋体"/>
          <w:kern w:val="0"/>
          <w:sz w:val="15"/>
          <w:szCs w:val="15"/>
        </w:rPr>
        <w:t>或者，也可以提交电子评论至</w:t>
      </w:r>
      <w:r>
        <w:fldChar w:fldCharType="begin"/>
      </w:r>
      <w:r>
        <w:instrText xml:space="preserve"> HYPERLINK "http://www.regulations.gov/" </w:instrText>
      </w:r>
      <w:r>
        <w:fldChar w:fldCharType="separate"/>
      </w:r>
      <w:r>
        <w:rPr>
          <w:rFonts w:ascii="Times New Roman" w:hAnsi="Times New Roman"/>
          <w:kern w:val="0"/>
          <w:sz w:val="15"/>
          <w:szCs w:val="15"/>
          <w:u w:val="single"/>
        </w:rPr>
        <w:t>http://www.regulations.gov</w:t>
      </w:r>
      <w:r>
        <w:rPr>
          <w:rFonts w:ascii="Times New Roman" w:hAnsi="Times New Roman"/>
          <w:kern w:val="0"/>
          <w:sz w:val="15"/>
          <w:szCs w:val="15"/>
          <w:u w:val="single"/>
        </w:rPr>
        <w:fldChar w:fldCharType="end"/>
      </w:r>
      <w:r>
        <w:rPr>
          <w:rFonts w:hint="eastAsia" w:ascii="Times New Roman" w:hAnsi="宋体"/>
          <w:kern w:val="0"/>
          <w:sz w:val="15"/>
          <w:szCs w:val="15"/>
        </w:rPr>
        <w:t>。递交评论意见时，请参考案卷号</w:t>
      </w:r>
      <w:r>
        <w:rPr>
          <w:rFonts w:ascii="Times New Roman" w:hAnsi="Times New Roman"/>
          <w:kern w:val="0"/>
          <w:sz w:val="15"/>
          <w:szCs w:val="15"/>
        </w:rPr>
        <w:t>2004D-0178</w:t>
      </w:r>
      <w:r>
        <w:rPr>
          <w:rFonts w:hint="eastAsia" w:ascii="Times New Roman" w:hAnsi="宋体"/>
          <w:kern w:val="0"/>
          <w:sz w:val="15"/>
          <w:szCs w:val="15"/>
        </w:rPr>
        <w:t>。</w:t>
      </w:r>
      <w:r>
        <w:rPr>
          <w:rFonts w:hint="eastAsia" w:ascii="Times New Roman" w:hAnsi="宋体"/>
          <w:sz w:val="15"/>
          <w:szCs w:val="15"/>
        </w:rPr>
        <w:t>在该机构修订或更新之前，评论可能无效。</w:t>
      </w:r>
    </w:p>
    <w:p w14:paraId="1F48B750">
      <w:pPr>
        <w:spacing w:beforeLines="50"/>
        <w:ind w:firstLine="0"/>
        <w:rPr>
          <w:rFonts w:ascii="Times New Roman" w:hAnsi="Times New Roman"/>
          <w:b/>
          <w:sz w:val="19"/>
          <w:szCs w:val="19"/>
        </w:rPr>
      </w:pPr>
      <w:bookmarkStart w:id="0" w:name="bookmark5"/>
      <w:r>
        <w:rPr>
          <w:rFonts w:hint="eastAsia" w:ascii="Times New Roman" w:hAnsi="宋体"/>
          <w:b/>
          <w:sz w:val="19"/>
          <w:szCs w:val="19"/>
        </w:rPr>
        <w:t>额外副本</w:t>
      </w:r>
      <w:bookmarkEnd w:id="0"/>
    </w:p>
    <w:p w14:paraId="7700ECAB">
      <w:pPr>
        <w:spacing w:beforeLines="50"/>
        <w:ind w:firstLine="0"/>
        <w:rPr>
          <w:rFonts w:ascii="Times New Roman" w:hAnsi="Times New Roman"/>
          <w:sz w:val="15"/>
          <w:szCs w:val="15"/>
        </w:rPr>
      </w:pPr>
      <w:r>
        <w:rPr>
          <w:rFonts w:hint="eastAsia" w:ascii="Times New Roman" w:hAnsi="宋体"/>
          <w:sz w:val="15"/>
          <w:szCs w:val="15"/>
        </w:rPr>
        <w:t>额外副本可从互联网获取</w:t>
      </w:r>
      <w:r>
        <w:rPr>
          <w:rFonts w:ascii="Times New Roman" w:hAnsi="Times New Roman"/>
          <w:sz w:val="15"/>
          <w:szCs w:val="15"/>
        </w:rPr>
        <w:t>:</w:t>
      </w:r>
      <w:r>
        <w:rPr>
          <w:rFonts w:hint="eastAsia" w:ascii="Times New Roman" w:hAnsi="宋体"/>
          <w:sz w:val="15"/>
          <w:szCs w:val="15"/>
        </w:rPr>
        <w:t>您还可以向</w:t>
      </w:r>
      <w:r>
        <w:rPr>
          <w:rFonts w:ascii="Times New Roman" w:hAnsi="Times New Roman"/>
          <w:sz w:val="15"/>
          <w:szCs w:val="15"/>
        </w:rPr>
        <w:t>CDRH-Guidance@fda.hhs.gov</w:t>
      </w:r>
      <w:r>
        <w:rPr>
          <w:rFonts w:hint="eastAsia" w:ascii="Times New Roman" w:hAnsi="宋体"/>
          <w:sz w:val="15"/>
          <w:szCs w:val="15"/>
        </w:rPr>
        <w:t>发送电子邮件</w:t>
      </w:r>
      <w:r>
        <w:rPr>
          <w:rFonts w:ascii="Times New Roman" w:hAnsi="Times New Roman"/>
          <w:sz w:val="15"/>
          <w:szCs w:val="15"/>
        </w:rPr>
        <w:t>,</w:t>
      </w:r>
      <w:r>
        <w:rPr>
          <w:rFonts w:hint="eastAsia" w:ascii="Times New Roman" w:hAnsi="宋体"/>
          <w:sz w:val="15"/>
          <w:szCs w:val="15"/>
        </w:rPr>
        <w:t>索取本指南的电子版</w:t>
      </w:r>
      <w:r>
        <w:rPr>
          <w:rFonts w:hint="eastAsia" w:ascii="Times New Roman" w:hAnsi="Times New Roman" w:eastAsia="MS Mincho"/>
          <w:sz w:val="15"/>
          <w:szCs w:val="15"/>
        </w:rPr>
        <w:t>｡</w:t>
      </w:r>
      <w:r>
        <w:rPr>
          <w:rFonts w:hint="eastAsia" w:ascii="Times New Roman" w:hAnsi="宋体"/>
          <w:sz w:val="15"/>
          <w:szCs w:val="15"/>
        </w:rPr>
        <w:t>请使用文件编号</w:t>
      </w:r>
      <w:r>
        <w:rPr>
          <w:rFonts w:ascii="Times New Roman" w:hAnsi="Times New Roman"/>
          <w:sz w:val="15"/>
          <w:szCs w:val="15"/>
        </w:rPr>
        <w:t>(1512)</w:t>
      </w:r>
      <w:r>
        <w:rPr>
          <w:rFonts w:hint="eastAsia" w:ascii="Times New Roman" w:hAnsi="宋体"/>
          <w:sz w:val="15"/>
          <w:szCs w:val="15"/>
        </w:rPr>
        <w:t>来确定您所需的指南</w:t>
      </w:r>
      <w:r>
        <w:rPr>
          <w:rFonts w:hint="eastAsia" w:ascii="Times New Roman" w:hAnsi="Times New Roman" w:eastAsia="MS Mincho"/>
          <w:sz w:val="15"/>
          <w:szCs w:val="15"/>
        </w:rPr>
        <w:t>｡</w:t>
      </w:r>
    </w:p>
    <w:p w14:paraId="6AE04BBA">
      <w:pPr>
        <w:widowControl/>
        <w:spacing w:before="330" w:after="330"/>
        <w:ind w:firstLine="0"/>
        <w:jc w:val="center"/>
        <w:rPr>
          <w:rFonts w:ascii="Times New Roman" w:hAnsi="宋体"/>
          <w:b/>
          <w:kern w:val="0"/>
          <w:sz w:val="23"/>
          <w:szCs w:val="23"/>
        </w:rPr>
      </w:pPr>
      <w:r>
        <w:rPr>
          <w:rFonts w:hint="eastAsia" w:ascii="Times New Roman" w:hAnsi="宋体"/>
          <w:b/>
          <w:kern w:val="0"/>
          <w:sz w:val="23"/>
          <w:szCs w:val="23"/>
        </w:rPr>
        <w:t>目录</w:t>
      </w:r>
    </w:p>
    <w:p w14:paraId="4D5BFB0E">
      <w:pPr>
        <w:pStyle w:val="10"/>
        <w:tabs>
          <w:tab w:val="left" w:pos="420"/>
          <w:tab w:val="right" w:pos="8296"/>
        </w:tabs>
        <w:spacing w:line="360" w:lineRule="auto"/>
        <w:ind w:firstLine="0"/>
        <w:rPr>
          <w:rFonts w:ascii="Times New Roman" w:hAnsi="Times New Roman"/>
          <w:sz w:val="15"/>
          <w:szCs w:val="15"/>
        </w:rPr>
      </w:pPr>
      <w:r>
        <w:rPr>
          <w:rFonts w:ascii="Times New Roman" w:hAnsi="Times New Roman"/>
          <w:kern w:val="0"/>
          <w:sz w:val="15"/>
          <w:szCs w:val="15"/>
        </w:rPr>
        <w:fldChar w:fldCharType="begin"/>
      </w:r>
      <w:r>
        <w:rPr>
          <w:rFonts w:ascii="Times New Roman" w:hAnsi="Times New Roman"/>
          <w:kern w:val="0"/>
          <w:sz w:val="15"/>
          <w:szCs w:val="15"/>
        </w:rPr>
        <w:instrText xml:space="preserve"> TOC \o "1-1" \n \h \z \u </w:instrText>
      </w:r>
      <w:r>
        <w:rPr>
          <w:rFonts w:ascii="Times New Roman" w:hAnsi="Times New Roman"/>
          <w:kern w:val="0"/>
          <w:sz w:val="15"/>
          <w:szCs w:val="15"/>
        </w:rPr>
        <w:fldChar w:fldCharType="separate"/>
      </w:r>
      <w:r>
        <w:fldChar w:fldCharType="begin"/>
      </w:r>
      <w:r>
        <w:instrText xml:space="preserve"> HYPERLINK \l "_Toc480622162" </w:instrText>
      </w:r>
      <w:r>
        <w:fldChar w:fldCharType="separate"/>
      </w:r>
      <w:r>
        <w:rPr>
          <w:rStyle w:val="17"/>
          <w:rFonts w:ascii="Times New Roman" w:hAnsi="Times New Roman"/>
          <w:color w:val="auto"/>
          <w:kern w:val="0"/>
          <w:sz w:val="15"/>
          <w:szCs w:val="15"/>
        </w:rPr>
        <w:t>1.</w:t>
      </w:r>
      <w:r>
        <w:rPr>
          <w:rFonts w:ascii="Times New Roman" w:hAnsi="Times New Roman"/>
          <w:sz w:val="15"/>
          <w:szCs w:val="15"/>
        </w:rPr>
        <w:tab/>
      </w:r>
      <w:r>
        <w:rPr>
          <w:rStyle w:val="17"/>
          <w:rFonts w:hint="eastAsia" w:ascii="Times New Roman" w:hAnsi="宋体"/>
          <w:color w:val="auto"/>
          <w:kern w:val="0"/>
          <w:sz w:val="15"/>
          <w:szCs w:val="15"/>
        </w:rPr>
        <w:t>引言</w:t>
      </w:r>
      <w:r>
        <w:rPr>
          <w:rStyle w:val="17"/>
          <w:rFonts w:hint="eastAsia" w:ascii="Times New Roman" w:hAnsi="宋体"/>
          <w:color w:val="auto"/>
          <w:kern w:val="0"/>
          <w:sz w:val="15"/>
          <w:szCs w:val="15"/>
        </w:rPr>
        <w:fldChar w:fldCharType="end"/>
      </w:r>
    </w:p>
    <w:p w14:paraId="49414BF8">
      <w:pPr>
        <w:pStyle w:val="10"/>
        <w:tabs>
          <w:tab w:val="left" w:pos="420"/>
          <w:tab w:val="right" w:pos="8296"/>
        </w:tabs>
        <w:spacing w:line="360" w:lineRule="auto"/>
        <w:ind w:firstLine="0"/>
        <w:rPr>
          <w:rFonts w:ascii="Times New Roman" w:hAnsi="Times New Roman"/>
          <w:sz w:val="15"/>
          <w:szCs w:val="15"/>
        </w:rPr>
      </w:pPr>
      <w:r>
        <w:fldChar w:fldCharType="begin"/>
      </w:r>
      <w:r>
        <w:instrText xml:space="preserve"> HYPERLINK \l "_Toc480622163" </w:instrText>
      </w:r>
      <w:r>
        <w:fldChar w:fldCharType="separate"/>
      </w:r>
      <w:r>
        <w:rPr>
          <w:rStyle w:val="17"/>
          <w:rFonts w:ascii="Times New Roman" w:hAnsi="Times New Roman"/>
          <w:color w:val="auto"/>
          <w:kern w:val="0"/>
          <w:sz w:val="15"/>
          <w:szCs w:val="15"/>
        </w:rPr>
        <w:t>2.</w:t>
      </w:r>
      <w:r>
        <w:rPr>
          <w:rFonts w:ascii="Times New Roman" w:hAnsi="Times New Roman"/>
          <w:sz w:val="15"/>
          <w:szCs w:val="15"/>
        </w:rPr>
        <w:tab/>
      </w:r>
      <w:r>
        <w:rPr>
          <w:rStyle w:val="17"/>
          <w:rFonts w:hint="eastAsia" w:ascii="Times New Roman" w:hAnsi="宋体"/>
          <w:color w:val="auto"/>
          <w:kern w:val="0"/>
          <w:sz w:val="15"/>
          <w:szCs w:val="15"/>
        </w:rPr>
        <w:t>背景</w:t>
      </w:r>
      <w:r>
        <w:rPr>
          <w:rStyle w:val="17"/>
          <w:rFonts w:hint="eastAsia" w:ascii="Times New Roman" w:hAnsi="宋体"/>
          <w:color w:val="auto"/>
          <w:kern w:val="0"/>
          <w:sz w:val="15"/>
          <w:szCs w:val="15"/>
        </w:rPr>
        <w:fldChar w:fldCharType="end"/>
      </w:r>
    </w:p>
    <w:p w14:paraId="5DDE244B">
      <w:pPr>
        <w:pStyle w:val="10"/>
        <w:tabs>
          <w:tab w:val="left" w:pos="420"/>
          <w:tab w:val="right" w:pos="8296"/>
        </w:tabs>
        <w:spacing w:line="360" w:lineRule="auto"/>
        <w:ind w:firstLine="0"/>
        <w:rPr>
          <w:rFonts w:ascii="Times New Roman" w:hAnsi="Times New Roman"/>
          <w:sz w:val="15"/>
          <w:szCs w:val="15"/>
        </w:rPr>
      </w:pPr>
      <w:r>
        <w:fldChar w:fldCharType="begin"/>
      </w:r>
      <w:r>
        <w:instrText xml:space="preserve"> HYPERLINK \l "_Toc480622164" </w:instrText>
      </w:r>
      <w:r>
        <w:fldChar w:fldCharType="separate"/>
      </w:r>
      <w:r>
        <w:rPr>
          <w:rStyle w:val="17"/>
          <w:rFonts w:ascii="Times New Roman" w:hAnsi="Times New Roman"/>
          <w:bCs/>
          <w:color w:val="auto"/>
          <w:kern w:val="0"/>
          <w:sz w:val="15"/>
          <w:szCs w:val="15"/>
        </w:rPr>
        <w:t>3.</w:t>
      </w:r>
      <w:r>
        <w:rPr>
          <w:rFonts w:ascii="Times New Roman" w:hAnsi="Times New Roman"/>
          <w:sz w:val="15"/>
          <w:szCs w:val="15"/>
        </w:rPr>
        <w:tab/>
      </w:r>
      <w:r>
        <w:rPr>
          <w:rStyle w:val="17"/>
          <w:rFonts w:hint="eastAsia" w:ascii="Times New Roman" w:hAnsi="宋体"/>
          <w:bCs/>
          <w:color w:val="auto"/>
          <w:kern w:val="0"/>
          <w:sz w:val="15"/>
          <w:szCs w:val="15"/>
        </w:rPr>
        <w:t>缩减</w:t>
      </w:r>
      <w:r>
        <w:rPr>
          <w:rStyle w:val="17"/>
          <w:rFonts w:ascii="Times New Roman" w:hAnsi="Times New Roman"/>
          <w:bCs/>
          <w:color w:val="auto"/>
          <w:kern w:val="0"/>
          <w:sz w:val="15"/>
          <w:szCs w:val="15"/>
        </w:rPr>
        <w:t>510(k)</w:t>
      </w:r>
      <w:r>
        <w:rPr>
          <w:rStyle w:val="17"/>
          <w:rFonts w:hint="eastAsia" w:ascii="Times New Roman" w:hAnsi="宋体"/>
          <w:bCs/>
          <w:color w:val="auto"/>
          <w:kern w:val="0"/>
          <w:sz w:val="15"/>
          <w:szCs w:val="15"/>
        </w:rPr>
        <w:t>申报资料的内容和格式</w:t>
      </w:r>
      <w:r>
        <w:rPr>
          <w:rStyle w:val="17"/>
          <w:rFonts w:hint="eastAsia" w:ascii="Times New Roman" w:hAnsi="宋体"/>
          <w:bCs/>
          <w:color w:val="auto"/>
          <w:kern w:val="0"/>
          <w:sz w:val="15"/>
          <w:szCs w:val="15"/>
        </w:rPr>
        <w:fldChar w:fldCharType="end"/>
      </w:r>
    </w:p>
    <w:p w14:paraId="03B345F5">
      <w:pPr>
        <w:pStyle w:val="10"/>
        <w:tabs>
          <w:tab w:val="left" w:pos="420"/>
          <w:tab w:val="right" w:pos="8296"/>
        </w:tabs>
        <w:spacing w:line="360" w:lineRule="auto"/>
        <w:ind w:firstLine="0"/>
        <w:rPr>
          <w:rFonts w:ascii="Times New Roman" w:hAnsi="Times New Roman"/>
          <w:sz w:val="15"/>
          <w:szCs w:val="15"/>
        </w:rPr>
      </w:pPr>
      <w:r>
        <w:fldChar w:fldCharType="begin"/>
      </w:r>
      <w:r>
        <w:instrText xml:space="preserve"> HYPERLINK \l "_Toc480622165" </w:instrText>
      </w:r>
      <w:r>
        <w:fldChar w:fldCharType="separate"/>
      </w:r>
      <w:r>
        <w:rPr>
          <w:rStyle w:val="17"/>
          <w:rFonts w:ascii="Times New Roman" w:hAnsi="Times New Roman"/>
          <w:bCs/>
          <w:color w:val="auto"/>
          <w:kern w:val="0"/>
          <w:sz w:val="15"/>
          <w:szCs w:val="15"/>
        </w:rPr>
        <w:t>4.</w:t>
      </w:r>
      <w:r>
        <w:rPr>
          <w:rFonts w:ascii="Times New Roman" w:hAnsi="Times New Roman"/>
          <w:sz w:val="15"/>
          <w:szCs w:val="15"/>
        </w:rPr>
        <w:tab/>
      </w:r>
      <w:r>
        <w:rPr>
          <w:rStyle w:val="17"/>
          <w:rFonts w:hint="eastAsia" w:ascii="Times New Roman" w:hAnsi="宋体"/>
          <w:bCs/>
          <w:color w:val="auto"/>
          <w:kern w:val="0"/>
          <w:sz w:val="15"/>
          <w:szCs w:val="15"/>
        </w:rPr>
        <w:t>范围</w:t>
      </w:r>
      <w:r>
        <w:rPr>
          <w:rStyle w:val="17"/>
          <w:rFonts w:hint="eastAsia" w:ascii="Times New Roman" w:hAnsi="宋体"/>
          <w:bCs/>
          <w:color w:val="auto"/>
          <w:kern w:val="0"/>
          <w:sz w:val="15"/>
          <w:szCs w:val="15"/>
        </w:rPr>
        <w:fldChar w:fldCharType="end"/>
      </w:r>
    </w:p>
    <w:p w14:paraId="08E6F5A3">
      <w:pPr>
        <w:pStyle w:val="10"/>
        <w:tabs>
          <w:tab w:val="left" w:pos="420"/>
          <w:tab w:val="right" w:pos="8296"/>
        </w:tabs>
        <w:spacing w:line="360" w:lineRule="auto"/>
        <w:ind w:firstLine="0"/>
        <w:rPr>
          <w:rFonts w:ascii="Times New Roman" w:hAnsi="Times New Roman"/>
          <w:sz w:val="15"/>
          <w:szCs w:val="15"/>
        </w:rPr>
      </w:pPr>
      <w:r>
        <w:fldChar w:fldCharType="begin"/>
      </w:r>
      <w:r>
        <w:instrText xml:space="preserve"> HYPERLINK \l "_Toc480622166" </w:instrText>
      </w:r>
      <w:r>
        <w:fldChar w:fldCharType="separate"/>
      </w:r>
      <w:r>
        <w:rPr>
          <w:rStyle w:val="17"/>
          <w:rFonts w:ascii="Times New Roman" w:hAnsi="Times New Roman"/>
          <w:bCs/>
          <w:color w:val="auto"/>
          <w:kern w:val="0"/>
          <w:sz w:val="15"/>
          <w:szCs w:val="15"/>
        </w:rPr>
        <w:t>5.</w:t>
      </w:r>
      <w:r>
        <w:rPr>
          <w:rFonts w:ascii="Times New Roman" w:hAnsi="Times New Roman"/>
          <w:sz w:val="15"/>
          <w:szCs w:val="15"/>
        </w:rPr>
        <w:tab/>
      </w:r>
      <w:r>
        <w:rPr>
          <w:rStyle w:val="17"/>
          <w:rFonts w:hint="eastAsia" w:ascii="Times New Roman" w:hAnsi="宋体"/>
          <w:bCs/>
          <w:color w:val="auto"/>
          <w:kern w:val="0"/>
          <w:sz w:val="15"/>
          <w:szCs w:val="15"/>
        </w:rPr>
        <w:t>器械说明</w:t>
      </w:r>
      <w:r>
        <w:rPr>
          <w:rStyle w:val="17"/>
          <w:rFonts w:hint="eastAsia" w:ascii="Times New Roman" w:hAnsi="宋体"/>
          <w:bCs/>
          <w:color w:val="auto"/>
          <w:kern w:val="0"/>
          <w:sz w:val="15"/>
          <w:szCs w:val="15"/>
        </w:rPr>
        <w:fldChar w:fldCharType="end"/>
      </w:r>
    </w:p>
    <w:p w14:paraId="3ECE75C4">
      <w:pPr>
        <w:pStyle w:val="10"/>
        <w:tabs>
          <w:tab w:val="left" w:pos="420"/>
          <w:tab w:val="right" w:pos="8296"/>
        </w:tabs>
        <w:spacing w:line="360" w:lineRule="auto"/>
        <w:ind w:firstLine="0"/>
        <w:rPr>
          <w:rFonts w:ascii="Times New Roman" w:hAnsi="Times New Roman"/>
          <w:sz w:val="15"/>
          <w:szCs w:val="15"/>
        </w:rPr>
      </w:pPr>
      <w:r>
        <w:fldChar w:fldCharType="begin"/>
      </w:r>
      <w:r>
        <w:instrText xml:space="preserve"> HYPERLINK \l "_Toc480622167" </w:instrText>
      </w:r>
      <w:r>
        <w:fldChar w:fldCharType="separate"/>
      </w:r>
      <w:r>
        <w:rPr>
          <w:rStyle w:val="17"/>
          <w:rFonts w:ascii="Times New Roman" w:hAnsi="Times New Roman"/>
          <w:bCs/>
          <w:color w:val="auto"/>
          <w:kern w:val="0"/>
          <w:sz w:val="15"/>
          <w:szCs w:val="15"/>
        </w:rPr>
        <w:t>6.</w:t>
      </w:r>
      <w:r>
        <w:rPr>
          <w:rFonts w:ascii="Times New Roman" w:hAnsi="Times New Roman"/>
          <w:sz w:val="15"/>
          <w:szCs w:val="15"/>
        </w:rPr>
        <w:tab/>
      </w:r>
      <w:r>
        <w:rPr>
          <w:rStyle w:val="17"/>
          <w:rFonts w:hint="eastAsia" w:ascii="Times New Roman" w:hAnsi="宋体"/>
          <w:bCs/>
          <w:color w:val="auto"/>
          <w:kern w:val="0"/>
          <w:sz w:val="15"/>
          <w:szCs w:val="15"/>
        </w:rPr>
        <w:t>健康风险</w:t>
      </w:r>
      <w:r>
        <w:rPr>
          <w:rStyle w:val="17"/>
          <w:rFonts w:hint="eastAsia" w:ascii="Times New Roman" w:hAnsi="宋体"/>
          <w:bCs/>
          <w:color w:val="auto"/>
          <w:kern w:val="0"/>
          <w:sz w:val="15"/>
          <w:szCs w:val="15"/>
        </w:rPr>
        <w:fldChar w:fldCharType="end"/>
      </w:r>
    </w:p>
    <w:p w14:paraId="62B20DCE">
      <w:pPr>
        <w:pStyle w:val="10"/>
        <w:tabs>
          <w:tab w:val="left" w:pos="420"/>
          <w:tab w:val="right" w:pos="8296"/>
        </w:tabs>
        <w:spacing w:line="360" w:lineRule="auto"/>
        <w:ind w:firstLine="0"/>
        <w:rPr>
          <w:rFonts w:ascii="Times New Roman" w:hAnsi="Times New Roman"/>
          <w:sz w:val="15"/>
          <w:szCs w:val="15"/>
        </w:rPr>
      </w:pPr>
      <w:r>
        <w:fldChar w:fldCharType="begin"/>
      </w:r>
      <w:r>
        <w:instrText xml:space="preserve"> HYPERLINK \l "_Toc480622168" </w:instrText>
      </w:r>
      <w:r>
        <w:fldChar w:fldCharType="separate"/>
      </w:r>
      <w:r>
        <w:rPr>
          <w:rStyle w:val="17"/>
          <w:rFonts w:ascii="Times New Roman" w:hAnsi="Times New Roman"/>
          <w:bCs/>
          <w:color w:val="auto"/>
          <w:kern w:val="0"/>
          <w:sz w:val="15"/>
          <w:szCs w:val="15"/>
        </w:rPr>
        <w:t>7.</w:t>
      </w:r>
      <w:r>
        <w:rPr>
          <w:rFonts w:ascii="Times New Roman" w:hAnsi="Times New Roman"/>
          <w:sz w:val="15"/>
          <w:szCs w:val="15"/>
        </w:rPr>
        <w:tab/>
      </w:r>
      <w:r>
        <w:rPr>
          <w:rStyle w:val="17"/>
          <w:rFonts w:hint="eastAsia" w:ascii="Times New Roman" w:hAnsi="宋体"/>
          <w:bCs/>
          <w:color w:val="auto"/>
          <w:kern w:val="0"/>
          <w:sz w:val="15"/>
          <w:szCs w:val="15"/>
        </w:rPr>
        <w:t>材料特征说明</w:t>
      </w:r>
      <w:r>
        <w:rPr>
          <w:rStyle w:val="17"/>
          <w:rFonts w:hint="eastAsia" w:ascii="Times New Roman" w:hAnsi="宋体"/>
          <w:bCs/>
          <w:color w:val="auto"/>
          <w:kern w:val="0"/>
          <w:sz w:val="15"/>
          <w:szCs w:val="15"/>
        </w:rPr>
        <w:fldChar w:fldCharType="end"/>
      </w:r>
    </w:p>
    <w:p w14:paraId="149D5AE2">
      <w:pPr>
        <w:pStyle w:val="10"/>
        <w:tabs>
          <w:tab w:val="left" w:pos="420"/>
          <w:tab w:val="right" w:pos="8296"/>
        </w:tabs>
        <w:spacing w:line="360" w:lineRule="auto"/>
        <w:ind w:firstLine="0"/>
        <w:rPr>
          <w:rFonts w:ascii="Times New Roman" w:hAnsi="Times New Roman"/>
          <w:sz w:val="15"/>
          <w:szCs w:val="15"/>
        </w:rPr>
      </w:pPr>
      <w:r>
        <w:fldChar w:fldCharType="begin"/>
      </w:r>
      <w:r>
        <w:instrText xml:space="preserve"> HYPERLINK \l "_Toc480622169" </w:instrText>
      </w:r>
      <w:r>
        <w:fldChar w:fldCharType="separate"/>
      </w:r>
      <w:r>
        <w:rPr>
          <w:rStyle w:val="17"/>
          <w:rFonts w:ascii="Times New Roman" w:hAnsi="Times New Roman"/>
          <w:bCs/>
          <w:color w:val="auto"/>
          <w:kern w:val="0"/>
          <w:sz w:val="15"/>
          <w:szCs w:val="15"/>
        </w:rPr>
        <w:t>8.</w:t>
      </w:r>
      <w:r>
        <w:rPr>
          <w:rFonts w:ascii="Times New Roman" w:hAnsi="Times New Roman"/>
          <w:sz w:val="15"/>
          <w:szCs w:val="15"/>
        </w:rPr>
        <w:tab/>
      </w:r>
      <w:r>
        <w:rPr>
          <w:rStyle w:val="17"/>
          <w:rFonts w:hint="eastAsia" w:ascii="Times New Roman" w:hAnsi="宋体"/>
          <w:bCs/>
          <w:color w:val="auto"/>
          <w:kern w:val="0"/>
          <w:sz w:val="15"/>
          <w:szCs w:val="15"/>
        </w:rPr>
        <w:t>生物相容性</w:t>
      </w:r>
      <w:r>
        <w:rPr>
          <w:rStyle w:val="17"/>
          <w:rFonts w:hint="eastAsia" w:ascii="Times New Roman" w:hAnsi="宋体"/>
          <w:bCs/>
          <w:color w:val="auto"/>
          <w:kern w:val="0"/>
          <w:sz w:val="15"/>
          <w:szCs w:val="15"/>
        </w:rPr>
        <w:fldChar w:fldCharType="end"/>
      </w:r>
    </w:p>
    <w:p w14:paraId="37ECF6B4">
      <w:pPr>
        <w:pStyle w:val="10"/>
        <w:tabs>
          <w:tab w:val="left" w:pos="420"/>
          <w:tab w:val="right" w:pos="8296"/>
        </w:tabs>
        <w:spacing w:line="360" w:lineRule="auto"/>
        <w:ind w:firstLine="0"/>
        <w:rPr>
          <w:rFonts w:ascii="Times New Roman" w:hAnsi="Times New Roman"/>
          <w:sz w:val="15"/>
          <w:szCs w:val="15"/>
        </w:rPr>
      </w:pPr>
      <w:r>
        <w:fldChar w:fldCharType="begin"/>
      </w:r>
      <w:r>
        <w:instrText xml:space="preserve"> HYPERLINK \l "_Toc480622170" </w:instrText>
      </w:r>
      <w:r>
        <w:fldChar w:fldCharType="separate"/>
      </w:r>
      <w:r>
        <w:rPr>
          <w:rStyle w:val="17"/>
          <w:rFonts w:ascii="Times New Roman" w:hAnsi="Times New Roman"/>
          <w:bCs/>
          <w:color w:val="auto"/>
          <w:kern w:val="0"/>
          <w:sz w:val="15"/>
          <w:szCs w:val="15"/>
        </w:rPr>
        <w:t>9.</w:t>
      </w:r>
      <w:r>
        <w:rPr>
          <w:rFonts w:ascii="Times New Roman" w:hAnsi="Times New Roman"/>
          <w:sz w:val="15"/>
          <w:szCs w:val="15"/>
        </w:rPr>
        <w:tab/>
      </w:r>
      <w:r>
        <w:rPr>
          <w:rStyle w:val="17"/>
          <w:rFonts w:hint="eastAsia" w:ascii="Times New Roman" w:hAnsi="宋体"/>
          <w:bCs/>
          <w:color w:val="auto"/>
          <w:kern w:val="0"/>
          <w:sz w:val="15"/>
          <w:szCs w:val="15"/>
        </w:rPr>
        <w:t>灭菌</w:t>
      </w:r>
      <w:r>
        <w:rPr>
          <w:rStyle w:val="17"/>
          <w:rFonts w:hint="eastAsia" w:ascii="Times New Roman" w:hAnsi="宋体"/>
          <w:bCs/>
          <w:color w:val="auto"/>
          <w:kern w:val="0"/>
          <w:sz w:val="15"/>
          <w:szCs w:val="15"/>
        </w:rPr>
        <w:fldChar w:fldCharType="end"/>
      </w:r>
    </w:p>
    <w:p w14:paraId="1A52D64A">
      <w:pPr>
        <w:pStyle w:val="10"/>
        <w:tabs>
          <w:tab w:val="left" w:pos="630"/>
          <w:tab w:val="right" w:pos="8296"/>
        </w:tabs>
        <w:spacing w:line="360" w:lineRule="auto"/>
        <w:ind w:firstLine="0"/>
        <w:rPr>
          <w:rFonts w:ascii="Times New Roman" w:hAnsi="Times New Roman"/>
          <w:sz w:val="15"/>
          <w:szCs w:val="15"/>
        </w:rPr>
      </w:pPr>
      <w:r>
        <w:fldChar w:fldCharType="begin"/>
      </w:r>
      <w:r>
        <w:instrText xml:space="preserve"> HYPERLINK \l "_Toc480622171" </w:instrText>
      </w:r>
      <w:r>
        <w:fldChar w:fldCharType="separate"/>
      </w:r>
      <w:r>
        <w:rPr>
          <w:rStyle w:val="17"/>
          <w:rFonts w:ascii="Times New Roman" w:hAnsi="Times New Roman"/>
          <w:bCs/>
          <w:color w:val="auto"/>
          <w:kern w:val="0"/>
          <w:sz w:val="15"/>
          <w:szCs w:val="15"/>
        </w:rPr>
        <w:t>10.</w:t>
      </w:r>
      <w:r>
        <w:rPr>
          <w:rFonts w:ascii="Times New Roman" w:hAnsi="Times New Roman"/>
          <w:sz w:val="15"/>
          <w:szCs w:val="15"/>
        </w:rPr>
        <w:tab/>
      </w:r>
      <w:r>
        <w:rPr>
          <w:rStyle w:val="17"/>
          <w:rFonts w:hint="eastAsia" w:ascii="Times New Roman" w:hAnsi="宋体"/>
          <w:bCs/>
          <w:color w:val="auto"/>
          <w:kern w:val="0"/>
          <w:sz w:val="15"/>
          <w:szCs w:val="15"/>
        </w:rPr>
        <w:t>标签</w:t>
      </w:r>
      <w:r>
        <w:rPr>
          <w:rStyle w:val="17"/>
          <w:rFonts w:hint="eastAsia" w:ascii="Times New Roman" w:hAnsi="宋体"/>
          <w:bCs/>
          <w:color w:val="auto"/>
          <w:kern w:val="0"/>
          <w:sz w:val="15"/>
          <w:szCs w:val="15"/>
        </w:rPr>
        <w:fldChar w:fldCharType="end"/>
      </w:r>
    </w:p>
    <w:p w14:paraId="7D7BBC52">
      <w:pPr>
        <w:widowControl/>
        <w:spacing w:line="360" w:lineRule="auto"/>
        <w:ind w:firstLine="0"/>
        <w:rPr>
          <w:rFonts w:ascii="Times New Roman" w:hAnsi="Times New Roman"/>
          <w:kern w:val="0"/>
          <w:sz w:val="15"/>
          <w:szCs w:val="15"/>
        </w:rPr>
      </w:pPr>
      <w:r>
        <w:rPr>
          <w:rFonts w:ascii="Times New Roman" w:hAnsi="Times New Roman"/>
          <w:kern w:val="0"/>
          <w:sz w:val="15"/>
          <w:szCs w:val="15"/>
        </w:rPr>
        <w:fldChar w:fldCharType="end"/>
      </w:r>
    </w:p>
    <w:p w14:paraId="6DAD04F5">
      <w:pPr>
        <w:spacing w:beforeLines="50"/>
        <w:rPr>
          <w:rFonts w:ascii="Times New Roman" w:hAnsi="Times New Roman"/>
          <w:sz w:val="15"/>
          <w:szCs w:val="15"/>
        </w:rPr>
      </w:pPr>
    </w:p>
    <w:p w14:paraId="50016E52">
      <w:pPr>
        <w:widowControl/>
        <w:spacing w:before="330" w:after="330"/>
        <w:ind w:firstLine="0"/>
        <w:rPr>
          <w:rFonts w:ascii="Times New Roman" w:hAnsi="Times New Roman"/>
          <w:kern w:val="0"/>
          <w:sz w:val="15"/>
          <w:szCs w:val="15"/>
        </w:rPr>
      </w:pPr>
      <w:r>
        <w:rPr>
          <w:rFonts w:ascii="Times New Roman" w:hAnsi="Times New Roman"/>
          <w:kern w:val="0"/>
          <w:sz w:val="15"/>
          <w:szCs w:val="15"/>
        </w:rPr>
        <w:pict>
          <v:rect id="_x0000_i1027" o:spt="1" style="height:0pt;width:0pt;" fillcolor="#333333" filled="t" stroked="f" coordsize="21600,21600" o:hr="t" o:hrstd="t" o:hrnoshade="t" o:hralign="center">
            <v:path/>
            <v:fill on="t" focussize="0,0"/>
            <v:stroke on="f"/>
            <v:imagedata o:title=""/>
            <o:lock v:ext="edit"/>
            <w10:wrap type="none"/>
            <w10:anchorlock/>
          </v:rect>
        </w:pict>
      </w:r>
    </w:p>
    <w:p w14:paraId="09E2D591">
      <w:pPr>
        <w:widowControl/>
        <w:spacing w:before="330" w:after="330"/>
        <w:ind w:firstLine="0"/>
        <w:jc w:val="center"/>
        <w:rPr>
          <w:rFonts w:ascii="Times New Roman" w:hAnsi="Times New Roman"/>
          <w:b/>
          <w:kern w:val="0"/>
          <w:sz w:val="27"/>
          <w:szCs w:val="27"/>
        </w:rPr>
      </w:pPr>
      <w:r>
        <w:rPr>
          <w:rFonts w:hint="eastAsia" w:ascii="Times New Roman" w:hAnsi="宋体"/>
          <w:b/>
          <w:kern w:val="0"/>
          <w:sz w:val="27"/>
          <w:szCs w:val="27"/>
        </w:rPr>
        <w:t>行业指南和</w:t>
      </w:r>
      <w:r>
        <w:rPr>
          <w:rFonts w:ascii="Times New Roman" w:hAnsi="Times New Roman"/>
          <w:b/>
          <w:kern w:val="0"/>
          <w:sz w:val="27"/>
          <w:szCs w:val="27"/>
        </w:rPr>
        <w:t>FDA</w:t>
      </w:r>
      <w:r>
        <w:rPr>
          <w:rFonts w:hint="eastAsia" w:ascii="Times New Roman" w:hAnsi="宋体"/>
          <w:b/>
          <w:kern w:val="0"/>
          <w:sz w:val="27"/>
          <w:szCs w:val="27"/>
        </w:rPr>
        <w:t>工作人员指导：</w:t>
      </w:r>
      <w:r>
        <w:rPr>
          <w:rFonts w:ascii="Times New Roman" w:hAnsi="Times New Roman"/>
          <w:b/>
          <w:kern w:val="0"/>
          <w:sz w:val="27"/>
          <w:szCs w:val="27"/>
        </w:rPr>
        <w:t>II</w:t>
      </w:r>
      <w:r>
        <w:rPr>
          <w:rFonts w:hint="eastAsia" w:ascii="Times New Roman" w:hAnsi="宋体"/>
          <w:b/>
          <w:kern w:val="0"/>
          <w:sz w:val="27"/>
          <w:szCs w:val="27"/>
        </w:rPr>
        <w:t>类特殊管理指导性文件：牙骨移植材料</w:t>
      </w:r>
    </w:p>
    <w:p w14:paraId="7AA78416">
      <w:pPr>
        <w:widowControl/>
        <w:numPr>
          <w:ilvl w:val="0"/>
          <w:numId w:val="1"/>
        </w:numPr>
        <w:shd w:val="clear" w:color="auto" w:fill="FFFFFF"/>
        <w:spacing w:line="207" w:lineRule="atLeast"/>
        <w:outlineLvl w:val="0"/>
        <w:rPr>
          <w:rFonts w:ascii="Times New Roman" w:hAnsi="Times New Roman"/>
          <w:b/>
          <w:kern w:val="0"/>
          <w:sz w:val="23"/>
          <w:szCs w:val="23"/>
        </w:rPr>
      </w:pPr>
      <w:bookmarkStart w:id="1" w:name="_Toc480622162"/>
      <w:r>
        <w:rPr>
          <w:rFonts w:hint="eastAsia" w:ascii="Times New Roman" w:hAnsi="宋体"/>
          <w:b/>
          <w:kern w:val="0"/>
          <w:sz w:val="23"/>
          <w:szCs w:val="23"/>
        </w:rPr>
        <w:t>引言</w:t>
      </w:r>
      <w:bookmarkEnd w:id="1"/>
    </w:p>
    <w:p w14:paraId="5BEE7187">
      <w:pPr>
        <w:widowControl/>
        <w:shd w:val="clear" w:color="auto" w:fill="FFFFFF"/>
        <w:spacing w:beforeLines="50" w:line="207" w:lineRule="atLeast"/>
        <w:ind w:firstLine="0"/>
        <w:rPr>
          <w:rFonts w:ascii="Times New Roman" w:hAnsi="Times New Roman"/>
          <w:kern w:val="0"/>
          <w:sz w:val="15"/>
          <w:szCs w:val="15"/>
        </w:rPr>
      </w:pPr>
      <w:r>
        <w:rPr>
          <w:rFonts w:hint="eastAsia" w:ascii="Times New Roman" w:hAnsi="宋体"/>
          <w:kern w:val="0"/>
          <w:sz w:val="15"/>
          <w:szCs w:val="15"/>
        </w:rPr>
        <w:t>编制本指导文件的目的是为了作为用于支持特定牙骨移植材料分类和重新分类为</w:t>
      </w:r>
      <w:r>
        <w:rPr>
          <w:rFonts w:ascii="Times New Roman" w:hAnsi="Times New Roman"/>
          <w:kern w:val="0"/>
          <w:sz w:val="15"/>
          <w:szCs w:val="15"/>
        </w:rPr>
        <w:t>II</w:t>
      </w:r>
      <w:r>
        <w:rPr>
          <w:rFonts w:hint="eastAsia" w:ascii="Times New Roman" w:hAnsi="宋体"/>
          <w:kern w:val="0"/>
          <w:sz w:val="15"/>
          <w:szCs w:val="15"/>
        </w:rPr>
        <w:t>类器械的特殊控制指导。本器械是一种用于充填、修补或重建口腔颌面部牙周或骨缺损的材料。</w:t>
      </w:r>
      <w:r>
        <w:rPr>
          <w:rFonts w:ascii="Times New Roman" w:hAnsi="Times New Roman"/>
          <w:kern w:val="0"/>
          <w:sz w:val="15"/>
          <w:szCs w:val="15"/>
        </w:rPr>
        <w:t>FDA</w:t>
      </w:r>
      <w:r>
        <w:rPr>
          <w:rFonts w:hint="eastAsia" w:ascii="Times New Roman" w:hAnsi="宋体"/>
          <w:kern w:val="0"/>
          <w:sz w:val="15"/>
          <w:szCs w:val="15"/>
        </w:rPr>
        <w:t>正在发行本指导和联邦注册（</w:t>
      </w:r>
      <w:r>
        <w:rPr>
          <w:rFonts w:ascii="Times New Roman" w:hAnsi="Times New Roman"/>
          <w:kern w:val="0"/>
          <w:sz w:val="15"/>
          <w:szCs w:val="15"/>
        </w:rPr>
        <w:t>FR</w:t>
      </w:r>
      <w:r>
        <w:rPr>
          <w:rFonts w:hint="eastAsia" w:ascii="Times New Roman" w:hAnsi="宋体"/>
          <w:kern w:val="0"/>
          <w:sz w:val="15"/>
          <w:szCs w:val="15"/>
        </w:rPr>
        <w:t>）公告，宣布最终规定。</w:t>
      </w:r>
    </w:p>
    <w:p w14:paraId="66A5E903">
      <w:pPr>
        <w:widowControl/>
        <w:shd w:val="clear" w:color="auto" w:fill="FFFFFF"/>
        <w:spacing w:before="240" w:after="240" w:line="207" w:lineRule="atLeast"/>
        <w:ind w:firstLine="0"/>
        <w:rPr>
          <w:rFonts w:ascii="Times New Roman" w:hAnsi="Times New Roman"/>
          <w:kern w:val="0"/>
          <w:sz w:val="15"/>
          <w:szCs w:val="15"/>
        </w:rPr>
      </w:pPr>
      <w:r>
        <w:rPr>
          <w:rFonts w:hint="eastAsia" w:ascii="Times New Roman" w:hAnsi="宋体"/>
          <w:kern w:val="0"/>
          <w:sz w:val="15"/>
          <w:szCs w:val="15"/>
        </w:rPr>
        <w:t>指定本文件为特殊控制文件意味着任何递交骨移植物材料器械</w:t>
      </w:r>
      <w:r>
        <w:rPr>
          <w:rFonts w:ascii="Times New Roman" w:hAnsi="Times New Roman"/>
          <w:kern w:val="0"/>
          <w:sz w:val="15"/>
          <w:szCs w:val="15"/>
        </w:rPr>
        <w:t>510(k)</w:t>
      </w:r>
      <w:r>
        <w:rPr>
          <w:rFonts w:hint="eastAsia" w:ascii="Times New Roman" w:hAnsi="宋体"/>
          <w:kern w:val="0"/>
          <w:sz w:val="15"/>
          <w:szCs w:val="15"/>
        </w:rPr>
        <w:t>文件的公司都需要解决本指导中提及的问题。该公司必须说明，它的器械凭借符合本指导的建议或能够提供安全性和有效性等价保证的一些其他方式，解决了本指导中标识出的这一安全性、有效性方面的问题。</w:t>
      </w:r>
    </w:p>
    <w:p w14:paraId="3B9CBCAC">
      <w:pPr>
        <w:widowControl/>
        <w:shd w:val="clear" w:color="auto" w:fill="FFFFFF"/>
        <w:spacing w:before="240" w:after="440" w:line="207" w:lineRule="atLeast"/>
        <w:ind w:firstLine="0"/>
        <w:rPr>
          <w:rFonts w:ascii="Times New Roman" w:hAnsi="Times New Roman"/>
          <w:b/>
          <w:kern w:val="0"/>
          <w:sz w:val="15"/>
          <w:szCs w:val="15"/>
          <w:u w:val="single"/>
        </w:rPr>
      </w:pPr>
      <w:r>
        <w:rPr>
          <w:rFonts w:hint="eastAsia" w:ascii="Times New Roman" w:hAnsi="宋体"/>
          <w:b/>
          <w:kern w:val="0"/>
          <w:sz w:val="15"/>
          <w:szCs w:val="15"/>
          <w:u w:val="single"/>
        </w:rPr>
        <w:t>返回顶部</w:t>
      </w:r>
    </w:p>
    <w:p w14:paraId="0693BB55">
      <w:pPr>
        <w:widowControl/>
        <w:shd w:val="clear" w:color="auto" w:fill="FFFFFF"/>
        <w:spacing w:before="240" w:after="160" w:line="207" w:lineRule="atLeast"/>
        <w:ind w:firstLine="0"/>
        <w:outlineLvl w:val="0"/>
        <w:rPr>
          <w:rFonts w:ascii="Times New Roman" w:hAnsi="Times New Roman"/>
          <w:b/>
          <w:kern w:val="0"/>
          <w:sz w:val="23"/>
          <w:szCs w:val="23"/>
        </w:rPr>
      </w:pPr>
      <w:bookmarkStart w:id="2" w:name="_Toc480622163"/>
      <w:r>
        <w:rPr>
          <w:rFonts w:ascii="Times New Roman" w:hAnsi="Times New Roman"/>
          <w:b/>
          <w:kern w:val="0"/>
          <w:sz w:val="23"/>
          <w:szCs w:val="23"/>
        </w:rPr>
        <w:t>2.</w:t>
      </w:r>
      <w:r>
        <w:rPr>
          <w:rFonts w:ascii="Times New Roman" w:hAnsi="Times New Roman"/>
          <w:b/>
          <w:kern w:val="0"/>
          <w:sz w:val="23"/>
          <w:szCs w:val="23"/>
        </w:rPr>
        <w:tab/>
      </w:r>
      <w:r>
        <w:rPr>
          <w:rFonts w:hint="eastAsia" w:ascii="Times New Roman" w:hAnsi="宋体"/>
          <w:b/>
          <w:kern w:val="0"/>
          <w:sz w:val="23"/>
          <w:szCs w:val="23"/>
        </w:rPr>
        <w:t>背景</w:t>
      </w:r>
      <w:bookmarkEnd w:id="2"/>
    </w:p>
    <w:p w14:paraId="4DAD03E1">
      <w:pPr>
        <w:widowControl/>
        <w:shd w:val="clear" w:color="auto" w:fill="FFFFFF"/>
        <w:spacing w:line="207" w:lineRule="atLeast"/>
        <w:ind w:firstLine="0"/>
        <w:rPr>
          <w:rFonts w:ascii="Times New Roman" w:hAnsi="Times New Roman"/>
          <w:kern w:val="0"/>
          <w:sz w:val="15"/>
          <w:szCs w:val="15"/>
        </w:rPr>
      </w:pPr>
      <w:r>
        <w:rPr>
          <w:rFonts w:ascii="Times New Roman" w:hAnsi="Times New Roman"/>
          <w:kern w:val="0"/>
          <w:sz w:val="15"/>
          <w:szCs w:val="15"/>
        </w:rPr>
        <w:t>FDA</w:t>
      </w:r>
      <w:r>
        <w:rPr>
          <w:rFonts w:hint="eastAsia" w:ascii="Times New Roman" w:hAnsi="宋体"/>
          <w:kern w:val="0"/>
          <w:sz w:val="15"/>
          <w:szCs w:val="15"/>
        </w:rPr>
        <w:t>认为，结合一般控制，特殊控制足以能够为骨移植材料器械的安全性和有效性提供合理保证。因此，意欲上市这种类属型器械的制造商应该（</w:t>
      </w:r>
      <w:r>
        <w:rPr>
          <w:rFonts w:ascii="Times New Roman" w:hAnsi="Times New Roman"/>
          <w:kern w:val="0"/>
          <w:sz w:val="15"/>
          <w:szCs w:val="15"/>
        </w:rPr>
        <w:t>1</w:t>
      </w:r>
      <w:r>
        <w:rPr>
          <w:rFonts w:hint="eastAsia" w:ascii="Times New Roman" w:hAnsi="宋体"/>
          <w:kern w:val="0"/>
          <w:sz w:val="15"/>
          <w:szCs w:val="15"/>
        </w:rPr>
        <w:t>）确认《联邦食品、药品和化妆品法案》（《法案》）的一般控制，包括其中描述的上市前通告要求；（</w:t>
      </w:r>
      <w:r>
        <w:rPr>
          <w:rFonts w:ascii="Times New Roman" w:hAnsi="Times New Roman"/>
          <w:kern w:val="0"/>
          <w:sz w:val="15"/>
          <w:szCs w:val="15"/>
        </w:rPr>
        <w:t>2</w:t>
      </w:r>
      <w:r>
        <w:rPr>
          <w:rFonts w:hint="eastAsia" w:ascii="Times New Roman" w:hAnsi="宋体"/>
          <w:kern w:val="0"/>
          <w:sz w:val="15"/>
          <w:szCs w:val="15"/>
        </w:rPr>
        <w:t>）消除本指导中已标识的骨移植材料引起的特定健康风险和（</w:t>
      </w:r>
      <w:r>
        <w:rPr>
          <w:rFonts w:ascii="Times New Roman" w:hAnsi="Times New Roman"/>
          <w:kern w:val="0"/>
          <w:sz w:val="15"/>
          <w:szCs w:val="15"/>
        </w:rPr>
        <w:t>3</w:t>
      </w:r>
      <w:r>
        <w:rPr>
          <w:rFonts w:hint="eastAsia" w:ascii="Times New Roman" w:hAnsi="宋体"/>
          <w:kern w:val="0"/>
          <w:sz w:val="15"/>
          <w:szCs w:val="15"/>
        </w:rPr>
        <w:t>）上市销售该器械上市之前获得</w:t>
      </w:r>
      <w:r>
        <w:rPr>
          <w:rFonts w:ascii="Times New Roman" w:hAnsi="Times New Roman"/>
          <w:kern w:val="0"/>
          <w:sz w:val="15"/>
          <w:szCs w:val="15"/>
        </w:rPr>
        <w:t>FDA</w:t>
      </w:r>
      <w:r>
        <w:rPr>
          <w:rFonts w:hint="eastAsia" w:ascii="Times New Roman" w:hAnsi="宋体"/>
          <w:kern w:val="0"/>
          <w:sz w:val="15"/>
          <w:szCs w:val="15"/>
        </w:rPr>
        <w:t>的实质等同判定。</w:t>
      </w:r>
    </w:p>
    <w:p w14:paraId="1C2472AE">
      <w:pPr>
        <w:widowControl/>
        <w:shd w:val="clear" w:color="auto" w:fill="FFFFFF"/>
        <w:spacing w:before="240" w:after="240" w:line="207" w:lineRule="atLeast"/>
        <w:ind w:firstLine="0"/>
        <w:rPr>
          <w:rFonts w:ascii="Times New Roman" w:hAnsi="Times New Roman"/>
          <w:kern w:val="0"/>
          <w:sz w:val="15"/>
          <w:szCs w:val="15"/>
        </w:rPr>
      </w:pPr>
      <w:r>
        <w:rPr>
          <w:rFonts w:hint="eastAsia" w:ascii="Times New Roman" w:hAnsi="宋体"/>
          <w:kern w:val="0"/>
          <w:sz w:val="15"/>
          <w:szCs w:val="15"/>
        </w:rPr>
        <w:t>本特殊控制指导文件针对骨移植材料器械标识出相关法规和产品代码（参考第</w:t>
      </w:r>
      <w:r>
        <w:rPr>
          <w:rFonts w:ascii="Times New Roman" w:hAnsi="Times New Roman"/>
          <w:kern w:val="0"/>
          <w:sz w:val="15"/>
          <w:szCs w:val="15"/>
        </w:rPr>
        <w:t>4</w:t>
      </w:r>
      <w:r>
        <w:rPr>
          <w:rFonts w:hint="eastAsia" w:ascii="Times New Roman" w:hAnsi="宋体"/>
          <w:kern w:val="0"/>
          <w:sz w:val="15"/>
          <w:szCs w:val="15"/>
        </w:rPr>
        <w:t>部分</w:t>
      </w:r>
      <w:r>
        <w:rPr>
          <w:rFonts w:ascii="Times New Roman" w:hAnsi="Times New Roman"/>
          <w:kern w:val="0"/>
          <w:sz w:val="15"/>
          <w:szCs w:val="15"/>
        </w:rPr>
        <w:t>-</w:t>
      </w:r>
      <w:r>
        <w:rPr>
          <w:rFonts w:hint="eastAsia" w:ascii="Times New Roman" w:hAnsi="宋体"/>
          <w:kern w:val="0"/>
          <w:sz w:val="15"/>
          <w:szCs w:val="15"/>
        </w:rPr>
        <w:t>范围）。此外，本特殊控制指导文件的其他章节列出了</w:t>
      </w:r>
      <w:r>
        <w:rPr>
          <w:rFonts w:ascii="Times New Roman" w:hAnsi="Times New Roman"/>
          <w:kern w:val="0"/>
          <w:sz w:val="15"/>
          <w:szCs w:val="15"/>
        </w:rPr>
        <w:t>FDA</w:t>
      </w:r>
      <w:r>
        <w:rPr>
          <w:rFonts w:hint="eastAsia" w:ascii="Times New Roman" w:hAnsi="宋体"/>
          <w:kern w:val="0"/>
          <w:sz w:val="15"/>
          <w:szCs w:val="15"/>
        </w:rPr>
        <w:t>标识的健康风险，并描述了相关措施，即如果制造商遵守这些措施，再结合一般控制，他们通常能够消除这些器械所引起的风险，及时推进</w:t>
      </w:r>
      <w:r>
        <w:rPr>
          <w:rFonts w:ascii="Times New Roman" w:hAnsi="Times New Roman"/>
          <w:kern w:val="0"/>
          <w:sz w:val="15"/>
          <w:szCs w:val="15"/>
        </w:rPr>
        <w:t xml:space="preserve">510(k) </w:t>
      </w:r>
      <w:r>
        <w:rPr>
          <w:rFonts w:hint="eastAsia" w:ascii="Times New Roman" w:hAnsi="宋体"/>
          <w:kern w:val="0"/>
          <w:sz w:val="15"/>
          <w:szCs w:val="15"/>
        </w:rPr>
        <w:t>审查和批准。本文件了补充了其他</w:t>
      </w:r>
      <w:r>
        <w:rPr>
          <w:rFonts w:ascii="Times New Roman" w:hAnsi="Times New Roman"/>
          <w:kern w:val="0"/>
          <w:sz w:val="15"/>
          <w:szCs w:val="15"/>
        </w:rPr>
        <w:t>510(k)</w:t>
      </w:r>
      <w:r>
        <w:rPr>
          <w:rFonts w:hint="eastAsia" w:ascii="Times New Roman" w:hAnsi="宋体"/>
          <w:kern w:val="0"/>
          <w:sz w:val="15"/>
          <w:szCs w:val="15"/>
        </w:rPr>
        <w:t>申请内容相关的</w:t>
      </w:r>
      <w:r>
        <w:rPr>
          <w:rFonts w:ascii="Times New Roman" w:hAnsi="Times New Roman"/>
          <w:kern w:val="0"/>
          <w:sz w:val="15"/>
          <w:szCs w:val="15"/>
        </w:rPr>
        <w:t>FDA</w:t>
      </w:r>
      <w:r>
        <w:rPr>
          <w:rFonts w:hint="eastAsia" w:ascii="Times New Roman" w:hAnsi="宋体"/>
          <w:kern w:val="0"/>
          <w:sz w:val="15"/>
          <w:szCs w:val="15"/>
        </w:rPr>
        <w:t>文件。您还应该参考</w:t>
      </w:r>
      <w:r>
        <w:rPr>
          <w:rFonts w:ascii="Times New Roman" w:hAnsi="Times New Roman"/>
          <w:kern w:val="0"/>
          <w:sz w:val="15"/>
          <w:szCs w:val="15"/>
        </w:rPr>
        <w:t>21 CFR 807.87</w:t>
      </w:r>
      <w:r>
        <w:rPr>
          <w:rFonts w:hint="eastAsia" w:ascii="Times New Roman" w:hAnsi="宋体"/>
          <w:kern w:val="0"/>
          <w:sz w:val="15"/>
          <w:szCs w:val="15"/>
        </w:rPr>
        <w:t>和</w:t>
      </w:r>
      <w:r>
        <w:rPr>
          <w:rFonts w:ascii="Times New Roman" w:hAnsi="Times New Roman"/>
          <w:kern w:val="0"/>
          <w:sz w:val="15"/>
          <w:szCs w:val="15"/>
        </w:rPr>
        <w:t>FDA</w:t>
      </w:r>
      <w:r>
        <w:rPr>
          <w:rFonts w:hint="eastAsia" w:ascii="Times New Roman" w:hAnsi="宋体"/>
          <w:kern w:val="0"/>
          <w:sz w:val="15"/>
          <w:szCs w:val="15"/>
        </w:rPr>
        <w:t>器械建议中的</w:t>
      </w:r>
      <w:r>
        <w:rPr>
          <w:rFonts w:ascii="Times New Roman" w:hAnsi="Times New Roman"/>
          <w:kern w:val="0"/>
          <w:sz w:val="15"/>
          <w:szCs w:val="15"/>
        </w:rPr>
        <w:t>“</w:t>
      </w:r>
      <w:r>
        <w:rPr>
          <w:rFonts w:hint="eastAsia" w:ascii="Times New Roman" w:hAnsi="宋体"/>
          <w:kern w:val="0"/>
          <w:sz w:val="15"/>
          <w:szCs w:val="15"/>
        </w:rPr>
        <w:t>如何准备</w:t>
      </w:r>
      <w:r>
        <w:rPr>
          <w:rFonts w:ascii="Times New Roman" w:hAnsi="Times New Roman"/>
          <w:b/>
          <w:bCs/>
          <w:kern w:val="0"/>
          <w:sz w:val="15"/>
          <w:szCs w:val="15"/>
        </w:rPr>
        <w:t>510(k)</w:t>
      </w:r>
      <w:r>
        <w:rPr>
          <w:rFonts w:hint="eastAsia" w:ascii="Times New Roman" w:hAnsi="宋体"/>
          <w:b/>
          <w:bCs/>
          <w:kern w:val="0"/>
          <w:sz w:val="15"/>
          <w:szCs w:val="15"/>
        </w:rPr>
        <w:t>申请</w:t>
      </w:r>
      <w:r>
        <w:rPr>
          <w:rFonts w:ascii="Times New Roman" w:hAnsi="Times New Roman"/>
          <w:kern w:val="0"/>
          <w:sz w:val="15"/>
          <w:szCs w:val="15"/>
        </w:rPr>
        <w:t>”</w:t>
      </w:r>
      <w:r>
        <w:rPr>
          <w:rFonts w:hint="eastAsia" w:ascii="Times New Roman" w:hAnsi="宋体"/>
          <w:kern w:val="0"/>
          <w:sz w:val="15"/>
          <w:szCs w:val="15"/>
        </w:rPr>
        <w:t>。</w:t>
      </w:r>
    </w:p>
    <w:p w14:paraId="5C662300">
      <w:pPr>
        <w:widowControl/>
        <w:shd w:val="clear" w:color="auto" w:fill="FFFFFF"/>
        <w:spacing w:before="240" w:after="240" w:line="207" w:lineRule="atLeast"/>
        <w:ind w:firstLine="0"/>
        <w:rPr>
          <w:rFonts w:ascii="Times New Roman" w:hAnsi="Times New Roman"/>
          <w:kern w:val="0"/>
          <w:sz w:val="15"/>
          <w:szCs w:val="15"/>
        </w:rPr>
      </w:pPr>
      <w:r>
        <w:rPr>
          <w:rFonts w:ascii="Times New Roman" w:hAnsi="Times New Roman"/>
          <w:kern w:val="0"/>
          <w:sz w:val="15"/>
          <w:szCs w:val="15"/>
        </w:rPr>
        <w:br w:type="page"/>
      </w:r>
    </w:p>
    <w:p w14:paraId="188C1E98">
      <w:pPr>
        <w:widowControl/>
        <w:shd w:val="clear" w:color="auto" w:fill="FFFFFF"/>
        <w:spacing w:before="240" w:after="240" w:line="207" w:lineRule="atLeast"/>
        <w:ind w:firstLine="0"/>
        <w:rPr>
          <w:rFonts w:ascii="Times New Roman" w:hAnsi="Times New Roman"/>
          <w:kern w:val="0"/>
          <w:sz w:val="15"/>
          <w:szCs w:val="15"/>
        </w:rPr>
      </w:pPr>
      <w:r>
        <w:rPr>
          <w:rFonts w:hint="eastAsia" w:ascii="Times New Roman" w:hAnsi="宋体"/>
          <w:kern w:val="0"/>
          <w:sz w:val="15"/>
          <w:szCs w:val="15"/>
        </w:rPr>
        <w:t>在</w:t>
      </w:r>
      <w:r>
        <w:rPr>
          <w:rFonts w:ascii="Times New Roman" w:hAnsi="Times New Roman"/>
          <w:kern w:val="0"/>
          <w:sz w:val="15"/>
          <w:szCs w:val="15"/>
        </w:rPr>
        <w:t xml:space="preserve"> “</w:t>
      </w:r>
      <w:r>
        <w:rPr>
          <w:rFonts w:hint="eastAsia" w:ascii="Times New Roman" w:hAnsi="宋体"/>
          <w:kern w:val="0"/>
          <w:sz w:val="15"/>
          <w:szCs w:val="15"/>
        </w:rPr>
        <w:t>新</w:t>
      </w:r>
      <w:r>
        <w:rPr>
          <w:rFonts w:ascii="Times New Roman" w:hAnsi="Times New Roman"/>
          <w:b/>
          <w:bCs/>
          <w:kern w:val="0"/>
          <w:sz w:val="15"/>
          <w:szCs w:val="15"/>
        </w:rPr>
        <w:t>510(k)</w:t>
      </w:r>
      <w:r>
        <w:rPr>
          <w:rFonts w:hint="eastAsia" w:ascii="Times New Roman" w:hAnsi="宋体"/>
          <w:b/>
          <w:bCs/>
          <w:kern w:val="0"/>
          <w:sz w:val="15"/>
          <w:szCs w:val="15"/>
        </w:rPr>
        <w:t>范例</w:t>
      </w:r>
      <w:r>
        <w:rPr>
          <w:rFonts w:ascii="Times New Roman" w:hAnsi="Times New Roman"/>
          <w:b/>
          <w:bCs/>
          <w:kern w:val="0"/>
          <w:sz w:val="15"/>
          <w:szCs w:val="15"/>
        </w:rPr>
        <w:t>-</w:t>
      </w:r>
      <w:r>
        <w:rPr>
          <w:rFonts w:hint="eastAsia" w:ascii="Times New Roman" w:hAnsi="宋体"/>
          <w:b/>
          <w:bCs/>
          <w:kern w:val="0"/>
          <w:sz w:val="15"/>
          <w:szCs w:val="15"/>
        </w:rPr>
        <w:t>上市前通告中证明实质等同的替代方法；最终指导</w:t>
      </w:r>
      <w:r>
        <w:rPr>
          <w:rFonts w:ascii="Times New Roman" w:hAnsi="Times New Roman"/>
          <w:kern w:val="0"/>
          <w:sz w:val="15"/>
          <w:szCs w:val="15"/>
        </w:rPr>
        <w:t>"</w:t>
      </w:r>
      <w:r>
        <w:fldChar w:fldCharType="begin"/>
      </w:r>
      <w:r>
        <w:instrText xml:space="preserve"> HYPERLINK "https://www.fda.gov/medicaldevices/deviceregulationandguidance/guidancedocuments/ucm071842.htm" \l "f1" </w:instrText>
      </w:r>
      <w:r>
        <w:fldChar w:fldCharType="separate"/>
      </w:r>
      <w:r>
        <w:rPr>
          <w:rFonts w:ascii="Times New Roman" w:hAnsi="Times New Roman"/>
          <w:kern w:val="0"/>
          <w:sz w:val="15"/>
          <w:szCs w:val="15"/>
          <w:u w:val="single"/>
          <w:vertAlign w:val="superscript"/>
        </w:rPr>
        <w:t>1</w:t>
      </w:r>
      <w:r>
        <w:rPr>
          <w:rFonts w:ascii="Times New Roman" w:hAnsi="Times New Roman"/>
          <w:kern w:val="0"/>
          <w:sz w:val="15"/>
          <w:szCs w:val="15"/>
          <w:u w:val="single"/>
          <w:vertAlign w:val="superscript"/>
        </w:rPr>
        <w:fldChar w:fldCharType="end"/>
      </w:r>
      <w:r>
        <w:rPr>
          <w:rFonts w:hint="eastAsia" w:ascii="Times New Roman" w:hAnsi="宋体"/>
          <w:sz w:val="15"/>
          <w:szCs w:val="15"/>
        </w:rPr>
        <w:t>制造商可能递交传统</w:t>
      </w:r>
      <w:r>
        <w:rPr>
          <w:rFonts w:ascii="Times New Roman" w:hAnsi="Times New Roman"/>
          <w:kern w:val="0"/>
          <w:sz w:val="15"/>
          <w:szCs w:val="15"/>
        </w:rPr>
        <w:t>510(k)</w:t>
      </w:r>
      <w:r>
        <w:rPr>
          <w:rFonts w:hint="eastAsia" w:ascii="Times New Roman" w:hAnsi="宋体"/>
          <w:sz w:val="15"/>
          <w:szCs w:val="15"/>
        </w:rPr>
        <w:t>或简略</w:t>
      </w:r>
      <w:r>
        <w:rPr>
          <w:rFonts w:ascii="Times New Roman" w:hAnsi="Times New Roman"/>
          <w:kern w:val="0"/>
          <w:sz w:val="15"/>
          <w:szCs w:val="15"/>
        </w:rPr>
        <w:t>510(k)</w:t>
      </w:r>
      <w:r>
        <w:rPr>
          <w:rFonts w:hint="eastAsia" w:ascii="Times New Roman" w:hAnsi="宋体"/>
          <w:sz w:val="15"/>
          <w:szCs w:val="15"/>
        </w:rPr>
        <w:t>。</w:t>
      </w:r>
      <w:r>
        <w:rPr>
          <w:rFonts w:ascii="Times New Roman" w:hAnsi="Times New Roman"/>
          <w:kern w:val="0"/>
          <w:sz w:val="15"/>
          <w:szCs w:val="15"/>
        </w:rPr>
        <w:t xml:space="preserve">FDA </w:t>
      </w:r>
      <w:r>
        <w:rPr>
          <w:rFonts w:hint="eastAsia" w:ascii="Times New Roman" w:hAnsi="宋体"/>
          <w:kern w:val="0"/>
          <w:sz w:val="15"/>
          <w:szCs w:val="15"/>
        </w:rPr>
        <w:t>认为，简略</w:t>
      </w:r>
      <w:r>
        <w:rPr>
          <w:rFonts w:ascii="Times New Roman" w:hAnsi="Times New Roman"/>
          <w:kern w:val="0"/>
          <w:sz w:val="15"/>
          <w:szCs w:val="15"/>
        </w:rPr>
        <w:t>510(k)</w:t>
      </w:r>
      <w:r>
        <w:rPr>
          <w:rFonts w:hint="eastAsia" w:ascii="Times New Roman" w:hAnsi="宋体"/>
          <w:kern w:val="0"/>
          <w:sz w:val="15"/>
          <w:szCs w:val="15"/>
        </w:rPr>
        <w:t>提供了证明一种新器械实质等同的最简单方法，尤其是</w:t>
      </w:r>
      <w:r>
        <w:rPr>
          <w:rFonts w:ascii="Times New Roman" w:hAnsi="Times New Roman"/>
          <w:kern w:val="0"/>
          <w:sz w:val="15"/>
          <w:szCs w:val="15"/>
        </w:rPr>
        <w:t>II</w:t>
      </w:r>
      <w:r>
        <w:rPr>
          <w:rFonts w:hint="eastAsia" w:ascii="Times New Roman" w:hAnsi="宋体"/>
          <w:kern w:val="0"/>
          <w:sz w:val="15"/>
          <w:szCs w:val="15"/>
        </w:rPr>
        <w:t>类特殊控制指导文件签发以后。此外，考虑改良他们自己的已授权器械的制造商通过递交特殊</w:t>
      </w:r>
      <w:r>
        <w:rPr>
          <w:rFonts w:ascii="Times New Roman" w:hAnsi="Times New Roman"/>
          <w:kern w:val="0"/>
          <w:sz w:val="15"/>
          <w:szCs w:val="15"/>
        </w:rPr>
        <w:t>510(k)</w:t>
      </w:r>
      <w:r>
        <w:rPr>
          <w:rFonts w:hint="eastAsia" w:ascii="Times New Roman" w:hAnsi="宋体"/>
          <w:kern w:val="0"/>
          <w:sz w:val="15"/>
          <w:szCs w:val="15"/>
        </w:rPr>
        <w:t>，可能会减轻其管理负担。</w:t>
      </w:r>
    </w:p>
    <w:p w14:paraId="3F08CF47">
      <w:pPr>
        <w:widowControl/>
        <w:spacing w:before="330" w:after="330"/>
        <w:ind w:firstLine="0"/>
        <w:rPr>
          <w:rFonts w:ascii="Times New Roman" w:hAnsi="宋体"/>
          <w:kern w:val="0"/>
          <w:sz w:val="15"/>
          <w:szCs w:val="15"/>
        </w:rPr>
      </w:pPr>
      <w:r>
        <w:rPr>
          <w:rFonts w:hint="eastAsia" w:ascii="Times New Roman" w:hAnsi="宋体"/>
          <w:kern w:val="0"/>
          <w:sz w:val="15"/>
          <w:szCs w:val="15"/>
        </w:rPr>
        <w:t>返回顶部</w:t>
      </w:r>
    </w:p>
    <w:p w14:paraId="5F2AB293">
      <w:pPr>
        <w:widowControl/>
        <w:spacing w:before="330" w:after="330"/>
        <w:ind w:firstLine="0"/>
        <w:rPr>
          <w:rFonts w:ascii="Times New Roman" w:hAnsi="Times New Roman"/>
          <w:kern w:val="0"/>
          <w:sz w:val="15"/>
          <w:szCs w:val="15"/>
        </w:rPr>
      </w:pPr>
      <w:r>
        <w:rPr>
          <w:rFonts w:ascii="Times New Roman" w:hAnsi="Times New Roman"/>
          <w:kern w:val="0"/>
          <w:sz w:val="15"/>
          <w:szCs w:val="15"/>
        </w:rPr>
        <w:pict>
          <v:rect id="_x0000_i1028" o:spt="1" style="height:0pt;width:0pt;" fillcolor="#333333" filled="t" stroked="f" coordsize="21600,21600" o:hr="t" o:hrstd="t" o:hrnoshade="t" o:hralign="center">
            <v:path/>
            <v:fill on="t" focussize="0,0"/>
            <v:stroke on="f"/>
            <v:imagedata o:title=""/>
            <o:lock v:ext="edit"/>
            <w10:wrap type="none"/>
            <w10:anchorlock/>
          </v:rect>
        </w:pict>
      </w:r>
    </w:p>
    <w:p w14:paraId="3DC16A4D">
      <w:pPr>
        <w:widowControl/>
        <w:spacing w:before="330" w:after="118"/>
        <w:ind w:firstLine="0"/>
        <w:outlineLvl w:val="0"/>
        <w:rPr>
          <w:rFonts w:ascii="Times New Roman" w:hAnsi="Times New Roman"/>
          <w:kern w:val="0"/>
          <w:sz w:val="23"/>
          <w:szCs w:val="23"/>
        </w:rPr>
      </w:pPr>
      <w:bookmarkStart w:id="3" w:name="_Toc480622164"/>
      <w:r>
        <w:rPr>
          <w:rFonts w:ascii="Times New Roman" w:hAnsi="Times New Roman"/>
          <w:b/>
          <w:bCs/>
          <w:kern w:val="0"/>
          <w:sz w:val="23"/>
          <w:szCs w:val="23"/>
        </w:rPr>
        <w:t>3.</w:t>
      </w:r>
      <w:r>
        <w:rPr>
          <w:rFonts w:ascii="Times New Roman" w:hAnsi="Times New Roman"/>
          <w:b/>
          <w:bCs/>
          <w:kern w:val="0"/>
          <w:sz w:val="23"/>
          <w:szCs w:val="23"/>
        </w:rPr>
        <w:tab/>
      </w:r>
      <w:r>
        <w:rPr>
          <w:rFonts w:hint="eastAsia" w:ascii="Times New Roman" w:hAnsi="宋体"/>
          <w:b/>
          <w:bCs/>
          <w:kern w:val="0"/>
          <w:sz w:val="23"/>
          <w:szCs w:val="23"/>
        </w:rPr>
        <w:t>缩减</w:t>
      </w:r>
      <w:r>
        <w:rPr>
          <w:rFonts w:ascii="Times New Roman" w:hAnsi="Times New Roman"/>
          <w:b/>
          <w:bCs/>
          <w:kern w:val="0"/>
          <w:sz w:val="23"/>
          <w:szCs w:val="23"/>
        </w:rPr>
        <w:t>510(k)</w:t>
      </w:r>
      <w:r>
        <w:rPr>
          <w:rFonts w:hint="eastAsia" w:ascii="Times New Roman" w:hAnsi="宋体"/>
          <w:b/>
          <w:bCs/>
          <w:kern w:val="0"/>
          <w:sz w:val="23"/>
          <w:szCs w:val="23"/>
        </w:rPr>
        <w:t>申报资料的内容和格式</w:t>
      </w:r>
      <w:bookmarkEnd w:id="3"/>
      <w:r>
        <w:rPr>
          <w:rFonts w:ascii="Times New Roman" w:hAnsi="Times New Roman"/>
          <w:b/>
          <w:bCs/>
          <w:kern w:val="0"/>
          <w:sz w:val="23"/>
          <w:szCs w:val="23"/>
        </w:rPr>
        <w:t>  </w:t>
      </w:r>
    </w:p>
    <w:p w14:paraId="26B35182">
      <w:pPr>
        <w:widowControl/>
        <w:shd w:val="clear" w:color="auto" w:fill="FFFFFF"/>
        <w:spacing w:line="207" w:lineRule="atLeast"/>
        <w:ind w:firstLine="0"/>
        <w:rPr>
          <w:rFonts w:ascii="Times New Roman" w:hAnsi="Times New Roman"/>
          <w:kern w:val="0"/>
          <w:sz w:val="15"/>
          <w:szCs w:val="15"/>
        </w:rPr>
      </w:pPr>
      <w:r>
        <w:rPr>
          <w:rFonts w:hint="eastAsia" w:ascii="Times New Roman" w:hAnsi="宋体"/>
          <w:kern w:val="0"/>
          <w:sz w:val="15"/>
          <w:szCs w:val="15"/>
        </w:rPr>
        <w:t>一份缩减</w:t>
      </w:r>
      <w:r>
        <w:rPr>
          <w:rFonts w:ascii="Times New Roman" w:hAnsi="Times New Roman"/>
          <w:kern w:val="0"/>
          <w:sz w:val="15"/>
          <w:szCs w:val="15"/>
        </w:rPr>
        <w:t>510(k)</w:t>
      </w:r>
      <w:r>
        <w:rPr>
          <w:rFonts w:hint="eastAsia" w:ascii="Times New Roman" w:hAnsi="宋体"/>
          <w:kern w:val="0"/>
          <w:sz w:val="15"/>
          <w:szCs w:val="15"/>
        </w:rPr>
        <w:t>申报资料必须包括</w:t>
      </w:r>
      <w:r>
        <w:fldChar w:fldCharType="begin"/>
      </w:r>
      <w:r>
        <w:instrText xml:space="preserve"> HYPERLINK "http://www.accessdata.fda.gov/scripts/cdrh/cfdocs/cfcfr/showCFR.cfm?FR=807.87" </w:instrText>
      </w:r>
      <w:r>
        <w:fldChar w:fldCharType="separate"/>
      </w:r>
      <w:r>
        <w:rPr>
          <w:rFonts w:ascii="Times New Roman" w:hAnsi="Times New Roman"/>
          <w:kern w:val="0"/>
          <w:sz w:val="15"/>
          <w:szCs w:val="15"/>
          <w:u w:val="single"/>
        </w:rPr>
        <w:t>21 CFR 807.87</w:t>
      </w:r>
      <w:r>
        <w:rPr>
          <w:rFonts w:ascii="Times New Roman" w:hAnsi="Times New Roman"/>
          <w:kern w:val="0"/>
          <w:sz w:val="15"/>
          <w:szCs w:val="15"/>
          <w:u w:val="single"/>
        </w:rPr>
        <w:fldChar w:fldCharType="end"/>
      </w:r>
      <w:r>
        <w:rPr>
          <w:rFonts w:hint="eastAsia" w:ascii="Times New Roman" w:hAnsi="宋体"/>
          <w:kern w:val="0"/>
          <w:sz w:val="15"/>
          <w:szCs w:val="15"/>
        </w:rPr>
        <w:t>中指明的必需元素，包括拟定的可充分描述该器械、预期用途和使用方法的标签。在一份缩减</w:t>
      </w:r>
      <w:r>
        <w:rPr>
          <w:rFonts w:ascii="Times New Roman" w:hAnsi="Times New Roman"/>
          <w:kern w:val="0"/>
          <w:sz w:val="15"/>
          <w:szCs w:val="15"/>
        </w:rPr>
        <w:t>510(k)</w:t>
      </w:r>
      <w:r>
        <w:rPr>
          <w:rFonts w:hint="eastAsia" w:ascii="Times New Roman" w:hAnsi="宋体"/>
          <w:kern w:val="0"/>
          <w:sz w:val="15"/>
          <w:szCs w:val="15"/>
        </w:rPr>
        <w:t>中，</w:t>
      </w:r>
      <w:r>
        <w:rPr>
          <w:rFonts w:ascii="Times New Roman" w:hAnsi="Times New Roman"/>
          <w:kern w:val="0"/>
          <w:sz w:val="15"/>
          <w:szCs w:val="15"/>
        </w:rPr>
        <w:t>FDA</w:t>
      </w:r>
      <w:r>
        <w:rPr>
          <w:rFonts w:hint="eastAsia" w:ascii="Times New Roman" w:hAnsi="宋体"/>
          <w:kern w:val="0"/>
          <w:sz w:val="15"/>
          <w:szCs w:val="15"/>
        </w:rPr>
        <w:t>也许会将一份总结报告的内容视为满足</w:t>
      </w:r>
      <w:r>
        <w:fldChar w:fldCharType="begin"/>
      </w:r>
      <w:r>
        <w:instrText xml:space="preserve"> HYPERLINK "http://www.accessdata.fda.gov/scripts/cdrh/cfdocs/cfcfr/showCFR.cfm?FR=807.87" </w:instrText>
      </w:r>
      <w:r>
        <w:fldChar w:fldCharType="separate"/>
      </w:r>
      <w:r>
        <w:rPr>
          <w:rFonts w:ascii="Times New Roman" w:hAnsi="Times New Roman"/>
          <w:kern w:val="0"/>
          <w:sz w:val="15"/>
          <w:szCs w:val="15"/>
          <w:u w:val="single"/>
        </w:rPr>
        <w:t>21 CFR 807.87</w:t>
      </w:r>
      <w:r>
        <w:rPr>
          <w:rFonts w:ascii="Times New Roman" w:hAnsi="Times New Roman"/>
          <w:kern w:val="0"/>
          <w:sz w:val="15"/>
          <w:szCs w:val="15"/>
          <w:u w:val="single"/>
        </w:rPr>
        <w:fldChar w:fldCharType="end"/>
      </w:r>
      <w:r>
        <w:rPr>
          <w:rFonts w:ascii="Times New Roman" w:hAnsi="Times New Roman"/>
          <w:kern w:val="0"/>
          <w:sz w:val="15"/>
          <w:szCs w:val="15"/>
        </w:rPr>
        <w:t>(f)</w:t>
      </w:r>
      <w:r>
        <w:rPr>
          <w:rFonts w:hint="eastAsia" w:ascii="Times New Roman" w:hAnsi="宋体"/>
          <w:kern w:val="0"/>
          <w:sz w:val="15"/>
          <w:szCs w:val="15"/>
        </w:rPr>
        <w:t>或</w:t>
      </w:r>
      <w:r>
        <w:rPr>
          <w:rFonts w:ascii="Times New Roman" w:hAnsi="Times New Roman"/>
          <w:kern w:val="0"/>
          <w:sz w:val="15"/>
          <w:szCs w:val="15"/>
        </w:rPr>
        <w:t>(g)</w:t>
      </w:r>
      <w:r>
        <w:rPr>
          <w:rFonts w:hint="eastAsia" w:ascii="Times New Roman" w:hAnsi="宋体"/>
          <w:kern w:val="0"/>
          <w:sz w:val="15"/>
          <w:szCs w:val="15"/>
        </w:rPr>
        <w:t>要求的恰当的支持数据；因此，我们建议你包括一份总结报告。该报告应该描述在器械开发和测试过程中如何应用了这份特殊控制指导意见、简要描述采用的方法或者测试、总结测试数据或者描述解决本指导意见指明的风险时采用的合格标准，并阐述与你申报的器械相关的其他具体风险。本节内容给出了一些关于如何满足</w:t>
      </w:r>
      <w:r>
        <w:fldChar w:fldCharType="begin"/>
      </w:r>
      <w:r>
        <w:instrText xml:space="preserve"> HYPERLINK "http://www.accessdata.fda.gov/scripts/cdrh/cfdocs/cfcfr/showCFR.cfm?FR=807.87" </w:instrText>
      </w:r>
      <w:r>
        <w:fldChar w:fldCharType="separate"/>
      </w:r>
      <w:r>
        <w:rPr>
          <w:rFonts w:ascii="Times New Roman" w:hAnsi="Times New Roman"/>
          <w:kern w:val="0"/>
          <w:sz w:val="15"/>
          <w:szCs w:val="15"/>
          <w:u w:val="single"/>
        </w:rPr>
        <w:t>807.87</w:t>
      </w:r>
      <w:r>
        <w:rPr>
          <w:rFonts w:ascii="Times New Roman" w:hAnsi="Times New Roman"/>
          <w:kern w:val="0"/>
          <w:sz w:val="15"/>
          <w:szCs w:val="15"/>
          <w:u w:val="single"/>
        </w:rPr>
        <w:fldChar w:fldCharType="end"/>
      </w:r>
      <w:r>
        <w:rPr>
          <w:rFonts w:hint="eastAsia" w:ascii="Times New Roman" w:hAnsi="宋体"/>
          <w:kern w:val="0"/>
          <w:sz w:val="15"/>
          <w:szCs w:val="15"/>
        </w:rPr>
        <w:t>部分要求的建议，以及你应该在缩减</w:t>
      </w:r>
      <w:r>
        <w:rPr>
          <w:rFonts w:ascii="Times New Roman" w:hAnsi="Times New Roman"/>
          <w:kern w:val="0"/>
          <w:sz w:val="15"/>
          <w:szCs w:val="15"/>
        </w:rPr>
        <w:t>510(k)</w:t>
      </w:r>
      <w:r>
        <w:rPr>
          <w:rFonts w:hint="eastAsia" w:ascii="Times New Roman" w:hAnsi="宋体"/>
          <w:kern w:val="0"/>
          <w:sz w:val="15"/>
          <w:szCs w:val="15"/>
        </w:rPr>
        <w:t>申报资料中包括的一些其他条目。</w:t>
      </w:r>
    </w:p>
    <w:p w14:paraId="0C9877FB">
      <w:pPr>
        <w:widowControl/>
        <w:spacing w:before="55" w:after="55"/>
        <w:ind w:firstLine="0"/>
        <w:rPr>
          <w:rFonts w:ascii="Times New Roman" w:hAnsi="Times New Roman"/>
          <w:kern w:val="0"/>
          <w:sz w:val="15"/>
          <w:szCs w:val="15"/>
        </w:rPr>
      </w:pPr>
      <w:r>
        <w:rPr>
          <w:rFonts w:hint="eastAsia" w:ascii="Times New Roman" w:hAnsi="宋体"/>
          <w:b/>
          <w:bCs/>
          <w:kern w:val="0"/>
          <w:sz w:val="15"/>
          <w:szCs w:val="15"/>
        </w:rPr>
        <w:t>封面</w:t>
      </w:r>
    </w:p>
    <w:p w14:paraId="5CD97380">
      <w:pPr>
        <w:widowControl/>
        <w:shd w:val="clear" w:color="auto" w:fill="FFFFFF"/>
        <w:spacing w:before="240" w:after="240" w:line="207" w:lineRule="atLeast"/>
        <w:ind w:firstLine="0"/>
        <w:rPr>
          <w:rFonts w:ascii="Times New Roman" w:hAnsi="Times New Roman"/>
          <w:kern w:val="0"/>
          <w:sz w:val="15"/>
          <w:szCs w:val="15"/>
        </w:rPr>
      </w:pPr>
      <w:r>
        <w:rPr>
          <w:rFonts w:hint="eastAsia" w:ascii="Times New Roman" w:hAnsi="宋体"/>
          <w:kern w:val="0"/>
          <w:sz w:val="15"/>
          <w:szCs w:val="15"/>
        </w:rPr>
        <w:t>封面应该主要把该申请标识为简略</w:t>
      </w:r>
      <w:r>
        <w:rPr>
          <w:rFonts w:ascii="Times New Roman" w:hAnsi="Times New Roman"/>
          <w:kern w:val="0"/>
          <w:sz w:val="15"/>
          <w:szCs w:val="15"/>
        </w:rPr>
        <w:t xml:space="preserve">510(k) </w:t>
      </w:r>
      <w:r>
        <w:rPr>
          <w:rFonts w:hint="eastAsia" w:ascii="Times New Roman" w:hAnsi="宋体"/>
          <w:kern w:val="0"/>
          <w:sz w:val="15"/>
          <w:szCs w:val="15"/>
        </w:rPr>
        <w:t>，并引用本特殊控制指导文件的标题。</w:t>
      </w:r>
    </w:p>
    <w:p w14:paraId="190DA446">
      <w:pPr>
        <w:widowControl/>
        <w:spacing w:before="55" w:after="55"/>
        <w:ind w:firstLine="0"/>
        <w:rPr>
          <w:rFonts w:ascii="Times New Roman" w:hAnsi="Times New Roman"/>
          <w:kern w:val="0"/>
          <w:sz w:val="15"/>
          <w:szCs w:val="15"/>
        </w:rPr>
      </w:pPr>
      <w:r>
        <w:rPr>
          <w:rFonts w:hint="eastAsia" w:ascii="Times New Roman" w:hAnsi="宋体"/>
          <w:b/>
          <w:bCs/>
          <w:kern w:val="0"/>
          <w:sz w:val="15"/>
          <w:szCs w:val="15"/>
        </w:rPr>
        <w:t>拟定的标签</w:t>
      </w:r>
    </w:p>
    <w:p w14:paraId="443DC0EC">
      <w:pPr>
        <w:widowControl/>
        <w:spacing w:before="55" w:after="55"/>
        <w:ind w:firstLine="0"/>
        <w:rPr>
          <w:rFonts w:ascii="Times New Roman" w:hAnsi="Times New Roman"/>
          <w:kern w:val="0"/>
          <w:sz w:val="15"/>
          <w:szCs w:val="15"/>
        </w:rPr>
      </w:pPr>
      <w:r>
        <w:rPr>
          <w:rFonts w:hint="eastAsia" w:ascii="Times New Roman" w:hAnsi="宋体"/>
          <w:kern w:val="0"/>
          <w:sz w:val="15"/>
          <w:szCs w:val="15"/>
        </w:rPr>
        <w:t>拟定的标签应该可以充分描述申报器械、其预期用途和使用方法。（关于本指导文件涵盖的器械类型的标签中应该包括的具体信息，请参考</w:t>
      </w:r>
      <w:r>
        <w:fldChar w:fldCharType="begin"/>
      </w:r>
      <w:r>
        <w:instrText xml:space="preserve"> HYPERLINK "http://www.fda.gov/medicaldevices/deviceregulationandguidance/guidancedocuments/ucm072714.htm" \l "_Toc32397784" </w:instrText>
      </w:r>
      <w:r>
        <w:fldChar w:fldCharType="separate"/>
      </w:r>
      <w:r>
        <w:rPr>
          <w:rFonts w:hint="eastAsia" w:ascii="Times New Roman" w:hAnsi="宋体"/>
          <w:kern w:val="0"/>
          <w:sz w:val="15"/>
          <w:szCs w:val="15"/>
          <w:u w:val="single"/>
        </w:rPr>
        <w:t>第</w:t>
      </w:r>
      <w:r>
        <w:rPr>
          <w:rFonts w:ascii="Times New Roman" w:hAnsi="Times New Roman"/>
          <w:kern w:val="0"/>
          <w:sz w:val="15"/>
          <w:szCs w:val="15"/>
          <w:u w:val="single"/>
        </w:rPr>
        <w:t>10</w:t>
      </w:r>
      <w:r>
        <w:rPr>
          <w:rFonts w:hint="eastAsia" w:ascii="Times New Roman" w:hAnsi="宋体"/>
          <w:kern w:val="0"/>
          <w:sz w:val="15"/>
          <w:szCs w:val="15"/>
          <w:u w:val="single"/>
        </w:rPr>
        <w:t>节</w:t>
      </w:r>
      <w:r>
        <w:rPr>
          <w:rFonts w:hint="eastAsia" w:ascii="Times New Roman" w:hAnsi="宋体"/>
          <w:kern w:val="0"/>
          <w:sz w:val="15"/>
          <w:szCs w:val="15"/>
          <w:u w:val="single"/>
        </w:rPr>
        <w:fldChar w:fldCharType="end"/>
      </w:r>
      <w:r>
        <w:rPr>
          <w:rFonts w:hint="eastAsia" w:ascii="Times New Roman" w:hAnsi="宋体"/>
          <w:kern w:val="0"/>
          <w:sz w:val="15"/>
          <w:szCs w:val="15"/>
        </w:rPr>
        <w:t>）。</w:t>
      </w:r>
    </w:p>
    <w:p w14:paraId="2B4FB289">
      <w:pPr>
        <w:widowControl/>
        <w:spacing w:before="55" w:after="55"/>
        <w:ind w:firstLine="0"/>
        <w:rPr>
          <w:rFonts w:ascii="Times New Roman" w:hAnsi="Times New Roman"/>
          <w:kern w:val="0"/>
          <w:sz w:val="15"/>
          <w:szCs w:val="15"/>
        </w:rPr>
      </w:pPr>
      <w:r>
        <w:rPr>
          <w:rFonts w:hint="eastAsia" w:ascii="Times New Roman" w:hAnsi="宋体"/>
          <w:b/>
          <w:bCs/>
          <w:kern w:val="0"/>
          <w:sz w:val="15"/>
          <w:szCs w:val="15"/>
        </w:rPr>
        <w:t>总结报告</w:t>
      </w:r>
      <w:r>
        <w:rPr>
          <w:rFonts w:ascii="Times New Roman" w:hAnsi="Times New Roman"/>
          <w:kern w:val="0"/>
          <w:sz w:val="15"/>
          <w:szCs w:val="15"/>
        </w:rPr>
        <w:t> </w:t>
      </w:r>
    </w:p>
    <w:p w14:paraId="6C4B80C1">
      <w:pPr>
        <w:widowControl/>
        <w:shd w:val="clear" w:color="auto" w:fill="FFFFFF"/>
        <w:spacing w:before="240" w:after="240" w:line="207" w:lineRule="atLeast"/>
        <w:ind w:firstLine="0"/>
        <w:rPr>
          <w:rFonts w:ascii="Times New Roman" w:hAnsi="Times New Roman"/>
          <w:kern w:val="0"/>
          <w:sz w:val="15"/>
          <w:szCs w:val="15"/>
        </w:rPr>
      </w:pPr>
      <w:r>
        <w:rPr>
          <w:rFonts w:hint="eastAsia" w:ascii="Times New Roman" w:hAnsi="宋体"/>
          <w:kern w:val="0"/>
          <w:sz w:val="15"/>
          <w:szCs w:val="15"/>
        </w:rPr>
        <w:t>我们建议总结报告中含有以下内容：</w:t>
      </w:r>
    </w:p>
    <w:p w14:paraId="3DF36F07">
      <w:pPr>
        <w:widowControl/>
        <w:numPr>
          <w:ilvl w:val="0"/>
          <w:numId w:val="2"/>
        </w:numPr>
        <w:ind w:left="357" w:hanging="357"/>
        <w:rPr>
          <w:rFonts w:ascii="Times New Roman" w:hAnsi="Times New Roman"/>
          <w:kern w:val="0"/>
          <w:sz w:val="15"/>
          <w:szCs w:val="15"/>
        </w:rPr>
      </w:pPr>
      <w:r>
        <w:rPr>
          <w:rFonts w:hint="eastAsia" w:ascii="Times New Roman" w:hAnsi="宋体"/>
          <w:kern w:val="0"/>
          <w:sz w:val="15"/>
          <w:szCs w:val="15"/>
        </w:rPr>
        <w:t>关于器械设计要求的描述。</w:t>
      </w:r>
    </w:p>
    <w:p w14:paraId="1A13B67C">
      <w:pPr>
        <w:widowControl/>
        <w:shd w:val="clear" w:color="auto" w:fill="FFFFFF"/>
        <w:spacing w:before="240" w:after="240" w:line="207" w:lineRule="atLeast"/>
        <w:ind w:firstLine="0"/>
        <w:rPr>
          <w:rFonts w:ascii="Times New Roman" w:hAnsi="Times New Roman"/>
          <w:kern w:val="0"/>
          <w:sz w:val="15"/>
          <w:szCs w:val="15"/>
        </w:rPr>
      </w:pPr>
      <w:r>
        <w:rPr>
          <w:rFonts w:hint="eastAsia" w:ascii="Times New Roman" w:hAnsi="宋体"/>
          <w:kern w:val="0"/>
          <w:sz w:val="15"/>
          <w:szCs w:val="15"/>
        </w:rPr>
        <w:t>从一般意义上以及根据器械的具体设计评估其风险特征时采用的风险分析方法以及这项分析的结果。</w:t>
      </w:r>
    </w:p>
    <w:p w14:paraId="24FD291D">
      <w:pPr>
        <w:widowControl/>
        <w:shd w:val="clear" w:color="auto" w:fill="FFFFFF"/>
        <w:spacing w:before="240" w:line="207" w:lineRule="atLeast"/>
        <w:ind w:firstLine="0"/>
        <w:rPr>
          <w:rFonts w:ascii="Times New Roman" w:hAnsi="Times New Roman"/>
          <w:kern w:val="0"/>
          <w:sz w:val="15"/>
          <w:szCs w:val="15"/>
        </w:rPr>
      </w:pPr>
      <w:r>
        <w:rPr>
          <w:rFonts w:hint="eastAsia" w:ascii="Times New Roman" w:hAnsi="宋体"/>
          <w:kern w:val="0"/>
          <w:sz w:val="15"/>
          <w:szCs w:val="15"/>
        </w:rPr>
        <w:t>（对于我们建议您应该包含到器械说明中本指导文件所提及器械类型的特殊信息，请参见</w:t>
      </w:r>
      <w:r>
        <w:rPr>
          <w:rFonts w:hint="eastAsia" w:ascii="Times New Roman" w:hAnsi="宋体"/>
          <w:b/>
          <w:kern w:val="0"/>
          <w:sz w:val="15"/>
          <w:szCs w:val="15"/>
        </w:rPr>
        <w:t>第</w:t>
      </w:r>
      <w:r>
        <w:rPr>
          <w:rFonts w:ascii="Times New Roman" w:hAnsi="Times New Roman"/>
          <w:b/>
          <w:kern w:val="0"/>
          <w:sz w:val="15"/>
          <w:szCs w:val="15"/>
        </w:rPr>
        <w:t>5</w:t>
      </w:r>
      <w:r>
        <w:rPr>
          <w:rFonts w:hint="eastAsia" w:ascii="Times New Roman" w:hAnsi="宋体"/>
          <w:b/>
          <w:kern w:val="0"/>
          <w:sz w:val="15"/>
          <w:szCs w:val="15"/>
        </w:rPr>
        <w:t>部分</w:t>
      </w:r>
      <w:r>
        <w:rPr>
          <w:rFonts w:ascii="Times New Roman" w:hAnsi="Times New Roman"/>
          <w:b/>
          <w:kern w:val="0"/>
          <w:sz w:val="15"/>
          <w:szCs w:val="15"/>
        </w:rPr>
        <w:t>-</w:t>
      </w:r>
      <w:r>
        <w:rPr>
          <w:rFonts w:hint="eastAsia" w:ascii="Times New Roman" w:hAnsi="宋体"/>
          <w:b/>
          <w:kern w:val="0"/>
          <w:sz w:val="15"/>
          <w:szCs w:val="15"/>
        </w:rPr>
        <w:t>器械说明</w:t>
      </w:r>
      <w:r>
        <w:rPr>
          <w:rFonts w:hint="eastAsia" w:ascii="Times New Roman" w:hAnsi="宋体"/>
          <w:kern w:val="0"/>
          <w:sz w:val="15"/>
          <w:szCs w:val="15"/>
        </w:rPr>
        <w:t>）您还应该递交一份</w:t>
      </w:r>
      <w:r>
        <w:rPr>
          <w:rFonts w:ascii="Times New Roman" w:hAnsi="Times New Roman"/>
          <w:kern w:val="0"/>
          <w:sz w:val="15"/>
          <w:szCs w:val="15"/>
        </w:rPr>
        <w:t>“</w:t>
      </w:r>
      <w:r>
        <w:rPr>
          <w:rFonts w:hint="eastAsia" w:ascii="Times New Roman" w:hAnsi="宋体"/>
          <w:kern w:val="0"/>
          <w:sz w:val="15"/>
          <w:szCs w:val="15"/>
        </w:rPr>
        <w:t>使用适应证</w:t>
      </w:r>
      <w:r>
        <w:rPr>
          <w:rFonts w:ascii="Times New Roman" w:hAnsi="Times New Roman"/>
          <w:kern w:val="0"/>
          <w:sz w:val="15"/>
          <w:szCs w:val="15"/>
        </w:rPr>
        <w:t>”</w:t>
      </w:r>
      <w:r>
        <w:rPr>
          <w:rFonts w:hint="eastAsia" w:ascii="Times New Roman" w:hAnsi="宋体"/>
          <w:kern w:val="0"/>
          <w:sz w:val="15"/>
          <w:szCs w:val="15"/>
        </w:rPr>
        <w:t>附件。</w:t>
      </w:r>
      <w:r>
        <w:fldChar w:fldCharType="begin"/>
      </w:r>
      <w:r>
        <w:instrText xml:space="preserve"> HYPERLINK "https://www.fda.gov/medicaldevices/deviceregulationandguidance/guidancedocuments/ucm071842.htm" \l "f2" </w:instrText>
      </w:r>
      <w:r>
        <w:fldChar w:fldCharType="separate"/>
      </w:r>
      <w:r>
        <w:rPr>
          <w:rFonts w:ascii="Times New Roman" w:hAnsi="Times New Roman"/>
          <w:kern w:val="0"/>
          <w:sz w:val="15"/>
          <w:szCs w:val="15"/>
          <w:u w:val="single"/>
          <w:vertAlign w:val="superscript"/>
        </w:rPr>
        <w:t>2</w:t>
      </w:r>
      <w:r>
        <w:rPr>
          <w:rFonts w:ascii="Times New Roman" w:hAnsi="Times New Roman"/>
          <w:kern w:val="0"/>
          <w:sz w:val="15"/>
          <w:szCs w:val="15"/>
          <w:u w:val="single"/>
          <w:vertAlign w:val="superscript"/>
        </w:rPr>
        <w:fldChar w:fldCharType="end"/>
      </w:r>
    </w:p>
    <w:p w14:paraId="53D16D3A">
      <w:pPr>
        <w:widowControl/>
        <w:numPr>
          <w:ilvl w:val="0"/>
          <w:numId w:val="3"/>
        </w:numPr>
        <w:shd w:val="clear" w:color="auto" w:fill="FFFFFF"/>
        <w:spacing w:before="120" w:after="120" w:line="207" w:lineRule="atLeast"/>
        <w:ind w:left="357" w:hanging="357"/>
        <w:rPr>
          <w:rFonts w:ascii="Times New Roman" w:hAnsi="Times New Roman"/>
          <w:kern w:val="0"/>
          <w:sz w:val="15"/>
          <w:szCs w:val="15"/>
        </w:rPr>
      </w:pPr>
      <w:r>
        <w:rPr>
          <w:rFonts w:hint="eastAsia" w:ascii="Times New Roman" w:hAnsi="宋体"/>
          <w:b/>
          <w:bCs/>
          <w:kern w:val="0"/>
          <w:sz w:val="15"/>
          <w:szCs w:val="15"/>
        </w:rPr>
        <w:t>器械设计说明</w:t>
      </w:r>
    </w:p>
    <w:p w14:paraId="36C0AD02">
      <w:pPr>
        <w:widowControl/>
        <w:shd w:val="clear" w:color="auto" w:fill="FFFFFF"/>
        <w:spacing w:before="120" w:after="120" w:line="207" w:lineRule="atLeast"/>
        <w:ind w:left="300" w:firstLine="0"/>
        <w:rPr>
          <w:rFonts w:ascii="Times New Roman" w:hAnsi="Times New Roman"/>
          <w:kern w:val="0"/>
          <w:sz w:val="15"/>
          <w:szCs w:val="15"/>
        </w:rPr>
      </w:pPr>
      <w:r>
        <w:rPr>
          <w:rFonts w:hint="eastAsia" w:ascii="Times New Roman" w:hAnsi="宋体"/>
          <w:kern w:val="0"/>
          <w:sz w:val="15"/>
          <w:szCs w:val="15"/>
        </w:rPr>
        <w:t>我们建议您的总结报告中应该包含一份关于本器械设计要求的简要说明。</w:t>
      </w:r>
    </w:p>
    <w:p w14:paraId="64E05B63">
      <w:pPr>
        <w:widowControl/>
        <w:shd w:val="clear" w:color="auto" w:fill="FFFFFF"/>
        <w:spacing w:before="120" w:after="120" w:line="207" w:lineRule="atLeast"/>
        <w:ind w:left="300" w:firstLine="0"/>
        <w:rPr>
          <w:rFonts w:ascii="Times New Roman" w:hAnsi="Times New Roman"/>
          <w:kern w:val="0"/>
          <w:sz w:val="15"/>
          <w:szCs w:val="15"/>
        </w:rPr>
      </w:pPr>
      <w:r>
        <w:rPr>
          <w:rFonts w:ascii="Times New Roman" w:hAnsi="Times New Roman"/>
          <w:kern w:val="0"/>
          <w:sz w:val="15"/>
          <w:szCs w:val="15"/>
        </w:rPr>
        <w:br w:type="page"/>
      </w:r>
    </w:p>
    <w:p w14:paraId="29F3AC3F">
      <w:pPr>
        <w:widowControl/>
        <w:numPr>
          <w:ilvl w:val="0"/>
          <w:numId w:val="3"/>
        </w:numPr>
        <w:shd w:val="clear" w:color="auto" w:fill="FFFFFF"/>
        <w:spacing w:before="120" w:after="120" w:line="207" w:lineRule="atLeast"/>
        <w:ind w:left="300"/>
        <w:rPr>
          <w:rFonts w:ascii="Times New Roman" w:hAnsi="Times New Roman"/>
          <w:kern w:val="0"/>
          <w:sz w:val="15"/>
          <w:szCs w:val="15"/>
        </w:rPr>
      </w:pPr>
      <w:r>
        <w:rPr>
          <w:rFonts w:hint="eastAsia" w:ascii="Times New Roman" w:hAnsi="宋体"/>
          <w:b/>
          <w:bCs/>
          <w:kern w:val="0"/>
          <w:sz w:val="15"/>
          <w:szCs w:val="15"/>
        </w:rPr>
        <w:t>风险分析方法确定</w:t>
      </w:r>
    </w:p>
    <w:p w14:paraId="5585379E">
      <w:pPr>
        <w:widowControl/>
        <w:shd w:val="clear" w:color="auto" w:fill="FFFFFF"/>
        <w:spacing w:before="120" w:after="120" w:line="207" w:lineRule="atLeast"/>
        <w:ind w:left="300" w:firstLine="0"/>
        <w:rPr>
          <w:rFonts w:ascii="Times New Roman" w:hAnsi="Times New Roman"/>
          <w:kern w:val="0"/>
          <w:sz w:val="15"/>
          <w:szCs w:val="15"/>
        </w:rPr>
      </w:pPr>
      <w:r>
        <w:rPr>
          <w:rFonts w:hint="eastAsia" w:ascii="Times New Roman" w:hAnsi="宋体"/>
          <w:kern w:val="0"/>
          <w:sz w:val="15"/>
          <w:szCs w:val="15"/>
        </w:rPr>
        <w:t>我们建议您的总结报告中应该确定用来评估一般风险状态以及专用器械设计和本次分析结果的风险分析方法。（对于</w:t>
      </w:r>
      <w:r>
        <w:rPr>
          <w:rFonts w:ascii="Times New Roman" w:hAnsi="Times New Roman"/>
          <w:kern w:val="0"/>
          <w:sz w:val="15"/>
          <w:szCs w:val="15"/>
        </w:rPr>
        <w:t>FDA</w:t>
      </w:r>
      <w:r>
        <w:rPr>
          <w:rFonts w:hint="eastAsia" w:ascii="Times New Roman" w:hAnsi="宋体"/>
          <w:kern w:val="0"/>
          <w:sz w:val="15"/>
          <w:szCs w:val="15"/>
        </w:rPr>
        <w:t>标识的使用本器械通常引起的健康风险，请参考</w:t>
      </w:r>
      <w:r>
        <w:rPr>
          <w:rFonts w:hint="eastAsia" w:ascii="Times New Roman" w:hAnsi="宋体"/>
          <w:b/>
          <w:kern w:val="0"/>
          <w:sz w:val="15"/>
          <w:szCs w:val="15"/>
        </w:rPr>
        <w:t>第</w:t>
      </w:r>
      <w:r>
        <w:rPr>
          <w:rFonts w:ascii="Times New Roman" w:hAnsi="Times New Roman"/>
          <w:b/>
          <w:kern w:val="0"/>
          <w:sz w:val="15"/>
          <w:szCs w:val="15"/>
        </w:rPr>
        <w:t>6</w:t>
      </w:r>
      <w:r>
        <w:rPr>
          <w:rFonts w:hint="eastAsia" w:ascii="Times New Roman" w:hAnsi="宋体"/>
          <w:b/>
          <w:kern w:val="0"/>
          <w:sz w:val="15"/>
          <w:szCs w:val="15"/>
        </w:rPr>
        <w:t>部分</w:t>
      </w:r>
      <w:r>
        <w:rPr>
          <w:rFonts w:ascii="Times New Roman" w:hAnsi="Times New Roman"/>
          <w:b/>
          <w:kern w:val="0"/>
          <w:sz w:val="15"/>
          <w:szCs w:val="15"/>
        </w:rPr>
        <w:t>-</w:t>
      </w:r>
      <w:r>
        <w:rPr>
          <w:rFonts w:hint="eastAsia" w:ascii="Times New Roman" w:hAnsi="宋体"/>
          <w:b/>
          <w:kern w:val="0"/>
          <w:sz w:val="15"/>
          <w:szCs w:val="15"/>
        </w:rPr>
        <w:t>健康风险</w:t>
      </w:r>
      <w:r>
        <w:rPr>
          <w:rFonts w:hint="eastAsia" w:ascii="Times New Roman" w:hAnsi="宋体"/>
          <w:kern w:val="0"/>
          <w:sz w:val="15"/>
          <w:szCs w:val="15"/>
        </w:rPr>
        <w:t>）</w:t>
      </w:r>
    </w:p>
    <w:p w14:paraId="48C40242">
      <w:pPr>
        <w:widowControl/>
        <w:numPr>
          <w:ilvl w:val="0"/>
          <w:numId w:val="3"/>
        </w:numPr>
        <w:shd w:val="clear" w:color="auto" w:fill="FFFFFF"/>
        <w:spacing w:before="120" w:after="120" w:line="207" w:lineRule="atLeast"/>
        <w:ind w:left="300"/>
        <w:rPr>
          <w:rFonts w:ascii="Times New Roman" w:hAnsi="Times New Roman"/>
          <w:kern w:val="0"/>
          <w:sz w:val="15"/>
          <w:szCs w:val="15"/>
        </w:rPr>
      </w:pPr>
      <w:r>
        <w:rPr>
          <w:rFonts w:hint="eastAsia" w:ascii="Times New Roman" w:hAnsi="宋体"/>
          <w:b/>
          <w:bCs/>
          <w:kern w:val="0"/>
          <w:sz w:val="15"/>
          <w:szCs w:val="15"/>
        </w:rPr>
        <w:t>器械特征论述</w:t>
      </w:r>
    </w:p>
    <w:p w14:paraId="63B50966">
      <w:pPr>
        <w:widowControl/>
        <w:shd w:val="clear" w:color="auto" w:fill="FFFFFF"/>
        <w:spacing w:before="120" w:after="120" w:line="207" w:lineRule="atLeast"/>
        <w:ind w:left="300" w:firstLine="0"/>
        <w:rPr>
          <w:rFonts w:ascii="Times New Roman" w:hAnsi="Times New Roman"/>
          <w:kern w:val="0"/>
          <w:sz w:val="15"/>
          <w:szCs w:val="15"/>
        </w:rPr>
      </w:pPr>
      <w:r>
        <w:rPr>
          <w:rFonts w:hint="eastAsia" w:ascii="Times New Roman" w:hAnsi="宋体"/>
          <w:kern w:val="0"/>
          <w:sz w:val="15"/>
          <w:szCs w:val="15"/>
        </w:rPr>
        <w:t>我们建议您的总结报告应该论述本器械能够消除此</w:t>
      </w:r>
      <w:r>
        <w:rPr>
          <w:rFonts w:ascii="Times New Roman" w:hAnsi="Times New Roman"/>
          <w:kern w:val="0"/>
          <w:sz w:val="15"/>
          <w:szCs w:val="15"/>
        </w:rPr>
        <w:t>II</w:t>
      </w:r>
      <w:r>
        <w:rPr>
          <w:rFonts w:hint="eastAsia" w:ascii="Times New Roman" w:hAnsi="宋体"/>
          <w:kern w:val="0"/>
          <w:sz w:val="15"/>
          <w:szCs w:val="15"/>
        </w:rPr>
        <w:t>类特殊控制指导文件中所标识风险和您风险分析中所标识的其他风险的特征。</w:t>
      </w:r>
    </w:p>
    <w:p w14:paraId="0AF1D4D5">
      <w:pPr>
        <w:widowControl/>
        <w:numPr>
          <w:ilvl w:val="0"/>
          <w:numId w:val="3"/>
        </w:numPr>
        <w:shd w:val="clear" w:color="auto" w:fill="FFFFFF"/>
        <w:spacing w:before="120" w:after="120" w:line="207" w:lineRule="atLeast"/>
        <w:ind w:left="300"/>
        <w:rPr>
          <w:rFonts w:ascii="Times New Roman" w:hAnsi="Times New Roman"/>
          <w:kern w:val="0"/>
          <w:sz w:val="15"/>
          <w:szCs w:val="15"/>
        </w:rPr>
      </w:pPr>
      <w:r>
        <w:rPr>
          <w:rFonts w:hint="eastAsia" w:ascii="Times New Roman" w:hAnsi="宋体"/>
          <w:b/>
          <w:bCs/>
          <w:kern w:val="0"/>
          <w:sz w:val="15"/>
          <w:szCs w:val="15"/>
        </w:rPr>
        <w:t>性能特征说明</w:t>
      </w:r>
    </w:p>
    <w:p w14:paraId="007AD510">
      <w:pPr>
        <w:widowControl/>
        <w:shd w:val="clear" w:color="auto" w:fill="FFFFFF"/>
        <w:spacing w:before="120" w:after="120" w:line="207" w:lineRule="atLeast"/>
        <w:ind w:left="300" w:firstLine="0"/>
        <w:rPr>
          <w:rFonts w:ascii="Times New Roman" w:hAnsi="Times New Roman"/>
          <w:kern w:val="0"/>
          <w:sz w:val="15"/>
          <w:szCs w:val="15"/>
        </w:rPr>
      </w:pPr>
      <w:r>
        <w:rPr>
          <w:rFonts w:hint="eastAsia" w:ascii="Times New Roman" w:hAnsi="宋体"/>
          <w:kern w:val="0"/>
          <w:sz w:val="15"/>
          <w:szCs w:val="15"/>
        </w:rPr>
        <w:t>我们建议您的总结报告中应该包含一份关于您用来或拟定用来阐述此</w:t>
      </w:r>
      <w:r>
        <w:rPr>
          <w:rFonts w:ascii="Times New Roman" w:hAnsi="Times New Roman"/>
          <w:kern w:val="0"/>
          <w:sz w:val="15"/>
          <w:szCs w:val="15"/>
        </w:rPr>
        <w:t>II</w:t>
      </w:r>
      <w:r>
        <w:rPr>
          <w:rFonts w:hint="eastAsia" w:ascii="Times New Roman" w:hAnsi="宋体"/>
          <w:kern w:val="0"/>
          <w:sz w:val="15"/>
          <w:szCs w:val="15"/>
        </w:rPr>
        <w:t>类特殊控制指导文件中第</w:t>
      </w:r>
      <w:r>
        <w:rPr>
          <w:rFonts w:ascii="Times New Roman" w:hAnsi="Times New Roman"/>
          <w:kern w:val="0"/>
          <w:sz w:val="15"/>
          <w:szCs w:val="15"/>
        </w:rPr>
        <w:t>7-10</w:t>
      </w:r>
      <w:r>
        <w:rPr>
          <w:rFonts w:hint="eastAsia" w:ascii="Times New Roman" w:hAnsi="宋体"/>
          <w:kern w:val="0"/>
          <w:sz w:val="15"/>
          <w:szCs w:val="15"/>
        </w:rPr>
        <w:t>部分所标识的本器械各性能特征方面的简要说明。如果您使用的是一项建议试验方法，您可能需要说明该方法的出处，而不仅仅是说明如何操作。如果你对一种推荐测试方法进行了修改，那么你可以引用该方法，但是应该提供充分的信息来解释进行了怎样的修改以及为什么修改。对于每项测试，你应该（</w:t>
      </w:r>
      <w:r>
        <w:rPr>
          <w:rFonts w:ascii="Times New Roman" w:hAnsi="Times New Roman"/>
          <w:kern w:val="0"/>
          <w:sz w:val="15"/>
          <w:szCs w:val="15"/>
        </w:rPr>
        <w:t>1</w:t>
      </w:r>
      <w:r>
        <w:rPr>
          <w:rFonts w:hint="eastAsia" w:ascii="Times New Roman" w:hAnsi="宋体"/>
          <w:kern w:val="0"/>
          <w:sz w:val="15"/>
          <w:szCs w:val="15"/>
        </w:rPr>
        <w:t>）以简洁明了的形式（例如表格）来简要描述测试获得的数据，</w:t>
      </w:r>
      <w:r>
        <w:rPr>
          <w:rFonts w:hint="eastAsia" w:ascii="Times New Roman" w:hAnsi="宋体"/>
          <w:b/>
          <w:bCs/>
          <w:i/>
          <w:iCs/>
          <w:kern w:val="0"/>
          <w:sz w:val="15"/>
          <w:szCs w:val="15"/>
        </w:rPr>
        <w:t>或者</w:t>
      </w:r>
      <w:r>
        <w:rPr>
          <w:rFonts w:hint="eastAsia" w:ascii="Times New Roman" w:hAnsi="宋体"/>
          <w:kern w:val="0"/>
          <w:sz w:val="15"/>
          <w:szCs w:val="15"/>
        </w:rPr>
        <w:t>（</w:t>
      </w:r>
      <w:r>
        <w:rPr>
          <w:rFonts w:ascii="Times New Roman" w:hAnsi="Times New Roman"/>
          <w:kern w:val="0"/>
          <w:sz w:val="15"/>
          <w:szCs w:val="15"/>
        </w:rPr>
        <w:t>2</w:t>
      </w:r>
      <w:r>
        <w:rPr>
          <w:rFonts w:hint="eastAsia" w:ascii="Times New Roman" w:hAnsi="宋体"/>
          <w:kern w:val="0"/>
          <w:sz w:val="15"/>
          <w:szCs w:val="15"/>
        </w:rPr>
        <w:t>）描述你将采用什么样的合格标准来解读测试结果</w:t>
      </w:r>
      <w:r>
        <w:fldChar w:fldCharType="begin"/>
      </w:r>
      <w:r>
        <w:instrText xml:space="preserve"> HYPERLINK "http://www.fda.gov/medicaldevices/deviceregulationandguidance/guidancedocuments/ucm072714.htm" \l "footnote_3" </w:instrText>
      </w:r>
      <w:r>
        <w:fldChar w:fldCharType="separate"/>
      </w:r>
      <w:r>
        <w:rPr>
          <w:rFonts w:ascii="Times New Roman" w:hAnsi="Times New Roman"/>
          <w:kern w:val="0"/>
          <w:sz w:val="15"/>
          <w:szCs w:val="15"/>
          <w:u w:val="single"/>
          <w:vertAlign w:val="superscript"/>
        </w:rPr>
        <w:t>3</w:t>
      </w:r>
      <w:r>
        <w:rPr>
          <w:rFonts w:ascii="Times New Roman" w:hAnsi="Times New Roman"/>
          <w:kern w:val="0"/>
          <w:sz w:val="15"/>
          <w:szCs w:val="15"/>
          <w:u w:val="single"/>
          <w:vertAlign w:val="superscript"/>
        </w:rPr>
        <w:fldChar w:fldCharType="end"/>
      </w:r>
      <w:r>
        <w:rPr>
          <w:rFonts w:hint="eastAsia" w:ascii="Times New Roman" w:hAnsi="宋体"/>
          <w:kern w:val="0"/>
          <w:sz w:val="15"/>
          <w:szCs w:val="15"/>
        </w:rPr>
        <w:t>。（还可参见</w:t>
      </w:r>
      <w:r>
        <w:rPr>
          <w:rFonts w:ascii="Times New Roman" w:hAnsi="Times New Roman"/>
          <w:kern w:val="0"/>
          <w:sz w:val="15"/>
          <w:szCs w:val="15"/>
        </w:rPr>
        <w:t>21 CFR 820.30</w:t>
      </w:r>
      <w:r>
        <w:rPr>
          <w:rFonts w:hint="eastAsia" w:ascii="Times New Roman" w:hAnsi="宋体"/>
          <w:kern w:val="0"/>
          <w:sz w:val="15"/>
          <w:szCs w:val="15"/>
        </w:rPr>
        <w:t>第</w:t>
      </w:r>
      <w:r>
        <w:rPr>
          <w:rFonts w:ascii="Times New Roman" w:hAnsi="Times New Roman"/>
          <w:kern w:val="0"/>
          <w:sz w:val="15"/>
          <w:szCs w:val="15"/>
        </w:rPr>
        <w:t>C</w:t>
      </w:r>
      <w:r>
        <w:rPr>
          <w:rFonts w:hint="eastAsia" w:ascii="Times New Roman" w:hAnsi="宋体"/>
          <w:kern w:val="0"/>
          <w:sz w:val="15"/>
          <w:szCs w:val="15"/>
        </w:rPr>
        <w:t>部分</w:t>
      </w:r>
      <w:r>
        <w:rPr>
          <w:rFonts w:ascii="Times New Roman" w:hAnsi="Times New Roman"/>
          <w:kern w:val="0"/>
          <w:sz w:val="15"/>
          <w:szCs w:val="15"/>
        </w:rPr>
        <w:t>-</w:t>
      </w:r>
      <w:r>
        <w:rPr>
          <w:rFonts w:hint="eastAsia" w:ascii="Times New Roman" w:hAnsi="宋体"/>
          <w:kern w:val="0"/>
          <w:sz w:val="15"/>
          <w:szCs w:val="15"/>
        </w:rPr>
        <w:t>质量体系规章下的设计控制。）</w:t>
      </w:r>
    </w:p>
    <w:p w14:paraId="476BE76F">
      <w:pPr>
        <w:widowControl/>
        <w:shd w:val="clear" w:color="auto" w:fill="FFFFFF"/>
        <w:spacing w:before="240" w:line="207" w:lineRule="atLeast"/>
        <w:ind w:firstLine="0"/>
        <w:rPr>
          <w:rFonts w:ascii="Times New Roman" w:hAnsi="Times New Roman"/>
          <w:kern w:val="0"/>
          <w:sz w:val="15"/>
          <w:szCs w:val="15"/>
        </w:rPr>
      </w:pPr>
      <w:r>
        <w:rPr>
          <w:rFonts w:hint="eastAsia" w:ascii="Times New Roman" w:hAnsi="宋体"/>
          <w:b/>
          <w:bCs/>
          <w:kern w:val="0"/>
          <w:sz w:val="15"/>
          <w:szCs w:val="15"/>
        </w:rPr>
        <w:t>标准依赖</w:t>
      </w:r>
    </w:p>
    <w:p w14:paraId="158D5EB7">
      <w:pPr>
        <w:widowControl/>
        <w:shd w:val="clear" w:color="auto" w:fill="FFFFFF"/>
        <w:spacing w:before="240" w:after="240" w:line="207" w:lineRule="atLeast"/>
        <w:ind w:firstLine="0"/>
        <w:rPr>
          <w:rFonts w:ascii="Times New Roman" w:hAnsi="Times New Roman"/>
          <w:kern w:val="0"/>
          <w:sz w:val="15"/>
          <w:szCs w:val="15"/>
        </w:rPr>
      </w:pPr>
      <w:r>
        <w:rPr>
          <w:rFonts w:hint="eastAsia" w:ascii="Times New Roman" w:hAnsi="宋体"/>
          <w:kern w:val="0"/>
          <w:sz w:val="15"/>
          <w:szCs w:val="15"/>
        </w:rPr>
        <w:t>如果您选择依靠公认标准来完成所有部分的器械设计或试验，则您的总结报告中可能需要包含以下之一：</w:t>
      </w:r>
    </w:p>
    <w:p w14:paraId="4FD98A59">
      <w:pPr>
        <w:widowControl/>
        <w:numPr>
          <w:ilvl w:val="0"/>
          <w:numId w:val="4"/>
        </w:numPr>
        <w:shd w:val="clear" w:color="auto" w:fill="FFFFFF"/>
        <w:spacing w:line="207" w:lineRule="atLeast"/>
        <w:ind w:left="300"/>
        <w:rPr>
          <w:rFonts w:ascii="Times New Roman" w:hAnsi="Times New Roman"/>
          <w:kern w:val="0"/>
          <w:sz w:val="15"/>
          <w:szCs w:val="15"/>
        </w:rPr>
      </w:pPr>
      <w:r>
        <w:rPr>
          <w:rFonts w:hint="eastAsia" w:ascii="Times New Roman" w:hAnsi="宋体"/>
          <w:kern w:val="0"/>
          <w:sz w:val="15"/>
          <w:szCs w:val="15"/>
        </w:rPr>
        <w:t>一份关于产品上市之前将会完成试验，并达到预定验收标准的说明；或</w:t>
      </w:r>
    </w:p>
    <w:p w14:paraId="7EC5D46F">
      <w:pPr>
        <w:widowControl/>
        <w:numPr>
          <w:ilvl w:val="0"/>
          <w:numId w:val="4"/>
        </w:numPr>
        <w:shd w:val="clear" w:color="auto" w:fill="FFFFFF"/>
        <w:spacing w:before="120" w:line="207" w:lineRule="atLeast"/>
        <w:ind w:left="300"/>
        <w:rPr>
          <w:rFonts w:ascii="Times New Roman" w:hAnsi="Times New Roman"/>
          <w:kern w:val="0"/>
          <w:sz w:val="15"/>
          <w:szCs w:val="15"/>
        </w:rPr>
      </w:pPr>
      <w:r>
        <w:rPr>
          <w:rFonts w:hint="eastAsia" w:ascii="Times New Roman" w:hAnsi="宋体"/>
          <w:kern w:val="0"/>
          <w:sz w:val="15"/>
          <w:szCs w:val="15"/>
        </w:rPr>
        <w:t>符合标准声明。</w:t>
      </w:r>
      <w:r>
        <w:fldChar w:fldCharType="begin"/>
      </w:r>
      <w:r>
        <w:instrText xml:space="preserve"> HYPERLINK "https://www.fda.gov/medicaldevices/deviceregulationandguidance/guidancedocuments/ucm071842.htm" \l "f4" </w:instrText>
      </w:r>
      <w:r>
        <w:fldChar w:fldCharType="separate"/>
      </w:r>
      <w:r>
        <w:rPr>
          <w:rFonts w:ascii="Times New Roman" w:hAnsi="Times New Roman"/>
          <w:kern w:val="0"/>
          <w:sz w:val="15"/>
          <w:szCs w:val="15"/>
          <w:u w:val="single"/>
          <w:vertAlign w:val="superscript"/>
        </w:rPr>
        <w:t>4</w:t>
      </w:r>
      <w:r>
        <w:rPr>
          <w:rFonts w:ascii="Times New Roman" w:hAnsi="Times New Roman"/>
          <w:kern w:val="0"/>
          <w:sz w:val="15"/>
          <w:szCs w:val="15"/>
          <w:u w:val="single"/>
          <w:vertAlign w:val="superscript"/>
        </w:rPr>
        <w:fldChar w:fldCharType="end"/>
      </w:r>
    </w:p>
    <w:p w14:paraId="409D4153">
      <w:pPr>
        <w:widowControl/>
        <w:shd w:val="clear" w:color="auto" w:fill="FFFFFF"/>
        <w:spacing w:before="240" w:line="207" w:lineRule="atLeast"/>
        <w:ind w:firstLine="0"/>
        <w:rPr>
          <w:rFonts w:ascii="Times New Roman" w:hAnsi="Times New Roman"/>
          <w:kern w:val="0"/>
          <w:sz w:val="15"/>
          <w:szCs w:val="15"/>
        </w:rPr>
      </w:pPr>
      <w:r>
        <w:rPr>
          <w:rFonts w:hint="eastAsia" w:ascii="Times New Roman" w:hAnsi="宋体"/>
          <w:kern w:val="0"/>
          <w:sz w:val="15"/>
          <w:szCs w:val="15"/>
        </w:rPr>
        <w:t>由于符合标准声明以试验结果为基础，故我们认为您在完成此标准所述试验之前将无法正确提交符合标准声明。更多信息，请参考《法案》的</w:t>
      </w:r>
      <w:r>
        <w:rPr>
          <w:rFonts w:ascii="Times New Roman" w:hAnsi="Times New Roman"/>
          <w:kern w:val="0"/>
          <w:sz w:val="15"/>
          <w:szCs w:val="15"/>
        </w:rPr>
        <w:t>514(c)(1)(B)</w:t>
      </w:r>
      <w:r>
        <w:rPr>
          <w:rFonts w:hint="eastAsia" w:ascii="Times New Roman" w:hAnsi="宋体"/>
          <w:kern w:val="0"/>
          <w:sz w:val="15"/>
          <w:szCs w:val="15"/>
        </w:rPr>
        <w:t>部分和</w:t>
      </w:r>
      <w:r>
        <w:rPr>
          <w:rFonts w:ascii="Times New Roman" w:hAnsi="Times New Roman"/>
          <w:kern w:val="0"/>
          <w:sz w:val="15"/>
          <w:szCs w:val="15"/>
        </w:rPr>
        <w:t>FDA</w:t>
      </w:r>
      <w:r>
        <w:rPr>
          <w:rFonts w:hint="eastAsia" w:ascii="Times New Roman" w:hAnsi="宋体"/>
          <w:kern w:val="0"/>
          <w:sz w:val="15"/>
          <w:szCs w:val="15"/>
        </w:rPr>
        <w:t>指导文件《实质等同判定使用标准》、行业指南和</w:t>
      </w:r>
      <w:r>
        <w:rPr>
          <w:rFonts w:ascii="Times New Roman" w:hAnsi="Times New Roman"/>
          <w:kern w:val="0"/>
          <w:sz w:val="15"/>
          <w:szCs w:val="15"/>
        </w:rPr>
        <w:t>FDA</w:t>
      </w:r>
      <w:r>
        <w:rPr>
          <w:rFonts w:hint="eastAsia" w:ascii="Times New Roman" w:hAnsi="宋体"/>
          <w:kern w:val="0"/>
          <w:sz w:val="15"/>
          <w:szCs w:val="15"/>
        </w:rPr>
        <w:t>最终指导。</w:t>
      </w:r>
      <w:r>
        <w:fldChar w:fldCharType="begin"/>
      </w:r>
      <w:r>
        <w:instrText xml:space="preserve"> HYPERLINK "https://www.fda.gov/medicaldevices/deviceregulationandguidance/guidancedocuments/ucm071842.htm" \l "f5" </w:instrText>
      </w:r>
      <w:r>
        <w:fldChar w:fldCharType="separate"/>
      </w:r>
      <w:r>
        <w:rPr>
          <w:rFonts w:ascii="Times New Roman" w:hAnsi="Times New Roman"/>
          <w:kern w:val="0"/>
          <w:sz w:val="15"/>
          <w:szCs w:val="15"/>
          <w:u w:val="single"/>
          <w:vertAlign w:val="superscript"/>
        </w:rPr>
        <w:t>5</w:t>
      </w:r>
      <w:r>
        <w:rPr>
          <w:rFonts w:ascii="Times New Roman" w:hAnsi="Times New Roman"/>
          <w:kern w:val="0"/>
          <w:sz w:val="15"/>
          <w:szCs w:val="15"/>
          <w:u w:val="single"/>
          <w:vertAlign w:val="superscript"/>
        </w:rPr>
        <w:fldChar w:fldCharType="end"/>
      </w:r>
    </w:p>
    <w:p w14:paraId="43FFAD2A">
      <w:pPr>
        <w:widowControl/>
        <w:shd w:val="clear" w:color="auto" w:fill="FFFFFF"/>
        <w:spacing w:before="240" w:after="240" w:line="207" w:lineRule="atLeast"/>
        <w:ind w:firstLine="0"/>
        <w:rPr>
          <w:rFonts w:ascii="Times New Roman" w:hAnsi="Times New Roman"/>
          <w:kern w:val="0"/>
          <w:sz w:val="15"/>
          <w:szCs w:val="15"/>
        </w:rPr>
      </w:pPr>
      <w:r>
        <w:rPr>
          <w:rFonts w:hint="eastAsia" w:ascii="Times New Roman" w:hAnsi="宋体"/>
          <w:kern w:val="0"/>
          <w:sz w:val="15"/>
          <w:szCs w:val="15"/>
        </w:rPr>
        <w:t>如果不清楚您如何消除</w:t>
      </w:r>
      <w:r>
        <w:rPr>
          <w:rFonts w:ascii="Times New Roman" w:hAnsi="Times New Roman"/>
          <w:kern w:val="0"/>
          <w:sz w:val="15"/>
          <w:szCs w:val="15"/>
        </w:rPr>
        <w:t>FDA</w:t>
      </w:r>
      <w:r>
        <w:rPr>
          <w:rFonts w:hint="eastAsia" w:ascii="Times New Roman" w:hAnsi="宋体"/>
          <w:kern w:val="0"/>
          <w:sz w:val="15"/>
          <w:szCs w:val="15"/>
        </w:rPr>
        <w:t>已知风险或您风险分析中已知的其他风险，我们可能要求提供关于该器械性能特征方面的其他信息。我们可能还会要求你提供更多信息，如果我们需要这些信息来评估你采用的合格标准的充分性的话（根据</w:t>
      </w:r>
      <w:r>
        <w:fldChar w:fldCharType="begin"/>
      </w:r>
      <w:r>
        <w:instrText xml:space="preserve"> HYPERLINK "http://www.accessdata.fda.gov/scripts/cdrh/cfdocs/cfCFR/CFRSearch.cfm?FR=807.87" </w:instrText>
      </w:r>
      <w:r>
        <w:fldChar w:fldCharType="separate"/>
      </w:r>
      <w:r>
        <w:rPr>
          <w:rFonts w:ascii="Times New Roman" w:hAnsi="Times New Roman"/>
          <w:kern w:val="0"/>
          <w:sz w:val="15"/>
          <w:szCs w:val="15"/>
          <w:u w:val="single"/>
        </w:rPr>
        <w:t>21 CFR 807.87(l)</w:t>
      </w:r>
      <w:r>
        <w:rPr>
          <w:rFonts w:ascii="Times New Roman" w:hAnsi="Times New Roman"/>
          <w:kern w:val="0"/>
          <w:sz w:val="15"/>
          <w:szCs w:val="15"/>
          <w:u w:val="single"/>
        </w:rPr>
        <w:fldChar w:fldCharType="end"/>
      </w:r>
      <w:r>
        <w:rPr>
          <w:rFonts w:hint="eastAsia" w:ascii="Times New Roman" w:hAnsi="宋体"/>
          <w:kern w:val="0"/>
          <w:sz w:val="15"/>
          <w:szCs w:val="15"/>
        </w:rPr>
        <w:t>，我们可以索取其他必要信息才能做出关于实质等同性的决议）。</w:t>
      </w:r>
    </w:p>
    <w:p w14:paraId="12C1F9BD">
      <w:pPr>
        <w:widowControl/>
        <w:spacing w:before="59" w:after="59"/>
        <w:ind w:firstLine="0"/>
        <w:rPr>
          <w:rFonts w:ascii="Times New Roman" w:hAnsi="Times New Roman"/>
          <w:kern w:val="0"/>
          <w:sz w:val="15"/>
          <w:szCs w:val="15"/>
        </w:rPr>
      </w:pPr>
      <w:r>
        <w:rPr>
          <w:rFonts w:hint="eastAsia" w:ascii="Times New Roman" w:hAnsi="宋体"/>
          <w:kern w:val="0"/>
          <w:sz w:val="15"/>
          <w:szCs w:val="15"/>
        </w:rPr>
        <w:t>作为递交缩减</w:t>
      </w:r>
      <w:r>
        <w:rPr>
          <w:rFonts w:ascii="Times New Roman" w:hAnsi="Times New Roman"/>
          <w:kern w:val="0"/>
          <w:sz w:val="15"/>
          <w:szCs w:val="15"/>
        </w:rPr>
        <w:t>510(k)</w:t>
      </w:r>
      <w:r>
        <w:rPr>
          <w:rFonts w:hint="eastAsia" w:ascii="Times New Roman" w:hAnsi="宋体"/>
          <w:kern w:val="0"/>
          <w:sz w:val="15"/>
          <w:szCs w:val="15"/>
        </w:rPr>
        <w:t>的替代方法，你可以递交一份传统</w:t>
      </w:r>
      <w:r>
        <w:rPr>
          <w:rFonts w:ascii="Times New Roman" w:hAnsi="Times New Roman"/>
          <w:kern w:val="0"/>
          <w:sz w:val="15"/>
          <w:szCs w:val="15"/>
        </w:rPr>
        <w:t>510(k)</w:t>
      </w:r>
      <w:r>
        <w:rPr>
          <w:rFonts w:hint="eastAsia" w:ascii="Times New Roman" w:hAnsi="宋体"/>
          <w:kern w:val="0"/>
          <w:sz w:val="15"/>
          <w:szCs w:val="15"/>
        </w:rPr>
        <w:t>，提供</w:t>
      </w:r>
      <w:r>
        <w:fldChar w:fldCharType="begin"/>
      </w:r>
      <w:r>
        <w:instrText xml:space="preserve"> HYPERLINK "http://www.accessdata.fda.gov/scripts/cdrh/cfdocs/cfCFR/CFRSearch.cfm?FR=807.87" </w:instrText>
      </w:r>
      <w:r>
        <w:fldChar w:fldCharType="separate"/>
      </w:r>
      <w:r>
        <w:rPr>
          <w:rFonts w:ascii="Times New Roman" w:hAnsi="Times New Roman"/>
          <w:kern w:val="0"/>
          <w:sz w:val="15"/>
          <w:szCs w:val="15"/>
          <w:u w:val="single"/>
        </w:rPr>
        <w:t>21 CFR 807.87</w:t>
      </w:r>
      <w:r>
        <w:rPr>
          <w:rFonts w:ascii="Times New Roman" w:hAnsi="Times New Roman"/>
          <w:kern w:val="0"/>
          <w:sz w:val="15"/>
          <w:szCs w:val="15"/>
          <w:u w:val="single"/>
        </w:rPr>
        <w:fldChar w:fldCharType="end"/>
      </w:r>
      <w:r>
        <w:rPr>
          <w:rFonts w:hint="eastAsia" w:ascii="Times New Roman" w:hAnsi="宋体"/>
          <w:kern w:val="0"/>
          <w:sz w:val="15"/>
          <w:szCs w:val="15"/>
        </w:rPr>
        <w:t>要求的以及本指导意见描述的所有信息和数据。一份传统的</w:t>
      </w:r>
      <w:r>
        <w:rPr>
          <w:rFonts w:ascii="Times New Roman" w:hAnsi="Times New Roman"/>
          <w:kern w:val="0"/>
          <w:sz w:val="15"/>
          <w:szCs w:val="15"/>
        </w:rPr>
        <w:t>510(k)</w:t>
      </w:r>
      <w:r>
        <w:rPr>
          <w:rFonts w:hint="eastAsia" w:ascii="Times New Roman" w:hAnsi="宋体"/>
          <w:kern w:val="0"/>
          <w:sz w:val="15"/>
          <w:szCs w:val="15"/>
        </w:rPr>
        <w:t>应该包括所有的方法、数据、合格标准和结论。生产商如果考虑对自己已获许可的器械进行改进，则应该递交特殊</w:t>
      </w:r>
      <w:r>
        <w:rPr>
          <w:rFonts w:ascii="Times New Roman" w:hAnsi="Times New Roman"/>
          <w:kern w:val="0"/>
          <w:sz w:val="15"/>
          <w:szCs w:val="15"/>
        </w:rPr>
        <w:t>510(k)</w:t>
      </w:r>
      <w:r>
        <w:rPr>
          <w:rFonts w:hint="eastAsia" w:ascii="Times New Roman" w:hAnsi="宋体"/>
          <w:kern w:val="0"/>
          <w:sz w:val="15"/>
          <w:szCs w:val="15"/>
        </w:rPr>
        <w:t>。</w:t>
      </w:r>
    </w:p>
    <w:p w14:paraId="5AF8B24A">
      <w:pPr>
        <w:widowControl/>
        <w:spacing w:before="59" w:after="59"/>
        <w:ind w:firstLine="0"/>
        <w:rPr>
          <w:rFonts w:ascii="Times New Roman" w:hAnsi="Times New Roman"/>
          <w:kern w:val="0"/>
          <w:sz w:val="15"/>
          <w:szCs w:val="15"/>
        </w:rPr>
      </w:pPr>
      <w:r>
        <w:rPr>
          <w:rFonts w:hint="eastAsia" w:ascii="Times New Roman" w:hAnsi="宋体"/>
          <w:kern w:val="0"/>
          <w:sz w:val="15"/>
          <w:szCs w:val="15"/>
        </w:rPr>
        <w:t>上述一般论述适用于任何受制于特定控制指导文件的器械。下面具体讨论了您应该如何把此特殊控制指导文件应用于骨移植材料器械的</w:t>
      </w:r>
      <w:r>
        <w:rPr>
          <w:rFonts w:ascii="Times New Roman" w:hAnsi="Times New Roman"/>
          <w:kern w:val="0"/>
          <w:sz w:val="15"/>
          <w:szCs w:val="15"/>
        </w:rPr>
        <w:t>510(k)</w:t>
      </w:r>
      <w:r>
        <w:rPr>
          <w:rFonts w:hint="eastAsia" w:ascii="Times New Roman" w:hAnsi="宋体"/>
          <w:kern w:val="0"/>
          <w:sz w:val="15"/>
          <w:szCs w:val="15"/>
        </w:rPr>
        <w:t>申请。</w:t>
      </w:r>
    </w:p>
    <w:p w14:paraId="560DEA32">
      <w:pPr>
        <w:widowControl/>
        <w:spacing w:before="59" w:after="59"/>
        <w:ind w:firstLine="0"/>
        <w:rPr>
          <w:rFonts w:ascii="Times New Roman" w:hAnsi="Times New Roman"/>
          <w:b/>
          <w:kern w:val="0"/>
          <w:sz w:val="15"/>
          <w:szCs w:val="15"/>
          <w:u w:val="single"/>
        </w:rPr>
      </w:pPr>
      <w:r>
        <w:rPr>
          <w:rFonts w:hint="eastAsia" w:ascii="Times New Roman" w:hAnsi="宋体"/>
          <w:b/>
          <w:kern w:val="0"/>
          <w:sz w:val="15"/>
          <w:szCs w:val="15"/>
          <w:u w:val="single"/>
        </w:rPr>
        <w:t>返回顶部</w:t>
      </w:r>
    </w:p>
    <w:p w14:paraId="23B435F9">
      <w:pPr>
        <w:widowControl/>
        <w:spacing w:before="330" w:after="330"/>
        <w:ind w:firstLine="0"/>
        <w:rPr>
          <w:rFonts w:ascii="Times New Roman" w:hAnsi="Times New Roman"/>
          <w:kern w:val="0"/>
          <w:sz w:val="15"/>
          <w:szCs w:val="15"/>
        </w:rPr>
      </w:pPr>
      <w:r>
        <w:rPr>
          <w:rFonts w:ascii="Times New Roman" w:hAnsi="Times New Roman"/>
          <w:kern w:val="0"/>
          <w:sz w:val="15"/>
          <w:szCs w:val="15"/>
        </w:rPr>
        <w:pict>
          <v:rect id="_x0000_i1029" o:spt="1" style="height:0pt;width:0pt;" fillcolor="#333333" filled="t" stroked="f" coordsize="21600,21600" o:hr="t" o:hrstd="t" o:hrnoshade="t" o:hralign="center">
            <v:path/>
            <v:fill on="t" focussize="0,0"/>
            <v:stroke on="f"/>
            <v:imagedata o:title=""/>
            <o:lock v:ext="edit"/>
            <w10:wrap type="none"/>
            <w10:anchorlock/>
          </v:rect>
        </w:pict>
      </w:r>
    </w:p>
    <w:p w14:paraId="0360E075">
      <w:pPr>
        <w:widowControl/>
        <w:shd w:val="clear" w:color="auto" w:fill="FFFFFF"/>
        <w:spacing w:after="118"/>
        <w:ind w:firstLine="0"/>
        <w:outlineLvl w:val="0"/>
        <w:rPr>
          <w:rFonts w:ascii="Times New Roman" w:hAnsi="Times New Roman"/>
          <w:b/>
          <w:bCs/>
          <w:kern w:val="0"/>
          <w:sz w:val="23"/>
          <w:szCs w:val="23"/>
        </w:rPr>
      </w:pPr>
      <w:r>
        <w:rPr>
          <w:rFonts w:ascii="Times New Roman" w:hAnsi="Times New Roman"/>
          <w:b/>
          <w:bCs/>
          <w:kern w:val="0"/>
          <w:sz w:val="15"/>
          <w:szCs w:val="15"/>
        </w:rPr>
        <w:br w:type="page"/>
      </w:r>
      <w:bookmarkStart w:id="4" w:name="_Toc480622165"/>
      <w:r>
        <w:rPr>
          <w:rFonts w:ascii="Times New Roman" w:hAnsi="Times New Roman"/>
          <w:b/>
          <w:bCs/>
          <w:kern w:val="0"/>
          <w:sz w:val="23"/>
          <w:szCs w:val="23"/>
        </w:rPr>
        <w:t>4.</w:t>
      </w:r>
      <w:r>
        <w:rPr>
          <w:rFonts w:ascii="Times New Roman" w:hAnsi="Times New Roman"/>
          <w:b/>
          <w:bCs/>
          <w:kern w:val="0"/>
          <w:sz w:val="23"/>
          <w:szCs w:val="23"/>
        </w:rPr>
        <w:tab/>
      </w:r>
      <w:r>
        <w:rPr>
          <w:rFonts w:hint="eastAsia" w:ascii="Times New Roman" w:hAnsi="宋体"/>
          <w:b/>
          <w:bCs/>
          <w:kern w:val="0"/>
          <w:sz w:val="23"/>
          <w:szCs w:val="23"/>
        </w:rPr>
        <w:t>范围</w:t>
      </w:r>
      <w:bookmarkEnd w:id="4"/>
    </w:p>
    <w:p w14:paraId="0A92CFBA">
      <w:pPr>
        <w:widowControl/>
        <w:shd w:val="clear" w:color="auto" w:fill="FFFFFF"/>
        <w:spacing w:line="207" w:lineRule="atLeast"/>
        <w:ind w:firstLine="0"/>
        <w:rPr>
          <w:rFonts w:ascii="Times New Roman" w:hAnsi="Times New Roman"/>
          <w:kern w:val="0"/>
          <w:sz w:val="15"/>
          <w:szCs w:val="15"/>
        </w:rPr>
      </w:pPr>
      <w:r>
        <w:rPr>
          <w:rFonts w:hint="eastAsia" w:ascii="Times New Roman" w:hAnsi="宋体"/>
          <w:kern w:val="0"/>
          <w:sz w:val="15"/>
          <w:szCs w:val="15"/>
        </w:rPr>
        <w:t>本指导的范围仅限于产品代码</w:t>
      </w:r>
      <w:r>
        <w:rPr>
          <w:rFonts w:ascii="Times New Roman" w:hAnsi="Times New Roman"/>
          <w:kern w:val="0"/>
          <w:sz w:val="15"/>
          <w:szCs w:val="15"/>
        </w:rPr>
        <w:t>LYC</w:t>
      </w:r>
      <w:r>
        <w:rPr>
          <w:rFonts w:hint="eastAsia" w:ascii="Times New Roman" w:hAnsi="宋体"/>
          <w:kern w:val="0"/>
          <w:sz w:val="15"/>
          <w:szCs w:val="15"/>
        </w:rPr>
        <w:t>和</w:t>
      </w:r>
      <w:r>
        <w:rPr>
          <w:rFonts w:ascii="Times New Roman" w:hAnsi="Times New Roman"/>
          <w:kern w:val="0"/>
          <w:sz w:val="15"/>
          <w:szCs w:val="15"/>
        </w:rPr>
        <w:t>NPM</w:t>
      </w:r>
      <w:r>
        <w:rPr>
          <w:rFonts w:hint="eastAsia" w:ascii="Times New Roman" w:hAnsi="宋体"/>
          <w:kern w:val="0"/>
          <w:sz w:val="15"/>
          <w:szCs w:val="15"/>
        </w:rPr>
        <w:t>下描述的器械类型：</w:t>
      </w:r>
    </w:p>
    <w:p w14:paraId="0325FCBB">
      <w:pPr>
        <w:widowControl/>
        <w:shd w:val="clear" w:color="auto" w:fill="FFFFFF"/>
        <w:spacing w:before="240" w:after="240" w:line="207" w:lineRule="atLeast"/>
        <w:ind w:firstLine="0"/>
        <w:rPr>
          <w:rFonts w:ascii="Times New Roman" w:hAnsi="Times New Roman"/>
          <w:kern w:val="0"/>
          <w:sz w:val="15"/>
          <w:szCs w:val="15"/>
        </w:rPr>
      </w:pPr>
      <w:r>
        <w:rPr>
          <w:rFonts w:hint="eastAsia" w:ascii="Times New Roman" w:hAnsi="宋体"/>
          <w:b/>
          <w:bCs/>
          <w:kern w:val="0"/>
          <w:sz w:val="15"/>
          <w:szCs w:val="15"/>
        </w:rPr>
        <w:t>第</w:t>
      </w:r>
      <w:r>
        <w:rPr>
          <w:rFonts w:ascii="Times New Roman" w:hAnsi="Times New Roman"/>
          <w:b/>
          <w:bCs/>
          <w:kern w:val="0"/>
          <w:sz w:val="15"/>
          <w:szCs w:val="15"/>
        </w:rPr>
        <w:t>872.3930</w:t>
      </w:r>
      <w:r>
        <w:rPr>
          <w:rFonts w:hint="eastAsia" w:ascii="Times New Roman" w:hAnsi="宋体"/>
          <w:b/>
          <w:bCs/>
          <w:kern w:val="0"/>
          <w:sz w:val="15"/>
          <w:szCs w:val="15"/>
        </w:rPr>
        <w:t>部分骨移植材料。</w:t>
      </w:r>
    </w:p>
    <w:p w14:paraId="72306BC7">
      <w:pPr>
        <w:widowControl/>
        <w:shd w:val="clear" w:color="auto" w:fill="FFFFFF"/>
        <w:spacing w:before="240" w:after="240" w:line="207" w:lineRule="atLeast"/>
        <w:ind w:firstLine="0"/>
        <w:rPr>
          <w:rFonts w:ascii="Times New Roman" w:hAnsi="Times New Roman"/>
          <w:kern w:val="0"/>
          <w:sz w:val="15"/>
          <w:szCs w:val="15"/>
        </w:rPr>
      </w:pPr>
      <w:r>
        <w:rPr>
          <w:rFonts w:ascii="Times New Roman" w:hAnsi="Times New Roman"/>
          <w:kern w:val="0"/>
          <w:sz w:val="15"/>
          <w:szCs w:val="15"/>
        </w:rPr>
        <w:t xml:space="preserve">(a) </w:t>
      </w:r>
      <w:r>
        <w:rPr>
          <w:rFonts w:hint="eastAsia" w:ascii="Times New Roman" w:hAnsi="宋体"/>
          <w:kern w:val="0"/>
          <w:sz w:val="15"/>
          <w:szCs w:val="15"/>
        </w:rPr>
        <w:t>标识</w:t>
      </w:r>
      <w:r>
        <w:rPr>
          <w:rFonts w:ascii="Times New Roman" w:hAnsi="Times New Roman"/>
          <w:kern w:val="0"/>
          <w:sz w:val="15"/>
          <w:szCs w:val="15"/>
        </w:rPr>
        <w:t xml:space="preserve">. </w:t>
      </w:r>
      <w:r>
        <w:rPr>
          <w:rFonts w:hint="eastAsia" w:ascii="Times New Roman" w:hAnsi="宋体"/>
          <w:kern w:val="0"/>
          <w:sz w:val="15"/>
          <w:szCs w:val="15"/>
        </w:rPr>
        <w:t>骨移植材料是一种材料，如羟磷灰石、磷酸三钙、聚乳酸和对羟基乙酸或胶原等，它旨在用于充填、修补或重建口腔颌面部的牙周或骨缺损。</w:t>
      </w:r>
    </w:p>
    <w:p w14:paraId="0D3EDF58">
      <w:pPr>
        <w:widowControl/>
        <w:shd w:val="clear" w:color="auto" w:fill="FFFFFF"/>
        <w:spacing w:before="240" w:after="240" w:line="207" w:lineRule="atLeast"/>
        <w:ind w:firstLine="0"/>
        <w:rPr>
          <w:rFonts w:ascii="Times New Roman" w:hAnsi="Times New Roman"/>
          <w:kern w:val="0"/>
          <w:sz w:val="15"/>
          <w:szCs w:val="15"/>
        </w:rPr>
      </w:pPr>
      <w:r>
        <w:rPr>
          <w:rFonts w:ascii="Times New Roman" w:hAnsi="Times New Roman"/>
          <w:kern w:val="0"/>
          <w:sz w:val="15"/>
          <w:szCs w:val="15"/>
        </w:rPr>
        <w:t>(b)</w:t>
      </w:r>
      <w:r>
        <w:rPr>
          <w:rFonts w:hint="eastAsia" w:ascii="Times New Roman" w:hAnsi="宋体"/>
          <w:kern w:val="0"/>
          <w:sz w:val="15"/>
          <w:szCs w:val="15"/>
        </w:rPr>
        <w:t>分类</w:t>
      </w:r>
      <w:r>
        <w:rPr>
          <w:rFonts w:ascii="Times New Roman" w:hAnsi="Times New Roman"/>
          <w:kern w:val="0"/>
          <w:sz w:val="15"/>
          <w:szCs w:val="15"/>
        </w:rPr>
        <w:t xml:space="preserve">. (1) </w:t>
      </w:r>
      <w:r>
        <w:rPr>
          <w:rFonts w:hint="eastAsia" w:ascii="Times New Roman" w:hAnsi="宋体"/>
          <w:kern w:val="0"/>
          <w:sz w:val="15"/>
          <w:szCs w:val="15"/>
        </w:rPr>
        <w:t>不含生物制剂药物的</w:t>
      </w:r>
      <w:r>
        <w:rPr>
          <w:rFonts w:ascii="Times New Roman" w:hAnsi="Times New Roman"/>
          <w:kern w:val="0"/>
          <w:sz w:val="15"/>
          <w:szCs w:val="15"/>
        </w:rPr>
        <w:t>II</w:t>
      </w:r>
      <w:r>
        <w:rPr>
          <w:rFonts w:hint="eastAsia" w:ascii="Times New Roman" w:hAnsi="宋体"/>
          <w:kern w:val="0"/>
          <w:sz w:val="15"/>
          <w:szCs w:val="15"/>
        </w:rPr>
        <w:t>类（特殊控制）骨移植材料。此处的特殊控制为</w:t>
      </w:r>
      <w:r>
        <w:rPr>
          <w:rFonts w:ascii="Times New Roman" w:hAnsi="Times New Roman"/>
          <w:kern w:val="0"/>
          <w:sz w:val="15"/>
          <w:szCs w:val="15"/>
        </w:rPr>
        <w:t>FDA</w:t>
      </w:r>
      <w:r>
        <w:rPr>
          <w:rFonts w:hint="eastAsia" w:ascii="Times New Roman" w:hAnsi="宋体"/>
          <w:kern w:val="0"/>
          <w:sz w:val="15"/>
          <w:szCs w:val="15"/>
        </w:rPr>
        <w:t>的</w:t>
      </w:r>
      <w:r>
        <w:rPr>
          <w:rFonts w:ascii="Times New Roman" w:hAnsi="Times New Roman"/>
          <w:kern w:val="0"/>
          <w:sz w:val="15"/>
          <w:szCs w:val="15"/>
        </w:rPr>
        <w:t>“II</w:t>
      </w:r>
      <w:r>
        <w:rPr>
          <w:rFonts w:hint="eastAsia" w:ascii="Times New Roman" w:hAnsi="宋体"/>
          <w:kern w:val="0"/>
          <w:sz w:val="15"/>
          <w:szCs w:val="15"/>
        </w:rPr>
        <w:t>类特殊控制指导文件：牙骨移植材料器械。</w:t>
      </w:r>
      <w:r>
        <w:rPr>
          <w:rFonts w:ascii="Times New Roman" w:hAnsi="Times New Roman"/>
          <w:kern w:val="0"/>
          <w:sz w:val="15"/>
          <w:szCs w:val="15"/>
        </w:rPr>
        <w:t xml:space="preserve">” </w:t>
      </w:r>
    </w:p>
    <w:p w14:paraId="032D3D0A">
      <w:pPr>
        <w:widowControl/>
        <w:shd w:val="clear" w:color="auto" w:fill="FFFFFF"/>
        <w:spacing w:before="240" w:after="240" w:line="207" w:lineRule="atLeast"/>
        <w:ind w:firstLine="0"/>
        <w:rPr>
          <w:rFonts w:ascii="Times New Roman" w:hAnsi="Times New Roman"/>
          <w:kern w:val="0"/>
          <w:sz w:val="15"/>
          <w:szCs w:val="15"/>
        </w:rPr>
      </w:pPr>
      <w:r>
        <w:rPr>
          <w:rFonts w:hint="eastAsia" w:ascii="Times New Roman" w:hAnsi="宋体"/>
          <w:kern w:val="0"/>
          <w:sz w:val="15"/>
          <w:szCs w:val="15"/>
        </w:rPr>
        <w:t>本指导的范围不包含以下内容：</w:t>
      </w:r>
    </w:p>
    <w:p w14:paraId="6871740A">
      <w:pPr>
        <w:widowControl/>
        <w:numPr>
          <w:ilvl w:val="0"/>
          <w:numId w:val="5"/>
        </w:numPr>
        <w:shd w:val="clear" w:color="auto" w:fill="FFFFFF"/>
        <w:spacing w:line="207" w:lineRule="atLeast"/>
        <w:ind w:left="300"/>
        <w:rPr>
          <w:rFonts w:ascii="Times New Roman" w:hAnsi="Times New Roman"/>
          <w:kern w:val="0"/>
          <w:sz w:val="15"/>
          <w:szCs w:val="15"/>
        </w:rPr>
      </w:pPr>
      <w:r>
        <w:rPr>
          <w:rFonts w:hint="eastAsia" w:ascii="Times New Roman" w:hAnsi="宋体"/>
          <w:kern w:val="0"/>
          <w:sz w:val="15"/>
          <w:szCs w:val="15"/>
        </w:rPr>
        <w:t>产品代码</w:t>
      </w:r>
      <w:r>
        <w:rPr>
          <w:rFonts w:ascii="Times New Roman" w:hAnsi="Times New Roman"/>
          <w:kern w:val="0"/>
          <w:sz w:val="15"/>
          <w:szCs w:val="15"/>
        </w:rPr>
        <w:t>NPZ</w:t>
      </w:r>
      <w:r>
        <w:rPr>
          <w:rFonts w:hint="eastAsia" w:ascii="Times New Roman" w:hAnsi="宋体"/>
          <w:kern w:val="0"/>
          <w:sz w:val="15"/>
          <w:szCs w:val="15"/>
        </w:rPr>
        <w:t>和</w:t>
      </w:r>
      <w:r>
        <w:rPr>
          <w:rFonts w:ascii="Times New Roman" w:hAnsi="Times New Roman"/>
          <w:kern w:val="0"/>
          <w:sz w:val="15"/>
          <w:szCs w:val="15"/>
        </w:rPr>
        <w:t>NQA</w:t>
      </w:r>
      <w:r>
        <w:rPr>
          <w:rFonts w:hint="eastAsia" w:ascii="Times New Roman" w:hAnsi="宋体"/>
          <w:kern w:val="0"/>
          <w:sz w:val="15"/>
          <w:szCs w:val="15"/>
        </w:rPr>
        <w:t>下含有骨形态发生蛋白（</w:t>
      </w:r>
      <w:r>
        <w:rPr>
          <w:rFonts w:ascii="Times New Roman" w:hAnsi="Times New Roman"/>
          <w:kern w:val="0"/>
          <w:sz w:val="15"/>
          <w:szCs w:val="15"/>
        </w:rPr>
        <w:t>BMP</w:t>
      </w:r>
      <w:r>
        <w:rPr>
          <w:rFonts w:hint="eastAsia" w:ascii="Times New Roman" w:hAnsi="宋体"/>
          <w:kern w:val="0"/>
          <w:sz w:val="15"/>
          <w:szCs w:val="15"/>
        </w:rPr>
        <w:t>）和其他生物反应调节剂等治疗性生物制剂药物的骨移植材料。这些产品的管辖权由</w:t>
      </w:r>
      <w:r>
        <w:rPr>
          <w:rFonts w:ascii="Times New Roman" w:hAnsi="Times New Roman"/>
          <w:kern w:val="0"/>
          <w:sz w:val="15"/>
          <w:szCs w:val="15"/>
        </w:rPr>
        <w:t>FDA</w:t>
      </w:r>
      <w:r>
        <w:rPr>
          <w:rFonts w:hint="eastAsia" w:ascii="Times New Roman" w:hAnsi="宋体"/>
          <w:kern w:val="0"/>
          <w:sz w:val="15"/>
          <w:szCs w:val="15"/>
        </w:rPr>
        <w:t>组合产品办公室确定。</w:t>
      </w:r>
      <w:r>
        <w:fldChar w:fldCharType="begin"/>
      </w:r>
      <w:r>
        <w:instrText xml:space="preserve"> HYPERLINK "https://www.fda.gov/medicaldevices/deviceregulationandguidance/guidancedocuments/ucm071842.htm" \l "f6" </w:instrText>
      </w:r>
      <w:r>
        <w:fldChar w:fldCharType="separate"/>
      </w:r>
      <w:r>
        <w:rPr>
          <w:rFonts w:ascii="Times New Roman" w:hAnsi="Times New Roman"/>
          <w:kern w:val="0"/>
          <w:sz w:val="15"/>
          <w:szCs w:val="15"/>
          <w:u w:val="single"/>
          <w:vertAlign w:val="superscript"/>
        </w:rPr>
        <w:t>6</w:t>
      </w:r>
      <w:r>
        <w:rPr>
          <w:rFonts w:ascii="Times New Roman" w:hAnsi="Times New Roman"/>
          <w:kern w:val="0"/>
          <w:sz w:val="15"/>
          <w:szCs w:val="15"/>
          <w:u w:val="single"/>
          <w:vertAlign w:val="superscript"/>
        </w:rPr>
        <w:fldChar w:fldCharType="end"/>
      </w:r>
      <w:r>
        <w:rPr>
          <w:rFonts w:ascii="Times New Roman" w:hAnsi="Times New Roman"/>
          <w:kern w:val="0"/>
          <w:sz w:val="15"/>
          <w:szCs w:val="15"/>
        </w:rPr>
        <w:t xml:space="preserve">. </w:t>
      </w:r>
      <w:r>
        <w:rPr>
          <w:rFonts w:hint="eastAsia" w:ascii="Times New Roman" w:hAnsi="宋体"/>
          <w:kern w:val="0"/>
          <w:sz w:val="15"/>
          <w:szCs w:val="15"/>
        </w:rPr>
        <w:t>由</w:t>
      </w:r>
      <w:r>
        <w:rPr>
          <w:rFonts w:ascii="Times New Roman" w:hAnsi="Times New Roman"/>
          <w:kern w:val="0"/>
          <w:sz w:val="15"/>
          <w:szCs w:val="15"/>
        </w:rPr>
        <w:t>CDRH</w:t>
      </w:r>
      <w:r>
        <w:rPr>
          <w:rFonts w:hint="eastAsia" w:ascii="Times New Roman" w:hAnsi="宋体"/>
          <w:kern w:val="0"/>
          <w:sz w:val="15"/>
          <w:szCs w:val="15"/>
        </w:rPr>
        <w:t>管辖的这类产品被规定为</w:t>
      </w:r>
      <w:r>
        <w:rPr>
          <w:rFonts w:ascii="Times New Roman" w:hAnsi="Times New Roman"/>
          <w:kern w:val="0"/>
          <w:sz w:val="15"/>
          <w:szCs w:val="15"/>
        </w:rPr>
        <w:t>III</w:t>
      </w:r>
      <w:r>
        <w:rPr>
          <w:rFonts w:hint="eastAsia" w:ascii="Times New Roman" w:hAnsi="宋体"/>
          <w:kern w:val="0"/>
          <w:sz w:val="15"/>
          <w:szCs w:val="15"/>
        </w:rPr>
        <w:t>类器械，需要进行上市前批准申请（</w:t>
      </w:r>
      <w:r>
        <w:rPr>
          <w:rFonts w:ascii="Times New Roman" w:hAnsi="Times New Roman"/>
          <w:kern w:val="0"/>
          <w:sz w:val="15"/>
          <w:szCs w:val="15"/>
        </w:rPr>
        <w:t>PMA</w:t>
      </w:r>
      <w:r>
        <w:rPr>
          <w:rFonts w:hint="eastAsia" w:ascii="Times New Roman" w:hAnsi="宋体"/>
          <w:kern w:val="0"/>
          <w:sz w:val="15"/>
          <w:szCs w:val="15"/>
        </w:rPr>
        <w:t>）（参见</w:t>
      </w:r>
      <w:r>
        <w:rPr>
          <w:rFonts w:ascii="Times New Roman" w:hAnsi="Times New Roman"/>
          <w:kern w:val="0"/>
          <w:sz w:val="15"/>
          <w:szCs w:val="15"/>
        </w:rPr>
        <w:t>21 CFR 872.3930(b)(2)</w:t>
      </w:r>
      <w:r>
        <w:rPr>
          <w:rFonts w:hint="eastAsia" w:ascii="Times New Roman" w:hAnsi="宋体"/>
          <w:kern w:val="0"/>
          <w:sz w:val="15"/>
          <w:szCs w:val="15"/>
        </w:rPr>
        <w:t>）。</w:t>
      </w:r>
    </w:p>
    <w:p w14:paraId="510B8774">
      <w:pPr>
        <w:widowControl/>
        <w:numPr>
          <w:ilvl w:val="0"/>
          <w:numId w:val="5"/>
        </w:numPr>
        <w:shd w:val="clear" w:color="auto" w:fill="FFFFFF"/>
        <w:spacing w:before="120" w:line="207" w:lineRule="atLeast"/>
        <w:ind w:left="300"/>
        <w:rPr>
          <w:rFonts w:ascii="Times New Roman" w:hAnsi="Times New Roman"/>
          <w:kern w:val="0"/>
          <w:sz w:val="15"/>
          <w:szCs w:val="15"/>
        </w:rPr>
      </w:pPr>
      <w:r>
        <w:rPr>
          <w:rFonts w:hint="eastAsia" w:ascii="Times New Roman" w:hAnsi="宋体"/>
          <w:kern w:val="0"/>
          <w:sz w:val="15"/>
          <w:szCs w:val="15"/>
        </w:rPr>
        <w:t>人脱钙骨，不管是最低限度处理的人脱钙骨</w:t>
      </w:r>
      <w:r>
        <w:fldChar w:fldCharType="begin"/>
      </w:r>
      <w:r>
        <w:instrText xml:space="preserve"> HYPERLINK "https://www.fda.gov/medicaldevices/deviceregulationandguidance/guidancedocuments/ucm071842.htm" \l "f7" </w:instrText>
      </w:r>
      <w:r>
        <w:fldChar w:fldCharType="separate"/>
      </w:r>
      <w:r>
        <w:rPr>
          <w:rFonts w:ascii="Times New Roman" w:hAnsi="Times New Roman"/>
          <w:kern w:val="0"/>
          <w:sz w:val="15"/>
          <w:szCs w:val="15"/>
          <w:u w:val="single"/>
          <w:vertAlign w:val="superscript"/>
        </w:rPr>
        <w:t>7</w:t>
      </w:r>
      <w:r>
        <w:rPr>
          <w:rFonts w:ascii="Times New Roman" w:hAnsi="Times New Roman"/>
          <w:kern w:val="0"/>
          <w:sz w:val="15"/>
          <w:szCs w:val="15"/>
          <w:u w:val="single"/>
          <w:vertAlign w:val="superscript"/>
        </w:rPr>
        <w:fldChar w:fldCharType="end"/>
      </w:r>
      <w:r>
        <w:rPr>
          <w:rFonts w:hint="eastAsia" w:ascii="Times New Roman" w:hAnsi="宋体"/>
          <w:kern w:val="0"/>
          <w:sz w:val="15"/>
          <w:szCs w:val="15"/>
        </w:rPr>
        <w:t>，还是利用添加剂改良的人脱钙骨。根据公共卫生服务法（</w:t>
      </w:r>
      <w:r>
        <w:rPr>
          <w:rFonts w:ascii="Times New Roman" w:hAnsi="Times New Roman"/>
          <w:kern w:val="0"/>
          <w:sz w:val="15"/>
          <w:szCs w:val="15"/>
        </w:rPr>
        <w:t>21 CFR 1271.10</w:t>
      </w:r>
      <w:r>
        <w:rPr>
          <w:rFonts w:hint="eastAsia" w:ascii="Times New Roman" w:hAnsi="宋体"/>
          <w:kern w:val="0"/>
          <w:sz w:val="15"/>
          <w:szCs w:val="15"/>
        </w:rPr>
        <w:t>）的第</w:t>
      </w:r>
      <w:r>
        <w:rPr>
          <w:rFonts w:ascii="Times New Roman" w:hAnsi="Times New Roman"/>
          <w:kern w:val="0"/>
          <w:sz w:val="15"/>
          <w:szCs w:val="15"/>
        </w:rPr>
        <w:t>361</w:t>
      </w:r>
      <w:r>
        <w:rPr>
          <w:rFonts w:hint="eastAsia" w:ascii="Times New Roman" w:hAnsi="宋体"/>
          <w:kern w:val="0"/>
          <w:sz w:val="15"/>
          <w:szCs w:val="15"/>
        </w:rPr>
        <w:t>部分，最低限度处理的脱钙骨被定为人细胞、组织和基于细胞和组织的产品（</w:t>
      </w:r>
      <w:r>
        <w:rPr>
          <w:rFonts w:ascii="Times New Roman" w:hAnsi="Times New Roman"/>
          <w:kern w:val="0"/>
          <w:sz w:val="15"/>
          <w:szCs w:val="15"/>
        </w:rPr>
        <w:t>HCT/P</w:t>
      </w:r>
      <w:r>
        <w:rPr>
          <w:rFonts w:hint="eastAsia" w:ascii="Times New Roman" w:hAnsi="宋体"/>
          <w:kern w:val="0"/>
          <w:sz w:val="15"/>
          <w:szCs w:val="15"/>
        </w:rPr>
        <w:t>）。添加剂改良的人脱钙骨被定为医疗器械，受上市前通告（</w:t>
      </w:r>
      <w:r>
        <w:rPr>
          <w:rFonts w:ascii="Times New Roman" w:hAnsi="Times New Roman"/>
          <w:kern w:val="0"/>
          <w:sz w:val="15"/>
          <w:szCs w:val="15"/>
        </w:rPr>
        <w:t>510(k)</w:t>
      </w:r>
      <w:r>
        <w:rPr>
          <w:rFonts w:hint="eastAsia" w:ascii="Times New Roman" w:hAnsi="宋体"/>
          <w:kern w:val="0"/>
          <w:sz w:val="15"/>
          <w:szCs w:val="15"/>
        </w:rPr>
        <w:t>）程序制约。</w:t>
      </w:r>
      <w:r>
        <w:fldChar w:fldCharType="begin"/>
      </w:r>
      <w:r>
        <w:instrText xml:space="preserve"> HYPERLINK "https://www.fda.gov/medicaldevices/deviceregulationandguidance/guidancedocuments/ucm071842.htm" \l "f8" </w:instrText>
      </w:r>
      <w:r>
        <w:fldChar w:fldCharType="separate"/>
      </w:r>
      <w:r>
        <w:rPr>
          <w:rFonts w:ascii="Times New Roman" w:hAnsi="Times New Roman"/>
          <w:kern w:val="0"/>
          <w:sz w:val="15"/>
          <w:szCs w:val="15"/>
          <w:u w:val="single"/>
          <w:vertAlign w:val="superscript"/>
        </w:rPr>
        <w:t>8</w:t>
      </w:r>
      <w:r>
        <w:rPr>
          <w:rFonts w:ascii="Times New Roman" w:hAnsi="Times New Roman"/>
          <w:kern w:val="0"/>
          <w:sz w:val="15"/>
          <w:szCs w:val="15"/>
          <w:u w:val="single"/>
          <w:vertAlign w:val="superscript"/>
        </w:rPr>
        <w:fldChar w:fldCharType="end"/>
      </w:r>
      <w:r>
        <w:rPr>
          <w:rFonts w:ascii="Times New Roman" w:hAnsi="Times New Roman"/>
          <w:kern w:val="0"/>
          <w:sz w:val="15"/>
          <w:szCs w:val="15"/>
        </w:rPr>
        <w:t xml:space="preserve">. FDA </w:t>
      </w:r>
      <w:r>
        <w:rPr>
          <w:rFonts w:hint="eastAsia" w:ascii="Times New Roman" w:hAnsi="宋体"/>
          <w:kern w:val="0"/>
          <w:sz w:val="15"/>
          <w:szCs w:val="15"/>
        </w:rPr>
        <w:t>打算针对添加剂人脱钙骨公布一项独立规则，以把该器械分类为</w:t>
      </w:r>
      <w:r>
        <w:rPr>
          <w:rFonts w:ascii="Times New Roman" w:hAnsi="Times New Roman"/>
          <w:kern w:val="0"/>
          <w:sz w:val="15"/>
          <w:szCs w:val="15"/>
        </w:rPr>
        <w:t>II</w:t>
      </w:r>
      <w:r>
        <w:rPr>
          <w:rFonts w:hint="eastAsia" w:ascii="Times New Roman" w:hAnsi="宋体"/>
          <w:kern w:val="0"/>
          <w:sz w:val="15"/>
          <w:szCs w:val="15"/>
        </w:rPr>
        <w:t>类器械，并建立特殊控制。</w:t>
      </w:r>
    </w:p>
    <w:p w14:paraId="7C099F9A">
      <w:pPr>
        <w:widowControl/>
        <w:numPr>
          <w:ilvl w:val="0"/>
          <w:numId w:val="5"/>
        </w:numPr>
        <w:shd w:val="clear" w:color="auto" w:fill="FFFFFF"/>
        <w:spacing w:before="120" w:line="207" w:lineRule="atLeast"/>
        <w:ind w:left="300"/>
        <w:rPr>
          <w:rFonts w:ascii="Times New Roman" w:hAnsi="Times New Roman"/>
          <w:kern w:val="0"/>
          <w:sz w:val="15"/>
          <w:szCs w:val="15"/>
        </w:rPr>
      </w:pPr>
      <w:r>
        <w:rPr>
          <w:rFonts w:hint="eastAsia" w:ascii="Times New Roman" w:hAnsi="宋体"/>
          <w:kern w:val="0"/>
          <w:sz w:val="15"/>
          <w:szCs w:val="15"/>
        </w:rPr>
        <w:t>非口腔</w:t>
      </w:r>
      <w:r>
        <w:rPr>
          <w:rFonts w:ascii="Times New Roman" w:hAnsi="Times New Roman"/>
          <w:kern w:val="0"/>
          <w:sz w:val="15"/>
          <w:szCs w:val="15"/>
        </w:rPr>
        <w:t>/</w:t>
      </w:r>
      <w:r>
        <w:rPr>
          <w:rFonts w:hint="eastAsia" w:ascii="Times New Roman" w:hAnsi="宋体"/>
          <w:kern w:val="0"/>
          <w:sz w:val="15"/>
          <w:szCs w:val="15"/>
        </w:rPr>
        <w:t>颌面部适应证的骨移植材料，如适用于脊柱和其他骨科应用的骨移植材料。这些器械的制造商应该参考</w:t>
      </w:r>
      <w:r>
        <w:rPr>
          <w:rFonts w:ascii="Times New Roman" w:hAnsi="Times New Roman"/>
          <w:kern w:val="0"/>
          <w:sz w:val="15"/>
          <w:szCs w:val="15"/>
        </w:rPr>
        <w:t xml:space="preserve">21 CFR 888.3045 </w:t>
      </w:r>
      <w:r>
        <w:rPr>
          <w:rFonts w:hint="eastAsia" w:ascii="Times New Roman" w:hAnsi="宋体"/>
          <w:kern w:val="0"/>
          <w:sz w:val="15"/>
          <w:szCs w:val="15"/>
        </w:rPr>
        <w:t>和标题为</w:t>
      </w:r>
      <w:r>
        <w:rPr>
          <w:rFonts w:ascii="Times New Roman" w:hAnsi="Times New Roman"/>
          <w:kern w:val="0"/>
          <w:sz w:val="15"/>
          <w:szCs w:val="15"/>
        </w:rPr>
        <w:t>“II</w:t>
      </w:r>
      <w:r>
        <w:rPr>
          <w:rFonts w:hint="eastAsia" w:ascii="Times New Roman" w:hAnsi="宋体"/>
          <w:kern w:val="0"/>
          <w:sz w:val="15"/>
          <w:szCs w:val="15"/>
        </w:rPr>
        <w:t>类特殊控制指导文件：可吸收性钙盐骨空隙填充物器械</w:t>
      </w:r>
      <w:r>
        <w:fldChar w:fldCharType="begin"/>
      </w:r>
      <w:r>
        <w:instrText xml:space="preserve"> HYPERLINK "https://www.fda.gov/medicaldevices/deviceregulationandguidance/guidancedocuments/ucm071842.htm" \l "f9" </w:instrText>
      </w:r>
      <w:r>
        <w:fldChar w:fldCharType="separate"/>
      </w:r>
      <w:r>
        <w:rPr>
          <w:rFonts w:ascii="Times New Roman" w:hAnsi="Times New Roman"/>
          <w:kern w:val="0"/>
          <w:sz w:val="15"/>
          <w:szCs w:val="15"/>
          <w:u w:val="single"/>
          <w:vertAlign w:val="superscript"/>
        </w:rPr>
        <w:t>9</w:t>
      </w:r>
      <w:r>
        <w:rPr>
          <w:rFonts w:ascii="Times New Roman" w:hAnsi="Times New Roman"/>
          <w:kern w:val="0"/>
          <w:sz w:val="15"/>
          <w:szCs w:val="15"/>
          <w:u w:val="single"/>
          <w:vertAlign w:val="superscript"/>
        </w:rPr>
        <w:fldChar w:fldCharType="end"/>
      </w:r>
      <w:r>
        <w:rPr>
          <w:rFonts w:ascii="Times New Roman" w:hAnsi="Times New Roman"/>
          <w:kern w:val="0"/>
          <w:sz w:val="15"/>
          <w:szCs w:val="15"/>
        </w:rPr>
        <w:t>”</w:t>
      </w:r>
      <w:r>
        <w:rPr>
          <w:rFonts w:hint="eastAsia" w:ascii="Times New Roman" w:hAnsi="宋体"/>
          <w:kern w:val="0"/>
          <w:sz w:val="15"/>
          <w:szCs w:val="15"/>
        </w:rPr>
        <w:t>的指导文件内提供的建议。</w:t>
      </w:r>
    </w:p>
    <w:p w14:paraId="18FA62F9">
      <w:pPr>
        <w:widowControl/>
        <w:shd w:val="clear" w:color="auto" w:fill="FFFFFF"/>
        <w:spacing w:before="120" w:line="207" w:lineRule="atLeast"/>
        <w:ind w:firstLine="0"/>
        <w:rPr>
          <w:rFonts w:ascii="Times New Roman" w:hAnsi="Times New Roman"/>
          <w:b/>
          <w:kern w:val="0"/>
          <w:sz w:val="15"/>
          <w:szCs w:val="15"/>
          <w:u w:val="single"/>
        </w:rPr>
      </w:pPr>
      <w:r>
        <w:rPr>
          <w:rFonts w:hint="eastAsia" w:ascii="Times New Roman" w:hAnsi="宋体"/>
          <w:b/>
          <w:kern w:val="0"/>
          <w:sz w:val="15"/>
          <w:szCs w:val="15"/>
          <w:u w:val="single"/>
        </w:rPr>
        <w:t>放回顶部</w:t>
      </w:r>
    </w:p>
    <w:p w14:paraId="5BCB4290">
      <w:pPr>
        <w:widowControl/>
        <w:spacing w:before="330" w:after="330"/>
        <w:ind w:firstLine="0"/>
        <w:rPr>
          <w:rFonts w:ascii="Times New Roman" w:hAnsi="Times New Roman"/>
          <w:kern w:val="0"/>
          <w:sz w:val="15"/>
          <w:szCs w:val="15"/>
        </w:rPr>
      </w:pPr>
      <w:r>
        <w:rPr>
          <w:rFonts w:ascii="Times New Roman" w:hAnsi="Times New Roman"/>
          <w:kern w:val="0"/>
          <w:sz w:val="15"/>
          <w:szCs w:val="15"/>
        </w:rPr>
        <w:pict>
          <v:rect id="_x0000_i1030" o:spt="1" style="height:0pt;width:0pt;" fillcolor="#333333" filled="t" stroked="f" coordsize="21600,21600" o:hr="t" o:hrstd="t" o:hrnoshade="t" o:hralign="center">
            <v:path/>
            <v:fill on="t" focussize="0,0"/>
            <v:stroke on="f"/>
            <v:imagedata o:title=""/>
            <o:lock v:ext="edit"/>
            <w10:wrap type="none"/>
            <w10:anchorlock/>
          </v:rect>
        </w:pict>
      </w:r>
    </w:p>
    <w:p w14:paraId="60D4D8FF">
      <w:pPr>
        <w:widowControl/>
        <w:shd w:val="clear" w:color="auto" w:fill="FFFFFF"/>
        <w:spacing w:after="118"/>
        <w:ind w:firstLine="0"/>
        <w:outlineLvl w:val="0"/>
        <w:rPr>
          <w:rFonts w:ascii="Times New Roman" w:hAnsi="Times New Roman"/>
          <w:b/>
          <w:bCs/>
          <w:kern w:val="0"/>
          <w:sz w:val="23"/>
          <w:szCs w:val="23"/>
        </w:rPr>
      </w:pPr>
      <w:bookmarkStart w:id="5" w:name="_Toc480622166"/>
      <w:r>
        <w:rPr>
          <w:rFonts w:ascii="Times New Roman" w:hAnsi="Times New Roman"/>
          <w:b/>
          <w:bCs/>
          <w:kern w:val="0"/>
          <w:sz w:val="23"/>
          <w:szCs w:val="23"/>
        </w:rPr>
        <w:t>5.</w:t>
      </w:r>
      <w:r>
        <w:rPr>
          <w:rFonts w:ascii="Times New Roman" w:hAnsi="Times New Roman"/>
          <w:b/>
          <w:bCs/>
          <w:kern w:val="0"/>
          <w:sz w:val="23"/>
          <w:szCs w:val="23"/>
        </w:rPr>
        <w:tab/>
      </w:r>
      <w:r>
        <w:rPr>
          <w:rFonts w:hint="eastAsia" w:ascii="Times New Roman" w:hAnsi="宋体"/>
          <w:b/>
          <w:bCs/>
          <w:kern w:val="0"/>
          <w:sz w:val="23"/>
          <w:szCs w:val="23"/>
        </w:rPr>
        <w:t>器械说明</w:t>
      </w:r>
      <w:bookmarkEnd w:id="5"/>
    </w:p>
    <w:p w14:paraId="4512CB33">
      <w:pPr>
        <w:widowControl/>
        <w:shd w:val="clear" w:color="auto" w:fill="FFFFFF"/>
        <w:spacing w:line="207" w:lineRule="atLeast"/>
        <w:ind w:firstLine="0"/>
        <w:rPr>
          <w:rFonts w:ascii="Times New Roman" w:hAnsi="Times New Roman"/>
          <w:kern w:val="0"/>
          <w:sz w:val="15"/>
          <w:szCs w:val="15"/>
        </w:rPr>
      </w:pPr>
      <w:r>
        <w:rPr>
          <w:rFonts w:hint="eastAsia" w:ascii="Times New Roman" w:hAnsi="宋体"/>
          <w:kern w:val="0"/>
          <w:sz w:val="15"/>
          <w:szCs w:val="15"/>
        </w:rPr>
        <w:t>我们建议您应该根据第</w:t>
      </w:r>
      <w:r>
        <w:rPr>
          <w:rFonts w:ascii="Times New Roman" w:hAnsi="Times New Roman"/>
          <w:kern w:val="0"/>
          <w:sz w:val="15"/>
          <w:szCs w:val="15"/>
        </w:rPr>
        <w:t>4</w:t>
      </w:r>
      <w:r>
        <w:rPr>
          <w:rFonts w:hint="eastAsia" w:ascii="Times New Roman" w:hAnsi="宋体"/>
          <w:kern w:val="0"/>
          <w:sz w:val="15"/>
          <w:szCs w:val="15"/>
        </w:rPr>
        <w:t>部分</w:t>
      </w:r>
      <w:r>
        <w:rPr>
          <w:rFonts w:ascii="Times New Roman" w:hAnsi="Times New Roman"/>
          <w:kern w:val="0"/>
          <w:sz w:val="15"/>
          <w:szCs w:val="15"/>
        </w:rPr>
        <w:t>-</w:t>
      </w:r>
      <w:r>
        <w:rPr>
          <w:rFonts w:hint="eastAsia" w:ascii="Times New Roman" w:hAnsi="宋体"/>
          <w:kern w:val="0"/>
          <w:sz w:val="15"/>
          <w:szCs w:val="15"/>
        </w:rPr>
        <w:t>范围中标识的条款号和产品代码来标识您的器械，并包含以下信息：</w:t>
      </w:r>
    </w:p>
    <w:p w14:paraId="5B3E0E50">
      <w:pPr>
        <w:widowControl/>
        <w:numPr>
          <w:ilvl w:val="0"/>
          <w:numId w:val="6"/>
        </w:numPr>
        <w:shd w:val="clear" w:color="auto" w:fill="FFFFFF"/>
        <w:spacing w:line="207" w:lineRule="atLeast"/>
        <w:ind w:left="300"/>
        <w:rPr>
          <w:rFonts w:ascii="Times New Roman" w:hAnsi="Times New Roman"/>
          <w:kern w:val="0"/>
          <w:sz w:val="15"/>
          <w:szCs w:val="15"/>
        </w:rPr>
      </w:pPr>
      <w:r>
        <w:rPr>
          <w:rFonts w:hint="eastAsia" w:ascii="Times New Roman" w:hAnsi="宋体"/>
          <w:kern w:val="0"/>
          <w:sz w:val="15"/>
          <w:szCs w:val="15"/>
        </w:rPr>
        <w:t>操作原理说明（即，该器械如何实现其预期用途的科学原理）</w:t>
      </w:r>
    </w:p>
    <w:p w14:paraId="5C46ECA5">
      <w:pPr>
        <w:widowControl/>
        <w:numPr>
          <w:ilvl w:val="0"/>
          <w:numId w:val="6"/>
        </w:numPr>
        <w:shd w:val="clear" w:color="auto" w:fill="FFFFFF"/>
        <w:spacing w:before="120" w:line="207" w:lineRule="atLeast"/>
        <w:ind w:left="300"/>
        <w:rPr>
          <w:rFonts w:ascii="Times New Roman" w:hAnsi="Times New Roman"/>
          <w:kern w:val="0"/>
          <w:sz w:val="15"/>
          <w:szCs w:val="15"/>
        </w:rPr>
      </w:pPr>
      <w:r>
        <w:rPr>
          <w:rFonts w:hint="eastAsia" w:ascii="Times New Roman" w:hAnsi="宋体"/>
          <w:kern w:val="0"/>
          <w:sz w:val="15"/>
          <w:szCs w:val="15"/>
        </w:rPr>
        <w:t>将以何种形式销售该器械的说明，如无菌、组装、一次性、粉末等。</w:t>
      </w:r>
    </w:p>
    <w:p w14:paraId="71EC6159">
      <w:pPr>
        <w:widowControl/>
        <w:shd w:val="clear" w:color="auto" w:fill="FFFFFF"/>
        <w:spacing w:before="240" w:line="207" w:lineRule="atLeast"/>
        <w:ind w:firstLine="0"/>
        <w:rPr>
          <w:rFonts w:ascii="Times New Roman" w:hAnsi="Times New Roman"/>
          <w:kern w:val="0"/>
          <w:sz w:val="15"/>
          <w:szCs w:val="15"/>
        </w:rPr>
      </w:pPr>
      <w:r>
        <w:rPr>
          <w:rFonts w:hint="eastAsia" w:ascii="Times New Roman" w:hAnsi="宋体"/>
          <w:kern w:val="0"/>
          <w:sz w:val="15"/>
          <w:szCs w:val="15"/>
        </w:rPr>
        <w:t>我们建议您应该提供信息说明此种新器械与已合法上市器械之间的相似和不同之处。如果可能，最好利用如下列表对二者进行并列比较。我们还建议，您应该说明所有不同之处可能会对新器械相当的安全性和有效性产生怎样的影响。</w:t>
      </w:r>
    </w:p>
    <w:p w14:paraId="17A13B65">
      <w:pPr>
        <w:widowControl/>
        <w:shd w:val="clear" w:color="auto" w:fill="FFFFFF"/>
        <w:spacing w:before="240" w:line="207" w:lineRule="atLeast"/>
        <w:ind w:firstLine="0"/>
        <w:rPr>
          <w:rFonts w:ascii="Times New Roman" w:hAnsi="Times New Roman"/>
          <w:kern w:val="0"/>
          <w:sz w:val="15"/>
          <w:szCs w:val="15"/>
        </w:rPr>
      </w:pPr>
      <w:r>
        <w:rPr>
          <w:rFonts w:ascii="Times New Roman" w:hAnsi="Times New Roman"/>
          <w:kern w:val="0"/>
          <w:sz w:val="15"/>
          <w:szCs w:val="15"/>
        </w:rPr>
        <w:br w:type="page"/>
      </w:r>
    </w:p>
    <w:tbl>
      <w:tblPr>
        <w:tblStyle w:val="1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DDDDDD" w:sz="4" w:space="0"/>
        </w:tblBorders>
        <w:tblLayout w:type="autofit"/>
        <w:tblCellMar>
          <w:top w:w="15" w:type="dxa"/>
          <w:left w:w="15" w:type="dxa"/>
          <w:bottom w:w="15" w:type="dxa"/>
          <w:right w:w="15" w:type="dxa"/>
        </w:tblCellMar>
      </w:tblPr>
      <w:tblGrid>
        <w:gridCol w:w="5563"/>
        <w:gridCol w:w="1435"/>
        <w:gridCol w:w="1416"/>
      </w:tblGrid>
      <w:tr w14:paraId="2C582750">
        <w:tblPrEx>
          <w:tblBorders>
            <w:top w:val="single" w:color="000000" w:sz="4" w:space="0"/>
            <w:left w:val="single" w:color="000000" w:sz="4" w:space="0"/>
            <w:bottom w:val="single" w:color="000000" w:sz="4" w:space="0"/>
            <w:right w:val="single" w:color="000000" w:sz="4" w:space="0"/>
            <w:insideH w:val="single" w:color="000000" w:sz="4" w:space="0"/>
            <w:insideV w:val="single" w:color="DDDDDD" w:sz="4" w:space="0"/>
          </w:tblBorders>
          <w:tblCellMar>
            <w:top w:w="15" w:type="dxa"/>
            <w:left w:w="15" w:type="dxa"/>
            <w:bottom w:w="15" w:type="dxa"/>
            <w:right w:w="15" w:type="dxa"/>
          </w:tblCellMar>
        </w:tblPrEx>
        <w:trPr>
          <w:tblHeader/>
        </w:trPr>
        <w:tc>
          <w:tcPr>
            <w:tcW w:w="5000" w:type="pct"/>
            <w:gridSpan w:val="3"/>
            <w:shd w:val="clear" w:color="auto" w:fill="CCCCCC"/>
            <w:tcMar>
              <w:top w:w="54" w:type="dxa"/>
              <w:left w:w="54" w:type="dxa"/>
              <w:bottom w:w="54" w:type="dxa"/>
              <w:right w:w="54" w:type="dxa"/>
            </w:tcMar>
            <w:vAlign w:val="center"/>
          </w:tcPr>
          <w:p w14:paraId="2F8B2591">
            <w:pPr>
              <w:widowControl/>
              <w:pBdr>
                <w:top w:val="single" w:color="DDDDDD" w:sz="4" w:space="12"/>
                <w:left w:val="single" w:color="DDDDDD" w:sz="4" w:space="5"/>
                <w:right w:val="single" w:color="DDDDDD" w:sz="4" w:space="5"/>
              </w:pBdr>
              <w:shd w:val="clear" w:color="auto" w:fill="005F9F"/>
              <w:ind w:firstLine="0"/>
              <w:jc w:val="center"/>
              <w:rPr>
                <w:rFonts w:ascii="Times New Roman" w:hAnsi="Times New Roman"/>
                <w:kern w:val="0"/>
                <w:szCs w:val="21"/>
              </w:rPr>
            </w:pPr>
            <w:r>
              <w:rPr>
                <w:rFonts w:hint="eastAsia" w:ascii="Times New Roman" w:hAnsi="宋体"/>
                <w:b/>
                <w:bCs/>
                <w:kern w:val="0"/>
                <w:szCs w:val="21"/>
              </w:rPr>
              <w:t>新器械与已获批准实质等同器械比较表</w:t>
            </w:r>
          </w:p>
        </w:tc>
      </w:tr>
      <w:tr w14:paraId="2A5DAA6B">
        <w:tblPrEx>
          <w:tblBorders>
            <w:top w:val="single" w:color="000000" w:sz="4" w:space="0"/>
            <w:left w:val="single" w:color="000000" w:sz="4" w:space="0"/>
            <w:bottom w:val="single" w:color="000000" w:sz="4" w:space="0"/>
            <w:right w:val="single" w:color="000000" w:sz="4" w:space="0"/>
            <w:insideH w:val="single" w:color="000000" w:sz="4" w:space="0"/>
            <w:insideV w:val="single" w:color="DDDDDD" w:sz="4" w:space="0"/>
          </w:tblBorders>
          <w:tblCellMar>
            <w:top w:w="15" w:type="dxa"/>
            <w:left w:w="15" w:type="dxa"/>
            <w:bottom w:w="15" w:type="dxa"/>
            <w:right w:w="15" w:type="dxa"/>
          </w:tblCellMar>
        </w:tblPrEx>
        <w:trPr>
          <w:tblHeader/>
        </w:trPr>
        <w:tc>
          <w:tcPr>
            <w:tcW w:w="3306" w:type="pct"/>
            <w:tcBorders>
              <w:right w:val="single" w:color="000000" w:sz="4" w:space="0"/>
            </w:tcBorders>
            <w:shd w:val="clear" w:color="auto" w:fill="CCCCCC"/>
            <w:tcMar>
              <w:top w:w="54" w:type="dxa"/>
              <w:left w:w="54" w:type="dxa"/>
              <w:bottom w:w="54" w:type="dxa"/>
              <w:right w:w="54" w:type="dxa"/>
            </w:tcMar>
            <w:vAlign w:val="bottom"/>
          </w:tcPr>
          <w:p w14:paraId="26B8FF4E">
            <w:pPr>
              <w:widowControl/>
              <w:ind w:firstLine="0"/>
              <w:rPr>
                <w:rFonts w:ascii="Times New Roman" w:hAnsi="Times New Roman"/>
                <w:b/>
                <w:bCs/>
                <w:kern w:val="0"/>
                <w:szCs w:val="21"/>
              </w:rPr>
            </w:pPr>
            <w:r>
              <w:rPr>
                <w:rFonts w:hint="eastAsia" w:ascii="Times New Roman" w:hAnsi="宋体"/>
                <w:b/>
                <w:bCs/>
                <w:kern w:val="0"/>
                <w:szCs w:val="21"/>
              </w:rPr>
              <w:t>描述信息</w:t>
            </w:r>
          </w:p>
        </w:tc>
        <w:tc>
          <w:tcPr>
            <w:tcW w:w="853" w:type="pct"/>
            <w:tcBorders>
              <w:left w:val="single" w:color="000000" w:sz="4" w:space="0"/>
              <w:right w:val="single" w:color="000000" w:sz="4" w:space="0"/>
            </w:tcBorders>
            <w:shd w:val="clear" w:color="auto" w:fill="CCCCCC"/>
            <w:tcMar>
              <w:top w:w="54" w:type="dxa"/>
              <w:left w:w="54" w:type="dxa"/>
              <w:bottom w:w="54" w:type="dxa"/>
              <w:right w:w="54" w:type="dxa"/>
            </w:tcMar>
            <w:vAlign w:val="bottom"/>
          </w:tcPr>
          <w:p w14:paraId="6BBD400B">
            <w:pPr>
              <w:widowControl/>
              <w:ind w:firstLine="0"/>
              <w:rPr>
                <w:rFonts w:ascii="Times New Roman" w:hAnsi="Times New Roman"/>
                <w:b/>
                <w:bCs/>
                <w:kern w:val="0"/>
                <w:szCs w:val="21"/>
              </w:rPr>
            </w:pPr>
            <w:r>
              <w:rPr>
                <w:rFonts w:hint="eastAsia" w:ascii="Times New Roman" w:hAnsi="宋体"/>
                <w:b/>
                <w:bCs/>
                <w:kern w:val="0"/>
                <w:szCs w:val="21"/>
              </w:rPr>
              <w:t>新器械</w:t>
            </w:r>
          </w:p>
        </w:tc>
        <w:tc>
          <w:tcPr>
            <w:tcW w:w="841" w:type="pct"/>
            <w:tcBorders>
              <w:left w:val="single" w:color="000000" w:sz="4" w:space="0"/>
            </w:tcBorders>
            <w:shd w:val="clear" w:color="auto" w:fill="CCCCCC"/>
            <w:tcMar>
              <w:top w:w="54" w:type="dxa"/>
              <w:left w:w="54" w:type="dxa"/>
              <w:bottom w:w="54" w:type="dxa"/>
              <w:right w:w="54" w:type="dxa"/>
            </w:tcMar>
            <w:vAlign w:val="bottom"/>
          </w:tcPr>
          <w:p w14:paraId="0A590148">
            <w:pPr>
              <w:widowControl/>
              <w:ind w:firstLine="0"/>
              <w:rPr>
                <w:rFonts w:ascii="Times New Roman" w:hAnsi="Times New Roman"/>
                <w:b/>
                <w:bCs/>
                <w:kern w:val="0"/>
                <w:szCs w:val="21"/>
              </w:rPr>
            </w:pPr>
            <w:r>
              <w:rPr>
                <w:rFonts w:hint="eastAsia" w:ascii="Times New Roman" w:hAnsi="宋体"/>
                <w:b/>
                <w:bCs/>
                <w:kern w:val="0"/>
                <w:szCs w:val="21"/>
              </w:rPr>
              <w:t>已获批准实质等同器械</w:t>
            </w:r>
          </w:p>
        </w:tc>
      </w:tr>
      <w:tr w14:paraId="4F8D4413">
        <w:tblPrEx>
          <w:tblBorders>
            <w:top w:val="single" w:color="000000" w:sz="4" w:space="0"/>
            <w:left w:val="single" w:color="000000" w:sz="4" w:space="0"/>
            <w:bottom w:val="single" w:color="000000" w:sz="4" w:space="0"/>
            <w:right w:val="single" w:color="000000" w:sz="4" w:space="0"/>
            <w:insideH w:val="single" w:color="000000" w:sz="4" w:space="0"/>
            <w:insideV w:val="single" w:color="DDDDDD" w:sz="4" w:space="0"/>
          </w:tblBorders>
          <w:tblCellMar>
            <w:top w:w="15" w:type="dxa"/>
            <w:left w:w="15" w:type="dxa"/>
            <w:bottom w:w="15" w:type="dxa"/>
            <w:right w:w="15" w:type="dxa"/>
          </w:tblCellMar>
        </w:tblPrEx>
        <w:tc>
          <w:tcPr>
            <w:tcW w:w="3306" w:type="pct"/>
            <w:tcBorders>
              <w:right w:val="single" w:color="000000" w:sz="4" w:space="0"/>
            </w:tcBorders>
            <w:tcMar>
              <w:top w:w="54" w:type="dxa"/>
              <w:left w:w="54" w:type="dxa"/>
              <w:bottom w:w="54" w:type="dxa"/>
              <w:right w:w="54" w:type="dxa"/>
            </w:tcMar>
          </w:tcPr>
          <w:p w14:paraId="612DB027">
            <w:pPr>
              <w:widowControl/>
              <w:ind w:firstLine="0"/>
              <w:rPr>
                <w:rFonts w:ascii="Times New Roman" w:hAnsi="Times New Roman"/>
                <w:kern w:val="0"/>
                <w:szCs w:val="21"/>
              </w:rPr>
            </w:pPr>
            <w:r>
              <w:rPr>
                <w:rFonts w:hint="eastAsia" w:ascii="Times New Roman" w:hAnsi="宋体"/>
                <w:b/>
                <w:bCs/>
                <w:kern w:val="0"/>
                <w:szCs w:val="21"/>
              </w:rPr>
              <w:t>预期用途</w:t>
            </w:r>
            <w:r>
              <w:rPr>
                <w:rFonts w:ascii="Times New Roman" w:hAnsi="Times New Roman"/>
                <w:kern w:val="0"/>
                <w:szCs w:val="21"/>
              </w:rPr>
              <w:t>-</w:t>
            </w:r>
            <w:r>
              <w:rPr>
                <w:rFonts w:hint="eastAsia" w:ascii="Times New Roman" w:hAnsi="宋体"/>
                <w:kern w:val="0"/>
                <w:szCs w:val="21"/>
              </w:rPr>
              <w:t>包括使用适应证，如可行</w:t>
            </w:r>
          </w:p>
        </w:tc>
        <w:tc>
          <w:tcPr>
            <w:tcW w:w="853" w:type="pct"/>
            <w:tcBorders>
              <w:left w:val="single" w:color="000000" w:sz="4" w:space="0"/>
              <w:right w:val="single" w:color="000000" w:sz="4" w:space="0"/>
            </w:tcBorders>
            <w:tcMar>
              <w:top w:w="54" w:type="dxa"/>
              <w:left w:w="54" w:type="dxa"/>
              <w:bottom w:w="54" w:type="dxa"/>
              <w:right w:w="54" w:type="dxa"/>
            </w:tcMar>
          </w:tcPr>
          <w:p w14:paraId="0428A6C4">
            <w:pPr>
              <w:widowControl/>
              <w:ind w:firstLine="0"/>
              <w:rPr>
                <w:rFonts w:ascii="Times New Roman" w:hAnsi="Times New Roman"/>
                <w:kern w:val="0"/>
                <w:szCs w:val="21"/>
              </w:rPr>
            </w:pPr>
            <w:r>
              <w:rPr>
                <w:rFonts w:ascii="Times New Roman" w:hAnsi="Times New Roman"/>
                <w:kern w:val="0"/>
                <w:szCs w:val="21"/>
              </w:rPr>
              <w:t> </w:t>
            </w:r>
          </w:p>
        </w:tc>
        <w:tc>
          <w:tcPr>
            <w:tcW w:w="841" w:type="pct"/>
            <w:tcBorders>
              <w:left w:val="single" w:color="000000" w:sz="4" w:space="0"/>
            </w:tcBorders>
            <w:tcMar>
              <w:top w:w="54" w:type="dxa"/>
              <w:left w:w="54" w:type="dxa"/>
              <w:bottom w:w="54" w:type="dxa"/>
              <w:right w:w="54" w:type="dxa"/>
            </w:tcMar>
          </w:tcPr>
          <w:p w14:paraId="0F537112">
            <w:pPr>
              <w:widowControl/>
              <w:ind w:firstLine="0"/>
              <w:rPr>
                <w:rFonts w:ascii="Times New Roman" w:hAnsi="Times New Roman"/>
                <w:kern w:val="0"/>
                <w:szCs w:val="21"/>
              </w:rPr>
            </w:pPr>
            <w:r>
              <w:rPr>
                <w:rFonts w:ascii="Times New Roman" w:hAnsi="Times New Roman"/>
                <w:kern w:val="0"/>
                <w:szCs w:val="21"/>
              </w:rPr>
              <w:t> </w:t>
            </w:r>
          </w:p>
        </w:tc>
      </w:tr>
      <w:tr w14:paraId="0B23258E">
        <w:tblPrEx>
          <w:tblBorders>
            <w:top w:val="single" w:color="000000" w:sz="4" w:space="0"/>
            <w:left w:val="single" w:color="000000" w:sz="4" w:space="0"/>
            <w:bottom w:val="single" w:color="000000" w:sz="4" w:space="0"/>
            <w:right w:val="single" w:color="000000" w:sz="4" w:space="0"/>
            <w:insideH w:val="single" w:color="000000" w:sz="4" w:space="0"/>
            <w:insideV w:val="single" w:color="DDDDDD" w:sz="4" w:space="0"/>
          </w:tblBorders>
          <w:tblCellMar>
            <w:top w:w="15" w:type="dxa"/>
            <w:left w:w="15" w:type="dxa"/>
            <w:bottom w:w="15" w:type="dxa"/>
            <w:right w:w="15" w:type="dxa"/>
          </w:tblCellMar>
        </w:tblPrEx>
        <w:tc>
          <w:tcPr>
            <w:tcW w:w="3306" w:type="pct"/>
            <w:tcBorders>
              <w:right w:val="single" w:color="000000" w:sz="4" w:space="0"/>
            </w:tcBorders>
            <w:tcMar>
              <w:top w:w="54" w:type="dxa"/>
              <w:left w:w="54" w:type="dxa"/>
              <w:bottom w:w="54" w:type="dxa"/>
              <w:right w:w="54" w:type="dxa"/>
            </w:tcMar>
          </w:tcPr>
          <w:p w14:paraId="5346F981">
            <w:pPr>
              <w:widowControl/>
              <w:ind w:firstLine="0"/>
              <w:rPr>
                <w:rFonts w:ascii="Times New Roman" w:hAnsi="Times New Roman"/>
                <w:kern w:val="0"/>
                <w:szCs w:val="21"/>
              </w:rPr>
            </w:pPr>
            <w:r>
              <w:rPr>
                <w:rFonts w:hint="eastAsia" w:ascii="Times New Roman" w:hAnsi="宋体"/>
                <w:b/>
                <w:bCs/>
                <w:kern w:val="0"/>
                <w:szCs w:val="21"/>
              </w:rPr>
              <w:t>器械设计</w:t>
            </w:r>
            <w:r>
              <w:rPr>
                <w:rFonts w:ascii="Times New Roman" w:hAnsi="Times New Roman"/>
                <w:kern w:val="0"/>
                <w:szCs w:val="21"/>
              </w:rPr>
              <w:t xml:space="preserve">– </w:t>
            </w:r>
            <w:r>
              <w:rPr>
                <w:rFonts w:hint="eastAsia" w:ascii="Times New Roman" w:hAnsi="宋体"/>
                <w:kern w:val="0"/>
                <w:szCs w:val="21"/>
              </w:rPr>
              <w:t>即组件、尺寸或形式</w:t>
            </w:r>
          </w:p>
        </w:tc>
        <w:tc>
          <w:tcPr>
            <w:tcW w:w="853" w:type="pct"/>
            <w:tcBorders>
              <w:left w:val="single" w:color="000000" w:sz="4" w:space="0"/>
              <w:right w:val="single" w:color="000000" w:sz="4" w:space="0"/>
            </w:tcBorders>
            <w:tcMar>
              <w:top w:w="54" w:type="dxa"/>
              <w:left w:w="54" w:type="dxa"/>
              <w:bottom w:w="54" w:type="dxa"/>
              <w:right w:w="54" w:type="dxa"/>
            </w:tcMar>
          </w:tcPr>
          <w:p w14:paraId="26C0E6CA">
            <w:pPr>
              <w:widowControl/>
              <w:ind w:firstLine="0"/>
              <w:rPr>
                <w:rFonts w:ascii="Times New Roman" w:hAnsi="Times New Roman"/>
                <w:kern w:val="0"/>
                <w:szCs w:val="21"/>
              </w:rPr>
            </w:pPr>
            <w:r>
              <w:rPr>
                <w:rFonts w:ascii="Times New Roman" w:hAnsi="Times New Roman"/>
                <w:kern w:val="0"/>
                <w:szCs w:val="21"/>
              </w:rPr>
              <w:t> </w:t>
            </w:r>
          </w:p>
        </w:tc>
        <w:tc>
          <w:tcPr>
            <w:tcW w:w="841" w:type="pct"/>
            <w:tcBorders>
              <w:left w:val="single" w:color="000000" w:sz="4" w:space="0"/>
            </w:tcBorders>
            <w:tcMar>
              <w:top w:w="54" w:type="dxa"/>
              <w:left w:w="54" w:type="dxa"/>
              <w:bottom w:w="54" w:type="dxa"/>
              <w:right w:w="54" w:type="dxa"/>
            </w:tcMar>
          </w:tcPr>
          <w:p w14:paraId="19043659">
            <w:pPr>
              <w:widowControl/>
              <w:ind w:firstLine="0"/>
              <w:rPr>
                <w:rFonts w:ascii="Times New Roman" w:hAnsi="Times New Roman"/>
                <w:kern w:val="0"/>
                <w:szCs w:val="21"/>
              </w:rPr>
            </w:pPr>
            <w:r>
              <w:rPr>
                <w:rFonts w:ascii="Times New Roman" w:hAnsi="Times New Roman"/>
                <w:kern w:val="0"/>
                <w:szCs w:val="21"/>
              </w:rPr>
              <w:t> </w:t>
            </w:r>
          </w:p>
        </w:tc>
      </w:tr>
      <w:tr w14:paraId="66CD0468">
        <w:tblPrEx>
          <w:tblBorders>
            <w:top w:val="single" w:color="000000" w:sz="4" w:space="0"/>
            <w:left w:val="single" w:color="000000" w:sz="4" w:space="0"/>
            <w:bottom w:val="single" w:color="000000" w:sz="4" w:space="0"/>
            <w:right w:val="single" w:color="000000" w:sz="4" w:space="0"/>
            <w:insideH w:val="single" w:color="000000" w:sz="4" w:space="0"/>
            <w:insideV w:val="single" w:color="DDDDDD" w:sz="4" w:space="0"/>
          </w:tblBorders>
          <w:tblCellMar>
            <w:top w:w="15" w:type="dxa"/>
            <w:left w:w="15" w:type="dxa"/>
            <w:bottom w:w="15" w:type="dxa"/>
            <w:right w:w="15" w:type="dxa"/>
          </w:tblCellMar>
        </w:tblPrEx>
        <w:tc>
          <w:tcPr>
            <w:tcW w:w="3306" w:type="pct"/>
            <w:tcBorders>
              <w:right w:val="single" w:color="000000" w:sz="4" w:space="0"/>
            </w:tcBorders>
            <w:tcMar>
              <w:top w:w="54" w:type="dxa"/>
              <w:left w:w="54" w:type="dxa"/>
              <w:bottom w:w="54" w:type="dxa"/>
              <w:right w:w="54" w:type="dxa"/>
            </w:tcMar>
          </w:tcPr>
          <w:p w14:paraId="00CFE0AE">
            <w:pPr>
              <w:widowControl/>
              <w:ind w:firstLine="0"/>
              <w:rPr>
                <w:rFonts w:ascii="Times New Roman" w:hAnsi="Times New Roman"/>
                <w:kern w:val="0"/>
                <w:szCs w:val="21"/>
              </w:rPr>
            </w:pPr>
            <w:r>
              <w:rPr>
                <w:rFonts w:hint="eastAsia" w:ascii="Times New Roman" w:hAnsi="宋体"/>
                <w:b/>
                <w:bCs/>
                <w:kern w:val="0"/>
                <w:szCs w:val="21"/>
              </w:rPr>
              <w:t>材料成分</w:t>
            </w:r>
            <w:r>
              <w:rPr>
                <w:rFonts w:ascii="Times New Roman" w:hAnsi="Times New Roman"/>
                <w:kern w:val="0"/>
                <w:szCs w:val="21"/>
              </w:rPr>
              <w:t xml:space="preserve">- </w:t>
            </w:r>
            <w:r>
              <w:rPr>
                <w:rFonts w:hint="eastAsia" w:ascii="Times New Roman" w:hAnsi="宋体"/>
                <w:kern w:val="0"/>
                <w:szCs w:val="21"/>
              </w:rPr>
              <w:t>您的器械和患者接触附件的化学成分</w:t>
            </w:r>
          </w:p>
        </w:tc>
        <w:tc>
          <w:tcPr>
            <w:tcW w:w="853" w:type="pct"/>
            <w:tcBorders>
              <w:left w:val="single" w:color="000000" w:sz="4" w:space="0"/>
              <w:right w:val="single" w:color="000000" w:sz="4" w:space="0"/>
            </w:tcBorders>
            <w:tcMar>
              <w:top w:w="54" w:type="dxa"/>
              <w:left w:w="54" w:type="dxa"/>
              <w:bottom w:w="54" w:type="dxa"/>
              <w:right w:w="54" w:type="dxa"/>
            </w:tcMar>
          </w:tcPr>
          <w:p w14:paraId="3E111B8D">
            <w:pPr>
              <w:widowControl/>
              <w:ind w:firstLine="0"/>
              <w:rPr>
                <w:rFonts w:ascii="Times New Roman" w:hAnsi="Times New Roman"/>
                <w:kern w:val="0"/>
                <w:szCs w:val="21"/>
              </w:rPr>
            </w:pPr>
            <w:r>
              <w:rPr>
                <w:rFonts w:ascii="Times New Roman" w:hAnsi="Times New Roman"/>
                <w:kern w:val="0"/>
                <w:szCs w:val="21"/>
              </w:rPr>
              <w:t> </w:t>
            </w:r>
          </w:p>
        </w:tc>
        <w:tc>
          <w:tcPr>
            <w:tcW w:w="841" w:type="pct"/>
            <w:tcBorders>
              <w:left w:val="single" w:color="000000" w:sz="4" w:space="0"/>
            </w:tcBorders>
            <w:tcMar>
              <w:top w:w="54" w:type="dxa"/>
              <w:left w:w="54" w:type="dxa"/>
              <w:bottom w:w="54" w:type="dxa"/>
              <w:right w:w="54" w:type="dxa"/>
            </w:tcMar>
          </w:tcPr>
          <w:p w14:paraId="6D46AB3A">
            <w:pPr>
              <w:widowControl/>
              <w:ind w:firstLine="0"/>
              <w:rPr>
                <w:rFonts w:ascii="Times New Roman" w:hAnsi="Times New Roman"/>
                <w:kern w:val="0"/>
                <w:szCs w:val="21"/>
              </w:rPr>
            </w:pPr>
            <w:r>
              <w:rPr>
                <w:rFonts w:ascii="Times New Roman" w:hAnsi="Times New Roman"/>
                <w:kern w:val="0"/>
                <w:szCs w:val="21"/>
              </w:rPr>
              <w:t> </w:t>
            </w:r>
          </w:p>
        </w:tc>
      </w:tr>
      <w:tr w14:paraId="5E84831B">
        <w:tblPrEx>
          <w:tblBorders>
            <w:top w:val="single" w:color="000000" w:sz="4" w:space="0"/>
            <w:left w:val="single" w:color="000000" w:sz="4" w:space="0"/>
            <w:bottom w:val="single" w:color="000000" w:sz="4" w:space="0"/>
            <w:right w:val="single" w:color="000000" w:sz="4" w:space="0"/>
            <w:insideH w:val="single" w:color="000000" w:sz="4" w:space="0"/>
            <w:insideV w:val="single" w:color="DDDDDD" w:sz="4" w:space="0"/>
          </w:tblBorders>
          <w:tblCellMar>
            <w:top w:w="15" w:type="dxa"/>
            <w:left w:w="15" w:type="dxa"/>
            <w:bottom w:w="15" w:type="dxa"/>
            <w:right w:w="15" w:type="dxa"/>
          </w:tblCellMar>
        </w:tblPrEx>
        <w:tc>
          <w:tcPr>
            <w:tcW w:w="3306" w:type="pct"/>
            <w:tcBorders>
              <w:right w:val="single" w:color="000000" w:sz="4" w:space="0"/>
            </w:tcBorders>
            <w:tcMar>
              <w:top w:w="54" w:type="dxa"/>
              <w:left w:w="54" w:type="dxa"/>
              <w:bottom w:w="54" w:type="dxa"/>
              <w:right w:w="54" w:type="dxa"/>
            </w:tcMar>
          </w:tcPr>
          <w:p w14:paraId="06252608">
            <w:pPr>
              <w:widowControl/>
              <w:ind w:firstLine="0"/>
              <w:rPr>
                <w:rFonts w:ascii="Times New Roman" w:hAnsi="Times New Roman"/>
                <w:kern w:val="0"/>
                <w:szCs w:val="21"/>
              </w:rPr>
            </w:pPr>
            <w:r>
              <w:rPr>
                <w:rFonts w:hint="eastAsia" w:ascii="Times New Roman" w:hAnsi="宋体"/>
                <w:b/>
                <w:bCs/>
                <w:kern w:val="0"/>
                <w:szCs w:val="21"/>
              </w:rPr>
              <w:t>物理性质，</w:t>
            </w:r>
            <w:r>
              <w:rPr>
                <w:rFonts w:hint="eastAsia" w:ascii="Times New Roman" w:hAnsi="宋体"/>
                <w:kern w:val="0"/>
                <w:szCs w:val="21"/>
              </w:rPr>
              <w:t>如吸收时间、相纯度、粒度范围、孔隙率、强度</w:t>
            </w:r>
          </w:p>
        </w:tc>
        <w:tc>
          <w:tcPr>
            <w:tcW w:w="853" w:type="pct"/>
            <w:tcBorders>
              <w:left w:val="single" w:color="000000" w:sz="4" w:space="0"/>
              <w:right w:val="single" w:color="000000" w:sz="4" w:space="0"/>
            </w:tcBorders>
            <w:tcMar>
              <w:top w:w="54" w:type="dxa"/>
              <w:left w:w="54" w:type="dxa"/>
              <w:bottom w:w="54" w:type="dxa"/>
              <w:right w:w="54" w:type="dxa"/>
            </w:tcMar>
          </w:tcPr>
          <w:p w14:paraId="68EB4A7D">
            <w:pPr>
              <w:widowControl/>
              <w:ind w:firstLine="0"/>
              <w:rPr>
                <w:rFonts w:ascii="Times New Roman" w:hAnsi="Times New Roman"/>
                <w:kern w:val="0"/>
                <w:szCs w:val="21"/>
              </w:rPr>
            </w:pPr>
            <w:r>
              <w:rPr>
                <w:rFonts w:ascii="Times New Roman" w:hAnsi="Times New Roman"/>
                <w:kern w:val="0"/>
                <w:szCs w:val="21"/>
              </w:rPr>
              <w:t> </w:t>
            </w:r>
          </w:p>
        </w:tc>
        <w:tc>
          <w:tcPr>
            <w:tcW w:w="841" w:type="pct"/>
            <w:tcBorders>
              <w:left w:val="single" w:color="000000" w:sz="4" w:space="0"/>
            </w:tcBorders>
            <w:tcMar>
              <w:top w:w="54" w:type="dxa"/>
              <w:left w:w="54" w:type="dxa"/>
              <w:bottom w:w="54" w:type="dxa"/>
              <w:right w:w="54" w:type="dxa"/>
            </w:tcMar>
          </w:tcPr>
          <w:p w14:paraId="7DFD3863">
            <w:pPr>
              <w:widowControl/>
              <w:ind w:firstLine="0"/>
              <w:rPr>
                <w:rFonts w:ascii="Times New Roman" w:hAnsi="Times New Roman"/>
                <w:kern w:val="0"/>
                <w:szCs w:val="21"/>
              </w:rPr>
            </w:pPr>
            <w:r>
              <w:rPr>
                <w:rFonts w:ascii="Times New Roman" w:hAnsi="Times New Roman"/>
                <w:kern w:val="0"/>
                <w:szCs w:val="21"/>
              </w:rPr>
              <w:t> </w:t>
            </w:r>
          </w:p>
        </w:tc>
      </w:tr>
      <w:tr w14:paraId="06A12C5A">
        <w:tblPrEx>
          <w:tblBorders>
            <w:top w:val="single" w:color="000000" w:sz="4" w:space="0"/>
            <w:left w:val="single" w:color="000000" w:sz="4" w:space="0"/>
            <w:bottom w:val="single" w:color="000000" w:sz="4" w:space="0"/>
            <w:right w:val="single" w:color="000000" w:sz="4" w:space="0"/>
            <w:insideH w:val="single" w:color="000000" w:sz="4" w:space="0"/>
            <w:insideV w:val="single" w:color="DDDDDD" w:sz="4" w:space="0"/>
          </w:tblBorders>
          <w:tblCellMar>
            <w:top w:w="15" w:type="dxa"/>
            <w:left w:w="15" w:type="dxa"/>
            <w:bottom w:w="15" w:type="dxa"/>
            <w:right w:w="15" w:type="dxa"/>
          </w:tblCellMar>
        </w:tblPrEx>
        <w:tc>
          <w:tcPr>
            <w:tcW w:w="3306" w:type="pct"/>
            <w:tcBorders>
              <w:right w:val="single" w:color="000000" w:sz="4" w:space="0"/>
            </w:tcBorders>
            <w:tcMar>
              <w:top w:w="54" w:type="dxa"/>
              <w:left w:w="54" w:type="dxa"/>
              <w:bottom w:w="54" w:type="dxa"/>
              <w:right w:w="54" w:type="dxa"/>
            </w:tcMar>
          </w:tcPr>
          <w:p w14:paraId="21BAA383">
            <w:pPr>
              <w:widowControl/>
              <w:ind w:firstLine="0"/>
              <w:rPr>
                <w:rFonts w:ascii="Times New Roman" w:hAnsi="Times New Roman"/>
                <w:kern w:val="0"/>
                <w:szCs w:val="21"/>
              </w:rPr>
            </w:pPr>
            <w:r>
              <w:rPr>
                <w:rFonts w:hint="eastAsia" w:ascii="Times New Roman" w:hAnsi="宋体"/>
                <w:b/>
                <w:bCs/>
                <w:kern w:val="0"/>
                <w:szCs w:val="21"/>
              </w:rPr>
              <w:t>您遵循的那些</w:t>
            </w:r>
            <w:r>
              <w:rPr>
                <w:rFonts w:ascii="Times New Roman" w:hAnsi="Times New Roman"/>
                <w:b/>
                <w:bCs/>
                <w:kern w:val="0"/>
                <w:szCs w:val="21"/>
              </w:rPr>
              <w:t>FDA</w:t>
            </w:r>
            <w:r>
              <w:rPr>
                <w:rFonts w:hint="eastAsia" w:ascii="Times New Roman" w:hAnsi="宋体"/>
                <w:b/>
                <w:bCs/>
                <w:kern w:val="0"/>
                <w:szCs w:val="21"/>
              </w:rPr>
              <w:t>认可标准的列表，</w:t>
            </w:r>
            <w:r>
              <w:rPr>
                <w:rFonts w:hint="eastAsia" w:ascii="Times New Roman" w:hAnsi="宋体"/>
                <w:bCs/>
                <w:kern w:val="0"/>
                <w:szCs w:val="21"/>
              </w:rPr>
              <w:t>如材料特征说明、生物相容性、灭菌标准</w:t>
            </w:r>
            <w:r>
              <w:fldChar w:fldCharType="begin"/>
            </w:r>
            <w:r>
              <w:instrText xml:space="preserve"> HYPERLINK "https://www.fda.gov/medicaldevices/deviceregulationandguidance/guidancedocuments/ucm071842.htm" \l "f10" </w:instrText>
            </w:r>
            <w:r>
              <w:fldChar w:fldCharType="separate"/>
            </w:r>
            <w:r>
              <w:rPr>
                <w:rFonts w:ascii="Times New Roman" w:hAnsi="Times New Roman"/>
                <w:kern w:val="0"/>
                <w:szCs w:val="21"/>
                <w:u w:val="single"/>
                <w:vertAlign w:val="superscript"/>
              </w:rPr>
              <w:t>10</w:t>
            </w:r>
            <w:r>
              <w:rPr>
                <w:rFonts w:ascii="Times New Roman" w:hAnsi="Times New Roman"/>
                <w:kern w:val="0"/>
                <w:szCs w:val="21"/>
                <w:u w:val="single"/>
                <w:vertAlign w:val="superscript"/>
              </w:rPr>
              <w:fldChar w:fldCharType="end"/>
            </w:r>
          </w:p>
        </w:tc>
        <w:tc>
          <w:tcPr>
            <w:tcW w:w="853" w:type="pct"/>
            <w:tcBorders>
              <w:left w:val="single" w:color="000000" w:sz="4" w:space="0"/>
              <w:right w:val="single" w:color="000000" w:sz="4" w:space="0"/>
            </w:tcBorders>
            <w:tcMar>
              <w:top w:w="54" w:type="dxa"/>
              <w:left w:w="54" w:type="dxa"/>
              <w:bottom w:w="54" w:type="dxa"/>
              <w:right w:w="54" w:type="dxa"/>
            </w:tcMar>
          </w:tcPr>
          <w:p w14:paraId="6682758F">
            <w:pPr>
              <w:widowControl/>
              <w:ind w:firstLine="0"/>
              <w:rPr>
                <w:rFonts w:ascii="Times New Roman" w:hAnsi="Times New Roman"/>
                <w:kern w:val="0"/>
                <w:szCs w:val="21"/>
              </w:rPr>
            </w:pPr>
            <w:r>
              <w:rPr>
                <w:rFonts w:ascii="Times New Roman" w:hAnsi="Times New Roman"/>
                <w:kern w:val="0"/>
                <w:szCs w:val="21"/>
              </w:rPr>
              <w:t> </w:t>
            </w:r>
          </w:p>
        </w:tc>
        <w:tc>
          <w:tcPr>
            <w:tcW w:w="841" w:type="pct"/>
            <w:tcBorders>
              <w:left w:val="single" w:color="000000" w:sz="4" w:space="0"/>
            </w:tcBorders>
            <w:tcMar>
              <w:top w:w="54" w:type="dxa"/>
              <w:left w:w="54" w:type="dxa"/>
              <w:bottom w:w="54" w:type="dxa"/>
              <w:right w:w="54" w:type="dxa"/>
            </w:tcMar>
          </w:tcPr>
          <w:p w14:paraId="65E4C0E3">
            <w:pPr>
              <w:widowControl/>
              <w:ind w:firstLine="0"/>
              <w:rPr>
                <w:rFonts w:ascii="Times New Roman" w:hAnsi="Times New Roman"/>
                <w:kern w:val="0"/>
                <w:szCs w:val="21"/>
              </w:rPr>
            </w:pPr>
            <w:r>
              <w:rPr>
                <w:rFonts w:ascii="Times New Roman" w:hAnsi="Times New Roman"/>
                <w:kern w:val="0"/>
                <w:szCs w:val="21"/>
              </w:rPr>
              <w:t> </w:t>
            </w:r>
          </w:p>
        </w:tc>
      </w:tr>
    </w:tbl>
    <w:p w14:paraId="5AE66D4B">
      <w:pPr>
        <w:widowControl/>
        <w:spacing w:after="330"/>
        <w:ind w:firstLine="0"/>
        <w:rPr>
          <w:rFonts w:ascii="Times New Roman" w:hAnsi="Times New Roman"/>
          <w:kern w:val="0"/>
          <w:sz w:val="15"/>
          <w:szCs w:val="15"/>
        </w:rPr>
      </w:pPr>
      <w:r>
        <w:rPr>
          <w:rFonts w:hint="eastAsia" w:ascii="Times New Roman" w:hAnsi="宋体"/>
          <w:b/>
          <w:kern w:val="0"/>
          <w:sz w:val="15"/>
          <w:szCs w:val="15"/>
          <w:u w:val="single"/>
        </w:rPr>
        <w:t>返回顶部</w:t>
      </w:r>
    </w:p>
    <w:p w14:paraId="185B2A48">
      <w:pPr>
        <w:widowControl/>
        <w:spacing w:before="330" w:after="330"/>
        <w:ind w:firstLine="0"/>
        <w:rPr>
          <w:rFonts w:ascii="Times New Roman" w:hAnsi="Times New Roman"/>
          <w:kern w:val="0"/>
          <w:sz w:val="15"/>
          <w:szCs w:val="15"/>
        </w:rPr>
      </w:pPr>
      <w:r>
        <w:rPr>
          <w:rFonts w:ascii="Times New Roman" w:hAnsi="Times New Roman"/>
          <w:kern w:val="0"/>
          <w:sz w:val="15"/>
          <w:szCs w:val="15"/>
        </w:rPr>
        <w:pict>
          <v:rect id="_x0000_i1031" o:spt="1" style="height:0pt;width:0pt;" fillcolor="#333333" filled="t" stroked="f" coordsize="21600,21600" o:hr="t" o:hrstd="t" o:hrnoshade="t" o:hralign="center">
            <v:path/>
            <v:fill on="t" focussize="0,0"/>
            <v:stroke on="f"/>
            <v:imagedata o:title=""/>
            <o:lock v:ext="edit"/>
            <w10:wrap type="none"/>
            <w10:anchorlock/>
          </v:rect>
        </w:pict>
      </w:r>
    </w:p>
    <w:p w14:paraId="4DEDCF18">
      <w:pPr>
        <w:widowControl/>
        <w:shd w:val="clear" w:color="auto" w:fill="FFFFFF"/>
        <w:spacing w:after="118"/>
        <w:ind w:firstLine="0"/>
        <w:outlineLvl w:val="0"/>
        <w:rPr>
          <w:rFonts w:ascii="Times New Roman" w:hAnsi="Times New Roman"/>
          <w:b/>
          <w:bCs/>
          <w:kern w:val="0"/>
          <w:sz w:val="23"/>
          <w:szCs w:val="23"/>
        </w:rPr>
      </w:pPr>
      <w:bookmarkStart w:id="6" w:name="_Toc480622167"/>
      <w:r>
        <w:rPr>
          <w:rFonts w:ascii="Times New Roman" w:hAnsi="Times New Roman"/>
          <w:b/>
          <w:bCs/>
          <w:kern w:val="0"/>
          <w:sz w:val="23"/>
          <w:szCs w:val="23"/>
        </w:rPr>
        <w:t>6.</w:t>
      </w:r>
      <w:r>
        <w:rPr>
          <w:rFonts w:ascii="Times New Roman" w:hAnsi="Times New Roman"/>
          <w:b/>
          <w:bCs/>
          <w:kern w:val="0"/>
          <w:sz w:val="23"/>
          <w:szCs w:val="23"/>
        </w:rPr>
        <w:tab/>
      </w:r>
      <w:r>
        <w:rPr>
          <w:rFonts w:hint="eastAsia" w:ascii="Times New Roman" w:hAnsi="宋体"/>
          <w:b/>
          <w:bCs/>
          <w:kern w:val="0"/>
          <w:sz w:val="23"/>
          <w:szCs w:val="23"/>
        </w:rPr>
        <w:t>健康风险</w:t>
      </w:r>
      <w:bookmarkEnd w:id="6"/>
    </w:p>
    <w:p w14:paraId="293A3387">
      <w:pPr>
        <w:widowControl/>
        <w:shd w:val="clear" w:color="auto" w:fill="FFFFFF"/>
        <w:spacing w:line="207" w:lineRule="atLeast"/>
        <w:ind w:firstLine="0"/>
        <w:rPr>
          <w:rFonts w:ascii="Times New Roman" w:hAnsi="Times New Roman"/>
          <w:kern w:val="0"/>
          <w:sz w:val="15"/>
          <w:szCs w:val="15"/>
        </w:rPr>
      </w:pPr>
      <w:r>
        <w:rPr>
          <w:rFonts w:hint="eastAsia" w:ascii="Times New Roman" w:hAnsi="宋体"/>
          <w:kern w:val="0"/>
          <w:sz w:val="15"/>
          <w:szCs w:val="15"/>
        </w:rPr>
        <w:t>在下表中，</w:t>
      </w:r>
      <w:r>
        <w:rPr>
          <w:rFonts w:ascii="Times New Roman" w:hAnsi="Times New Roman"/>
          <w:kern w:val="0"/>
          <w:sz w:val="15"/>
          <w:szCs w:val="15"/>
        </w:rPr>
        <w:t>FDA</w:t>
      </w:r>
      <w:r>
        <w:rPr>
          <w:rFonts w:hint="eastAsia" w:ascii="Times New Roman" w:hAnsi="宋体"/>
          <w:kern w:val="0"/>
          <w:sz w:val="15"/>
          <w:szCs w:val="15"/>
        </w:rPr>
        <w:t>已标识出了使用本文件中所述骨移植材料通常会引起的健康风险。本指导文件中也列出了减轻这些已知风险的建议措施，如下表所示。递交</w:t>
      </w:r>
      <w:r>
        <w:rPr>
          <w:rFonts w:ascii="Times New Roman" w:hAnsi="Times New Roman"/>
          <w:kern w:val="0"/>
          <w:sz w:val="15"/>
          <w:szCs w:val="15"/>
        </w:rPr>
        <w:t>510(k)</w:t>
      </w:r>
      <w:r>
        <w:rPr>
          <w:rFonts w:hint="eastAsia" w:ascii="Times New Roman" w:hAnsi="宋体"/>
          <w:kern w:val="0"/>
          <w:sz w:val="15"/>
          <w:szCs w:val="15"/>
        </w:rPr>
        <w:t>申请之前，您还应该执行风险分析，以标识您器械特定的所有其他风险。</w:t>
      </w:r>
      <w:r>
        <w:rPr>
          <w:rFonts w:ascii="Times New Roman" w:hAnsi="Times New Roman"/>
          <w:kern w:val="0"/>
          <w:sz w:val="15"/>
          <w:szCs w:val="15"/>
        </w:rPr>
        <w:t>510(k)</w:t>
      </w:r>
      <w:r>
        <w:rPr>
          <w:rFonts w:hint="eastAsia" w:ascii="Times New Roman" w:hAnsi="宋体"/>
          <w:kern w:val="0"/>
          <w:sz w:val="15"/>
          <w:szCs w:val="15"/>
        </w:rPr>
        <w:t>申请应该说明风险分析方法。如果您选择使用另一替代方法来消除本文件中标识的某一特定风险或本文件之外标识的风险，则您应该提供充分详细的信息，以支持您用来消除这些风险所使用的方法。</w:t>
      </w:r>
    </w:p>
    <w:tbl>
      <w:tblPr>
        <w:tblStyle w:val="13"/>
        <w:tblW w:w="765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15" w:type="dxa"/>
          <w:left w:w="15" w:type="dxa"/>
          <w:bottom w:w="15" w:type="dxa"/>
          <w:right w:w="15" w:type="dxa"/>
        </w:tblCellMar>
      </w:tblPr>
      <w:tblGrid>
        <w:gridCol w:w="2714"/>
        <w:gridCol w:w="4937"/>
      </w:tblGrid>
      <w:tr w14:paraId="60850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Header/>
        </w:trPr>
        <w:tc>
          <w:tcPr>
            <w:tcW w:w="0" w:type="auto"/>
            <w:shd w:val="clear" w:color="auto" w:fill="6699FF"/>
            <w:tcMar>
              <w:top w:w="54" w:type="dxa"/>
              <w:left w:w="54" w:type="dxa"/>
              <w:bottom w:w="54" w:type="dxa"/>
              <w:right w:w="54" w:type="dxa"/>
            </w:tcMar>
            <w:vAlign w:val="bottom"/>
          </w:tcPr>
          <w:p w14:paraId="69E9743F">
            <w:pPr>
              <w:widowControl/>
              <w:spacing w:before="285" w:after="285"/>
              <w:ind w:firstLine="0"/>
              <w:rPr>
                <w:rFonts w:ascii="Times New Roman" w:hAnsi="Times New Roman"/>
                <w:b/>
                <w:bCs/>
                <w:kern w:val="0"/>
                <w:szCs w:val="21"/>
              </w:rPr>
            </w:pPr>
            <w:r>
              <w:rPr>
                <w:rFonts w:hint="eastAsia" w:ascii="Times New Roman" w:hAnsi="宋体"/>
                <w:b/>
                <w:bCs/>
                <w:kern w:val="0"/>
                <w:szCs w:val="21"/>
              </w:rPr>
              <w:t>已知风险</w:t>
            </w:r>
          </w:p>
        </w:tc>
        <w:tc>
          <w:tcPr>
            <w:tcW w:w="0" w:type="auto"/>
            <w:shd w:val="clear" w:color="auto" w:fill="6699FF"/>
            <w:tcMar>
              <w:top w:w="54" w:type="dxa"/>
              <w:left w:w="54" w:type="dxa"/>
              <w:bottom w:w="54" w:type="dxa"/>
              <w:right w:w="54" w:type="dxa"/>
            </w:tcMar>
            <w:vAlign w:val="bottom"/>
          </w:tcPr>
          <w:p w14:paraId="377EF6C1">
            <w:pPr>
              <w:widowControl/>
              <w:spacing w:before="285" w:after="285"/>
              <w:ind w:firstLine="0"/>
              <w:rPr>
                <w:rFonts w:ascii="Times New Roman" w:hAnsi="Times New Roman"/>
                <w:b/>
                <w:bCs/>
                <w:kern w:val="0"/>
                <w:szCs w:val="21"/>
              </w:rPr>
            </w:pPr>
            <w:r>
              <w:rPr>
                <w:rFonts w:hint="eastAsia" w:ascii="Times New Roman" w:hAnsi="宋体"/>
                <w:b/>
                <w:bCs/>
                <w:kern w:val="0"/>
                <w:szCs w:val="21"/>
              </w:rPr>
              <w:t>推荐的缓解措施</w:t>
            </w:r>
          </w:p>
        </w:tc>
      </w:tr>
      <w:tr w14:paraId="4C7371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W w:w="0" w:type="auto"/>
            <w:tcMar>
              <w:top w:w="54" w:type="dxa"/>
              <w:left w:w="54" w:type="dxa"/>
              <w:bottom w:w="54" w:type="dxa"/>
              <w:right w:w="54" w:type="dxa"/>
            </w:tcMar>
          </w:tcPr>
          <w:p w14:paraId="6E4A4DEB">
            <w:pPr>
              <w:widowControl/>
              <w:ind w:firstLine="0"/>
              <w:rPr>
                <w:rFonts w:ascii="Times New Roman" w:hAnsi="Times New Roman"/>
                <w:kern w:val="0"/>
                <w:szCs w:val="21"/>
              </w:rPr>
            </w:pPr>
            <w:r>
              <w:rPr>
                <w:rFonts w:hint="eastAsia" w:ascii="Times New Roman" w:hAnsi="宋体"/>
                <w:kern w:val="0"/>
                <w:szCs w:val="21"/>
              </w:rPr>
              <w:t>无效骨形成</w:t>
            </w:r>
          </w:p>
        </w:tc>
        <w:tc>
          <w:tcPr>
            <w:tcW w:w="0" w:type="auto"/>
            <w:tcMar>
              <w:top w:w="54" w:type="dxa"/>
              <w:left w:w="54" w:type="dxa"/>
              <w:bottom w:w="54" w:type="dxa"/>
              <w:right w:w="54" w:type="dxa"/>
            </w:tcMar>
          </w:tcPr>
          <w:p w14:paraId="69993415">
            <w:pPr>
              <w:widowControl/>
              <w:ind w:firstLine="0"/>
              <w:rPr>
                <w:rFonts w:ascii="Times New Roman" w:hAnsi="Times New Roman"/>
                <w:kern w:val="0"/>
                <w:szCs w:val="21"/>
              </w:rPr>
            </w:pPr>
            <w:r>
              <w:fldChar w:fldCharType="begin"/>
            </w:r>
            <w:r>
              <w:instrText xml:space="preserve"> HYPERLINK "https://www.fda.gov/medicaldevices/deviceregulationandguidance/guidancedocuments/ucm071842.htm" \l "7" </w:instrText>
            </w:r>
            <w:r>
              <w:fldChar w:fldCharType="separate"/>
            </w:r>
            <w:r>
              <w:rPr>
                <w:rFonts w:hint="eastAsia" w:ascii="Times New Roman" w:hAnsi="宋体"/>
                <w:kern w:val="0"/>
                <w:szCs w:val="21"/>
                <w:u w:val="single"/>
              </w:rPr>
              <w:t>第</w:t>
            </w:r>
            <w:r>
              <w:rPr>
                <w:rFonts w:ascii="Times New Roman" w:hAnsi="Times New Roman"/>
                <w:kern w:val="0"/>
                <w:szCs w:val="21"/>
                <w:u w:val="single"/>
              </w:rPr>
              <w:t xml:space="preserve"> 7 </w:t>
            </w:r>
            <w:r>
              <w:rPr>
                <w:rFonts w:hint="eastAsia" w:ascii="Times New Roman" w:hAnsi="宋体"/>
                <w:kern w:val="0"/>
                <w:szCs w:val="21"/>
                <w:u w:val="single"/>
              </w:rPr>
              <w:t>部分</w:t>
            </w:r>
            <w:r>
              <w:rPr>
                <w:rFonts w:ascii="Times New Roman" w:hAnsi="Times New Roman"/>
                <w:kern w:val="0"/>
                <w:szCs w:val="21"/>
                <w:u w:val="single"/>
              </w:rPr>
              <w:t xml:space="preserve">- </w:t>
            </w:r>
            <w:r>
              <w:rPr>
                <w:rFonts w:hint="eastAsia" w:ascii="Times New Roman" w:hAnsi="宋体"/>
                <w:kern w:val="0"/>
                <w:szCs w:val="21"/>
                <w:u w:val="single"/>
              </w:rPr>
              <w:t>材料特征描述</w:t>
            </w:r>
            <w:r>
              <w:rPr>
                <w:rFonts w:hint="eastAsia" w:ascii="Times New Roman" w:hAnsi="宋体"/>
                <w:kern w:val="0"/>
                <w:szCs w:val="21"/>
                <w:u w:val="single"/>
              </w:rPr>
              <w:fldChar w:fldCharType="end"/>
            </w:r>
          </w:p>
        </w:tc>
      </w:tr>
      <w:tr w14:paraId="4D4D1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W w:w="0" w:type="auto"/>
            <w:tcMar>
              <w:top w:w="54" w:type="dxa"/>
              <w:left w:w="54" w:type="dxa"/>
              <w:bottom w:w="54" w:type="dxa"/>
              <w:right w:w="54" w:type="dxa"/>
            </w:tcMar>
          </w:tcPr>
          <w:p w14:paraId="3E0C4050">
            <w:pPr>
              <w:widowControl/>
              <w:ind w:firstLine="0"/>
              <w:rPr>
                <w:rFonts w:ascii="Times New Roman" w:hAnsi="Times New Roman"/>
                <w:kern w:val="0"/>
                <w:szCs w:val="21"/>
              </w:rPr>
            </w:pPr>
            <w:r>
              <w:rPr>
                <w:rFonts w:hint="eastAsia" w:ascii="Times New Roman" w:hAnsi="宋体"/>
                <w:kern w:val="0"/>
                <w:szCs w:val="21"/>
              </w:rPr>
              <w:t>不良组织反应</w:t>
            </w:r>
          </w:p>
        </w:tc>
        <w:tc>
          <w:tcPr>
            <w:tcW w:w="0" w:type="auto"/>
            <w:tcMar>
              <w:top w:w="54" w:type="dxa"/>
              <w:left w:w="54" w:type="dxa"/>
              <w:bottom w:w="54" w:type="dxa"/>
              <w:right w:w="54" w:type="dxa"/>
            </w:tcMar>
          </w:tcPr>
          <w:p w14:paraId="46472B29">
            <w:pPr>
              <w:widowControl/>
              <w:ind w:firstLine="0"/>
              <w:rPr>
                <w:rFonts w:ascii="Times New Roman" w:hAnsi="Times New Roman"/>
                <w:kern w:val="0"/>
                <w:szCs w:val="21"/>
              </w:rPr>
            </w:pPr>
            <w:r>
              <w:rPr>
                <w:rFonts w:hint="eastAsia" w:ascii="Times New Roman" w:hAnsi="宋体"/>
                <w:kern w:val="0"/>
                <w:szCs w:val="21"/>
              </w:rPr>
              <w:t>第</w:t>
            </w:r>
            <w:r>
              <w:rPr>
                <w:rFonts w:ascii="Times New Roman" w:hAnsi="Times New Roman"/>
                <w:kern w:val="0"/>
                <w:szCs w:val="21"/>
              </w:rPr>
              <w:t>8</w:t>
            </w:r>
            <w:r>
              <w:rPr>
                <w:rFonts w:hint="eastAsia" w:ascii="Times New Roman" w:hAnsi="宋体"/>
                <w:kern w:val="0"/>
                <w:szCs w:val="21"/>
              </w:rPr>
              <w:t>部分生物相容性</w:t>
            </w:r>
          </w:p>
        </w:tc>
      </w:tr>
      <w:tr w14:paraId="1A56EF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W w:w="0" w:type="auto"/>
            <w:tcMar>
              <w:top w:w="54" w:type="dxa"/>
              <w:left w:w="54" w:type="dxa"/>
              <w:bottom w:w="54" w:type="dxa"/>
              <w:right w:w="54" w:type="dxa"/>
            </w:tcMar>
          </w:tcPr>
          <w:p w14:paraId="28C07C45">
            <w:pPr>
              <w:widowControl/>
              <w:ind w:firstLine="0"/>
              <w:rPr>
                <w:rFonts w:ascii="Times New Roman" w:hAnsi="Times New Roman"/>
                <w:kern w:val="0"/>
                <w:szCs w:val="21"/>
              </w:rPr>
            </w:pPr>
            <w:r>
              <w:rPr>
                <w:rFonts w:hint="eastAsia" w:ascii="Times New Roman" w:hAnsi="宋体"/>
                <w:kern w:val="0"/>
                <w:szCs w:val="21"/>
              </w:rPr>
              <w:t>感染</w:t>
            </w:r>
          </w:p>
        </w:tc>
        <w:tc>
          <w:tcPr>
            <w:tcW w:w="0" w:type="auto"/>
            <w:tcMar>
              <w:top w:w="54" w:type="dxa"/>
              <w:left w:w="54" w:type="dxa"/>
              <w:bottom w:w="54" w:type="dxa"/>
              <w:right w:w="54" w:type="dxa"/>
            </w:tcMar>
          </w:tcPr>
          <w:p w14:paraId="2E5533D4">
            <w:pPr>
              <w:widowControl/>
              <w:ind w:firstLine="0"/>
              <w:rPr>
                <w:rFonts w:ascii="Times New Roman" w:hAnsi="Times New Roman"/>
                <w:kern w:val="0"/>
                <w:szCs w:val="21"/>
              </w:rPr>
            </w:pPr>
            <w:r>
              <w:fldChar w:fldCharType="begin"/>
            </w:r>
            <w:r>
              <w:instrText xml:space="preserve"> HYPERLINK "https://www.fda.gov/medicaldevices/deviceregulationandguidance/guidancedocuments/ucm071842.htm" \l "9" </w:instrText>
            </w:r>
            <w:r>
              <w:fldChar w:fldCharType="separate"/>
            </w:r>
            <w:r>
              <w:rPr>
                <w:rFonts w:hint="eastAsia" w:ascii="Times New Roman" w:hAnsi="宋体"/>
                <w:kern w:val="0"/>
                <w:szCs w:val="21"/>
                <w:u w:val="single"/>
              </w:rPr>
              <w:t>第</w:t>
            </w:r>
            <w:r>
              <w:rPr>
                <w:rFonts w:ascii="Times New Roman" w:hAnsi="Times New Roman"/>
                <w:kern w:val="0"/>
                <w:szCs w:val="21"/>
                <w:u w:val="single"/>
              </w:rPr>
              <w:t xml:space="preserve"> 9 </w:t>
            </w:r>
            <w:r>
              <w:rPr>
                <w:rFonts w:hint="eastAsia" w:ascii="Times New Roman" w:hAnsi="宋体"/>
                <w:kern w:val="0"/>
                <w:szCs w:val="21"/>
                <w:u w:val="single"/>
              </w:rPr>
              <w:t>部分</w:t>
            </w:r>
            <w:r>
              <w:rPr>
                <w:rFonts w:ascii="Times New Roman" w:hAnsi="Times New Roman"/>
                <w:kern w:val="0"/>
                <w:szCs w:val="21"/>
                <w:u w:val="single"/>
              </w:rPr>
              <w:t xml:space="preserve">- </w:t>
            </w:r>
            <w:r>
              <w:rPr>
                <w:rFonts w:hint="eastAsia" w:ascii="Times New Roman" w:hAnsi="宋体"/>
                <w:kern w:val="0"/>
                <w:szCs w:val="21"/>
                <w:u w:val="single"/>
              </w:rPr>
              <w:t>灭菌</w:t>
            </w:r>
            <w:r>
              <w:rPr>
                <w:rFonts w:hint="eastAsia" w:ascii="Times New Roman" w:hAnsi="宋体"/>
                <w:kern w:val="0"/>
                <w:szCs w:val="21"/>
                <w:u w:val="single"/>
              </w:rPr>
              <w:fldChar w:fldCharType="end"/>
            </w:r>
          </w:p>
        </w:tc>
      </w:tr>
      <w:tr w14:paraId="08E3BD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W w:w="0" w:type="auto"/>
            <w:tcMar>
              <w:top w:w="54" w:type="dxa"/>
              <w:left w:w="54" w:type="dxa"/>
              <w:bottom w:w="54" w:type="dxa"/>
              <w:right w:w="54" w:type="dxa"/>
            </w:tcMar>
          </w:tcPr>
          <w:p w14:paraId="4CE1F96F">
            <w:pPr>
              <w:widowControl/>
              <w:spacing w:before="285" w:after="285"/>
              <w:ind w:firstLine="0"/>
              <w:rPr>
                <w:rFonts w:ascii="Times New Roman" w:hAnsi="Times New Roman"/>
                <w:kern w:val="0"/>
                <w:szCs w:val="21"/>
              </w:rPr>
            </w:pPr>
            <w:r>
              <w:rPr>
                <w:rFonts w:hint="eastAsia" w:ascii="Times New Roman" w:hAnsi="宋体"/>
                <w:kern w:val="0"/>
                <w:szCs w:val="21"/>
              </w:rPr>
              <w:t>不恰当的使用</w:t>
            </w:r>
          </w:p>
        </w:tc>
        <w:tc>
          <w:tcPr>
            <w:tcW w:w="0" w:type="auto"/>
            <w:tcMar>
              <w:top w:w="54" w:type="dxa"/>
              <w:left w:w="54" w:type="dxa"/>
              <w:bottom w:w="54" w:type="dxa"/>
              <w:right w:w="54" w:type="dxa"/>
            </w:tcMar>
          </w:tcPr>
          <w:p w14:paraId="503CAB94">
            <w:pPr>
              <w:widowControl/>
              <w:spacing w:before="285" w:after="285"/>
              <w:ind w:firstLine="0"/>
              <w:rPr>
                <w:rFonts w:ascii="Times New Roman" w:hAnsi="Times New Roman"/>
                <w:kern w:val="0"/>
                <w:szCs w:val="21"/>
              </w:rPr>
            </w:pPr>
            <w:r>
              <w:rPr>
                <w:rFonts w:hint="eastAsia" w:ascii="Times New Roman" w:hAnsi="宋体"/>
                <w:kern w:val="0"/>
                <w:szCs w:val="21"/>
              </w:rPr>
              <w:t>第</w:t>
            </w:r>
            <w:r>
              <w:rPr>
                <w:rFonts w:ascii="Times New Roman" w:hAnsi="Times New Roman"/>
                <w:kern w:val="0"/>
                <w:szCs w:val="21"/>
              </w:rPr>
              <w:t>10</w:t>
            </w:r>
            <w:r>
              <w:rPr>
                <w:rFonts w:hint="eastAsia" w:ascii="Times New Roman" w:hAnsi="宋体"/>
                <w:kern w:val="0"/>
                <w:szCs w:val="21"/>
              </w:rPr>
              <w:t>部分标签</w:t>
            </w:r>
          </w:p>
        </w:tc>
      </w:tr>
    </w:tbl>
    <w:p w14:paraId="2FB75C57">
      <w:pPr>
        <w:widowControl/>
        <w:spacing w:after="330"/>
        <w:ind w:firstLine="0"/>
        <w:rPr>
          <w:rFonts w:ascii="Times New Roman" w:hAnsi="宋体"/>
          <w:b/>
          <w:kern w:val="0"/>
          <w:sz w:val="15"/>
          <w:szCs w:val="15"/>
          <w:u w:val="single"/>
        </w:rPr>
      </w:pPr>
      <w:r>
        <w:rPr>
          <w:rFonts w:hint="eastAsia" w:ascii="Times New Roman" w:hAnsi="宋体"/>
          <w:b/>
          <w:kern w:val="0"/>
          <w:sz w:val="15"/>
          <w:szCs w:val="15"/>
          <w:u w:val="single"/>
        </w:rPr>
        <w:t>返回顶部</w:t>
      </w:r>
    </w:p>
    <w:p w14:paraId="684FACA4">
      <w:pPr>
        <w:widowControl/>
        <w:spacing w:before="330" w:after="330"/>
        <w:ind w:firstLine="0"/>
        <w:rPr>
          <w:rFonts w:ascii="Times New Roman" w:hAnsi="Times New Roman"/>
          <w:kern w:val="0"/>
          <w:sz w:val="15"/>
          <w:szCs w:val="15"/>
        </w:rPr>
      </w:pPr>
      <w:r>
        <w:rPr>
          <w:rFonts w:ascii="Times New Roman" w:hAnsi="Times New Roman"/>
          <w:kern w:val="0"/>
          <w:sz w:val="15"/>
          <w:szCs w:val="15"/>
        </w:rPr>
        <w:pict>
          <v:rect id="_x0000_i1032" o:spt="1" style="height:0pt;width:0pt;" fillcolor="#333333" filled="t" stroked="f" coordsize="21600,21600" o:hr="t" o:hrstd="t" o:hrnoshade="t" o:hralign="center">
            <v:path/>
            <v:fill on="t" focussize="0,0"/>
            <v:stroke on="f"/>
            <v:imagedata o:title=""/>
            <o:lock v:ext="edit"/>
            <w10:wrap type="none"/>
            <w10:anchorlock/>
          </v:rect>
        </w:pict>
      </w:r>
    </w:p>
    <w:p w14:paraId="2B4F29E5">
      <w:pPr>
        <w:widowControl/>
        <w:shd w:val="clear" w:color="auto" w:fill="FFFFFF"/>
        <w:spacing w:after="118"/>
        <w:ind w:firstLine="0"/>
        <w:outlineLvl w:val="0"/>
        <w:rPr>
          <w:rFonts w:ascii="Times New Roman" w:hAnsi="Times New Roman"/>
          <w:b/>
          <w:bCs/>
          <w:kern w:val="0"/>
          <w:sz w:val="23"/>
          <w:szCs w:val="23"/>
        </w:rPr>
      </w:pPr>
      <w:bookmarkStart w:id="7" w:name="_Toc480622168"/>
      <w:r>
        <w:rPr>
          <w:rFonts w:ascii="Times New Roman" w:hAnsi="Times New Roman"/>
          <w:b/>
          <w:bCs/>
          <w:kern w:val="0"/>
          <w:sz w:val="23"/>
          <w:szCs w:val="23"/>
        </w:rPr>
        <w:t>7.</w:t>
      </w:r>
      <w:r>
        <w:rPr>
          <w:rFonts w:ascii="Times New Roman" w:hAnsi="Times New Roman"/>
          <w:b/>
          <w:bCs/>
          <w:kern w:val="0"/>
          <w:sz w:val="23"/>
          <w:szCs w:val="23"/>
        </w:rPr>
        <w:tab/>
      </w:r>
      <w:r>
        <w:rPr>
          <w:rFonts w:hint="eastAsia" w:ascii="Times New Roman" w:hAnsi="宋体"/>
          <w:b/>
          <w:bCs/>
          <w:kern w:val="0"/>
          <w:sz w:val="23"/>
          <w:szCs w:val="23"/>
        </w:rPr>
        <w:t>材料特征说明</w:t>
      </w:r>
      <w:bookmarkEnd w:id="7"/>
    </w:p>
    <w:p w14:paraId="20DABD49">
      <w:pPr>
        <w:widowControl/>
        <w:shd w:val="clear" w:color="auto" w:fill="FFFFFF"/>
        <w:spacing w:line="207" w:lineRule="atLeast"/>
        <w:ind w:firstLine="0"/>
        <w:rPr>
          <w:rFonts w:ascii="Times New Roman" w:hAnsi="Times New Roman"/>
          <w:kern w:val="0"/>
          <w:sz w:val="15"/>
          <w:szCs w:val="15"/>
        </w:rPr>
      </w:pPr>
      <w:r>
        <w:rPr>
          <w:rFonts w:hint="eastAsia" w:ascii="Times New Roman" w:hAnsi="宋体"/>
          <w:kern w:val="0"/>
          <w:sz w:val="15"/>
          <w:szCs w:val="15"/>
        </w:rPr>
        <w:t>我们建议您应该利用下面列出的相关</w:t>
      </w:r>
      <w:r>
        <w:rPr>
          <w:rFonts w:ascii="Times New Roman" w:hAnsi="Times New Roman"/>
          <w:kern w:val="0"/>
          <w:sz w:val="15"/>
          <w:szCs w:val="15"/>
        </w:rPr>
        <w:t>FDA</w:t>
      </w:r>
      <w:r>
        <w:rPr>
          <w:rFonts w:hint="eastAsia" w:ascii="Times New Roman" w:hAnsi="宋体"/>
          <w:kern w:val="0"/>
          <w:sz w:val="15"/>
          <w:szCs w:val="15"/>
        </w:rPr>
        <w:t>认可标准或等效方法对您的骨移植材料进行评价。</w:t>
      </w:r>
    </w:p>
    <w:p w14:paraId="1217EB37">
      <w:pPr>
        <w:widowControl/>
        <w:numPr>
          <w:ilvl w:val="0"/>
          <w:numId w:val="7"/>
        </w:numPr>
        <w:shd w:val="clear" w:color="auto" w:fill="FFFFFF"/>
        <w:spacing w:line="207" w:lineRule="atLeast"/>
        <w:ind w:left="300"/>
        <w:rPr>
          <w:rFonts w:ascii="Times New Roman" w:hAnsi="Times New Roman"/>
          <w:kern w:val="0"/>
          <w:sz w:val="15"/>
          <w:szCs w:val="15"/>
        </w:rPr>
      </w:pPr>
      <w:r>
        <w:rPr>
          <w:rFonts w:hint="eastAsia" w:ascii="Times New Roman" w:hAnsi="宋体"/>
          <w:b/>
          <w:bCs/>
          <w:kern w:val="0"/>
          <w:sz w:val="15"/>
          <w:szCs w:val="15"/>
        </w:rPr>
        <w:t>美国试验与材料学会（</w:t>
      </w:r>
      <w:r>
        <w:rPr>
          <w:rFonts w:ascii="Times New Roman" w:hAnsi="Times New Roman"/>
          <w:b/>
          <w:bCs/>
          <w:kern w:val="0"/>
          <w:sz w:val="15"/>
          <w:szCs w:val="15"/>
        </w:rPr>
        <w:t>ASTM</w:t>
      </w:r>
      <w:r>
        <w:rPr>
          <w:rFonts w:hint="eastAsia" w:ascii="Times New Roman" w:hAnsi="宋体"/>
          <w:b/>
          <w:bCs/>
          <w:kern w:val="0"/>
          <w:sz w:val="15"/>
          <w:szCs w:val="15"/>
        </w:rPr>
        <w:t>）</w:t>
      </w:r>
      <w:r>
        <w:rPr>
          <w:rFonts w:ascii="Times New Roman" w:hAnsi="Times New Roman"/>
          <w:b/>
          <w:bCs/>
          <w:kern w:val="0"/>
          <w:sz w:val="15"/>
          <w:szCs w:val="15"/>
        </w:rPr>
        <w:t xml:space="preserve">F 1185-88(1993) </w:t>
      </w:r>
      <w:r>
        <w:rPr>
          <w:rFonts w:hint="eastAsia" w:ascii="Times New Roman" w:hAnsi="宋体"/>
          <w:b/>
          <w:bCs/>
          <w:kern w:val="0"/>
          <w:sz w:val="15"/>
          <w:szCs w:val="15"/>
        </w:rPr>
        <w:t>，</w:t>
      </w:r>
      <w:r>
        <w:rPr>
          <w:rFonts w:ascii="Times New Roman" w:hAnsi="Times New Roman"/>
          <w:b/>
          <w:bCs/>
          <w:kern w:val="0"/>
          <w:sz w:val="15"/>
          <w:szCs w:val="15"/>
        </w:rPr>
        <w:t xml:space="preserve"> “</w:t>
      </w:r>
      <w:r>
        <w:rPr>
          <w:rFonts w:hint="eastAsia" w:ascii="Times New Roman" w:hAnsi="宋体"/>
          <w:b/>
          <w:bCs/>
          <w:kern w:val="0"/>
          <w:sz w:val="15"/>
          <w:szCs w:val="15"/>
        </w:rPr>
        <w:t>外科植入物羟基磷灰石陶瓷成分标准规范</w:t>
      </w:r>
      <w:r>
        <w:rPr>
          <w:rFonts w:ascii="Times New Roman" w:hAnsi="Times New Roman"/>
          <w:b/>
          <w:bCs/>
          <w:kern w:val="0"/>
          <w:sz w:val="15"/>
          <w:szCs w:val="15"/>
        </w:rPr>
        <w:t>” 1988.</w:t>
      </w:r>
    </w:p>
    <w:p w14:paraId="37DCF0AA">
      <w:pPr>
        <w:widowControl/>
        <w:numPr>
          <w:ilvl w:val="0"/>
          <w:numId w:val="7"/>
        </w:numPr>
        <w:shd w:val="clear" w:color="auto" w:fill="FFFFFF"/>
        <w:spacing w:before="120" w:line="207" w:lineRule="atLeast"/>
        <w:ind w:left="300"/>
        <w:rPr>
          <w:rFonts w:ascii="Times New Roman" w:hAnsi="Times New Roman"/>
          <w:kern w:val="0"/>
          <w:sz w:val="15"/>
          <w:szCs w:val="15"/>
        </w:rPr>
      </w:pPr>
      <w:r>
        <w:rPr>
          <w:rFonts w:hint="eastAsia" w:ascii="Times New Roman" w:hAnsi="宋体"/>
          <w:b/>
          <w:bCs/>
          <w:kern w:val="0"/>
          <w:sz w:val="15"/>
          <w:szCs w:val="15"/>
        </w:rPr>
        <w:t>美国试验与材料学会（</w:t>
      </w:r>
      <w:r>
        <w:rPr>
          <w:rFonts w:ascii="Times New Roman" w:hAnsi="Times New Roman"/>
          <w:b/>
          <w:bCs/>
          <w:kern w:val="0"/>
          <w:sz w:val="15"/>
          <w:szCs w:val="15"/>
        </w:rPr>
        <w:t>ASTM</w:t>
      </w:r>
      <w:r>
        <w:rPr>
          <w:rFonts w:hint="eastAsia" w:ascii="Times New Roman" w:hAnsi="宋体"/>
          <w:b/>
          <w:bCs/>
          <w:kern w:val="0"/>
          <w:sz w:val="15"/>
          <w:szCs w:val="15"/>
        </w:rPr>
        <w:t>）</w:t>
      </w:r>
      <w:r>
        <w:rPr>
          <w:rFonts w:ascii="Times New Roman" w:hAnsi="Times New Roman"/>
          <w:b/>
          <w:bCs/>
          <w:kern w:val="0"/>
          <w:sz w:val="15"/>
          <w:szCs w:val="15"/>
        </w:rPr>
        <w:t>F 1581-99 , “</w:t>
      </w:r>
      <w:r>
        <w:rPr>
          <w:rFonts w:hint="eastAsia" w:ascii="Times New Roman" w:hAnsi="宋体"/>
          <w:b/>
          <w:bCs/>
          <w:kern w:val="0"/>
          <w:sz w:val="15"/>
          <w:szCs w:val="15"/>
        </w:rPr>
        <w:t>外科植入物无机骨成分标准规范，</w:t>
      </w:r>
      <w:r>
        <w:rPr>
          <w:rFonts w:ascii="Times New Roman" w:hAnsi="Times New Roman"/>
          <w:b/>
          <w:bCs/>
          <w:kern w:val="0"/>
          <w:sz w:val="15"/>
          <w:szCs w:val="15"/>
        </w:rPr>
        <w:t>” 1999.</w:t>
      </w:r>
    </w:p>
    <w:p w14:paraId="2CAA46E4">
      <w:pPr>
        <w:widowControl/>
        <w:numPr>
          <w:ilvl w:val="0"/>
          <w:numId w:val="7"/>
        </w:numPr>
        <w:shd w:val="clear" w:color="auto" w:fill="FFFFFF"/>
        <w:spacing w:before="120" w:line="207" w:lineRule="atLeast"/>
        <w:ind w:left="300"/>
        <w:rPr>
          <w:rFonts w:ascii="Times New Roman" w:hAnsi="Times New Roman"/>
          <w:kern w:val="0"/>
          <w:sz w:val="15"/>
          <w:szCs w:val="15"/>
        </w:rPr>
      </w:pPr>
      <w:r>
        <w:rPr>
          <w:rFonts w:hint="eastAsia" w:ascii="Times New Roman" w:hAnsi="宋体"/>
          <w:b/>
          <w:bCs/>
          <w:kern w:val="0"/>
          <w:sz w:val="15"/>
          <w:szCs w:val="15"/>
        </w:rPr>
        <w:t>美国试验与材料学会（</w:t>
      </w:r>
      <w:r>
        <w:rPr>
          <w:rFonts w:ascii="Times New Roman" w:hAnsi="Times New Roman"/>
          <w:b/>
          <w:bCs/>
          <w:kern w:val="0"/>
          <w:sz w:val="15"/>
          <w:szCs w:val="15"/>
        </w:rPr>
        <w:t>ASTM</w:t>
      </w:r>
      <w:r>
        <w:rPr>
          <w:rFonts w:hint="eastAsia" w:ascii="Times New Roman" w:hAnsi="宋体"/>
          <w:b/>
          <w:bCs/>
          <w:kern w:val="0"/>
          <w:sz w:val="15"/>
          <w:szCs w:val="15"/>
        </w:rPr>
        <w:t>）</w:t>
      </w:r>
      <w:r>
        <w:rPr>
          <w:rFonts w:ascii="Times New Roman" w:hAnsi="Times New Roman"/>
          <w:b/>
          <w:bCs/>
          <w:kern w:val="0"/>
          <w:sz w:val="15"/>
          <w:szCs w:val="15"/>
        </w:rPr>
        <w:t>F 1088 , “</w:t>
      </w:r>
      <w:r>
        <w:rPr>
          <w:rFonts w:hint="eastAsia" w:ascii="Times New Roman" w:hAnsi="宋体"/>
          <w:b/>
          <w:bCs/>
          <w:kern w:val="0"/>
          <w:sz w:val="15"/>
          <w:szCs w:val="15"/>
        </w:rPr>
        <w:t>外科移植用</w:t>
      </w:r>
      <w:r>
        <w:rPr>
          <w:rFonts w:ascii="Times New Roman" w:hAnsi="Times New Roman"/>
          <w:b/>
          <w:bCs/>
          <w:kern w:val="0"/>
          <w:sz w:val="15"/>
          <w:szCs w:val="14"/>
        </w:rPr>
        <w:sym w:font="Symbol" w:char="F062"/>
      </w:r>
      <w:r>
        <w:rPr>
          <w:rFonts w:ascii="Times New Roman" w:hAnsi="Times New Roman"/>
          <w:b/>
          <w:bCs/>
          <w:kern w:val="0"/>
          <w:sz w:val="15"/>
          <w:szCs w:val="15"/>
        </w:rPr>
        <w:t>-</w:t>
      </w:r>
      <w:r>
        <w:rPr>
          <w:rFonts w:hint="eastAsia" w:ascii="Times New Roman" w:hAnsi="宋体"/>
          <w:b/>
          <w:bCs/>
          <w:kern w:val="0"/>
          <w:sz w:val="15"/>
          <w:szCs w:val="15"/>
        </w:rPr>
        <w:t>磷酸三钙标准规范，</w:t>
      </w:r>
      <w:r>
        <w:rPr>
          <w:rFonts w:ascii="Times New Roman" w:hAnsi="Times New Roman"/>
          <w:b/>
          <w:bCs/>
          <w:kern w:val="0"/>
          <w:sz w:val="15"/>
          <w:szCs w:val="15"/>
        </w:rPr>
        <w:t>” 1992.</w:t>
      </w:r>
    </w:p>
    <w:p w14:paraId="4C6E8C50">
      <w:pPr>
        <w:widowControl/>
        <w:shd w:val="clear" w:color="auto" w:fill="FFFFFF"/>
        <w:spacing w:before="240" w:line="207" w:lineRule="atLeast"/>
        <w:ind w:firstLine="0"/>
        <w:rPr>
          <w:rFonts w:ascii="Times New Roman" w:hAnsi="Times New Roman"/>
          <w:kern w:val="0"/>
          <w:sz w:val="15"/>
          <w:szCs w:val="15"/>
        </w:rPr>
      </w:pPr>
      <w:r>
        <w:rPr>
          <w:rFonts w:hint="eastAsia" w:ascii="Times New Roman" w:hAnsi="宋体"/>
          <w:kern w:val="0"/>
          <w:sz w:val="15"/>
          <w:szCs w:val="15"/>
        </w:rPr>
        <w:t>如果您的器械采用的是天然原料，我们建议您应该遵循下列的</w:t>
      </w:r>
      <w:r>
        <w:rPr>
          <w:rFonts w:ascii="Times New Roman" w:hAnsi="Times New Roman"/>
          <w:kern w:val="0"/>
          <w:sz w:val="15"/>
          <w:szCs w:val="15"/>
        </w:rPr>
        <w:t>FDA</w:t>
      </w:r>
      <w:r>
        <w:rPr>
          <w:rFonts w:hint="eastAsia" w:ascii="Times New Roman" w:hAnsi="宋体"/>
          <w:kern w:val="0"/>
          <w:sz w:val="15"/>
          <w:szCs w:val="15"/>
        </w:rPr>
        <w:t>指导文件。</w:t>
      </w:r>
    </w:p>
    <w:p w14:paraId="1688BA71">
      <w:pPr>
        <w:widowControl/>
        <w:numPr>
          <w:ilvl w:val="0"/>
          <w:numId w:val="8"/>
        </w:numPr>
        <w:shd w:val="clear" w:color="auto" w:fill="FFFFFF"/>
        <w:spacing w:line="207" w:lineRule="atLeast"/>
        <w:ind w:left="300"/>
        <w:rPr>
          <w:rFonts w:ascii="Times New Roman" w:hAnsi="Times New Roman"/>
          <w:kern w:val="0"/>
          <w:sz w:val="15"/>
          <w:szCs w:val="15"/>
        </w:rPr>
      </w:pPr>
      <w:r>
        <w:rPr>
          <w:rFonts w:hint="eastAsia" w:ascii="Times New Roman" w:hAnsi="宋体"/>
          <w:b/>
          <w:bCs/>
          <w:kern w:val="0"/>
          <w:sz w:val="15"/>
          <w:szCs w:val="15"/>
        </w:rPr>
        <w:t>含动物源性材料的医疗器械（体外诊断器械除外）</w:t>
      </w:r>
      <w:r>
        <w:fldChar w:fldCharType="begin"/>
      </w:r>
      <w:r>
        <w:instrText xml:space="preserve"> HYPERLINK "https://www.fda.gov/medicaldevices/deviceregulationandguidance/guidancedocuments/ucm071842.htm" \l "f11" </w:instrText>
      </w:r>
      <w:r>
        <w:fldChar w:fldCharType="separate"/>
      </w:r>
      <w:r>
        <w:rPr>
          <w:rFonts w:ascii="Times New Roman" w:hAnsi="Times New Roman"/>
          <w:kern w:val="0"/>
          <w:sz w:val="15"/>
          <w:szCs w:val="15"/>
          <w:u w:val="single"/>
          <w:vertAlign w:val="superscript"/>
        </w:rPr>
        <w:t>11</w:t>
      </w:r>
      <w:r>
        <w:rPr>
          <w:rFonts w:ascii="Times New Roman" w:hAnsi="Times New Roman"/>
          <w:kern w:val="0"/>
          <w:sz w:val="15"/>
          <w:szCs w:val="15"/>
          <w:u w:val="single"/>
          <w:vertAlign w:val="superscript"/>
        </w:rPr>
        <w:fldChar w:fldCharType="end"/>
      </w:r>
      <w:r>
        <w:rPr>
          <w:rFonts w:ascii="Times New Roman" w:hAnsi="Times New Roman"/>
          <w:kern w:val="0"/>
          <w:sz w:val="15"/>
          <w:szCs w:val="15"/>
        </w:rPr>
        <w:t>.</w:t>
      </w:r>
    </w:p>
    <w:p w14:paraId="5F94E934">
      <w:pPr>
        <w:widowControl/>
        <w:numPr>
          <w:ilvl w:val="0"/>
          <w:numId w:val="8"/>
        </w:numPr>
        <w:shd w:val="clear" w:color="auto" w:fill="FFFFFF"/>
        <w:spacing w:before="120" w:line="207" w:lineRule="atLeast"/>
        <w:ind w:left="300"/>
        <w:rPr>
          <w:rFonts w:ascii="Times New Roman" w:hAnsi="Times New Roman"/>
          <w:kern w:val="0"/>
          <w:sz w:val="15"/>
          <w:szCs w:val="15"/>
        </w:rPr>
      </w:pPr>
      <w:r>
        <w:rPr>
          <w:rFonts w:ascii="Times New Roman" w:hAnsi="Times New Roman"/>
          <w:b/>
          <w:bCs/>
          <w:kern w:val="0"/>
          <w:sz w:val="15"/>
          <w:szCs w:val="15"/>
        </w:rPr>
        <w:t xml:space="preserve">Q5A </w:t>
      </w:r>
      <w:r>
        <w:rPr>
          <w:rFonts w:hint="eastAsia" w:ascii="Times New Roman" w:hAnsi="宋体"/>
          <w:b/>
          <w:bCs/>
          <w:kern w:val="0"/>
          <w:sz w:val="15"/>
          <w:szCs w:val="15"/>
        </w:rPr>
        <w:t>来源于人或动物细胞系生物技术产品的病毒安全性评价</w:t>
      </w:r>
      <w:r>
        <w:fldChar w:fldCharType="begin"/>
      </w:r>
      <w:r>
        <w:instrText xml:space="preserve"> HYPERLINK "https://www.fda.gov/medicaldevices/deviceregulationandguidance/guidancedocuments/ucm071842.htm" \l "f12" </w:instrText>
      </w:r>
      <w:r>
        <w:fldChar w:fldCharType="separate"/>
      </w:r>
      <w:r>
        <w:rPr>
          <w:rFonts w:ascii="Times New Roman" w:hAnsi="Times New Roman"/>
          <w:kern w:val="0"/>
          <w:sz w:val="15"/>
          <w:szCs w:val="15"/>
          <w:u w:val="single"/>
          <w:vertAlign w:val="superscript"/>
        </w:rPr>
        <w:t>12</w:t>
      </w:r>
      <w:r>
        <w:rPr>
          <w:rFonts w:ascii="Times New Roman" w:hAnsi="Times New Roman"/>
          <w:kern w:val="0"/>
          <w:sz w:val="15"/>
          <w:szCs w:val="15"/>
          <w:u w:val="single"/>
          <w:vertAlign w:val="superscript"/>
        </w:rPr>
        <w:fldChar w:fldCharType="end"/>
      </w:r>
      <w:r>
        <w:rPr>
          <w:rFonts w:ascii="Times New Roman" w:hAnsi="Times New Roman"/>
          <w:kern w:val="0"/>
          <w:sz w:val="15"/>
          <w:szCs w:val="15"/>
        </w:rPr>
        <w:t>.</w:t>
      </w:r>
    </w:p>
    <w:p w14:paraId="104DF4F4">
      <w:pPr>
        <w:widowControl/>
        <w:shd w:val="clear" w:color="auto" w:fill="FFFFFF"/>
        <w:spacing w:before="240" w:line="207" w:lineRule="atLeast"/>
        <w:ind w:firstLine="0"/>
        <w:rPr>
          <w:rFonts w:ascii="Times New Roman" w:hAnsi="Times New Roman"/>
          <w:kern w:val="0"/>
          <w:sz w:val="15"/>
          <w:szCs w:val="15"/>
        </w:rPr>
      </w:pPr>
      <w:r>
        <w:rPr>
          <w:rFonts w:hint="eastAsia" w:ascii="Times New Roman" w:hAnsi="宋体"/>
          <w:kern w:val="0"/>
          <w:sz w:val="15"/>
          <w:szCs w:val="15"/>
        </w:rPr>
        <w:t>此外，我们建议您的申请文件中应该包含下述关于成分、物理性质和体内性能方面的描述信息。</w:t>
      </w:r>
    </w:p>
    <w:p w14:paraId="7E3928FF">
      <w:pPr>
        <w:widowControl/>
        <w:shd w:val="clear" w:color="auto" w:fill="FFFFFF"/>
        <w:spacing w:before="240" w:after="240" w:line="207" w:lineRule="atLeast"/>
        <w:ind w:firstLine="0"/>
        <w:rPr>
          <w:rFonts w:ascii="Times New Roman" w:hAnsi="Times New Roman"/>
          <w:kern w:val="0"/>
          <w:sz w:val="15"/>
          <w:szCs w:val="15"/>
        </w:rPr>
      </w:pPr>
      <w:r>
        <w:rPr>
          <w:rFonts w:ascii="Times New Roman" w:hAnsi="Times New Roman"/>
          <w:b/>
          <w:bCs/>
          <w:kern w:val="0"/>
          <w:sz w:val="15"/>
          <w:szCs w:val="15"/>
        </w:rPr>
        <w:t xml:space="preserve">A. </w:t>
      </w:r>
      <w:r>
        <w:rPr>
          <w:rFonts w:hint="eastAsia" w:ascii="Times New Roman" w:hAnsi="宋体"/>
          <w:b/>
          <w:bCs/>
          <w:kern w:val="0"/>
          <w:sz w:val="15"/>
          <w:szCs w:val="15"/>
        </w:rPr>
        <w:t>化学成分</w:t>
      </w:r>
    </w:p>
    <w:p w14:paraId="10006093">
      <w:pPr>
        <w:widowControl/>
        <w:numPr>
          <w:ilvl w:val="0"/>
          <w:numId w:val="9"/>
        </w:numPr>
        <w:shd w:val="clear" w:color="auto" w:fill="FFFFFF"/>
        <w:spacing w:line="207" w:lineRule="atLeast"/>
        <w:ind w:left="300"/>
        <w:rPr>
          <w:rFonts w:ascii="Times New Roman" w:hAnsi="Times New Roman"/>
          <w:kern w:val="0"/>
          <w:sz w:val="15"/>
          <w:szCs w:val="15"/>
        </w:rPr>
      </w:pPr>
      <w:r>
        <w:rPr>
          <w:rFonts w:hint="eastAsia" w:ascii="Times New Roman" w:hAnsi="宋体"/>
          <w:kern w:val="0"/>
          <w:sz w:val="15"/>
          <w:szCs w:val="15"/>
        </w:rPr>
        <w:t>完整的化学成分，按质量之和达到</w:t>
      </w:r>
      <w:r>
        <w:rPr>
          <w:rFonts w:ascii="Times New Roman" w:hAnsi="Times New Roman"/>
          <w:kern w:val="0"/>
          <w:sz w:val="15"/>
          <w:szCs w:val="15"/>
        </w:rPr>
        <w:t>100%</w:t>
      </w:r>
      <w:r>
        <w:rPr>
          <w:rFonts w:hint="eastAsia" w:ascii="Times New Roman" w:hAnsi="宋体"/>
          <w:kern w:val="0"/>
          <w:sz w:val="15"/>
          <w:szCs w:val="15"/>
        </w:rPr>
        <w:t>，包括所有添加剂，以及所有成分的化学文摘服务社</w:t>
      </w:r>
      <w:r>
        <w:fldChar w:fldCharType="begin"/>
      </w:r>
      <w:r>
        <w:instrText xml:space="preserve"> HYPERLINK "https://www.fda.gov/medicaldevices/deviceregulationandguidance/guidancedocuments/ucm071842.htm" \l "f13" </w:instrText>
      </w:r>
      <w:r>
        <w:fldChar w:fldCharType="separate"/>
      </w:r>
      <w:r>
        <w:rPr>
          <w:rFonts w:ascii="Times New Roman" w:hAnsi="Times New Roman"/>
          <w:kern w:val="0"/>
          <w:sz w:val="15"/>
          <w:szCs w:val="15"/>
          <w:u w:val="single"/>
          <w:vertAlign w:val="superscript"/>
        </w:rPr>
        <w:t>13</w:t>
      </w:r>
      <w:r>
        <w:rPr>
          <w:rFonts w:ascii="Times New Roman" w:hAnsi="Times New Roman"/>
          <w:kern w:val="0"/>
          <w:sz w:val="15"/>
          <w:szCs w:val="15"/>
          <w:u w:val="single"/>
          <w:vertAlign w:val="superscript"/>
        </w:rPr>
        <w:fldChar w:fldCharType="end"/>
      </w:r>
      <w:r>
        <w:rPr>
          <w:rFonts w:hint="eastAsia" w:ascii="Times New Roman" w:hAnsi="宋体"/>
          <w:kern w:val="0"/>
          <w:sz w:val="15"/>
          <w:szCs w:val="15"/>
        </w:rPr>
        <w:t>（</w:t>
      </w:r>
      <w:r>
        <w:rPr>
          <w:rFonts w:ascii="Times New Roman" w:hAnsi="Times New Roman"/>
          <w:kern w:val="0"/>
          <w:sz w:val="15"/>
          <w:szCs w:val="15"/>
        </w:rPr>
        <w:t>CAS®</w:t>
      </w:r>
      <w:r>
        <w:rPr>
          <w:rFonts w:hint="eastAsia" w:ascii="Times New Roman" w:hAnsi="宋体"/>
          <w:kern w:val="0"/>
          <w:sz w:val="15"/>
          <w:szCs w:val="15"/>
        </w:rPr>
        <w:t>）注册号</w:t>
      </w:r>
    </w:p>
    <w:p w14:paraId="1341B995">
      <w:pPr>
        <w:widowControl/>
        <w:numPr>
          <w:ilvl w:val="0"/>
          <w:numId w:val="9"/>
        </w:numPr>
        <w:shd w:val="clear" w:color="auto" w:fill="FFFFFF"/>
        <w:spacing w:before="120" w:line="207" w:lineRule="atLeast"/>
        <w:ind w:left="300"/>
        <w:rPr>
          <w:rFonts w:ascii="Times New Roman" w:hAnsi="Times New Roman"/>
          <w:kern w:val="0"/>
          <w:sz w:val="15"/>
          <w:szCs w:val="15"/>
        </w:rPr>
      </w:pPr>
      <w:r>
        <w:rPr>
          <w:rFonts w:hint="eastAsia" w:ascii="Times New Roman" w:hAnsi="宋体"/>
          <w:kern w:val="0"/>
          <w:sz w:val="15"/>
          <w:szCs w:val="15"/>
        </w:rPr>
        <w:t>成分说明，包括元素分析、微量杂质标识</w:t>
      </w:r>
    </w:p>
    <w:p w14:paraId="17D3F041">
      <w:pPr>
        <w:widowControl/>
        <w:shd w:val="clear" w:color="auto" w:fill="FFFFFF"/>
        <w:spacing w:before="240" w:line="207" w:lineRule="atLeast"/>
        <w:ind w:firstLine="0"/>
        <w:rPr>
          <w:rFonts w:ascii="Times New Roman" w:hAnsi="Times New Roman"/>
          <w:kern w:val="0"/>
          <w:sz w:val="15"/>
          <w:szCs w:val="15"/>
        </w:rPr>
      </w:pPr>
      <w:r>
        <w:rPr>
          <w:rFonts w:ascii="Times New Roman" w:hAnsi="Times New Roman"/>
          <w:b/>
          <w:bCs/>
          <w:kern w:val="0"/>
          <w:sz w:val="15"/>
          <w:szCs w:val="15"/>
        </w:rPr>
        <w:t xml:space="preserve">B. </w:t>
      </w:r>
      <w:r>
        <w:rPr>
          <w:rFonts w:hint="eastAsia" w:ascii="Times New Roman" w:hAnsi="宋体"/>
          <w:b/>
          <w:bCs/>
          <w:kern w:val="0"/>
          <w:sz w:val="15"/>
          <w:szCs w:val="15"/>
        </w:rPr>
        <w:t>物理性质</w:t>
      </w:r>
    </w:p>
    <w:p w14:paraId="00DF5523">
      <w:pPr>
        <w:widowControl/>
        <w:numPr>
          <w:ilvl w:val="0"/>
          <w:numId w:val="10"/>
        </w:numPr>
        <w:shd w:val="clear" w:color="auto" w:fill="FFFFFF"/>
        <w:spacing w:line="207" w:lineRule="atLeast"/>
        <w:ind w:left="300"/>
        <w:rPr>
          <w:rFonts w:ascii="Times New Roman" w:hAnsi="Times New Roman"/>
          <w:kern w:val="0"/>
          <w:sz w:val="15"/>
          <w:szCs w:val="15"/>
        </w:rPr>
      </w:pPr>
      <w:r>
        <w:rPr>
          <w:rFonts w:hint="eastAsia" w:ascii="Times New Roman" w:hAnsi="宋体"/>
          <w:kern w:val="0"/>
          <w:sz w:val="15"/>
          <w:szCs w:val="15"/>
        </w:rPr>
        <w:t>该器械的放大照片，如</w:t>
      </w:r>
      <w:r>
        <w:rPr>
          <w:rFonts w:ascii="Times New Roman" w:hAnsi="Times New Roman"/>
          <w:kern w:val="0"/>
          <w:sz w:val="15"/>
          <w:szCs w:val="15"/>
        </w:rPr>
        <w:t>SEM</w:t>
      </w:r>
      <w:r>
        <w:rPr>
          <w:rFonts w:hint="eastAsia" w:ascii="Times New Roman" w:hAnsi="宋体"/>
          <w:kern w:val="0"/>
          <w:sz w:val="15"/>
          <w:szCs w:val="15"/>
        </w:rPr>
        <w:t>显微照片等，显示出颗粒大小、形状和孔隙率</w:t>
      </w:r>
    </w:p>
    <w:p w14:paraId="29C14C8F">
      <w:pPr>
        <w:widowControl/>
        <w:numPr>
          <w:ilvl w:val="0"/>
          <w:numId w:val="10"/>
        </w:numPr>
        <w:shd w:val="clear" w:color="auto" w:fill="FFFFFF"/>
        <w:spacing w:before="120" w:line="207" w:lineRule="atLeast"/>
        <w:ind w:left="300"/>
        <w:rPr>
          <w:rFonts w:ascii="Times New Roman" w:hAnsi="Times New Roman"/>
          <w:kern w:val="0"/>
          <w:sz w:val="15"/>
          <w:szCs w:val="15"/>
        </w:rPr>
      </w:pPr>
      <w:r>
        <w:rPr>
          <w:rFonts w:hint="eastAsia" w:ascii="Times New Roman" w:hAnsi="宋体"/>
          <w:kern w:val="0"/>
          <w:sz w:val="15"/>
          <w:szCs w:val="15"/>
        </w:rPr>
        <w:t>您的器械随时间的吸收曲线，显示出代表性模型下该器械完全清除或集成的时间</w:t>
      </w:r>
    </w:p>
    <w:p w14:paraId="5A452B9F">
      <w:pPr>
        <w:widowControl/>
        <w:numPr>
          <w:ilvl w:val="0"/>
          <w:numId w:val="10"/>
        </w:numPr>
        <w:shd w:val="clear" w:color="auto" w:fill="FFFFFF"/>
        <w:spacing w:before="120" w:line="207" w:lineRule="atLeast"/>
        <w:ind w:left="300"/>
        <w:rPr>
          <w:rFonts w:ascii="Times New Roman" w:hAnsi="Times New Roman"/>
          <w:kern w:val="0"/>
          <w:sz w:val="15"/>
          <w:szCs w:val="15"/>
        </w:rPr>
      </w:pPr>
      <w:r>
        <w:rPr>
          <w:rFonts w:hint="eastAsia" w:ascii="Times New Roman" w:hAnsi="宋体"/>
          <w:kern w:val="0"/>
          <w:sz w:val="15"/>
          <w:szCs w:val="15"/>
        </w:rPr>
        <w:t>愈合时间，即可能成功实现植入物负荷的最早时间。</w:t>
      </w:r>
    </w:p>
    <w:p w14:paraId="549DB959">
      <w:pPr>
        <w:widowControl/>
        <w:numPr>
          <w:ilvl w:val="0"/>
          <w:numId w:val="10"/>
        </w:numPr>
        <w:shd w:val="clear" w:color="auto" w:fill="FFFFFF"/>
        <w:spacing w:before="120" w:line="207" w:lineRule="atLeast"/>
        <w:ind w:left="300"/>
        <w:rPr>
          <w:rFonts w:ascii="Times New Roman" w:hAnsi="Times New Roman"/>
          <w:kern w:val="0"/>
          <w:sz w:val="15"/>
          <w:szCs w:val="15"/>
        </w:rPr>
      </w:pPr>
      <w:r>
        <w:rPr>
          <w:rFonts w:hint="eastAsia" w:ascii="Times New Roman" w:hAnsi="宋体"/>
          <w:kern w:val="0"/>
          <w:sz w:val="15"/>
          <w:szCs w:val="15"/>
        </w:rPr>
        <w:t>相纯度，即结晶相和非晶质相的相对质量比（</w:t>
      </w:r>
      <w:r>
        <w:rPr>
          <w:rFonts w:ascii="Times New Roman" w:hAnsi="Times New Roman"/>
          <w:kern w:val="0"/>
          <w:sz w:val="15"/>
          <w:szCs w:val="15"/>
        </w:rPr>
        <w:t>%</w:t>
      </w:r>
      <w:r>
        <w:rPr>
          <w:rFonts w:hint="eastAsia" w:ascii="Times New Roman" w:hAnsi="宋体"/>
          <w:kern w:val="0"/>
          <w:sz w:val="15"/>
          <w:szCs w:val="15"/>
        </w:rPr>
        <w:t>）</w:t>
      </w:r>
    </w:p>
    <w:p w14:paraId="74AC4AFF">
      <w:pPr>
        <w:widowControl/>
        <w:numPr>
          <w:ilvl w:val="0"/>
          <w:numId w:val="10"/>
        </w:numPr>
        <w:shd w:val="clear" w:color="auto" w:fill="FFFFFF"/>
        <w:spacing w:before="120" w:line="207" w:lineRule="atLeast"/>
        <w:ind w:left="300"/>
        <w:rPr>
          <w:rFonts w:ascii="Times New Roman" w:hAnsi="Times New Roman"/>
          <w:kern w:val="0"/>
          <w:sz w:val="15"/>
          <w:szCs w:val="15"/>
        </w:rPr>
      </w:pPr>
      <w:r>
        <w:rPr>
          <w:rFonts w:hint="eastAsia" w:ascii="Times New Roman" w:hAnsi="宋体"/>
          <w:kern w:val="0"/>
          <w:sz w:val="15"/>
          <w:szCs w:val="15"/>
        </w:rPr>
        <w:t>钙磷比（</w:t>
      </w:r>
      <w:r>
        <w:rPr>
          <w:rFonts w:ascii="Times New Roman" w:hAnsi="Times New Roman"/>
          <w:kern w:val="0"/>
          <w:sz w:val="15"/>
          <w:szCs w:val="15"/>
        </w:rPr>
        <w:t>Ca/P</w:t>
      </w:r>
      <w:r>
        <w:rPr>
          <w:rFonts w:hint="eastAsia" w:ascii="Times New Roman" w:hAnsi="宋体"/>
          <w:kern w:val="0"/>
          <w:sz w:val="15"/>
          <w:szCs w:val="15"/>
        </w:rPr>
        <w:t>）</w:t>
      </w:r>
    </w:p>
    <w:p w14:paraId="20490EE6">
      <w:pPr>
        <w:widowControl/>
        <w:numPr>
          <w:ilvl w:val="0"/>
          <w:numId w:val="10"/>
        </w:numPr>
        <w:shd w:val="clear" w:color="auto" w:fill="FFFFFF"/>
        <w:spacing w:before="120" w:line="207" w:lineRule="atLeast"/>
        <w:ind w:left="300"/>
        <w:rPr>
          <w:rFonts w:ascii="Times New Roman" w:hAnsi="Times New Roman"/>
          <w:kern w:val="0"/>
          <w:sz w:val="15"/>
          <w:szCs w:val="15"/>
        </w:rPr>
      </w:pPr>
      <w:r>
        <w:rPr>
          <w:rFonts w:hint="eastAsia" w:ascii="Times New Roman" w:hAnsi="宋体"/>
          <w:kern w:val="0"/>
          <w:sz w:val="15"/>
          <w:szCs w:val="15"/>
        </w:rPr>
        <w:t>体积孔隙率（</w:t>
      </w:r>
      <w:r>
        <w:rPr>
          <w:rFonts w:ascii="Times New Roman" w:hAnsi="Times New Roman"/>
          <w:kern w:val="0"/>
          <w:sz w:val="15"/>
          <w:szCs w:val="15"/>
        </w:rPr>
        <w:t>%</w:t>
      </w:r>
      <w:r>
        <w:rPr>
          <w:rFonts w:hint="eastAsia" w:ascii="Times New Roman" w:hAnsi="宋体"/>
          <w:kern w:val="0"/>
          <w:sz w:val="15"/>
          <w:szCs w:val="15"/>
        </w:rPr>
        <w:t>孔隙空间）</w:t>
      </w:r>
    </w:p>
    <w:p w14:paraId="76223B7A">
      <w:pPr>
        <w:widowControl/>
        <w:numPr>
          <w:ilvl w:val="0"/>
          <w:numId w:val="10"/>
        </w:numPr>
        <w:shd w:val="clear" w:color="auto" w:fill="FFFFFF"/>
        <w:spacing w:before="120" w:line="207" w:lineRule="atLeast"/>
        <w:ind w:left="300"/>
        <w:rPr>
          <w:rFonts w:ascii="Times New Roman" w:hAnsi="Times New Roman"/>
          <w:kern w:val="0"/>
          <w:sz w:val="15"/>
          <w:szCs w:val="15"/>
        </w:rPr>
      </w:pPr>
      <w:r>
        <w:rPr>
          <w:rFonts w:hint="eastAsia" w:ascii="Times New Roman" w:hAnsi="宋体"/>
          <w:kern w:val="0"/>
          <w:sz w:val="15"/>
          <w:szCs w:val="15"/>
        </w:rPr>
        <w:t>粒度分布图（</w:t>
      </w:r>
      <w:r>
        <w:rPr>
          <w:rFonts w:ascii="Times New Roman" w:hAnsi="Times New Roman"/>
          <w:kern w:val="0"/>
          <w:sz w:val="15"/>
          <w:szCs w:val="15"/>
        </w:rPr>
        <w:t>μ</w:t>
      </w:r>
      <w:r>
        <w:rPr>
          <w:rFonts w:hint="eastAsia" w:ascii="Times New Roman" w:hAnsi="宋体"/>
          <w:kern w:val="0"/>
          <w:sz w:val="15"/>
          <w:szCs w:val="15"/>
        </w:rPr>
        <w:t>）</w:t>
      </w:r>
    </w:p>
    <w:p w14:paraId="66605589">
      <w:pPr>
        <w:widowControl/>
        <w:numPr>
          <w:ilvl w:val="0"/>
          <w:numId w:val="10"/>
        </w:numPr>
        <w:shd w:val="clear" w:color="auto" w:fill="FFFFFF"/>
        <w:spacing w:before="120" w:line="207" w:lineRule="atLeast"/>
        <w:ind w:left="300"/>
        <w:rPr>
          <w:rFonts w:ascii="Times New Roman" w:hAnsi="Times New Roman"/>
          <w:kern w:val="0"/>
          <w:sz w:val="15"/>
          <w:szCs w:val="15"/>
        </w:rPr>
      </w:pPr>
      <w:r>
        <w:rPr>
          <w:rFonts w:hint="eastAsia" w:ascii="Times New Roman" w:hAnsi="宋体"/>
          <w:kern w:val="0"/>
          <w:sz w:val="15"/>
          <w:szCs w:val="15"/>
        </w:rPr>
        <w:t>烧结温度（</w:t>
      </w:r>
      <w:r>
        <w:rPr>
          <w:rFonts w:ascii="Times New Roman" w:hAnsi="Times New Roman"/>
          <w:kern w:val="0"/>
          <w:sz w:val="15"/>
          <w:szCs w:val="15"/>
        </w:rPr>
        <w:t>°C</w:t>
      </w:r>
      <w:r>
        <w:rPr>
          <w:rFonts w:hint="eastAsia" w:ascii="Times New Roman" w:hAnsi="宋体"/>
          <w:kern w:val="0"/>
          <w:sz w:val="15"/>
          <w:szCs w:val="15"/>
        </w:rPr>
        <w:t>）</w:t>
      </w:r>
    </w:p>
    <w:p w14:paraId="010558E1">
      <w:pPr>
        <w:widowControl/>
        <w:numPr>
          <w:ilvl w:val="0"/>
          <w:numId w:val="10"/>
        </w:numPr>
        <w:shd w:val="clear" w:color="auto" w:fill="FFFFFF"/>
        <w:spacing w:before="120" w:line="207" w:lineRule="atLeast"/>
        <w:ind w:left="300"/>
        <w:rPr>
          <w:rFonts w:ascii="Times New Roman" w:hAnsi="Times New Roman"/>
          <w:kern w:val="0"/>
          <w:sz w:val="15"/>
          <w:szCs w:val="15"/>
        </w:rPr>
      </w:pPr>
      <w:r>
        <w:rPr>
          <w:rFonts w:hint="eastAsia" w:ascii="Times New Roman" w:hAnsi="宋体"/>
          <w:kern w:val="0"/>
          <w:sz w:val="15"/>
          <w:szCs w:val="15"/>
        </w:rPr>
        <w:t>抗压强度（</w:t>
      </w:r>
      <w:r>
        <w:rPr>
          <w:rFonts w:ascii="Times New Roman" w:hAnsi="Times New Roman"/>
          <w:kern w:val="0"/>
          <w:sz w:val="15"/>
          <w:szCs w:val="15"/>
        </w:rPr>
        <w:t>MPa</w:t>
      </w:r>
      <w:r>
        <w:rPr>
          <w:rFonts w:hint="eastAsia" w:ascii="Times New Roman" w:hAnsi="宋体"/>
          <w:kern w:val="0"/>
          <w:sz w:val="15"/>
          <w:szCs w:val="15"/>
        </w:rPr>
        <w:t>）</w:t>
      </w:r>
    </w:p>
    <w:p w14:paraId="3D4C10A3">
      <w:pPr>
        <w:widowControl/>
        <w:numPr>
          <w:ilvl w:val="0"/>
          <w:numId w:val="10"/>
        </w:numPr>
        <w:shd w:val="clear" w:color="auto" w:fill="FFFFFF"/>
        <w:spacing w:before="120" w:line="207" w:lineRule="atLeast"/>
        <w:ind w:left="300"/>
        <w:rPr>
          <w:rFonts w:ascii="Times New Roman" w:hAnsi="Times New Roman"/>
          <w:kern w:val="0"/>
          <w:sz w:val="15"/>
          <w:szCs w:val="15"/>
        </w:rPr>
      </w:pPr>
      <w:r>
        <w:rPr>
          <w:rFonts w:hint="eastAsia" w:ascii="Times New Roman" w:hAnsi="宋体"/>
          <w:kern w:val="0"/>
          <w:sz w:val="15"/>
          <w:szCs w:val="15"/>
        </w:rPr>
        <w:t>弹性模量（</w:t>
      </w:r>
      <w:r>
        <w:rPr>
          <w:rFonts w:ascii="Times New Roman" w:hAnsi="Times New Roman"/>
          <w:kern w:val="0"/>
          <w:sz w:val="15"/>
          <w:szCs w:val="15"/>
        </w:rPr>
        <w:t>GPa</w:t>
      </w:r>
      <w:r>
        <w:rPr>
          <w:rFonts w:hint="eastAsia" w:ascii="Times New Roman" w:hAnsi="宋体"/>
          <w:kern w:val="0"/>
          <w:sz w:val="15"/>
          <w:szCs w:val="15"/>
        </w:rPr>
        <w:t>）</w:t>
      </w:r>
    </w:p>
    <w:p w14:paraId="43F13B23">
      <w:pPr>
        <w:widowControl/>
        <w:numPr>
          <w:ilvl w:val="0"/>
          <w:numId w:val="10"/>
        </w:numPr>
        <w:shd w:val="clear" w:color="auto" w:fill="FFFFFF"/>
        <w:spacing w:before="120" w:line="207" w:lineRule="atLeast"/>
        <w:ind w:left="300"/>
        <w:rPr>
          <w:rFonts w:ascii="Times New Roman" w:hAnsi="Times New Roman"/>
          <w:kern w:val="0"/>
          <w:sz w:val="15"/>
          <w:szCs w:val="15"/>
        </w:rPr>
      </w:pPr>
      <w:r>
        <w:rPr>
          <w:rFonts w:hint="eastAsia" w:ascii="Times New Roman" w:hAnsi="宋体"/>
          <w:kern w:val="0"/>
          <w:sz w:val="15"/>
          <w:szCs w:val="15"/>
        </w:rPr>
        <w:t>剪切模量（</w:t>
      </w:r>
      <w:r>
        <w:rPr>
          <w:rFonts w:ascii="Times New Roman" w:hAnsi="Times New Roman"/>
          <w:kern w:val="0"/>
          <w:sz w:val="15"/>
          <w:szCs w:val="15"/>
        </w:rPr>
        <w:t>GPa</w:t>
      </w:r>
      <w:r>
        <w:rPr>
          <w:rFonts w:hint="eastAsia" w:ascii="Times New Roman" w:hAnsi="宋体"/>
          <w:kern w:val="0"/>
          <w:sz w:val="15"/>
          <w:szCs w:val="15"/>
        </w:rPr>
        <w:t>）</w:t>
      </w:r>
    </w:p>
    <w:p w14:paraId="5FD6B567">
      <w:pPr>
        <w:widowControl/>
        <w:numPr>
          <w:ilvl w:val="0"/>
          <w:numId w:val="10"/>
        </w:numPr>
        <w:shd w:val="clear" w:color="auto" w:fill="FFFFFF"/>
        <w:spacing w:before="120" w:line="207" w:lineRule="atLeast"/>
        <w:ind w:left="300"/>
        <w:rPr>
          <w:rFonts w:ascii="Times New Roman" w:hAnsi="Times New Roman"/>
          <w:kern w:val="0"/>
          <w:sz w:val="15"/>
          <w:szCs w:val="15"/>
        </w:rPr>
      </w:pPr>
      <w:r>
        <w:rPr>
          <w:rFonts w:ascii="Times New Roman" w:hAnsi="Times New Roman"/>
          <w:kern w:val="0"/>
          <w:sz w:val="15"/>
          <w:szCs w:val="15"/>
        </w:rPr>
        <w:t>pH</w:t>
      </w:r>
    </w:p>
    <w:p w14:paraId="2D76061A">
      <w:pPr>
        <w:widowControl/>
        <w:numPr>
          <w:ilvl w:val="0"/>
          <w:numId w:val="10"/>
        </w:numPr>
        <w:shd w:val="clear" w:color="auto" w:fill="FFFFFF"/>
        <w:spacing w:before="120" w:line="207" w:lineRule="atLeast"/>
        <w:ind w:left="300"/>
        <w:rPr>
          <w:rFonts w:ascii="Times New Roman" w:hAnsi="Times New Roman"/>
          <w:kern w:val="0"/>
          <w:sz w:val="15"/>
          <w:szCs w:val="15"/>
        </w:rPr>
      </w:pPr>
      <w:r>
        <w:rPr>
          <w:rFonts w:hint="eastAsia" w:ascii="Times New Roman" w:hAnsi="宋体"/>
          <w:kern w:val="0"/>
          <w:sz w:val="15"/>
          <w:szCs w:val="15"/>
        </w:rPr>
        <w:t>水溶性</w:t>
      </w:r>
      <w:r>
        <w:rPr>
          <w:rFonts w:ascii="Times New Roman" w:hAnsi="Times New Roman"/>
          <w:kern w:val="0"/>
          <w:sz w:val="15"/>
          <w:szCs w:val="15"/>
        </w:rPr>
        <w:t xml:space="preserve"> @ 20°C</w:t>
      </w:r>
      <w:r>
        <w:rPr>
          <w:rFonts w:hint="eastAsia" w:ascii="Times New Roman" w:hAnsi="宋体"/>
          <w:kern w:val="0"/>
          <w:sz w:val="15"/>
          <w:szCs w:val="15"/>
        </w:rPr>
        <w:t>（</w:t>
      </w:r>
      <w:r>
        <w:rPr>
          <w:rFonts w:ascii="Times New Roman" w:hAnsi="Times New Roman"/>
          <w:kern w:val="0"/>
          <w:sz w:val="15"/>
          <w:szCs w:val="15"/>
        </w:rPr>
        <w:t>μg/mm3</w:t>
      </w:r>
      <w:r>
        <w:rPr>
          <w:rFonts w:hint="eastAsia" w:ascii="Times New Roman" w:hAnsi="宋体"/>
          <w:kern w:val="0"/>
          <w:sz w:val="15"/>
          <w:szCs w:val="15"/>
        </w:rPr>
        <w:t>）</w:t>
      </w:r>
    </w:p>
    <w:p w14:paraId="7A3ECEE7">
      <w:pPr>
        <w:widowControl/>
        <w:shd w:val="clear" w:color="auto" w:fill="FFFFFF"/>
        <w:spacing w:before="240" w:line="207" w:lineRule="atLeast"/>
        <w:ind w:firstLine="0"/>
        <w:rPr>
          <w:rFonts w:ascii="Times New Roman" w:hAnsi="Times New Roman"/>
          <w:kern w:val="0"/>
          <w:sz w:val="15"/>
          <w:szCs w:val="15"/>
        </w:rPr>
      </w:pPr>
      <w:r>
        <w:rPr>
          <w:rFonts w:hint="eastAsia" w:ascii="Times New Roman" w:hAnsi="宋体"/>
          <w:b/>
          <w:bCs/>
          <w:kern w:val="0"/>
          <w:sz w:val="15"/>
          <w:szCs w:val="15"/>
        </w:rPr>
        <w:t>体内性能</w:t>
      </w:r>
    </w:p>
    <w:p w14:paraId="27CC2DE8">
      <w:pPr>
        <w:widowControl/>
        <w:shd w:val="clear" w:color="auto" w:fill="FFFFFF"/>
        <w:spacing w:before="240" w:after="240" w:line="207" w:lineRule="atLeast"/>
        <w:ind w:firstLine="0"/>
        <w:rPr>
          <w:rFonts w:ascii="Times New Roman" w:hAnsi="Times New Roman"/>
          <w:kern w:val="0"/>
          <w:sz w:val="15"/>
          <w:szCs w:val="15"/>
        </w:rPr>
      </w:pPr>
      <w:r>
        <w:rPr>
          <w:rFonts w:hint="eastAsia" w:ascii="Times New Roman" w:hAnsi="宋体"/>
          <w:kern w:val="0"/>
          <w:sz w:val="15"/>
          <w:szCs w:val="15"/>
        </w:rPr>
        <w:t>根据《法案》的最小负担条款，管理局将依靠设计良好的试验台和</w:t>
      </w:r>
      <w:r>
        <w:rPr>
          <w:rFonts w:ascii="Times New Roman" w:hAnsi="Times New Roman"/>
          <w:kern w:val="0"/>
          <w:sz w:val="15"/>
          <w:szCs w:val="15"/>
        </w:rPr>
        <w:t>/</w:t>
      </w:r>
      <w:r>
        <w:rPr>
          <w:rFonts w:hint="eastAsia" w:ascii="Times New Roman" w:hAnsi="宋体"/>
          <w:kern w:val="0"/>
          <w:sz w:val="15"/>
          <w:szCs w:val="15"/>
        </w:rPr>
        <w:t>或动物试验，而不需要对新器械进行临床研究，除非有正当理由要求提供临床信息来支持实质等同判定。一般情况下，虽然大多数骨移植材料不需要进行临床研究，但</w:t>
      </w:r>
      <w:r>
        <w:rPr>
          <w:rFonts w:ascii="Times New Roman" w:hAnsi="Times New Roman"/>
          <w:kern w:val="0"/>
          <w:sz w:val="15"/>
          <w:szCs w:val="15"/>
        </w:rPr>
        <w:t>FDA</w:t>
      </w:r>
      <w:r>
        <w:rPr>
          <w:rFonts w:hint="eastAsia" w:ascii="Times New Roman" w:hAnsi="宋体"/>
          <w:kern w:val="0"/>
          <w:sz w:val="15"/>
          <w:szCs w:val="15"/>
        </w:rPr>
        <w:t>可能会建议您收集一种骨移植材料的下列临床数据：</w:t>
      </w:r>
    </w:p>
    <w:p w14:paraId="79B4B78D">
      <w:pPr>
        <w:widowControl/>
        <w:numPr>
          <w:ilvl w:val="0"/>
          <w:numId w:val="11"/>
        </w:numPr>
        <w:shd w:val="clear" w:color="auto" w:fill="FFFFFF"/>
        <w:spacing w:before="120" w:line="207" w:lineRule="atLeast"/>
        <w:ind w:left="300"/>
        <w:rPr>
          <w:rFonts w:ascii="Times New Roman" w:hAnsi="Times New Roman"/>
          <w:kern w:val="0"/>
          <w:sz w:val="15"/>
          <w:szCs w:val="15"/>
        </w:rPr>
      </w:pPr>
      <w:r>
        <w:rPr>
          <w:rFonts w:hint="eastAsia" w:ascii="Times New Roman" w:hAnsi="宋体"/>
          <w:kern w:val="0"/>
          <w:sz w:val="15"/>
          <w:szCs w:val="15"/>
        </w:rPr>
        <w:t>根据上市前通告，不同于先前已获批准配方或设计的配方或设计</w:t>
      </w:r>
    </w:p>
    <w:p w14:paraId="145DB7D4">
      <w:pPr>
        <w:widowControl/>
        <w:numPr>
          <w:ilvl w:val="0"/>
          <w:numId w:val="11"/>
        </w:numPr>
        <w:shd w:val="clear" w:color="auto" w:fill="FFFFFF"/>
        <w:spacing w:before="120" w:line="207" w:lineRule="atLeast"/>
        <w:ind w:left="300"/>
        <w:rPr>
          <w:rFonts w:ascii="Times New Roman" w:hAnsi="Times New Roman"/>
          <w:kern w:val="0"/>
          <w:sz w:val="15"/>
          <w:szCs w:val="15"/>
        </w:rPr>
      </w:pPr>
      <w:r>
        <w:rPr>
          <w:rFonts w:hint="eastAsia" w:ascii="Times New Roman" w:hAnsi="宋体"/>
          <w:kern w:val="0"/>
          <w:sz w:val="15"/>
          <w:szCs w:val="15"/>
        </w:rPr>
        <w:t>不同于其他合法上市骨移植材料器械中应用的技术</w:t>
      </w:r>
    </w:p>
    <w:p w14:paraId="2D916816">
      <w:pPr>
        <w:widowControl/>
        <w:numPr>
          <w:ilvl w:val="0"/>
          <w:numId w:val="11"/>
        </w:numPr>
        <w:shd w:val="clear" w:color="auto" w:fill="FFFFFF"/>
        <w:spacing w:before="120" w:line="207" w:lineRule="atLeast"/>
        <w:ind w:left="300"/>
        <w:rPr>
          <w:rFonts w:ascii="Times New Roman" w:hAnsi="Times New Roman"/>
          <w:kern w:val="0"/>
          <w:sz w:val="15"/>
          <w:szCs w:val="15"/>
        </w:rPr>
      </w:pPr>
      <w:r>
        <w:rPr>
          <w:rFonts w:hint="eastAsia" w:ascii="Times New Roman" w:hAnsi="宋体"/>
          <w:kern w:val="0"/>
          <w:sz w:val="15"/>
          <w:szCs w:val="15"/>
        </w:rPr>
        <w:t>不同于其他骨移植材料器械的使用适应证。</w:t>
      </w:r>
    </w:p>
    <w:p w14:paraId="38D0DECC">
      <w:pPr>
        <w:widowControl/>
        <w:shd w:val="clear" w:color="auto" w:fill="FFFFFF"/>
        <w:spacing w:before="240" w:line="207" w:lineRule="atLeast"/>
        <w:ind w:firstLine="0"/>
        <w:rPr>
          <w:rFonts w:ascii="Times New Roman" w:hAnsi="Times New Roman"/>
          <w:kern w:val="0"/>
          <w:sz w:val="15"/>
          <w:szCs w:val="15"/>
        </w:rPr>
      </w:pPr>
      <w:r>
        <w:rPr>
          <w:rFonts w:hint="eastAsia" w:ascii="Times New Roman" w:hAnsi="宋体"/>
          <w:kern w:val="0"/>
          <w:sz w:val="15"/>
          <w:szCs w:val="15"/>
        </w:rPr>
        <w:t>若拟定替代物获得充分科学依据的支持，</w:t>
      </w:r>
      <w:r>
        <w:rPr>
          <w:rFonts w:ascii="Times New Roman" w:hAnsi="Times New Roman"/>
          <w:kern w:val="0"/>
          <w:sz w:val="15"/>
          <w:szCs w:val="15"/>
        </w:rPr>
        <w:t>FDA</w:t>
      </w:r>
      <w:r>
        <w:rPr>
          <w:rFonts w:hint="eastAsia" w:ascii="Times New Roman" w:hAnsi="宋体"/>
          <w:kern w:val="0"/>
          <w:sz w:val="15"/>
          <w:szCs w:val="15"/>
        </w:rPr>
        <w:t>将考虑对此替代物进行临床试验。</w:t>
      </w:r>
    </w:p>
    <w:p w14:paraId="31E14540">
      <w:pPr>
        <w:widowControl/>
        <w:shd w:val="clear" w:color="auto" w:fill="FFFFFF"/>
        <w:spacing w:before="240" w:after="240" w:line="207" w:lineRule="atLeast"/>
        <w:ind w:firstLine="0"/>
        <w:rPr>
          <w:rFonts w:ascii="Times New Roman" w:hAnsi="Times New Roman"/>
          <w:kern w:val="0"/>
          <w:sz w:val="15"/>
          <w:szCs w:val="15"/>
        </w:rPr>
      </w:pPr>
      <w:r>
        <w:rPr>
          <w:rFonts w:hint="eastAsia" w:ascii="Times New Roman" w:hAnsi="宋体"/>
          <w:kern w:val="0"/>
          <w:sz w:val="15"/>
          <w:szCs w:val="15"/>
        </w:rPr>
        <w:t>如果执行动物试验，我们建议您的研究包括以下几方面：</w:t>
      </w:r>
    </w:p>
    <w:p w14:paraId="4C43F754">
      <w:pPr>
        <w:widowControl/>
        <w:numPr>
          <w:ilvl w:val="0"/>
          <w:numId w:val="12"/>
        </w:numPr>
        <w:shd w:val="clear" w:color="auto" w:fill="FFFFFF"/>
        <w:spacing w:line="207" w:lineRule="atLeast"/>
        <w:ind w:left="300"/>
        <w:rPr>
          <w:rFonts w:ascii="Times New Roman" w:hAnsi="Times New Roman"/>
          <w:kern w:val="0"/>
          <w:sz w:val="15"/>
          <w:szCs w:val="15"/>
        </w:rPr>
      </w:pPr>
      <w:r>
        <w:rPr>
          <w:rFonts w:hint="eastAsia" w:ascii="Times New Roman" w:hAnsi="宋体"/>
          <w:kern w:val="0"/>
          <w:sz w:val="15"/>
          <w:szCs w:val="15"/>
        </w:rPr>
        <w:t>代表使用适应证且涉及拟定应用解剖学部位的动物模型</w:t>
      </w:r>
    </w:p>
    <w:p w14:paraId="05F42070">
      <w:pPr>
        <w:widowControl/>
        <w:numPr>
          <w:ilvl w:val="0"/>
          <w:numId w:val="12"/>
        </w:numPr>
        <w:shd w:val="clear" w:color="auto" w:fill="FFFFFF"/>
        <w:spacing w:before="120" w:line="207" w:lineRule="atLeast"/>
        <w:ind w:left="300"/>
        <w:rPr>
          <w:rFonts w:ascii="Times New Roman" w:hAnsi="Times New Roman"/>
          <w:kern w:val="0"/>
          <w:sz w:val="15"/>
          <w:szCs w:val="15"/>
        </w:rPr>
      </w:pPr>
      <w:r>
        <w:rPr>
          <w:rFonts w:hint="eastAsia" w:ascii="Times New Roman" w:hAnsi="宋体"/>
          <w:kern w:val="0"/>
          <w:sz w:val="15"/>
          <w:szCs w:val="15"/>
        </w:rPr>
        <w:t>使用骨骼成熟动物，且存在临界性骨缺损</w:t>
      </w:r>
    </w:p>
    <w:p w14:paraId="27A5E2E9">
      <w:pPr>
        <w:widowControl/>
        <w:numPr>
          <w:ilvl w:val="0"/>
          <w:numId w:val="12"/>
        </w:numPr>
        <w:shd w:val="clear" w:color="auto" w:fill="FFFFFF"/>
        <w:spacing w:before="120" w:line="207" w:lineRule="atLeast"/>
        <w:ind w:left="300"/>
        <w:rPr>
          <w:rFonts w:ascii="Times New Roman" w:hAnsi="Times New Roman"/>
          <w:kern w:val="0"/>
          <w:sz w:val="15"/>
          <w:szCs w:val="15"/>
        </w:rPr>
      </w:pPr>
      <w:r>
        <w:rPr>
          <w:rFonts w:hint="eastAsia" w:ascii="Times New Roman" w:hAnsi="宋体"/>
          <w:kern w:val="0"/>
          <w:sz w:val="15"/>
          <w:szCs w:val="15"/>
        </w:rPr>
        <w:t>使用已获批准实质等同器械或自体骨移植作为阳性对照，使用空白缺损作为阴性对照</w:t>
      </w:r>
    </w:p>
    <w:p w14:paraId="319C421B">
      <w:pPr>
        <w:widowControl/>
        <w:numPr>
          <w:ilvl w:val="0"/>
          <w:numId w:val="12"/>
        </w:numPr>
        <w:shd w:val="clear" w:color="auto" w:fill="FFFFFF"/>
        <w:spacing w:before="120" w:line="207" w:lineRule="atLeast"/>
        <w:ind w:left="300"/>
        <w:rPr>
          <w:rFonts w:ascii="Times New Roman" w:hAnsi="Times New Roman"/>
          <w:kern w:val="0"/>
          <w:sz w:val="15"/>
          <w:szCs w:val="15"/>
        </w:rPr>
      </w:pPr>
      <w:r>
        <w:rPr>
          <w:rFonts w:hint="eastAsia" w:ascii="Times New Roman" w:hAnsi="宋体"/>
          <w:kern w:val="0"/>
          <w:sz w:val="15"/>
          <w:szCs w:val="15"/>
        </w:rPr>
        <w:t>如果可以的话，在愈合期间相关间隔时间后执行</w:t>
      </w:r>
      <w:r>
        <w:rPr>
          <w:rFonts w:ascii="Times New Roman" w:hAnsi="Times New Roman"/>
          <w:kern w:val="0"/>
          <w:sz w:val="15"/>
          <w:szCs w:val="15"/>
        </w:rPr>
        <w:t>X</w:t>
      </w:r>
      <w:r>
        <w:rPr>
          <w:rFonts w:hint="eastAsia" w:ascii="Times New Roman" w:hAnsi="宋体"/>
          <w:kern w:val="0"/>
          <w:sz w:val="15"/>
          <w:szCs w:val="15"/>
        </w:rPr>
        <w:t>射线摄影、组织学检查和组织形态测定，以评估骨形成、器械吸收和残余物生成</w:t>
      </w:r>
    </w:p>
    <w:p w14:paraId="69D4E3B6">
      <w:pPr>
        <w:widowControl/>
        <w:numPr>
          <w:ilvl w:val="0"/>
          <w:numId w:val="12"/>
        </w:numPr>
        <w:shd w:val="clear" w:color="auto" w:fill="FFFFFF"/>
        <w:spacing w:before="120" w:line="207" w:lineRule="atLeast"/>
        <w:ind w:left="300"/>
        <w:rPr>
          <w:rFonts w:ascii="Times New Roman" w:hAnsi="Times New Roman"/>
          <w:kern w:val="0"/>
          <w:sz w:val="15"/>
          <w:szCs w:val="15"/>
        </w:rPr>
      </w:pPr>
      <w:r>
        <w:rPr>
          <w:rFonts w:hint="eastAsia" w:ascii="Times New Roman" w:hAnsi="宋体"/>
          <w:kern w:val="0"/>
          <w:sz w:val="15"/>
          <w:szCs w:val="15"/>
        </w:rPr>
        <w:t>进行支持性生物力学试验，以证明新形成骨骼的质量。</w:t>
      </w:r>
    </w:p>
    <w:p w14:paraId="00C587C9">
      <w:pPr>
        <w:widowControl/>
        <w:shd w:val="clear" w:color="auto" w:fill="FFFFFF"/>
        <w:spacing w:before="240" w:line="207" w:lineRule="atLeast"/>
        <w:ind w:firstLine="0"/>
        <w:rPr>
          <w:rFonts w:ascii="Times New Roman" w:hAnsi="Times New Roman"/>
          <w:kern w:val="0"/>
          <w:sz w:val="15"/>
          <w:szCs w:val="15"/>
        </w:rPr>
      </w:pPr>
      <w:r>
        <w:rPr>
          <w:rFonts w:hint="eastAsia" w:ascii="Times New Roman" w:hAnsi="宋体"/>
          <w:kern w:val="0"/>
          <w:sz w:val="15"/>
          <w:szCs w:val="15"/>
        </w:rPr>
        <w:t>如果需要进行临床研究来证明实质等同，即该器械获得</w:t>
      </w:r>
      <w:r>
        <w:rPr>
          <w:rFonts w:ascii="Times New Roman" w:hAnsi="Times New Roman"/>
          <w:kern w:val="0"/>
          <w:sz w:val="15"/>
          <w:szCs w:val="15"/>
        </w:rPr>
        <w:t>510(k)</w:t>
      </w:r>
      <w:r>
        <w:rPr>
          <w:rFonts w:hint="eastAsia" w:ascii="Times New Roman" w:hAnsi="宋体"/>
          <w:kern w:val="0"/>
          <w:sz w:val="15"/>
          <w:szCs w:val="15"/>
        </w:rPr>
        <w:t>批准之前进行，则必须根据</w:t>
      </w:r>
      <w:r>
        <w:rPr>
          <w:rFonts w:ascii="Times New Roman" w:hAnsi="Times New Roman"/>
          <w:kern w:val="0"/>
          <w:sz w:val="15"/>
          <w:szCs w:val="15"/>
        </w:rPr>
        <w:t xml:space="preserve">21 CFR </w:t>
      </w:r>
      <w:r>
        <w:rPr>
          <w:rFonts w:hint="eastAsia" w:ascii="Times New Roman" w:hAnsi="宋体"/>
          <w:kern w:val="0"/>
          <w:sz w:val="15"/>
          <w:szCs w:val="15"/>
        </w:rPr>
        <w:t>第</w:t>
      </w:r>
      <w:r>
        <w:rPr>
          <w:rFonts w:ascii="Times New Roman" w:hAnsi="Times New Roman"/>
          <w:kern w:val="0"/>
          <w:sz w:val="15"/>
          <w:szCs w:val="15"/>
        </w:rPr>
        <w:t>812</w:t>
      </w:r>
      <w:r>
        <w:rPr>
          <w:rFonts w:hint="eastAsia" w:ascii="Times New Roman" w:hAnsi="宋体"/>
          <w:kern w:val="0"/>
          <w:sz w:val="15"/>
          <w:szCs w:val="15"/>
        </w:rPr>
        <w:t>部分的试验用器械豁免（</w:t>
      </w:r>
      <w:r>
        <w:rPr>
          <w:rFonts w:ascii="Times New Roman" w:hAnsi="Times New Roman"/>
          <w:kern w:val="0"/>
          <w:sz w:val="15"/>
          <w:szCs w:val="15"/>
        </w:rPr>
        <w:t>IDE</w:t>
      </w:r>
      <w:r>
        <w:rPr>
          <w:rFonts w:hint="eastAsia" w:ascii="Times New Roman" w:hAnsi="宋体"/>
          <w:kern w:val="0"/>
          <w:sz w:val="15"/>
          <w:szCs w:val="15"/>
        </w:rPr>
        <w:t>）规定来完成此项研究。</w:t>
      </w:r>
      <w:r>
        <w:rPr>
          <w:rFonts w:ascii="Times New Roman" w:hAnsi="Times New Roman"/>
          <w:kern w:val="0"/>
          <w:sz w:val="15"/>
          <w:szCs w:val="15"/>
        </w:rPr>
        <w:t>FDA</w:t>
      </w:r>
      <w:r>
        <w:rPr>
          <w:rFonts w:hint="eastAsia" w:ascii="Times New Roman" w:hAnsi="宋体"/>
          <w:kern w:val="0"/>
          <w:sz w:val="15"/>
          <w:szCs w:val="15"/>
        </w:rPr>
        <w:t>认为，本指导文件论述的这一骨移植材料器械属于重大风险器械。</w:t>
      </w:r>
      <w:r>
        <w:rPr>
          <w:rFonts w:ascii="Times New Roman" w:hAnsi="Times New Roman"/>
          <w:kern w:val="0"/>
          <w:sz w:val="15"/>
          <w:szCs w:val="15"/>
        </w:rPr>
        <w:t>. </w:t>
      </w:r>
      <w:r>
        <w:fldChar w:fldCharType="begin"/>
      </w:r>
      <w:r>
        <w:instrText xml:space="preserve"> HYPERLINK "https://www.fda.gov/medicaldevices/deviceregulationandguidance/guidancedocuments/ucm071842.htm" \l "f14" </w:instrText>
      </w:r>
      <w:r>
        <w:fldChar w:fldCharType="separate"/>
      </w:r>
      <w:r>
        <w:rPr>
          <w:rFonts w:ascii="Times New Roman" w:hAnsi="Times New Roman"/>
          <w:kern w:val="0"/>
          <w:sz w:val="15"/>
          <w:szCs w:val="15"/>
          <w:u w:val="single"/>
          <w:vertAlign w:val="superscript"/>
        </w:rPr>
        <w:t>14</w:t>
      </w:r>
      <w:r>
        <w:rPr>
          <w:rFonts w:ascii="Times New Roman" w:hAnsi="Times New Roman"/>
          <w:kern w:val="0"/>
          <w:sz w:val="15"/>
          <w:szCs w:val="15"/>
          <w:u w:val="single"/>
          <w:vertAlign w:val="superscript"/>
        </w:rPr>
        <w:fldChar w:fldCharType="end"/>
      </w:r>
      <w:r>
        <w:rPr>
          <w:rFonts w:ascii="Times New Roman" w:hAnsi="Times New Roman"/>
          <w:kern w:val="0"/>
          <w:sz w:val="15"/>
          <w:szCs w:val="15"/>
        </w:rPr>
        <w:t> </w:t>
      </w:r>
      <w:r>
        <w:rPr>
          <w:rFonts w:hint="eastAsia" w:ascii="Times New Roman" w:hAnsi="宋体"/>
          <w:kern w:val="0"/>
          <w:sz w:val="15"/>
          <w:szCs w:val="15"/>
        </w:rPr>
        <w:t>这类试验的委托方必须遵守管理机构审查委员会的法规（</w:t>
      </w:r>
      <w:r>
        <w:rPr>
          <w:rFonts w:ascii="Times New Roman" w:hAnsi="Times New Roman"/>
          <w:kern w:val="0"/>
          <w:sz w:val="15"/>
          <w:szCs w:val="15"/>
        </w:rPr>
        <w:t>21 CFR Part 56</w:t>
      </w:r>
      <w:r>
        <w:rPr>
          <w:rFonts w:hint="eastAsia" w:ascii="Times New Roman" w:hAnsi="宋体"/>
          <w:kern w:val="0"/>
          <w:sz w:val="15"/>
          <w:szCs w:val="15"/>
        </w:rPr>
        <w:t>）和知情同意（</w:t>
      </w:r>
      <w:r>
        <w:rPr>
          <w:rFonts w:ascii="Times New Roman" w:hAnsi="Times New Roman"/>
          <w:kern w:val="0"/>
          <w:sz w:val="15"/>
          <w:szCs w:val="15"/>
        </w:rPr>
        <w:t>21 CFR Part 50</w:t>
      </w:r>
      <w:r>
        <w:rPr>
          <w:rFonts w:hint="eastAsia" w:ascii="Times New Roman" w:hAnsi="宋体"/>
          <w:kern w:val="0"/>
          <w:sz w:val="15"/>
          <w:szCs w:val="15"/>
        </w:rPr>
        <w:t>）。</w:t>
      </w:r>
    </w:p>
    <w:p w14:paraId="336209FF">
      <w:pPr>
        <w:widowControl/>
        <w:spacing w:before="330" w:after="330"/>
        <w:ind w:firstLine="0"/>
        <w:rPr>
          <w:rFonts w:ascii="Times New Roman" w:hAnsi="宋体"/>
          <w:kern w:val="0"/>
          <w:sz w:val="15"/>
          <w:szCs w:val="15"/>
        </w:rPr>
      </w:pPr>
      <w:r>
        <w:rPr>
          <w:rFonts w:hint="eastAsia" w:ascii="Times New Roman" w:hAnsi="宋体"/>
          <w:kern w:val="0"/>
          <w:sz w:val="15"/>
          <w:szCs w:val="15"/>
        </w:rPr>
        <w:t>返回顶部</w:t>
      </w:r>
    </w:p>
    <w:p w14:paraId="04EBFF0D">
      <w:pPr>
        <w:widowControl/>
        <w:spacing w:before="330" w:after="330"/>
        <w:ind w:firstLine="0"/>
        <w:rPr>
          <w:rFonts w:ascii="Times New Roman" w:hAnsi="Times New Roman"/>
          <w:kern w:val="0"/>
          <w:sz w:val="15"/>
          <w:szCs w:val="15"/>
        </w:rPr>
      </w:pPr>
      <w:r>
        <w:rPr>
          <w:rFonts w:ascii="Times New Roman" w:hAnsi="Times New Roman"/>
          <w:kern w:val="0"/>
          <w:sz w:val="15"/>
          <w:szCs w:val="15"/>
        </w:rPr>
        <w:pict>
          <v:rect id="_x0000_i1033" o:spt="1" style="height:0pt;width:0pt;" fillcolor="#333333" filled="t" stroked="f" coordsize="21600,21600" o:hr="t" o:hrstd="t" o:hrnoshade="t" o:hralign="center">
            <v:path/>
            <v:fill on="t" focussize="0,0"/>
            <v:stroke on="f"/>
            <v:imagedata o:title=""/>
            <o:lock v:ext="edit"/>
            <w10:wrap type="none"/>
            <w10:anchorlock/>
          </v:rect>
        </w:pict>
      </w:r>
    </w:p>
    <w:p w14:paraId="4D16ADEF">
      <w:pPr>
        <w:widowControl/>
        <w:shd w:val="clear" w:color="auto" w:fill="FFFFFF"/>
        <w:spacing w:after="118"/>
        <w:ind w:firstLine="0"/>
        <w:outlineLvl w:val="0"/>
        <w:rPr>
          <w:rFonts w:ascii="Times New Roman" w:hAnsi="Times New Roman"/>
          <w:b/>
          <w:bCs/>
          <w:kern w:val="0"/>
          <w:sz w:val="23"/>
          <w:szCs w:val="23"/>
        </w:rPr>
      </w:pPr>
      <w:bookmarkStart w:id="8" w:name="_Toc480622169"/>
      <w:r>
        <w:rPr>
          <w:rFonts w:ascii="Times New Roman" w:hAnsi="Times New Roman"/>
          <w:b/>
          <w:bCs/>
          <w:kern w:val="0"/>
          <w:sz w:val="23"/>
          <w:szCs w:val="23"/>
        </w:rPr>
        <w:t>8.</w:t>
      </w:r>
      <w:r>
        <w:rPr>
          <w:rFonts w:ascii="Times New Roman" w:hAnsi="Times New Roman"/>
          <w:b/>
          <w:bCs/>
          <w:kern w:val="0"/>
          <w:sz w:val="23"/>
          <w:szCs w:val="23"/>
        </w:rPr>
        <w:tab/>
      </w:r>
      <w:r>
        <w:rPr>
          <w:rFonts w:hint="eastAsia" w:ascii="Times New Roman" w:hAnsi="宋体"/>
          <w:b/>
          <w:bCs/>
          <w:kern w:val="0"/>
          <w:sz w:val="23"/>
          <w:szCs w:val="23"/>
        </w:rPr>
        <w:t>生物相容性</w:t>
      </w:r>
      <w:bookmarkEnd w:id="8"/>
    </w:p>
    <w:p w14:paraId="4E3530F7">
      <w:pPr>
        <w:widowControl/>
        <w:shd w:val="clear" w:color="auto" w:fill="FFFFFF"/>
        <w:spacing w:line="207" w:lineRule="atLeast"/>
        <w:ind w:firstLine="0"/>
        <w:rPr>
          <w:rFonts w:ascii="Times New Roman" w:hAnsi="Times New Roman"/>
          <w:kern w:val="0"/>
          <w:sz w:val="15"/>
          <w:szCs w:val="15"/>
        </w:rPr>
      </w:pPr>
      <w:r>
        <w:rPr>
          <w:rFonts w:ascii="Times New Roman" w:hAnsi="Times New Roman"/>
          <w:kern w:val="0"/>
          <w:sz w:val="15"/>
          <w:szCs w:val="15"/>
        </w:rPr>
        <w:t>FDA</w:t>
      </w:r>
      <w:r>
        <w:rPr>
          <w:rFonts w:hint="eastAsia" w:ascii="Times New Roman" w:hAnsi="宋体"/>
          <w:kern w:val="0"/>
          <w:sz w:val="15"/>
          <w:szCs w:val="15"/>
        </w:rPr>
        <w:t>建议，您应该针对您的骨移植材料作为接触组织</w:t>
      </w:r>
      <w:r>
        <w:rPr>
          <w:rFonts w:ascii="Times New Roman" w:hAnsi="Times New Roman"/>
          <w:kern w:val="0"/>
          <w:sz w:val="15"/>
          <w:szCs w:val="15"/>
        </w:rPr>
        <w:t>/</w:t>
      </w:r>
      <w:r>
        <w:rPr>
          <w:rFonts w:hint="eastAsia" w:ascii="Times New Roman" w:hAnsi="宋体"/>
          <w:kern w:val="0"/>
          <w:sz w:val="15"/>
          <w:szCs w:val="15"/>
        </w:rPr>
        <w:t>骨骼的永久性植入物器械进行生物相容性试验，可参见</w:t>
      </w:r>
      <w:r>
        <w:rPr>
          <w:rFonts w:ascii="Times New Roman" w:hAnsi="Times New Roman"/>
          <w:kern w:val="0"/>
          <w:sz w:val="15"/>
          <w:szCs w:val="15"/>
        </w:rPr>
        <w:t>FDA</w:t>
      </w:r>
      <w:r>
        <w:rPr>
          <w:rFonts w:hint="eastAsia" w:ascii="Times New Roman" w:hAnsi="宋体"/>
          <w:kern w:val="0"/>
          <w:sz w:val="15"/>
          <w:szCs w:val="15"/>
        </w:rPr>
        <w:t>指导文件中的说明：</w:t>
      </w:r>
    </w:p>
    <w:p w14:paraId="208B7212">
      <w:pPr>
        <w:widowControl/>
        <w:numPr>
          <w:ilvl w:val="0"/>
          <w:numId w:val="13"/>
        </w:numPr>
        <w:shd w:val="clear" w:color="auto" w:fill="FFFFFF"/>
        <w:spacing w:line="207" w:lineRule="atLeast"/>
        <w:ind w:left="300"/>
        <w:rPr>
          <w:rFonts w:ascii="Times New Roman" w:hAnsi="Times New Roman"/>
          <w:kern w:val="0"/>
          <w:sz w:val="15"/>
          <w:szCs w:val="15"/>
        </w:rPr>
      </w:pPr>
      <w:r>
        <w:rPr>
          <w:rFonts w:hint="eastAsia" w:ascii="Times New Roman" w:hAnsi="宋体"/>
          <w:b/>
          <w:bCs/>
          <w:kern w:val="0"/>
          <w:sz w:val="15"/>
          <w:szCs w:val="15"/>
        </w:rPr>
        <w:t>医疗器械评价所需的生物相容性培训和毒理学信息</w:t>
      </w:r>
      <w:r>
        <w:rPr>
          <w:rFonts w:ascii="Times New Roman" w:hAnsi="Times New Roman"/>
          <w:b/>
          <w:bCs/>
          <w:kern w:val="0"/>
          <w:sz w:val="15"/>
          <w:szCs w:val="15"/>
        </w:rPr>
        <w:t>(G95-1)</w:t>
      </w:r>
      <w:r>
        <w:fldChar w:fldCharType="begin"/>
      </w:r>
      <w:r>
        <w:instrText xml:space="preserve"> HYPERLINK "https://www.fda.gov/medicaldevices/deviceregulationandguidance/guidancedocuments/ucm071842.htm" \l "f15" </w:instrText>
      </w:r>
      <w:r>
        <w:fldChar w:fldCharType="separate"/>
      </w:r>
      <w:r>
        <w:rPr>
          <w:rFonts w:ascii="Times New Roman" w:hAnsi="Times New Roman"/>
          <w:kern w:val="0"/>
          <w:sz w:val="15"/>
          <w:szCs w:val="15"/>
          <w:u w:val="single"/>
          <w:vertAlign w:val="superscript"/>
        </w:rPr>
        <w:t>15</w:t>
      </w:r>
      <w:r>
        <w:rPr>
          <w:rFonts w:ascii="Times New Roman" w:hAnsi="Times New Roman"/>
          <w:kern w:val="0"/>
          <w:sz w:val="15"/>
          <w:szCs w:val="15"/>
          <w:u w:val="single"/>
          <w:vertAlign w:val="superscript"/>
        </w:rPr>
        <w:fldChar w:fldCharType="end"/>
      </w:r>
      <w:r>
        <w:rPr>
          <w:rFonts w:ascii="Times New Roman" w:hAnsi="Times New Roman"/>
          <w:kern w:val="0"/>
          <w:sz w:val="15"/>
          <w:szCs w:val="15"/>
        </w:rPr>
        <w:t> .</w:t>
      </w:r>
    </w:p>
    <w:p w14:paraId="50A1DC11">
      <w:pPr>
        <w:widowControl/>
        <w:shd w:val="clear" w:color="auto" w:fill="FFFFFF"/>
        <w:spacing w:before="240" w:line="207" w:lineRule="atLeast"/>
        <w:ind w:firstLine="0"/>
        <w:rPr>
          <w:rFonts w:ascii="Times New Roman" w:hAnsi="Times New Roman"/>
          <w:kern w:val="0"/>
          <w:sz w:val="15"/>
          <w:szCs w:val="15"/>
        </w:rPr>
      </w:pPr>
      <w:r>
        <w:rPr>
          <w:rFonts w:hint="eastAsia" w:ascii="Times New Roman" w:hAnsi="宋体"/>
          <w:kern w:val="0"/>
          <w:sz w:val="15"/>
          <w:szCs w:val="15"/>
        </w:rPr>
        <w:t>我们建议，您应该针对您的器械的接触时间和水平选择适当的生物相容性试验（</w:t>
      </w:r>
      <w:r>
        <w:rPr>
          <w:rFonts w:ascii="Times New Roman" w:hAnsi="Times New Roman"/>
          <w:kern w:val="0"/>
          <w:sz w:val="15"/>
          <w:szCs w:val="15"/>
        </w:rPr>
        <w:t>ISO-10993</w:t>
      </w:r>
      <w:r>
        <w:rPr>
          <w:rFonts w:hint="eastAsia" w:ascii="Times New Roman" w:hAnsi="宋体"/>
          <w:kern w:val="0"/>
          <w:sz w:val="15"/>
          <w:szCs w:val="15"/>
        </w:rPr>
        <w:t>第</w:t>
      </w:r>
      <w:r>
        <w:rPr>
          <w:rFonts w:ascii="Times New Roman" w:hAnsi="Times New Roman"/>
          <w:kern w:val="0"/>
          <w:sz w:val="15"/>
          <w:szCs w:val="15"/>
        </w:rPr>
        <w:t>5-10</w:t>
      </w:r>
      <w:r>
        <w:rPr>
          <w:rFonts w:hint="eastAsia" w:ascii="Times New Roman" w:hAnsi="宋体"/>
          <w:kern w:val="0"/>
          <w:sz w:val="15"/>
          <w:szCs w:val="15"/>
        </w:rPr>
        <w:t>部分）。试验可能包括，但不仅限于细胞毒性、致敏性、遗传毒性、移植性、慢性毒性和致癌性。注意，如果研究已经证实您的骨移植材料器械生物上适合的适应证和接触组织类型与已获批准实质等同器械或文献中所述结果一样，则可能不需要进行生物相容性试验。这种情况下，您应该查找参考文献以支持您的器械的生物相容性。</w:t>
      </w:r>
    </w:p>
    <w:p w14:paraId="4B351BDB">
      <w:pPr>
        <w:widowControl/>
        <w:spacing w:before="330" w:after="330"/>
        <w:ind w:firstLine="0"/>
        <w:rPr>
          <w:rFonts w:ascii="Times New Roman" w:hAnsi="宋体"/>
          <w:b/>
          <w:kern w:val="0"/>
          <w:sz w:val="15"/>
          <w:szCs w:val="15"/>
          <w:u w:val="single"/>
        </w:rPr>
      </w:pPr>
      <w:r>
        <w:rPr>
          <w:rFonts w:hint="eastAsia" w:ascii="Times New Roman" w:hAnsi="宋体"/>
          <w:b/>
          <w:kern w:val="0"/>
          <w:sz w:val="15"/>
          <w:szCs w:val="15"/>
          <w:u w:val="single"/>
        </w:rPr>
        <w:t>返回顶部</w:t>
      </w:r>
    </w:p>
    <w:p w14:paraId="38FE73D8">
      <w:pPr>
        <w:widowControl/>
        <w:spacing w:before="330" w:after="330"/>
        <w:ind w:firstLine="0"/>
        <w:rPr>
          <w:rFonts w:ascii="Times New Roman" w:hAnsi="Times New Roman"/>
          <w:kern w:val="0"/>
          <w:sz w:val="15"/>
          <w:szCs w:val="15"/>
        </w:rPr>
      </w:pPr>
      <w:r>
        <w:rPr>
          <w:rFonts w:ascii="Times New Roman" w:hAnsi="Times New Roman"/>
          <w:kern w:val="0"/>
          <w:sz w:val="15"/>
          <w:szCs w:val="15"/>
        </w:rPr>
        <w:pict>
          <v:rect id="_x0000_i1034" o:spt="1" style="height:0pt;width:0pt;" fillcolor="#333333" filled="t" stroked="f" coordsize="21600,21600" o:hr="t" o:hrstd="t" o:hrnoshade="t" o:hralign="center">
            <v:path/>
            <v:fill on="t" focussize="0,0"/>
            <v:stroke on="f"/>
            <v:imagedata o:title=""/>
            <o:lock v:ext="edit"/>
            <w10:wrap type="none"/>
            <w10:anchorlock/>
          </v:rect>
        </w:pict>
      </w:r>
    </w:p>
    <w:p w14:paraId="359BDF41">
      <w:pPr>
        <w:widowControl/>
        <w:shd w:val="clear" w:color="auto" w:fill="FFFFFF"/>
        <w:spacing w:after="118"/>
        <w:ind w:firstLine="0"/>
        <w:outlineLvl w:val="0"/>
        <w:rPr>
          <w:rFonts w:ascii="Times New Roman" w:hAnsi="Times New Roman"/>
          <w:b/>
          <w:bCs/>
          <w:kern w:val="0"/>
          <w:sz w:val="23"/>
          <w:szCs w:val="23"/>
        </w:rPr>
      </w:pPr>
      <w:bookmarkStart w:id="9" w:name="_Toc480622170"/>
      <w:r>
        <w:rPr>
          <w:rFonts w:ascii="Times New Roman" w:hAnsi="Times New Roman"/>
          <w:b/>
          <w:bCs/>
          <w:kern w:val="0"/>
          <w:sz w:val="23"/>
          <w:szCs w:val="23"/>
        </w:rPr>
        <w:t>9.</w:t>
      </w:r>
      <w:r>
        <w:rPr>
          <w:rFonts w:ascii="Times New Roman" w:hAnsi="Times New Roman"/>
          <w:b/>
          <w:bCs/>
          <w:kern w:val="0"/>
          <w:sz w:val="23"/>
          <w:szCs w:val="23"/>
        </w:rPr>
        <w:tab/>
      </w:r>
      <w:r>
        <w:rPr>
          <w:rFonts w:hint="eastAsia" w:ascii="Times New Roman" w:hAnsi="宋体"/>
          <w:b/>
          <w:bCs/>
          <w:kern w:val="0"/>
          <w:sz w:val="23"/>
          <w:szCs w:val="23"/>
        </w:rPr>
        <w:t>灭菌</w:t>
      </w:r>
      <w:bookmarkEnd w:id="9"/>
    </w:p>
    <w:p w14:paraId="7804C4F2">
      <w:pPr>
        <w:widowControl/>
        <w:shd w:val="clear" w:color="auto" w:fill="FFFFFF"/>
        <w:spacing w:after="118"/>
        <w:ind w:firstLine="0"/>
        <w:outlineLvl w:val="2"/>
        <w:rPr>
          <w:rFonts w:ascii="Times New Roman" w:hAnsi="Times New Roman"/>
          <w:b/>
          <w:bCs/>
          <w:kern w:val="0"/>
          <w:sz w:val="15"/>
          <w:szCs w:val="15"/>
        </w:rPr>
      </w:pPr>
      <w:r>
        <w:rPr>
          <w:rFonts w:ascii="Times New Roman" w:hAnsi="Times New Roman"/>
          <w:b/>
          <w:bCs/>
          <w:kern w:val="0"/>
          <w:sz w:val="15"/>
          <w:szCs w:val="15"/>
        </w:rPr>
        <w:br w:type="page"/>
      </w:r>
    </w:p>
    <w:p w14:paraId="33C4D724">
      <w:pPr>
        <w:widowControl/>
        <w:shd w:val="clear" w:color="auto" w:fill="FFFFFF"/>
        <w:spacing w:line="207" w:lineRule="atLeast"/>
        <w:ind w:firstLine="0"/>
        <w:rPr>
          <w:rFonts w:ascii="Times New Roman" w:hAnsi="Times New Roman"/>
          <w:kern w:val="0"/>
          <w:sz w:val="15"/>
          <w:szCs w:val="15"/>
        </w:rPr>
      </w:pPr>
      <w:r>
        <w:rPr>
          <w:rFonts w:ascii="Times New Roman" w:hAnsi="Times New Roman"/>
          <w:kern w:val="0"/>
          <w:sz w:val="15"/>
          <w:szCs w:val="15"/>
        </w:rPr>
        <w:t>FDA</w:t>
      </w:r>
      <w:r>
        <w:rPr>
          <w:rFonts w:hint="eastAsia" w:ascii="Times New Roman" w:hAnsi="宋体"/>
          <w:kern w:val="0"/>
          <w:sz w:val="15"/>
          <w:szCs w:val="15"/>
        </w:rPr>
        <w:t>建议，您应该根据</w:t>
      </w:r>
      <w:r>
        <w:rPr>
          <w:rFonts w:hint="eastAsia" w:ascii="Times New Roman" w:hAnsi="宋体"/>
          <w:b/>
          <w:kern w:val="0"/>
          <w:sz w:val="15"/>
          <w:szCs w:val="15"/>
        </w:rPr>
        <w:t>更新的</w:t>
      </w:r>
      <w:r>
        <w:rPr>
          <w:rFonts w:ascii="Times New Roman" w:hAnsi="Times New Roman"/>
          <w:b/>
          <w:bCs/>
          <w:kern w:val="0"/>
          <w:sz w:val="15"/>
          <w:szCs w:val="15"/>
        </w:rPr>
        <w:t>510(k)</w:t>
      </w:r>
      <w:r>
        <w:rPr>
          <w:rFonts w:hint="eastAsia" w:ascii="Times New Roman" w:hAnsi="宋体"/>
          <w:b/>
          <w:bCs/>
          <w:kern w:val="0"/>
          <w:sz w:val="15"/>
          <w:szCs w:val="15"/>
        </w:rPr>
        <w:t>灭菌审查指导</w:t>
      </w:r>
      <w:r>
        <w:rPr>
          <w:rFonts w:ascii="Times New Roman" w:hAnsi="Times New Roman"/>
          <w:b/>
          <w:bCs/>
          <w:kern w:val="0"/>
          <w:sz w:val="15"/>
          <w:szCs w:val="15"/>
        </w:rPr>
        <w:t>K90-1</w:t>
      </w:r>
      <w:r>
        <w:rPr>
          <w:rFonts w:hint="eastAsia" w:ascii="Times New Roman" w:hAnsi="宋体"/>
          <w:b/>
          <w:bCs/>
          <w:kern w:val="0"/>
          <w:sz w:val="15"/>
          <w:szCs w:val="15"/>
        </w:rPr>
        <w:t>工业和</w:t>
      </w:r>
      <w:r>
        <w:rPr>
          <w:rFonts w:ascii="Times New Roman" w:hAnsi="Times New Roman"/>
          <w:b/>
          <w:bCs/>
          <w:kern w:val="0"/>
          <w:sz w:val="15"/>
          <w:szCs w:val="15"/>
        </w:rPr>
        <w:t>FDA</w:t>
      </w:r>
      <w:r>
        <w:rPr>
          <w:rFonts w:hint="eastAsia" w:ascii="Times New Roman" w:hAnsi="宋体"/>
          <w:b/>
          <w:bCs/>
          <w:kern w:val="0"/>
          <w:sz w:val="15"/>
          <w:szCs w:val="15"/>
        </w:rPr>
        <w:t>最终指导</w:t>
      </w:r>
      <w:r>
        <w:rPr>
          <w:rFonts w:hint="eastAsia" w:ascii="Times New Roman" w:hAnsi="宋体"/>
          <w:kern w:val="0"/>
          <w:sz w:val="15"/>
          <w:szCs w:val="15"/>
        </w:rPr>
        <w:t>，提供灭菌信息。</w:t>
      </w:r>
      <w:r>
        <w:fldChar w:fldCharType="begin"/>
      </w:r>
      <w:r>
        <w:instrText xml:space="preserve"> HYPERLINK "https://www.fda.gov/medicaldevices/deviceregulationandguidance/guidancedocuments/ucm071842.htm" \l "f16" </w:instrText>
      </w:r>
      <w:r>
        <w:fldChar w:fldCharType="separate"/>
      </w:r>
      <w:r>
        <w:rPr>
          <w:rFonts w:ascii="Times New Roman" w:hAnsi="Times New Roman"/>
          <w:kern w:val="0"/>
          <w:sz w:val="15"/>
          <w:szCs w:val="15"/>
          <w:u w:val="single"/>
          <w:vertAlign w:val="superscript"/>
        </w:rPr>
        <w:t>16</w:t>
      </w:r>
      <w:r>
        <w:rPr>
          <w:rFonts w:ascii="Times New Roman" w:hAnsi="Times New Roman"/>
          <w:kern w:val="0"/>
          <w:sz w:val="15"/>
          <w:szCs w:val="15"/>
          <w:u w:val="single"/>
          <w:vertAlign w:val="superscript"/>
        </w:rPr>
        <w:fldChar w:fldCharType="end"/>
      </w:r>
      <w:r>
        <w:rPr>
          <w:rFonts w:ascii="Times New Roman" w:hAnsi="Times New Roman"/>
          <w:kern w:val="0"/>
          <w:sz w:val="15"/>
          <w:szCs w:val="15"/>
        </w:rPr>
        <w:t> </w:t>
      </w:r>
      <w:r>
        <w:rPr>
          <w:rFonts w:hint="eastAsia" w:ascii="Times New Roman" w:hAnsi="宋体"/>
          <w:kern w:val="0"/>
          <w:sz w:val="15"/>
          <w:szCs w:val="15"/>
        </w:rPr>
        <w:t>您应该利用经过</w:t>
      </w:r>
      <w:r>
        <w:rPr>
          <w:rFonts w:ascii="Times New Roman" w:hAnsi="Times New Roman"/>
          <w:kern w:val="0"/>
          <w:sz w:val="15"/>
          <w:szCs w:val="15"/>
        </w:rPr>
        <w:t>QSR</w:t>
      </w:r>
      <w:r>
        <w:rPr>
          <w:rFonts w:hint="eastAsia" w:ascii="Times New Roman" w:hAnsi="宋体"/>
          <w:kern w:val="0"/>
          <w:sz w:val="15"/>
          <w:szCs w:val="15"/>
        </w:rPr>
        <w:t>验证的灭菌循环对该器械进行灭菌，以达到</w:t>
      </w:r>
      <w:r>
        <w:rPr>
          <w:rFonts w:ascii="Times New Roman" w:hAnsi="Times New Roman"/>
          <w:kern w:val="0"/>
          <w:sz w:val="15"/>
          <w:szCs w:val="15"/>
        </w:rPr>
        <w:t xml:space="preserve">1 x 10 </w:t>
      </w:r>
      <w:r>
        <w:rPr>
          <w:rFonts w:ascii="Times New Roman" w:hAnsi="Times New Roman"/>
          <w:kern w:val="0"/>
          <w:sz w:val="15"/>
          <w:szCs w:val="15"/>
          <w:vertAlign w:val="superscript"/>
        </w:rPr>
        <w:t>-6</w:t>
      </w:r>
      <w:r>
        <w:rPr>
          <w:rFonts w:hint="eastAsia" w:ascii="Times New Roman" w:hAnsi="宋体"/>
          <w:kern w:val="0"/>
          <w:sz w:val="15"/>
          <w:szCs w:val="15"/>
        </w:rPr>
        <w:t>的无菌保证水平（</w:t>
      </w:r>
      <w:r>
        <w:rPr>
          <w:rFonts w:ascii="Times New Roman" w:hAnsi="Times New Roman"/>
          <w:kern w:val="0"/>
          <w:sz w:val="15"/>
          <w:szCs w:val="15"/>
        </w:rPr>
        <w:t>SAL</w:t>
      </w:r>
      <w:r>
        <w:rPr>
          <w:rFonts w:hint="eastAsia" w:ascii="Times New Roman" w:hAnsi="宋体"/>
          <w:kern w:val="0"/>
          <w:sz w:val="15"/>
          <w:szCs w:val="15"/>
        </w:rPr>
        <w:t>）。</w:t>
      </w:r>
    </w:p>
    <w:p w14:paraId="6E990E7A">
      <w:pPr>
        <w:widowControl/>
        <w:spacing w:before="330" w:after="330"/>
        <w:ind w:firstLine="0"/>
        <w:rPr>
          <w:rFonts w:ascii="Times New Roman" w:hAnsi="宋体"/>
          <w:b/>
          <w:kern w:val="0"/>
          <w:sz w:val="15"/>
          <w:szCs w:val="15"/>
          <w:u w:val="single"/>
        </w:rPr>
      </w:pPr>
      <w:r>
        <w:rPr>
          <w:rFonts w:hint="eastAsia" w:ascii="Times New Roman" w:hAnsi="宋体"/>
          <w:b/>
          <w:kern w:val="0"/>
          <w:sz w:val="15"/>
          <w:szCs w:val="15"/>
          <w:u w:val="single"/>
        </w:rPr>
        <w:t>返回顶部</w:t>
      </w:r>
    </w:p>
    <w:p w14:paraId="053C5566">
      <w:pPr>
        <w:widowControl/>
        <w:spacing w:before="330" w:after="330"/>
        <w:ind w:firstLine="0"/>
        <w:rPr>
          <w:rFonts w:ascii="Times New Roman" w:hAnsi="Times New Roman"/>
          <w:kern w:val="0"/>
          <w:sz w:val="15"/>
          <w:szCs w:val="15"/>
        </w:rPr>
      </w:pPr>
      <w:r>
        <w:rPr>
          <w:rFonts w:ascii="Times New Roman" w:hAnsi="Times New Roman"/>
          <w:kern w:val="0"/>
          <w:sz w:val="15"/>
          <w:szCs w:val="15"/>
        </w:rPr>
        <w:pict>
          <v:rect id="_x0000_i1035" o:spt="1" style="height:0pt;width:0pt;" fillcolor="#333333" filled="t" stroked="f" coordsize="21600,21600" o:hr="t" o:hrstd="t" o:hrnoshade="t" o:hralign="center">
            <v:path/>
            <v:fill on="t" focussize="0,0"/>
            <v:stroke on="f"/>
            <v:imagedata o:title=""/>
            <o:lock v:ext="edit"/>
            <w10:wrap type="none"/>
            <w10:anchorlock/>
          </v:rect>
        </w:pict>
      </w:r>
    </w:p>
    <w:p w14:paraId="5036F5B7">
      <w:pPr>
        <w:widowControl/>
        <w:shd w:val="clear" w:color="auto" w:fill="FFFFFF"/>
        <w:spacing w:after="118"/>
        <w:ind w:firstLine="0"/>
        <w:outlineLvl w:val="0"/>
        <w:rPr>
          <w:rFonts w:ascii="Times New Roman" w:hAnsi="Times New Roman"/>
          <w:b/>
          <w:bCs/>
          <w:kern w:val="0"/>
          <w:sz w:val="23"/>
          <w:szCs w:val="23"/>
        </w:rPr>
      </w:pPr>
      <w:bookmarkStart w:id="10" w:name="_Toc480622171"/>
      <w:r>
        <w:rPr>
          <w:rFonts w:ascii="Times New Roman" w:hAnsi="Times New Roman"/>
          <w:b/>
          <w:bCs/>
          <w:kern w:val="0"/>
          <w:sz w:val="23"/>
          <w:szCs w:val="23"/>
        </w:rPr>
        <w:t>10.</w:t>
      </w:r>
      <w:r>
        <w:rPr>
          <w:rFonts w:ascii="Times New Roman" w:hAnsi="Times New Roman"/>
          <w:b/>
          <w:bCs/>
          <w:kern w:val="0"/>
          <w:sz w:val="23"/>
          <w:szCs w:val="23"/>
        </w:rPr>
        <w:tab/>
      </w:r>
      <w:r>
        <w:rPr>
          <w:rFonts w:hint="eastAsia" w:ascii="Times New Roman" w:hAnsi="宋体"/>
          <w:b/>
          <w:bCs/>
          <w:kern w:val="0"/>
          <w:sz w:val="23"/>
          <w:szCs w:val="23"/>
        </w:rPr>
        <w:t>标签</w:t>
      </w:r>
      <w:bookmarkEnd w:id="10"/>
    </w:p>
    <w:p w14:paraId="3F321A87">
      <w:pPr>
        <w:widowControl/>
        <w:shd w:val="clear" w:color="auto" w:fill="FFFFFF"/>
        <w:spacing w:line="207" w:lineRule="atLeast"/>
        <w:ind w:firstLine="0"/>
        <w:rPr>
          <w:rFonts w:ascii="Times New Roman" w:hAnsi="Times New Roman"/>
          <w:kern w:val="0"/>
          <w:sz w:val="15"/>
          <w:szCs w:val="15"/>
        </w:rPr>
      </w:pPr>
      <w:r>
        <w:rPr>
          <w:rFonts w:hint="eastAsia" w:ascii="Times New Roman" w:hAnsi="宋体"/>
          <w:kern w:val="0"/>
          <w:sz w:val="15"/>
          <w:szCs w:val="15"/>
        </w:rPr>
        <w:t>您的</w:t>
      </w:r>
      <w:r>
        <w:rPr>
          <w:rFonts w:ascii="Times New Roman" w:hAnsi="Times New Roman"/>
          <w:kern w:val="0"/>
          <w:sz w:val="15"/>
          <w:szCs w:val="15"/>
        </w:rPr>
        <w:t>510(k)</w:t>
      </w:r>
      <w:r>
        <w:rPr>
          <w:rFonts w:hint="eastAsia" w:ascii="Times New Roman" w:hAnsi="宋体"/>
          <w:kern w:val="0"/>
          <w:sz w:val="15"/>
          <w:szCs w:val="15"/>
        </w:rPr>
        <w:t>申请应该包含详细说明的标签内容，以符合</w:t>
      </w:r>
      <w:r>
        <w:rPr>
          <w:rFonts w:ascii="Times New Roman" w:hAnsi="Times New Roman"/>
          <w:kern w:val="0"/>
          <w:sz w:val="15"/>
          <w:szCs w:val="15"/>
        </w:rPr>
        <w:t xml:space="preserve">  21 CFR 807.87(e)</w:t>
      </w:r>
      <w:r>
        <w:rPr>
          <w:rFonts w:hint="eastAsia" w:ascii="Times New Roman" w:hAnsi="宋体"/>
          <w:kern w:val="0"/>
          <w:sz w:val="15"/>
          <w:szCs w:val="15"/>
        </w:rPr>
        <w:t>的要求。下面的建议旨在帮助您准备符合</w:t>
      </w:r>
      <w:r>
        <w:rPr>
          <w:rFonts w:ascii="Times New Roman" w:hAnsi="Times New Roman"/>
          <w:kern w:val="0"/>
          <w:sz w:val="15"/>
          <w:szCs w:val="15"/>
        </w:rPr>
        <w:t xml:space="preserve">21 CFR </w:t>
      </w:r>
      <w:r>
        <w:rPr>
          <w:rFonts w:hint="eastAsia" w:ascii="Times New Roman" w:hAnsi="宋体"/>
          <w:kern w:val="0"/>
          <w:sz w:val="15"/>
          <w:szCs w:val="15"/>
        </w:rPr>
        <w:t>第</w:t>
      </w:r>
      <w:r>
        <w:rPr>
          <w:rFonts w:ascii="Times New Roman" w:hAnsi="Times New Roman"/>
          <w:kern w:val="0"/>
          <w:sz w:val="15"/>
          <w:szCs w:val="15"/>
        </w:rPr>
        <w:t>801</w:t>
      </w:r>
      <w:r>
        <w:rPr>
          <w:rFonts w:hint="eastAsia" w:ascii="Times New Roman" w:hAnsi="宋体"/>
          <w:kern w:val="0"/>
          <w:sz w:val="15"/>
          <w:szCs w:val="15"/>
        </w:rPr>
        <w:t>部分要求的标签文件。</w:t>
      </w:r>
      <w:r>
        <w:fldChar w:fldCharType="begin"/>
      </w:r>
      <w:r>
        <w:instrText xml:space="preserve"> HYPERLINK "https://www.fda.gov/medicaldevices/deviceregulationandguidance/guidancedocuments/ucm071842.htm" \l "f17" </w:instrText>
      </w:r>
      <w:r>
        <w:fldChar w:fldCharType="separate"/>
      </w:r>
      <w:r>
        <w:rPr>
          <w:rFonts w:ascii="Times New Roman" w:hAnsi="Times New Roman"/>
          <w:kern w:val="0"/>
          <w:sz w:val="15"/>
          <w:szCs w:val="15"/>
          <w:u w:val="single"/>
          <w:vertAlign w:val="superscript"/>
        </w:rPr>
        <w:t>17</w:t>
      </w:r>
      <w:r>
        <w:rPr>
          <w:rFonts w:ascii="Times New Roman" w:hAnsi="Times New Roman"/>
          <w:kern w:val="0"/>
          <w:sz w:val="15"/>
          <w:szCs w:val="15"/>
          <w:u w:val="single"/>
          <w:vertAlign w:val="superscript"/>
        </w:rPr>
        <w:fldChar w:fldCharType="end"/>
      </w:r>
    </w:p>
    <w:p w14:paraId="365BDF91">
      <w:pPr>
        <w:widowControl/>
        <w:shd w:val="clear" w:color="auto" w:fill="FFFFFF"/>
        <w:spacing w:before="240" w:after="240" w:line="207" w:lineRule="atLeast"/>
        <w:ind w:firstLine="0"/>
        <w:rPr>
          <w:rFonts w:ascii="Times New Roman" w:hAnsi="Times New Roman"/>
          <w:kern w:val="0"/>
          <w:sz w:val="15"/>
          <w:szCs w:val="15"/>
        </w:rPr>
      </w:pPr>
      <w:r>
        <w:rPr>
          <w:rFonts w:hint="eastAsia" w:ascii="Times New Roman" w:hAnsi="宋体"/>
          <w:b/>
          <w:bCs/>
          <w:kern w:val="0"/>
          <w:sz w:val="15"/>
          <w:szCs w:val="15"/>
        </w:rPr>
        <w:t>使用说明</w:t>
      </w:r>
    </w:p>
    <w:p w14:paraId="06EB92F4">
      <w:pPr>
        <w:widowControl/>
        <w:shd w:val="clear" w:color="auto" w:fill="FFFFFF"/>
        <w:spacing w:before="240" w:after="240" w:line="207" w:lineRule="atLeast"/>
        <w:ind w:firstLine="0"/>
        <w:rPr>
          <w:rFonts w:ascii="Times New Roman" w:hAnsi="Times New Roman"/>
          <w:kern w:val="0"/>
          <w:sz w:val="15"/>
          <w:szCs w:val="15"/>
        </w:rPr>
      </w:pPr>
      <w:r>
        <w:rPr>
          <w:rFonts w:hint="eastAsia" w:ascii="Times New Roman" w:hAnsi="宋体"/>
          <w:kern w:val="0"/>
          <w:sz w:val="15"/>
          <w:szCs w:val="15"/>
        </w:rPr>
        <w:t>根据</w:t>
      </w:r>
      <w:r>
        <w:rPr>
          <w:rFonts w:ascii="Times New Roman" w:hAnsi="Times New Roman"/>
          <w:kern w:val="0"/>
          <w:sz w:val="15"/>
          <w:szCs w:val="15"/>
        </w:rPr>
        <w:t>21 CFR 801.109</w:t>
      </w:r>
      <w:r>
        <w:rPr>
          <w:rFonts w:hint="eastAsia" w:ascii="Times New Roman" w:hAnsi="宋体"/>
          <w:kern w:val="0"/>
          <w:sz w:val="15"/>
          <w:szCs w:val="15"/>
        </w:rPr>
        <w:t>，该器械作为处方器械，被免除了充分详尽的使用说明。然而，根据</w:t>
      </w:r>
      <w:r>
        <w:rPr>
          <w:rFonts w:ascii="Times New Roman" w:hAnsi="Times New Roman"/>
          <w:kern w:val="0"/>
          <w:sz w:val="15"/>
          <w:szCs w:val="15"/>
        </w:rPr>
        <w:t>21 CFR 807.87(e)</w:t>
      </w:r>
      <w:r>
        <w:rPr>
          <w:rFonts w:hint="eastAsia" w:ascii="Times New Roman" w:hAnsi="宋体"/>
          <w:kern w:val="0"/>
          <w:sz w:val="15"/>
          <w:szCs w:val="15"/>
        </w:rPr>
        <w:t>，我们建议递交清楚简明的使用说明，说明该专用器械的技术特征以及将如何把该器械应用到患者身上。该说明应该鼓励开展本地</w:t>
      </w:r>
      <w:r>
        <w:rPr>
          <w:rFonts w:ascii="Times New Roman" w:hAnsi="Times New Roman"/>
          <w:kern w:val="0"/>
          <w:sz w:val="15"/>
          <w:szCs w:val="15"/>
        </w:rPr>
        <w:t>/</w:t>
      </w:r>
      <w:r>
        <w:rPr>
          <w:rFonts w:hint="eastAsia" w:ascii="Times New Roman" w:hAnsi="宋体"/>
          <w:kern w:val="0"/>
          <w:sz w:val="15"/>
          <w:szCs w:val="15"/>
        </w:rPr>
        <w:t>机构培训项目，目的是让用户熟悉该器械的特性，并了解如何以安全有效的方式使用。</w:t>
      </w:r>
    </w:p>
    <w:p w14:paraId="39D81F03">
      <w:pPr>
        <w:widowControl/>
        <w:shd w:val="clear" w:color="auto" w:fill="FFFFFF"/>
        <w:spacing w:before="240" w:after="240" w:line="207" w:lineRule="atLeast"/>
        <w:ind w:firstLine="0"/>
        <w:rPr>
          <w:rFonts w:ascii="Times New Roman" w:hAnsi="Times New Roman"/>
          <w:kern w:val="0"/>
          <w:sz w:val="15"/>
          <w:szCs w:val="15"/>
        </w:rPr>
      </w:pPr>
      <w:r>
        <w:rPr>
          <w:rFonts w:hint="eastAsia" w:ascii="Times New Roman" w:hAnsi="宋体"/>
          <w:kern w:val="0"/>
          <w:sz w:val="15"/>
          <w:szCs w:val="15"/>
        </w:rPr>
        <w:t>我们还建议，应该充分详尽地编写你的骨移植材料器械的使用说明，以能够使得经验不足的执业医师获得理想的结果。这应该包括以下几方面的说明：</w:t>
      </w:r>
    </w:p>
    <w:p w14:paraId="2C73B23F">
      <w:pPr>
        <w:widowControl/>
        <w:numPr>
          <w:ilvl w:val="0"/>
          <w:numId w:val="14"/>
        </w:numPr>
        <w:shd w:val="clear" w:color="auto" w:fill="FFFFFF"/>
        <w:spacing w:line="207" w:lineRule="atLeast"/>
        <w:ind w:left="300"/>
        <w:rPr>
          <w:rFonts w:ascii="Times New Roman" w:hAnsi="Times New Roman"/>
          <w:kern w:val="0"/>
          <w:sz w:val="15"/>
          <w:szCs w:val="15"/>
        </w:rPr>
      </w:pPr>
      <w:r>
        <w:rPr>
          <w:rFonts w:hint="eastAsia" w:ascii="Times New Roman" w:hAnsi="宋体"/>
          <w:kern w:val="0"/>
          <w:sz w:val="15"/>
          <w:szCs w:val="15"/>
        </w:rPr>
        <w:t>植入部位准备</w:t>
      </w:r>
    </w:p>
    <w:p w14:paraId="274328EF">
      <w:pPr>
        <w:widowControl/>
        <w:numPr>
          <w:ilvl w:val="0"/>
          <w:numId w:val="14"/>
        </w:numPr>
        <w:shd w:val="clear" w:color="auto" w:fill="FFFFFF"/>
        <w:spacing w:before="120" w:line="207" w:lineRule="atLeast"/>
        <w:ind w:left="300"/>
        <w:rPr>
          <w:rFonts w:ascii="Times New Roman" w:hAnsi="Times New Roman"/>
          <w:kern w:val="0"/>
          <w:sz w:val="15"/>
          <w:szCs w:val="15"/>
        </w:rPr>
      </w:pPr>
      <w:r>
        <w:rPr>
          <w:rFonts w:hint="eastAsia" w:ascii="Times New Roman" w:hAnsi="宋体"/>
          <w:kern w:val="0"/>
          <w:sz w:val="15"/>
          <w:szCs w:val="15"/>
        </w:rPr>
        <w:t>器械的适当定位和使用量</w:t>
      </w:r>
    </w:p>
    <w:p w14:paraId="698D491A">
      <w:pPr>
        <w:widowControl/>
        <w:numPr>
          <w:ilvl w:val="0"/>
          <w:numId w:val="14"/>
        </w:numPr>
        <w:shd w:val="clear" w:color="auto" w:fill="FFFFFF"/>
        <w:spacing w:before="120" w:line="207" w:lineRule="atLeast"/>
        <w:ind w:left="300"/>
        <w:rPr>
          <w:rFonts w:ascii="Times New Roman" w:hAnsi="Times New Roman"/>
          <w:kern w:val="0"/>
          <w:sz w:val="15"/>
          <w:szCs w:val="15"/>
        </w:rPr>
      </w:pPr>
      <w:r>
        <w:rPr>
          <w:rFonts w:hint="eastAsia" w:ascii="Times New Roman" w:hAnsi="宋体"/>
          <w:kern w:val="0"/>
          <w:sz w:val="15"/>
          <w:szCs w:val="15"/>
        </w:rPr>
        <w:t>植入部位闭合</w:t>
      </w:r>
    </w:p>
    <w:p w14:paraId="4C103CCE">
      <w:pPr>
        <w:widowControl/>
        <w:numPr>
          <w:ilvl w:val="0"/>
          <w:numId w:val="14"/>
        </w:numPr>
        <w:shd w:val="clear" w:color="auto" w:fill="FFFFFF"/>
        <w:spacing w:before="120" w:line="207" w:lineRule="atLeast"/>
        <w:ind w:left="300"/>
        <w:rPr>
          <w:rFonts w:ascii="Times New Roman" w:hAnsi="Times New Roman"/>
          <w:kern w:val="0"/>
          <w:sz w:val="15"/>
          <w:szCs w:val="15"/>
        </w:rPr>
      </w:pPr>
      <w:r>
        <w:rPr>
          <w:rFonts w:hint="eastAsia" w:ascii="Times New Roman" w:hAnsi="宋体"/>
          <w:kern w:val="0"/>
          <w:sz w:val="15"/>
          <w:szCs w:val="15"/>
        </w:rPr>
        <w:t>治疗后的患者护理。</w:t>
      </w:r>
    </w:p>
    <w:p w14:paraId="47A23051">
      <w:pPr>
        <w:widowControl/>
        <w:shd w:val="clear" w:color="auto" w:fill="FFFFFF"/>
        <w:spacing w:before="240" w:line="207" w:lineRule="atLeast"/>
        <w:ind w:firstLine="0"/>
        <w:rPr>
          <w:rFonts w:ascii="Times New Roman" w:hAnsi="Times New Roman"/>
          <w:kern w:val="0"/>
          <w:sz w:val="15"/>
          <w:szCs w:val="15"/>
        </w:rPr>
      </w:pPr>
      <w:r>
        <w:rPr>
          <w:rFonts w:hint="eastAsia" w:ascii="Times New Roman" w:hAnsi="宋体"/>
          <w:b/>
          <w:bCs/>
          <w:kern w:val="0"/>
          <w:sz w:val="15"/>
          <w:szCs w:val="15"/>
        </w:rPr>
        <w:t>适应证与禁忌证</w:t>
      </w:r>
    </w:p>
    <w:p w14:paraId="05F984BE">
      <w:pPr>
        <w:widowControl/>
        <w:shd w:val="clear" w:color="auto" w:fill="FFFFFF"/>
        <w:spacing w:before="240" w:after="240" w:line="207" w:lineRule="atLeast"/>
        <w:ind w:firstLine="0"/>
        <w:rPr>
          <w:rFonts w:ascii="Times New Roman" w:hAnsi="Times New Roman"/>
          <w:kern w:val="0"/>
          <w:sz w:val="15"/>
          <w:szCs w:val="15"/>
        </w:rPr>
      </w:pPr>
      <w:r>
        <w:rPr>
          <w:rFonts w:hint="eastAsia" w:ascii="Times New Roman" w:hAnsi="宋体"/>
          <w:kern w:val="0"/>
          <w:sz w:val="15"/>
          <w:szCs w:val="15"/>
        </w:rPr>
        <w:t>我们建议，您的骨移植材料器械的标签上应该包含该器械的特定适应证和禁忌证。</w:t>
      </w:r>
    </w:p>
    <w:p w14:paraId="64C959B1">
      <w:pPr>
        <w:widowControl/>
        <w:shd w:val="clear" w:color="auto" w:fill="FFFFFF"/>
        <w:spacing w:before="240" w:after="240" w:line="207" w:lineRule="atLeast"/>
        <w:ind w:firstLine="0"/>
        <w:rPr>
          <w:rFonts w:ascii="Times New Roman" w:hAnsi="Times New Roman"/>
          <w:kern w:val="0"/>
          <w:sz w:val="15"/>
          <w:szCs w:val="15"/>
        </w:rPr>
      </w:pPr>
      <w:r>
        <w:rPr>
          <w:rFonts w:hint="eastAsia" w:ascii="Times New Roman" w:hAnsi="宋体"/>
          <w:b/>
          <w:bCs/>
          <w:kern w:val="0"/>
          <w:sz w:val="15"/>
          <w:szCs w:val="15"/>
        </w:rPr>
        <w:t>预防措施</w:t>
      </w:r>
    </w:p>
    <w:p w14:paraId="6CB0F5DF">
      <w:pPr>
        <w:widowControl/>
        <w:shd w:val="clear" w:color="auto" w:fill="FFFFFF"/>
        <w:spacing w:before="240" w:after="240" w:line="207" w:lineRule="atLeast"/>
        <w:ind w:firstLine="0"/>
        <w:rPr>
          <w:rFonts w:ascii="Times New Roman" w:hAnsi="Times New Roman"/>
          <w:kern w:val="0"/>
          <w:sz w:val="15"/>
          <w:szCs w:val="15"/>
        </w:rPr>
      </w:pPr>
      <w:r>
        <w:rPr>
          <w:rFonts w:hint="eastAsia" w:ascii="Times New Roman" w:hAnsi="宋体"/>
          <w:kern w:val="0"/>
          <w:sz w:val="15"/>
          <w:szCs w:val="15"/>
        </w:rPr>
        <w:t>我们建议，您的骨移植材料器械的标签上应该包含关于该器械限制方面的预防措施。例如，这类预防措施可能包括以下几方面：</w:t>
      </w:r>
    </w:p>
    <w:p w14:paraId="6A7BA2F9">
      <w:pPr>
        <w:widowControl/>
        <w:numPr>
          <w:ilvl w:val="0"/>
          <w:numId w:val="15"/>
        </w:numPr>
        <w:shd w:val="clear" w:color="auto" w:fill="FFFFFF"/>
        <w:spacing w:line="207" w:lineRule="atLeast"/>
        <w:ind w:left="300"/>
        <w:rPr>
          <w:rFonts w:ascii="Times New Roman" w:hAnsi="Times New Roman"/>
          <w:kern w:val="0"/>
          <w:sz w:val="15"/>
          <w:szCs w:val="15"/>
        </w:rPr>
      </w:pPr>
      <w:r>
        <w:rPr>
          <w:rFonts w:hint="eastAsia" w:ascii="Times New Roman" w:hAnsi="宋体"/>
          <w:kern w:val="0"/>
          <w:sz w:val="15"/>
          <w:szCs w:val="15"/>
        </w:rPr>
        <w:t>尚不明确对儿童患者的作用</w:t>
      </w:r>
    </w:p>
    <w:p w14:paraId="57E30048">
      <w:pPr>
        <w:widowControl/>
        <w:numPr>
          <w:ilvl w:val="0"/>
          <w:numId w:val="15"/>
        </w:numPr>
        <w:shd w:val="clear" w:color="auto" w:fill="FFFFFF"/>
        <w:spacing w:before="120" w:line="207" w:lineRule="atLeast"/>
        <w:ind w:left="300"/>
        <w:rPr>
          <w:rFonts w:ascii="Times New Roman" w:hAnsi="Times New Roman"/>
          <w:kern w:val="0"/>
          <w:sz w:val="15"/>
          <w:szCs w:val="15"/>
        </w:rPr>
      </w:pPr>
      <w:r>
        <w:rPr>
          <w:rFonts w:hint="eastAsia" w:ascii="Times New Roman" w:hAnsi="宋体"/>
          <w:kern w:val="0"/>
          <w:sz w:val="15"/>
          <w:szCs w:val="15"/>
        </w:rPr>
        <w:t>尚不明确对先存疾病患者（详细说明）的作用。</w:t>
      </w:r>
    </w:p>
    <w:p w14:paraId="3FBF45DA">
      <w:pPr>
        <w:widowControl/>
        <w:shd w:val="clear" w:color="auto" w:fill="FFFFFF"/>
        <w:spacing w:before="240" w:line="207" w:lineRule="atLeast"/>
        <w:ind w:firstLine="0"/>
        <w:rPr>
          <w:rFonts w:ascii="Times New Roman" w:hAnsi="Times New Roman"/>
          <w:kern w:val="0"/>
          <w:sz w:val="15"/>
          <w:szCs w:val="15"/>
        </w:rPr>
      </w:pPr>
      <w:r>
        <w:rPr>
          <w:rFonts w:hint="eastAsia" w:ascii="Times New Roman" w:hAnsi="宋体"/>
          <w:b/>
          <w:bCs/>
          <w:kern w:val="0"/>
          <w:sz w:val="15"/>
          <w:szCs w:val="15"/>
        </w:rPr>
        <w:t>警告</w:t>
      </w:r>
    </w:p>
    <w:p w14:paraId="1ECDEF7F">
      <w:pPr>
        <w:widowControl/>
        <w:shd w:val="clear" w:color="auto" w:fill="FFFFFF"/>
        <w:spacing w:before="240" w:after="240" w:line="207" w:lineRule="atLeast"/>
        <w:ind w:firstLine="0"/>
        <w:rPr>
          <w:rFonts w:ascii="Times New Roman" w:hAnsi="Times New Roman"/>
          <w:kern w:val="0"/>
          <w:sz w:val="15"/>
          <w:szCs w:val="15"/>
        </w:rPr>
      </w:pPr>
      <w:r>
        <w:rPr>
          <w:rFonts w:ascii="Times New Roman" w:hAnsi="宋体"/>
          <w:kern w:val="0"/>
          <w:sz w:val="15"/>
          <w:szCs w:val="15"/>
        </w:rPr>
        <w:br w:type="page"/>
      </w:r>
      <w:r>
        <w:rPr>
          <w:rFonts w:hint="eastAsia" w:ascii="Times New Roman" w:hAnsi="宋体"/>
          <w:kern w:val="0"/>
          <w:sz w:val="15"/>
          <w:szCs w:val="15"/>
        </w:rPr>
        <w:t>我们建议，您的骨移植材料器械的标签应该包含该器械防误用方面的警告信息。例如，此类警告可能包含以下几方面：</w:t>
      </w:r>
    </w:p>
    <w:p w14:paraId="56F0FE49">
      <w:pPr>
        <w:widowControl/>
        <w:numPr>
          <w:ilvl w:val="0"/>
          <w:numId w:val="16"/>
        </w:numPr>
        <w:shd w:val="clear" w:color="auto" w:fill="FFFFFF"/>
        <w:spacing w:line="207" w:lineRule="atLeast"/>
        <w:ind w:left="300"/>
        <w:rPr>
          <w:rFonts w:ascii="Times New Roman" w:hAnsi="Times New Roman"/>
          <w:kern w:val="0"/>
          <w:sz w:val="15"/>
          <w:szCs w:val="15"/>
        </w:rPr>
      </w:pPr>
      <w:r>
        <w:rPr>
          <w:rFonts w:hint="eastAsia" w:ascii="Times New Roman" w:hAnsi="宋体"/>
          <w:kern w:val="0"/>
          <w:sz w:val="15"/>
          <w:szCs w:val="15"/>
        </w:rPr>
        <w:t>仅一次性使用，不要重新灭菌或重复使用</w:t>
      </w:r>
    </w:p>
    <w:p w14:paraId="16075789">
      <w:pPr>
        <w:widowControl/>
        <w:numPr>
          <w:ilvl w:val="0"/>
          <w:numId w:val="16"/>
        </w:numPr>
        <w:shd w:val="clear" w:color="auto" w:fill="FFFFFF"/>
        <w:spacing w:before="120" w:line="207" w:lineRule="atLeast"/>
        <w:ind w:left="300"/>
        <w:rPr>
          <w:rFonts w:ascii="Times New Roman" w:hAnsi="Times New Roman"/>
          <w:kern w:val="0"/>
          <w:sz w:val="15"/>
          <w:szCs w:val="15"/>
        </w:rPr>
      </w:pPr>
      <w:r>
        <w:rPr>
          <w:rFonts w:hint="eastAsia" w:ascii="Times New Roman" w:hAnsi="宋体"/>
          <w:kern w:val="0"/>
          <w:sz w:val="15"/>
          <w:szCs w:val="15"/>
        </w:rPr>
        <w:t>不要立即承受负荷（具体说明建议承受负荷的时间）</w:t>
      </w:r>
    </w:p>
    <w:p w14:paraId="13AFC91F">
      <w:pPr>
        <w:widowControl/>
        <w:numPr>
          <w:ilvl w:val="0"/>
          <w:numId w:val="16"/>
        </w:numPr>
        <w:shd w:val="clear" w:color="auto" w:fill="FFFFFF"/>
        <w:spacing w:before="120" w:line="207" w:lineRule="atLeast"/>
        <w:ind w:left="300"/>
        <w:rPr>
          <w:rFonts w:ascii="Times New Roman" w:hAnsi="Times New Roman"/>
          <w:kern w:val="0"/>
          <w:sz w:val="15"/>
          <w:szCs w:val="15"/>
        </w:rPr>
      </w:pPr>
      <w:r>
        <w:rPr>
          <w:rFonts w:hint="eastAsia" w:ascii="Times New Roman" w:hAnsi="宋体"/>
          <w:kern w:val="0"/>
          <w:sz w:val="15"/>
          <w:szCs w:val="15"/>
        </w:rPr>
        <w:t>不要过度充填缺损</w:t>
      </w:r>
    </w:p>
    <w:p w14:paraId="341BA83A">
      <w:pPr>
        <w:widowControl/>
        <w:numPr>
          <w:ilvl w:val="0"/>
          <w:numId w:val="16"/>
        </w:numPr>
        <w:shd w:val="clear" w:color="auto" w:fill="FFFFFF"/>
        <w:spacing w:before="120" w:line="207" w:lineRule="atLeast"/>
        <w:ind w:left="300"/>
        <w:rPr>
          <w:rFonts w:ascii="Times New Roman" w:hAnsi="Times New Roman"/>
          <w:kern w:val="0"/>
          <w:sz w:val="15"/>
          <w:szCs w:val="15"/>
        </w:rPr>
      </w:pPr>
      <w:r>
        <w:rPr>
          <w:rFonts w:hint="eastAsia" w:ascii="Times New Roman" w:hAnsi="宋体"/>
          <w:kern w:val="0"/>
          <w:sz w:val="15"/>
          <w:szCs w:val="15"/>
        </w:rPr>
        <w:t>不要留下敞口的缺损</w:t>
      </w:r>
    </w:p>
    <w:p w14:paraId="5B941F71">
      <w:pPr>
        <w:widowControl/>
        <w:numPr>
          <w:ilvl w:val="0"/>
          <w:numId w:val="16"/>
        </w:numPr>
        <w:shd w:val="clear" w:color="auto" w:fill="FFFFFF"/>
        <w:spacing w:before="120" w:line="207" w:lineRule="atLeast"/>
        <w:ind w:left="300"/>
        <w:rPr>
          <w:rFonts w:ascii="Times New Roman" w:hAnsi="Times New Roman"/>
          <w:kern w:val="0"/>
          <w:sz w:val="15"/>
          <w:szCs w:val="15"/>
        </w:rPr>
      </w:pPr>
      <w:r>
        <w:rPr>
          <w:rFonts w:hint="eastAsia" w:ascii="Times New Roman" w:hAnsi="宋体"/>
          <w:kern w:val="0"/>
          <w:sz w:val="15"/>
          <w:szCs w:val="15"/>
        </w:rPr>
        <w:t>不要危害缺损部位的血液供应</w:t>
      </w:r>
    </w:p>
    <w:p w14:paraId="13491D56">
      <w:pPr>
        <w:widowControl/>
        <w:numPr>
          <w:ilvl w:val="0"/>
          <w:numId w:val="16"/>
        </w:numPr>
        <w:shd w:val="clear" w:color="auto" w:fill="FFFFFF"/>
        <w:spacing w:before="120" w:line="207" w:lineRule="atLeast"/>
        <w:ind w:left="300"/>
        <w:rPr>
          <w:rFonts w:ascii="Times New Roman" w:hAnsi="Times New Roman"/>
          <w:kern w:val="0"/>
          <w:sz w:val="15"/>
          <w:szCs w:val="15"/>
        </w:rPr>
      </w:pPr>
      <w:r>
        <w:rPr>
          <w:rFonts w:hint="eastAsia" w:ascii="Times New Roman" w:hAnsi="宋体"/>
          <w:kern w:val="0"/>
          <w:sz w:val="15"/>
          <w:szCs w:val="15"/>
        </w:rPr>
        <w:t>应该固定该器械，以防其活动或移动，应用于能够充分包裹该植入物的部位。</w:t>
      </w:r>
    </w:p>
    <w:p w14:paraId="28128886">
      <w:pPr>
        <w:widowControl/>
        <w:numPr>
          <w:ilvl w:val="0"/>
          <w:numId w:val="16"/>
        </w:numPr>
        <w:shd w:val="clear" w:color="auto" w:fill="FFFFFF"/>
        <w:spacing w:before="120" w:line="207" w:lineRule="atLeast"/>
        <w:ind w:left="300"/>
        <w:rPr>
          <w:rFonts w:ascii="Times New Roman" w:hAnsi="Times New Roman"/>
          <w:kern w:val="0"/>
          <w:sz w:val="15"/>
          <w:szCs w:val="15"/>
        </w:rPr>
      </w:pPr>
      <w:r>
        <w:rPr>
          <w:rFonts w:hint="eastAsia" w:ascii="Times New Roman" w:hAnsi="宋体"/>
          <w:kern w:val="0"/>
          <w:sz w:val="15"/>
          <w:szCs w:val="15"/>
        </w:rPr>
        <w:t>如果包装已打开或损坏或超出了有效期，不用再使用。</w:t>
      </w:r>
    </w:p>
    <w:p w14:paraId="6CA49B76">
      <w:pPr>
        <w:widowControl/>
        <w:spacing w:before="330" w:after="330"/>
        <w:ind w:firstLine="0"/>
        <w:rPr>
          <w:rFonts w:ascii="Times New Roman" w:hAnsi="Times New Roman"/>
          <w:b/>
          <w:kern w:val="0"/>
          <w:sz w:val="15"/>
          <w:szCs w:val="15"/>
          <w:u w:val="single"/>
        </w:rPr>
      </w:pPr>
      <w:r>
        <w:rPr>
          <w:rFonts w:hint="eastAsia" w:ascii="Times New Roman" w:hAnsi="宋体"/>
          <w:b/>
          <w:kern w:val="0"/>
          <w:sz w:val="15"/>
          <w:szCs w:val="15"/>
          <w:u w:val="single"/>
        </w:rPr>
        <w:t>返回顶部</w:t>
      </w:r>
    </w:p>
    <w:p w14:paraId="5DF7A6DF">
      <w:pPr>
        <w:widowControl/>
        <w:shd w:val="clear" w:color="auto" w:fill="FFFFFF"/>
        <w:spacing w:line="207" w:lineRule="atLeast"/>
        <w:ind w:firstLine="0"/>
        <w:rPr>
          <w:rFonts w:ascii="Times New Roman" w:hAnsi="Times New Roman"/>
          <w:sz w:val="15"/>
          <w:szCs w:val="15"/>
        </w:rPr>
      </w:pPr>
      <w:r>
        <w:rPr>
          <w:rFonts w:ascii="Times New Roman" w:hAnsi="Times New Roman"/>
          <w:kern w:val="0"/>
          <w:sz w:val="15"/>
          <w:szCs w:val="15"/>
        </w:rPr>
        <w:t>[1] </w:t>
      </w:r>
      <w:r>
        <w:fldChar w:fldCharType="begin"/>
      </w:r>
      <w:r>
        <w:instrText xml:space="preserve"> HYPERLINK "https://www.fda.gov/MedicalDevices/DeviceRegulationandGuidance/GuidanceDocuments/ucm080187.htm" </w:instrText>
      </w:r>
      <w:r>
        <w:fldChar w:fldCharType="separate"/>
      </w:r>
      <w:r>
        <w:rPr>
          <w:rFonts w:hint="eastAsia" w:ascii="Times New Roman" w:hAnsi="宋体"/>
          <w:kern w:val="0"/>
          <w:sz w:val="15"/>
          <w:szCs w:val="15"/>
          <w:u w:val="single"/>
        </w:rPr>
        <w:t>新</w:t>
      </w:r>
      <w:r>
        <w:rPr>
          <w:rFonts w:ascii="Times New Roman" w:hAnsi="Times New Roman"/>
          <w:kern w:val="0"/>
          <w:sz w:val="15"/>
          <w:szCs w:val="15"/>
          <w:u w:val="single"/>
        </w:rPr>
        <w:t xml:space="preserve">510(k) </w:t>
      </w:r>
      <w:r>
        <w:rPr>
          <w:rFonts w:hint="eastAsia" w:ascii="Times New Roman" w:hAnsi="宋体"/>
          <w:kern w:val="0"/>
          <w:sz w:val="15"/>
          <w:szCs w:val="15"/>
          <w:u w:val="single"/>
        </w:rPr>
        <w:t>范例</w:t>
      </w:r>
      <w:r>
        <w:rPr>
          <w:rFonts w:hint="eastAsia" w:ascii="Times New Roman" w:hAnsi="宋体"/>
          <w:kern w:val="0"/>
          <w:sz w:val="15"/>
          <w:szCs w:val="15"/>
          <w:u w:val="single"/>
        </w:rPr>
        <w:fldChar w:fldCharType="end"/>
      </w:r>
    </w:p>
    <w:p w14:paraId="567484EB">
      <w:pPr>
        <w:widowControl/>
        <w:shd w:val="clear" w:color="auto" w:fill="FFFFFF"/>
        <w:spacing w:before="240" w:after="240" w:line="207" w:lineRule="atLeast"/>
        <w:ind w:firstLine="0"/>
        <w:rPr>
          <w:rFonts w:ascii="Times New Roman" w:hAnsi="Times New Roman"/>
          <w:kern w:val="0"/>
          <w:sz w:val="15"/>
          <w:szCs w:val="15"/>
        </w:rPr>
      </w:pPr>
      <w:r>
        <w:rPr>
          <w:rFonts w:ascii="Times New Roman" w:hAnsi="Times New Roman"/>
          <w:kern w:val="0"/>
          <w:sz w:val="15"/>
          <w:szCs w:val="15"/>
        </w:rPr>
        <w:t>[2]</w:t>
      </w:r>
      <w:r>
        <w:rPr>
          <w:rFonts w:hint="eastAsia" w:ascii="Times New Roman" w:hAnsi="宋体"/>
          <w:kern w:val="0"/>
          <w:sz w:val="15"/>
          <w:szCs w:val="15"/>
        </w:rPr>
        <w:t>推荐格式请参考</w:t>
      </w:r>
      <w:r>
        <w:fldChar w:fldCharType="begin"/>
      </w:r>
      <w:r>
        <w:instrText xml:space="preserve"> HYPERLINK "http://www.fda.gov/downloads/aboutfda/reportsmanualsforms/forms/ucm360431.pdf" </w:instrText>
      </w:r>
      <w:r>
        <w:fldChar w:fldCharType="separate"/>
      </w:r>
      <w:r>
        <w:rPr>
          <w:rFonts w:hint="eastAsia" w:ascii="Times New Roman" w:hAnsi="宋体"/>
          <w:kern w:val="0"/>
          <w:sz w:val="15"/>
          <w:szCs w:val="15"/>
          <w:u w:val="single"/>
        </w:rPr>
        <w:t>预期用途表</w:t>
      </w:r>
      <w:r>
        <w:rPr>
          <w:rFonts w:hint="eastAsia" w:ascii="Times New Roman" w:hAnsi="宋体"/>
          <w:kern w:val="0"/>
          <w:sz w:val="15"/>
          <w:szCs w:val="15"/>
          <w:u w:val="single"/>
        </w:rPr>
        <w:fldChar w:fldCharType="end"/>
      </w:r>
      <w:r>
        <w:rPr>
          <w:rFonts w:ascii="Times New Roman" w:hAnsi="Times New Roman"/>
          <w:kern w:val="0"/>
          <w:sz w:val="15"/>
          <w:szCs w:val="15"/>
        </w:rPr>
        <w:t> </w:t>
      </w:r>
      <w:r>
        <w:rPr>
          <w:rFonts w:hint="eastAsia" w:ascii="Times New Roman" w:hAnsi="宋体"/>
          <w:kern w:val="0"/>
          <w:sz w:val="15"/>
          <w:szCs w:val="15"/>
        </w:rPr>
        <w:t>（</w:t>
      </w:r>
      <w:r>
        <w:rPr>
          <w:rFonts w:ascii="Times New Roman" w:hAnsi="Times New Roman"/>
          <w:kern w:val="0"/>
          <w:sz w:val="15"/>
          <w:szCs w:val="15"/>
        </w:rPr>
        <w:t>PDF</w:t>
      </w:r>
      <w:r>
        <w:rPr>
          <w:rFonts w:hint="eastAsia" w:ascii="Times New Roman" w:hAnsi="宋体"/>
          <w:kern w:val="0"/>
          <w:sz w:val="15"/>
          <w:szCs w:val="15"/>
        </w:rPr>
        <w:t>文件大小：</w:t>
      </w:r>
      <w:r>
        <w:rPr>
          <w:rFonts w:ascii="Times New Roman" w:hAnsi="Times New Roman"/>
          <w:kern w:val="0"/>
          <w:sz w:val="15"/>
          <w:szCs w:val="15"/>
        </w:rPr>
        <w:t>1.03MB</w:t>
      </w:r>
      <w:r>
        <w:rPr>
          <w:rFonts w:hint="eastAsia" w:ascii="Times New Roman" w:hAnsi="宋体"/>
          <w:kern w:val="0"/>
          <w:sz w:val="15"/>
          <w:szCs w:val="15"/>
        </w:rPr>
        <w:t>）。</w:t>
      </w:r>
    </w:p>
    <w:p w14:paraId="3B4B056E">
      <w:pPr>
        <w:widowControl/>
        <w:shd w:val="clear" w:color="auto" w:fill="FFFFFF"/>
        <w:spacing w:before="240" w:after="240" w:line="207" w:lineRule="atLeast"/>
        <w:ind w:firstLine="0"/>
        <w:rPr>
          <w:rFonts w:ascii="Times New Roman" w:hAnsi="Times New Roman"/>
          <w:kern w:val="0"/>
          <w:sz w:val="15"/>
          <w:szCs w:val="15"/>
        </w:rPr>
      </w:pPr>
      <w:r>
        <w:rPr>
          <w:rFonts w:ascii="Times New Roman" w:hAnsi="Times New Roman"/>
          <w:kern w:val="0"/>
          <w:sz w:val="15"/>
          <w:szCs w:val="15"/>
        </w:rPr>
        <w:t>[3]</w:t>
      </w:r>
      <w:r>
        <w:rPr>
          <w:rFonts w:hint="eastAsia" w:ascii="Times New Roman" w:hAnsi="宋体"/>
          <w:kern w:val="0"/>
          <w:sz w:val="15"/>
          <w:szCs w:val="15"/>
        </w:rPr>
        <w:t>如果</w:t>
      </w:r>
      <w:r>
        <w:rPr>
          <w:rFonts w:ascii="Times New Roman" w:hAnsi="Times New Roman"/>
          <w:kern w:val="0"/>
          <w:sz w:val="15"/>
          <w:szCs w:val="15"/>
        </w:rPr>
        <w:t>FDA</w:t>
      </w:r>
      <w:r>
        <w:rPr>
          <w:rFonts w:hint="eastAsia" w:ascii="Times New Roman" w:hAnsi="宋体"/>
          <w:kern w:val="0"/>
          <w:sz w:val="15"/>
          <w:szCs w:val="15"/>
        </w:rPr>
        <w:t>根据合格标准做出了实质等同性决议，则应该对受试器械进行测试，证明其满足这些合格标准才可以将其引入州际贸易。如果器械成品不满足这些合格标准，因此有别于已签发的</w:t>
      </w:r>
      <w:r>
        <w:rPr>
          <w:rFonts w:ascii="Times New Roman" w:hAnsi="Times New Roman"/>
          <w:kern w:val="0"/>
          <w:sz w:val="15"/>
          <w:szCs w:val="15"/>
        </w:rPr>
        <w:t>510(k)</w:t>
      </w:r>
      <w:r>
        <w:rPr>
          <w:rFonts w:hint="eastAsia" w:ascii="Times New Roman" w:hAnsi="宋体"/>
          <w:kern w:val="0"/>
          <w:sz w:val="15"/>
          <w:szCs w:val="15"/>
        </w:rPr>
        <w:t>中描述的器械，则</w:t>
      </w:r>
      <w:r>
        <w:rPr>
          <w:rFonts w:ascii="Times New Roman" w:hAnsi="Times New Roman"/>
          <w:kern w:val="0"/>
          <w:sz w:val="15"/>
          <w:szCs w:val="15"/>
        </w:rPr>
        <w:t>FDA</w:t>
      </w:r>
      <w:r>
        <w:rPr>
          <w:rFonts w:hint="eastAsia" w:ascii="Times New Roman" w:hAnsi="宋体"/>
          <w:kern w:val="0"/>
          <w:sz w:val="15"/>
          <w:szCs w:val="15"/>
        </w:rPr>
        <w:t>建议，申报者可采用相同的标准来评估针对已合法上市的器械做出的改进（</w:t>
      </w:r>
      <w:r>
        <w:fldChar w:fldCharType="begin"/>
      </w:r>
      <w:r>
        <w:instrText xml:space="preserve"> HYPERLINK "http://www.accessdata.fda.gov/scripts/cdrh/cfdocs/cfcfr/showCFR.cfm?FR=807.31" </w:instrText>
      </w:r>
      <w:r>
        <w:fldChar w:fldCharType="separate"/>
      </w:r>
      <w:r>
        <w:rPr>
          <w:rFonts w:ascii="Times New Roman" w:hAnsi="Times New Roman"/>
          <w:kern w:val="0"/>
          <w:sz w:val="15"/>
          <w:szCs w:val="15"/>
          <w:u w:val="single"/>
        </w:rPr>
        <w:t>21 CFR 807.81</w:t>
      </w:r>
      <w:r>
        <w:rPr>
          <w:rFonts w:ascii="Times New Roman" w:hAnsi="Times New Roman"/>
          <w:kern w:val="0"/>
          <w:sz w:val="15"/>
          <w:szCs w:val="15"/>
          <w:u w:val="single"/>
        </w:rPr>
        <w:fldChar w:fldCharType="end"/>
      </w:r>
      <w:r>
        <w:rPr>
          <w:rFonts w:ascii="Times New Roman" w:hAnsi="Times New Roman"/>
          <w:kern w:val="0"/>
          <w:sz w:val="15"/>
          <w:szCs w:val="15"/>
        </w:rPr>
        <w:t>(a)(3)</w:t>
      </w:r>
      <w:r>
        <w:rPr>
          <w:rFonts w:hint="eastAsia" w:ascii="Times New Roman" w:hAnsi="宋体"/>
          <w:kern w:val="0"/>
          <w:sz w:val="15"/>
          <w:szCs w:val="15"/>
        </w:rPr>
        <w:t>），从而判断该器械成品的上市是否需要签发一份新的</w:t>
      </w:r>
      <w:r>
        <w:rPr>
          <w:rFonts w:ascii="Times New Roman" w:hAnsi="Times New Roman"/>
          <w:kern w:val="0"/>
          <w:sz w:val="15"/>
          <w:szCs w:val="15"/>
        </w:rPr>
        <w:t>510(k)</w:t>
      </w:r>
      <w:r>
        <w:rPr>
          <w:rFonts w:hint="eastAsia" w:ascii="Times New Roman" w:hAnsi="宋体"/>
          <w:kern w:val="0"/>
          <w:sz w:val="15"/>
          <w:szCs w:val="15"/>
        </w:rPr>
        <w:t>。</w:t>
      </w:r>
    </w:p>
    <w:p w14:paraId="05D8BDB4">
      <w:pPr>
        <w:widowControl/>
        <w:shd w:val="clear" w:color="auto" w:fill="FFFFFF"/>
        <w:spacing w:before="240" w:after="240" w:line="207" w:lineRule="atLeast"/>
        <w:ind w:firstLine="0"/>
        <w:rPr>
          <w:rFonts w:ascii="Times New Roman" w:hAnsi="Times New Roman"/>
          <w:kern w:val="0"/>
          <w:sz w:val="15"/>
          <w:szCs w:val="15"/>
        </w:rPr>
      </w:pPr>
      <w:r>
        <w:rPr>
          <w:rFonts w:ascii="Times New Roman" w:hAnsi="Times New Roman"/>
          <w:kern w:val="0"/>
          <w:sz w:val="15"/>
          <w:szCs w:val="15"/>
        </w:rPr>
        <w:t>[4]</w:t>
      </w:r>
      <w:r>
        <w:rPr>
          <w:rFonts w:hint="eastAsia" w:ascii="Times New Roman" w:hAnsi="宋体"/>
          <w:kern w:val="0"/>
          <w:sz w:val="15"/>
          <w:szCs w:val="15"/>
        </w:rPr>
        <w:t>参考</w:t>
      </w:r>
      <w:r>
        <w:rPr>
          <w:rFonts w:ascii="Times New Roman" w:hAnsi="Times New Roman"/>
          <w:kern w:val="0"/>
          <w:sz w:val="15"/>
          <w:szCs w:val="15"/>
        </w:rPr>
        <w:t> </w:t>
      </w:r>
      <w:r>
        <w:fldChar w:fldCharType="begin"/>
      </w:r>
      <w:r>
        <w:instrText xml:space="preserve"> HYPERLINK "https://www.fda.gov/MedicalDevices/DeviceRegulationandGuidance/HowtoMarketYourDevice/PremarketSubmissions/PremarketNotification510k/ucm142706.htm" </w:instrText>
      </w:r>
      <w:r>
        <w:fldChar w:fldCharType="separate"/>
      </w:r>
      <w:r>
        <w:rPr>
          <w:rFonts w:hint="eastAsia" w:ascii="Times New Roman" w:hAnsi="宋体"/>
          <w:kern w:val="0"/>
          <w:sz w:val="15"/>
          <w:szCs w:val="15"/>
          <w:u w:val="single"/>
        </w:rPr>
        <w:t>公认标准合格性声明的必需元素</w:t>
      </w:r>
      <w:r>
        <w:rPr>
          <w:rFonts w:hint="eastAsia" w:ascii="Times New Roman" w:hAnsi="宋体"/>
          <w:kern w:val="0"/>
          <w:sz w:val="15"/>
          <w:szCs w:val="15"/>
          <w:u w:val="single"/>
        </w:rPr>
        <w:fldChar w:fldCharType="end"/>
      </w:r>
      <w:r>
        <w:rPr>
          <w:rFonts w:ascii="Times New Roman" w:hAnsi="Times New Roman"/>
          <w:kern w:val="0"/>
          <w:sz w:val="15"/>
          <w:szCs w:val="15"/>
        </w:rPr>
        <w:t> </w:t>
      </w:r>
      <w:r>
        <w:rPr>
          <w:rFonts w:hint="eastAsia" w:ascii="Times New Roman" w:hAnsi="宋体"/>
          <w:kern w:val="0"/>
          <w:sz w:val="15"/>
          <w:szCs w:val="15"/>
        </w:rPr>
        <w:t>（所有上市前通告</w:t>
      </w:r>
      <w:r>
        <w:rPr>
          <w:rFonts w:ascii="Times New Roman" w:hAnsi="Times New Roman"/>
          <w:kern w:val="0"/>
          <w:sz w:val="15"/>
          <w:szCs w:val="15"/>
        </w:rPr>
        <w:t>[510(K)]</w:t>
      </w:r>
      <w:r>
        <w:rPr>
          <w:rFonts w:hint="eastAsia" w:ascii="Times New Roman" w:hAnsi="宋体"/>
          <w:kern w:val="0"/>
          <w:sz w:val="15"/>
          <w:szCs w:val="15"/>
        </w:rPr>
        <w:t>申报资料的审查清单）</w:t>
      </w:r>
      <w:r>
        <w:rPr>
          <w:rFonts w:ascii="Times New Roman" w:hAnsi="Times New Roman"/>
          <w:kern w:val="0"/>
          <w:sz w:val="15"/>
          <w:szCs w:val="15"/>
        </w:rPr>
        <w:t> </w:t>
      </w:r>
      <w:r>
        <w:rPr>
          <w:rFonts w:hint="eastAsia" w:ascii="Times New Roman" w:hAnsi="宋体"/>
          <w:kern w:val="0"/>
          <w:sz w:val="15"/>
          <w:szCs w:val="15"/>
        </w:rPr>
        <w:t>。</w:t>
      </w:r>
    </w:p>
    <w:p w14:paraId="6F08DCB5">
      <w:pPr>
        <w:widowControl/>
        <w:shd w:val="clear" w:color="auto" w:fill="FFFFFF"/>
        <w:spacing w:before="240" w:after="240" w:line="207" w:lineRule="atLeast"/>
        <w:ind w:firstLine="0"/>
        <w:rPr>
          <w:rFonts w:ascii="Times New Roman" w:hAnsi="Times New Roman"/>
          <w:kern w:val="0"/>
          <w:sz w:val="15"/>
          <w:szCs w:val="15"/>
        </w:rPr>
      </w:pPr>
      <w:r>
        <w:rPr>
          <w:rFonts w:ascii="Times New Roman" w:hAnsi="Times New Roman"/>
          <w:kern w:val="0"/>
          <w:sz w:val="15"/>
          <w:szCs w:val="15"/>
        </w:rPr>
        <w:t>[5] </w:t>
      </w:r>
      <w:r>
        <w:fldChar w:fldCharType="begin"/>
      </w:r>
      <w:r>
        <w:instrText xml:space="preserve"> HYPERLINK "https://www.fda.gov/MedicalDevices/DeviceRegulationandGuidance/GuidanceDocuments/ucm073752.htm" </w:instrText>
      </w:r>
      <w:r>
        <w:fldChar w:fldCharType="separate"/>
      </w:r>
      <w:r>
        <w:rPr>
          <w:rFonts w:hint="eastAsia" w:ascii="Times New Roman" w:hAnsi="宋体"/>
          <w:kern w:val="0"/>
          <w:sz w:val="15"/>
          <w:szCs w:val="15"/>
          <w:u w:val="single"/>
        </w:rPr>
        <w:t>实质等同判定使用标准；工业和</w:t>
      </w:r>
      <w:r>
        <w:rPr>
          <w:rFonts w:ascii="Times New Roman" w:hAnsi="Times New Roman"/>
          <w:kern w:val="0"/>
          <w:sz w:val="15"/>
          <w:szCs w:val="15"/>
          <w:u w:val="single"/>
        </w:rPr>
        <w:t>FDA</w:t>
      </w:r>
      <w:r>
        <w:rPr>
          <w:rFonts w:hint="eastAsia" w:ascii="Times New Roman" w:hAnsi="宋体"/>
          <w:kern w:val="0"/>
          <w:sz w:val="15"/>
          <w:szCs w:val="15"/>
          <w:u w:val="single"/>
        </w:rPr>
        <w:t>最终指导</w:t>
      </w:r>
      <w:r>
        <w:rPr>
          <w:rFonts w:hint="eastAsia" w:ascii="Times New Roman" w:hAnsi="宋体"/>
          <w:kern w:val="0"/>
          <w:sz w:val="15"/>
          <w:szCs w:val="15"/>
          <w:u w:val="single"/>
        </w:rPr>
        <w:fldChar w:fldCharType="end"/>
      </w:r>
    </w:p>
    <w:p w14:paraId="62841D6A">
      <w:pPr>
        <w:widowControl/>
        <w:shd w:val="clear" w:color="auto" w:fill="FFFFFF"/>
        <w:spacing w:before="240" w:after="240" w:line="207" w:lineRule="atLeast"/>
        <w:ind w:firstLine="0"/>
        <w:rPr>
          <w:rFonts w:ascii="Times New Roman" w:hAnsi="Times New Roman"/>
          <w:sz w:val="15"/>
          <w:szCs w:val="15"/>
        </w:rPr>
      </w:pPr>
      <w:r>
        <w:rPr>
          <w:rFonts w:ascii="Times New Roman" w:hAnsi="Times New Roman"/>
          <w:kern w:val="0"/>
          <w:sz w:val="15"/>
          <w:szCs w:val="15"/>
        </w:rPr>
        <w:t>[6] </w:t>
      </w:r>
      <w:r>
        <w:fldChar w:fldCharType="begin"/>
      </w:r>
      <w:r>
        <w:instrText xml:space="preserve"> HYPERLINK "https://www.fda.gov/CombinationProducts/default.htm" </w:instrText>
      </w:r>
      <w:r>
        <w:fldChar w:fldCharType="separate"/>
      </w:r>
      <w:r>
        <w:rPr>
          <w:rFonts w:hint="eastAsia" w:ascii="Times New Roman" w:hAnsi="宋体"/>
          <w:kern w:val="0"/>
          <w:sz w:val="15"/>
          <w:szCs w:val="15"/>
          <w:u w:val="single"/>
        </w:rPr>
        <w:t>组合产品</w:t>
      </w:r>
      <w:r>
        <w:rPr>
          <w:rFonts w:hint="eastAsia" w:ascii="Times New Roman" w:hAnsi="宋体"/>
          <w:kern w:val="0"/>
          <w:sz w:val="15"/>
          <w:szCs w:val="15"/>
          <w:u w:val="single"/>
        </w:rPr>
        <w:fldChar w:fldCharType="end"/>
      </w:r>
    </w:p>
    <w:p w14:paraId="54DC289E">
      <w:pPr>
        <w:widowControl/>
        <w:shd w:val="clear" w:color="auto" w:fill="FFFFFF"/>
        <w:spacing w:before="240" w:after="240" w:line="207" w:lineRule="atLeast"/>
        <w:ind w:firstLine="0"/>
        <w:rPr>
          <w:rFonts w:ascii="Times New Roman" w:hAnsi="Times New Roman"/>
          <w:kern w:val="0"/>
          <w:sz w:val="15"/>
          <w:szCs w:val="15"/>
        </w:rPr>
      </w:pPr>
      <w:r>
        <w:rPr>
          <w:rFonts w:ascii="Times New Roman" w:hAnsi="Times New Roman"/>
          <w:kern w:val="0"/>
          <w:sz w:val="15"/>
          <w:szCs w:val="15"/>
        </w:rPr>
        <w:t>[7]</w:t>
      </w:r>
      <w:r>
        <w:rPr>
          <w:rFonts w:hint="eastAsia" w:ascii="Times New Roman" w:hAnsi="宋体"/>
          <w:kern w:val="0"/>
          <w:sz w:val="15"/>
          <w:szCs w:val="15"/>
        </w:rPr>
        <w:t>见</w:t>
      </w:r>
      <w:r>
        <w:rPr>
          <w:rFonts w:ascii="Times New Roman" w:hAnsi="Times New Roman"/>
          <w:kern w:val="0"/>
          <w:sz w:val="15"/>
          <w:szCs w:val="15"/>
        </w:rPr>
        <w:t>21 CFR 1271.3</w:t>
      </w:r>
      <w:r>
        <w:rPr>
          <w:rFonts w:hint="eastAsia" w:ascii="Times New Roman" w:hAnsi="宋体"/>
          <w:kern w:val="0"/>
          <w:sz w:val="15"/>
          <w:szCs w:val="15"/>
        </w:rPr>
        <w:t>（</w:t>
      </w:r>
      <w:r>
        <w:rPr>
          <w:rFonts w:ascii="Times New Roman" w:hAnsi="Times New Roman"/>
          <w:kern w:val="0"/>
          <w:sz w:val="15"/>
          <w:szCs w:val="15"/>
        </w:rPr>
        <w:t>f</w:t>
      </w:r>
      <w:r>
        <w:rPr>
          <w:rFonts w:hint="eastAsia" w:ascii="Times New Roman" w:hAnsi="宋体"/>
          <w:kern w:val="0"/>
          <w:sz w:val="15"/>
          <w:szCs w:val="15"/>
        </w:rPr>
        <w:t>）</w:t>
      </w:r>
    </w:p>
    <w:p w14:paraId="54B7BC23">
      <w:pPr>
        <w:widowControl/>
        <w:shd w:val="clear" w:color="auto" w:fill="FFFFFF"/>
        <w:spacing w:before="240" w:after="240" w:line="207" w:lineRule="atLeast"/>
        <w:ind w:firstLine="0"/>
        <w:rPr>
          <w:rFonts w:ascii="Times New Roman" w:hAnsi="Times New Roman"/>
          <w:kern w:val="0"/>
          <w:sz w:val="15"/>
          <w:szCs w:val="15"/>
        </w:rPr>
      </w:pPr>
      <w:r>
        <w:rPr>
          <w:rFonts w:ascii="Times New Roman" w:hAnsi="Times New Roman"/>
          <w:kern w:val="0"/>
          <w:sz w:val="15"/>
          <w:szCs w:val="15"/>
        </w:rPr>
        <w:t xml:space="preserve">[8] </w:t>
      </w:r>
      <w:r>
        <w:rPr>
          <w:rFonts w:hint="eastAsia" w:ascii="Times New Roman" w:hAnsi="宋体"/>
          <w:kern w:val="0"/>
          <w:sz w:val="15"/>
          <w:szCs w:val="15"/>
        </w:rPr>
        <w:t>联邦公报，</w:t>
      </w:r>
      <w:r>
        <w:rPr>
          <w:rFonts w:ascii="Times New Roman" w:hAnsi="Times New Roman"/>
          <w:kern w:val="0"/>
          <w:sz w:val="15"/>
          <w:szCs w:val="15"/>
        </w:rPr>
        <w:t>2001</w:t>
      </w:r>
      <w:r>
        <w:rPr>
          <w:rFonts w:hint="eastAsia" w:ascii="Times New Roman" w:hAnsi="宋体"/>
          <w:kern w:val="0"/>
          <w:sz w:val="15"/>
          <w:szCs w:val="15"/>
        </w:rPr>
        <w:t>年</w:t>
      </w:r>
      <w:r>
        <w:rPr>
          <w:rFonts w:ascii="Times New Roman" w:hAnsi="Times New Roman"/>
          <w:kern w:val="0"/>
          <w:sz w:val="15"/>
          <w:szCs w:val="15"/>
        </w:rPr>
        <w:t>1</w:t>
      </w:r>
      <w:r>
        <w:rPr>
          <w:rFonts w:hint="eastAsia" w:ascii="Times New Roman" w:hAnsi="宋体"/>
          <w:kern w:val="0"/>
          <w:sz w:val="15"/>
          <w:szCs w:val="15"/>
        </w:rPr>
        <w:t>月</w:t>
      </w:r>
      <w:r>
        <w:rPr>
          <w:rFonts w:ascii="Times New Roman" w:hAnsi="Times New Roman"/>
          <w:kern w:val="0"/>
          <w:sz w:val="15"/>
          <w:szCs w:val="15"/>
        </w:rPr>
        <w:t>19</w:t>
      </w:r>
      <w:r>
        <w:rPr>
          <w:rFonts w:hint="eastAsia" w:ascii="Times New Roman" w:hAnsi="宋体"/>
          <w:kern w:val="0"/>
          <w:sz w:val="15"/>
          <w:szCs w:val="15"/>
        </w:rPr>
        <w:t>日</w:t>
      </w:r>
      <w:r>
        <w:rPr>
          <w:rFonts w:ascii="Times New Roman" w:hAnsi="Times New Roman"/>
          <w:kern w:val="0"/>
          <w:sz w:val="15"/>
          <w:szCs w:val="15"/>
        </w:rPr>
        <w:t>(66 FR 5447)</w:t>
      </w:r>
    </w:p>
    <w:p w14:paraId="73B0D3CD">
      <w:pPr>
        <w:widowControl/>
        <w:shd w:val="clear" w:color="auto" w:fill="FFFFFF"/>
        <w:spacing w:before="240" w:after="240" w:line="207" w:lineRule="atLeast"/>
        <w:ind w:firstLine="0"/>
        <w:rPr>
          <w:rFonts w:ascii="Times New Roman" w:hAnsi="Times New Roman"/>
          <w:kern w:val="0"/>
          <w:sz w:val="15"/>
          <w:szCs w:val="15"/>
        </w:rPr>
      </w:pPr>
      <w:r>
        <w:rPr>
          <w:rFonts w:ascii="Times New Roman" w:hAnsi="Times New Roman"/>
          <w:kern w:val="0"/>
          <w:sz w:val="15"/>
          <w:szCs w:val="15"/>
        </w:rPr>
        <w:t>[9] </w:t>
      </w:r>
      <w:r>
        <w:rPr>
          <w:rFonts w:ascii="Times New Roman" w:hAnsi="Times New Roman"/>
          <w:kern w:val="0"/>
          <w:sz w:val="15"/>
          <w:szCs w:val="15"/>
          <w:u w:val="single"/>
        </w:rPr>
        <w:t>II</w:t>
      </w:r>
      <w:r>
        <w:rPr>
          <w:rFonts w:hint="eastAsia" w:ascii="Times New Roman" w:hAnsi="宋体"/>
          <w:kern w:val="0"/>
          <w:sz w:val="15"/>
          <w:szCs w:val="15"/>
          <w:u w:val="single"/>
        </w:rPr>
        <w:t>类特殊控制指导文件：可吸收性钙盐骨空隙填充物器械；行业而指南和</w:t>
      </w:r>
      <w:r>
        <w:rPr>
          <w:rFonts w:ascii="Times New Roman" w:hAnsi="Times New Roman"/>
          <w:kern w:val="0"/>
          <w:sz w:val="15"/>
          <w:szCs w:val="15"/>
          <w:u w:val="single"/>
        </w:rPr>
        <w:t>FDA</w:t>
      </w:r>
      <w:r>
        <w:rPr>
          <w:rFonts w:hint="eastAsia" w:ascii="Times New Roman" w:hAnsi="宋体"/>
          <w:kern w:val="0"/>
          <w:sz w:val="15"/>
          <w:szCs w:val="15"/>
          <w:u w:val="single"/>
        </w:rPr>
        <w:t>指导</w:t>
      </w:r>
    </w:p>
    <w:p w14:paraId="6FF1805B">
      <w:pPr>
        <w:widowControl/>
        <w:shd w:val="clear" w:color="auto" w:fill="FFFFFF"/>
        <w:spacing w:before="240" w:after="240" w:line="207" w:lineRule="atLeast"/>
        <w:ind w:firstLine="0"/>
        <w:rPr>
          <w:rFonts w:ascii="Times New Roman" w:hAnsi="Times New Roman"/>
          <w:kern w:val="0"/>
          <w:sz w:val="15"/>
          <w:szCs w:val="15"/>
        </w:rPr>
      </w:pPr>
      <w:r>
        <w:rPr>
          <w:rFonts w:ascii="Times New Roman" w:hAnsi="Times New Roman"/>
          <w:kern w:val="0"/>
          <w:sz w:val="15"/>
          <w:szCs w:val="15"/>
        </w:rPr>
        <w:t xml:space="preserve">[10] </w:t>
      </w:r>
      <w:r>
        <w:rPr>
          <w:rFonts w:hint="eastAsia" w:ascii="Times New Roman" w:hAnsi="宋体"/>
          <w:kern w:val="0"/>
          <w:sz w:val="15"/>
          <w:szCs w:val="15"/>
        </w:rPr>
        <w:t>对于</w:t>
      </w:r>
      <w:r>
        <w:rPr>
          <w:rFonts w:ascii="Times New Roman" w:hAnsi="Times New Roman"/>
          <w:kern w:val="0"/>
          <w:sz w:val="15"/>
          <w:szCs w:val="15"/>
        </w:rPr>
        <w:t>FDA</w:t>
      </w:r>
      <w:r>
        <w:rPr>
          <w:rFonts w:hint="eastAsia" w:ascii="Times New Roman" w:hAnsi="宋体"/>
          <w:kern w:val="0"/>
          <w:sz w:val="15"/>
          <w:szCs w:val="15"/>
        </w:rPr>
        <w:t>认可标准列表，请查看</w:t>
      </w:r>
      <w:r>
        <w:fldChar w:fldCharType="begin"/>
      </w:r>
      <w:r>
        <w:instrText xml:space="preserve"> HYPERLINK "http://www.accessdata.fda.gov/scripts/cdrh/cfdocs/cfStandards/search.cfm" </w:instrText>
      </w:r>
      <w:r>
        <w:fldChar w:fldCharType="separate"/>
      </w:r>
      <w:r>
        <w:rPr>
          <w:rFonts w:ascii="Times New Roman" w:hAnsi="Times New Roman"/>
          <w:kern w:val="0"/>
          <w:sz w:val="15"/>
          <w:szCs w:val="15"/>
          <w:u w:val="single"/>
        </w:rPr>
        <w:t>http://www.accessdata.fda.gov/scripts/cdrh/cfdocs/cfStandards/search.cfm</w:t>
      </w:r>
      <w:r>
        <w:rPr>
          <w:rFonts w:ascii="Times New Roman" w:hAnsi="Times New Roman"/>
          <w:kern w:val="0"/>
          <w:sz w:val="15"/>
          <w:szCs w:val="15"/>
          <w:u w:val="single"/>
        </w:rPr>
        <w:fldChar w:fldCharType="end"/>
      </w:r>
    </w:p>
    <w:p w14:paraId="3FE2DB6D">
      <w:pPr>
        <w:widowControl/>
        <w:shd w:val="clear" w:color="auto" w:fill="FFFFFF"/>
        <w:spacing w:before="240" w:after="240" w:line="207" w:lineRule="atLeast"/>
        <w:ind w:firstLine="0"/>
        <w:rPr>
          <w:rFonts w:ascii="Times New Roman" w:hAnsi="Times New Roman"/>
          <w:kern w:val="0"/>
          <w:sz w:val="15"/>
          <w:szCs w:val="15"/>
        </w:rPr>
      </w:pPr>
      <w:r>
        <w:rPr>
          <w:rFonts w:ascii="Times New Roman" w:hAnsi="Times New Roman"/>
          <w:kern w:val="0"/>
          <w:sz w:val="15"/>
          <w:szCs w:val="15"/>
        </w:rPr>
        <w:t>[11] </w:t>
      </w:r>
      <w:r>
        <w:rPr>
          <w:rFonts w:hint="eastAsia" w:ascii="Times New Roman" w:hAnsi="宋体"/>
          <w:kern w:val="0"/>
          <w:sz w:val="15"/>
          <w:szCs w:val="15"/>
        </w:rPr>
        <w:t>含</w:t>
      </w:r>
      <w:r>
        <w:fldChar w:fldCharType="begin"/>
      </w:r>
      <w:r>
        <w:instrText xml:space="preserve"> HYPERLINK "https://www.fda.gov/MedicalDevices/DeviceRegulationandGuidance/GuidanceDocuments/ucm073810.htm" </w:instrText>
      </w:r>
      <w:r>
        <w:fldChar w:fldCharType="separate"/>
      </w:r>
      <w:r>
        <w:rPr>
          <w:rFonts w:hint="eastAsia" w:ascii="Times New Roman" w:hAnsi="宋体"/>
          <w:kern w:val="0"/>
          <w:sz w:val="15"/>
          <w:szCs w:val="15"/>
          <w:u w:val="single"/>
        </w:rPr>
        <w:t>动物源性材料的医疗器械（体外诊断器械除外）</w:t>
      </w:r>
      <w:r>
        <w:rPr>
          <w:rFonts w:hint="eastAsia" w:ascii="Times New Roman" w:hAnsi="宋体"/>
          <w:kern w:val="0"/>
          <w:sz w:val="15"/>
          <w:szCs w:val="15"/>
          <w:u w:val="single"/>
        </w:rPr>
        <w:fldChar w:fldCharType="end"/>
      </w:r>
    </w:p>
    <w:p w14:paraId="11127C27">
      <w:pPr>
        <w:widowControl/>
        <w:shd w:val="clear" w:color="auto" w:fill="FFFFFF"/>
        <w:spacing w:before="240" w:after="240" w:line="207" w:lineRule="atLeast"/>
        <w:ind w:firstLine="0"/>
        <w:rPr>
          <w:rFonts w:ascii="Times New Roman" w:hAnsi="Times New Roman"/>
          <w:kern w:val="0"/>
          <w:sz w:val="15"/>
          <w:szCs w:val="15"/>
        </w:rPr>
      </w:pPr>
      <w:r>
        <w:rPr>
          <w:rFonts w:ascii="Times New Roman" w:hAnsi="Times New Roman"/>
          <w:kern w:val="0"/>
          <w:sz w:val="15"/>
          <w:szCs w:val="15"/>
        </w:rPr>
        <w:t>[12] </w:t>
      </w:r>
      <w:r>
        <w:fldChar w:fldCharType="begin"/>
      </w:r>
      <w:r>
        <w:instrText xml:space="preserve"> HYPERLINK "https://www.fda.gov/downloads/Drugs/GuidanceComplianceRegulatoryInformation/Guidances/UCM073454.pdf" </w:instrText>
      </w:r>
      <w:r>
        <w:fldChar w:fldCharType="separate"/>
      </w:r>
      <w:r>
        <w:rPr>
          <w:rFonts w:ascii="Times New Roman" w:hAnsi="Times New Roman"/>
          <w:kern w:val="0"/>
          <w:sz w:val="15"/>
          <w:szCs w:val="15"/>
          <w:u w:val="single"/>
        </w:rPr>
        <w:t xml:space="preserve">Q5A </w:t>
      </w:r>
      <w:r>
        <w:rPr>
          <w:rFonts w:hint="eastAsia" w:ascii="Times New Roman" w:hAnsi="宋体"/>
          <w:kern w:val="0"/>
          <w:sz w:val="15"/>
          <w:szCs w:val="15"/>
          <w:u w:val="single"/>
        </w:rPr>
        <w:t>来源于人或动物细胞系生物技术产品的病毒安全性评价</w:t>
      </w:r>
      <w:r>
        <w:rPr>
          <w:rFonts w:hint="eastAsia" w:ascii="Times New Roman" w:hAnsi="宋体"/>
          <w:kern w:val="0"/>
          <w:sz w:val="15"/>
          <w:szCs w:val="15"/>
          <w:u w:val="single"/>
        </w:rPr>
        <w:fldChar w:fldCharType="end"/>
      </w:r>
    </w:p>
    <w:p w14:paraId="2CB807F8">
      <w:pPr>
        <w:widowControl/>
        <w:shd w:val="clear" w:color="auto" w:fill="FFFFFF"/>
        <w:spacing w:before="240" w:after="240" w:line="207" w:lineRule="atLeast"/>
        <w:ind w:firstLine="0"/>
        <w:rPr>
          <w:rFonts w:ascii="Times New Roman" w:hAnsi="Times New Roman"/>
          <w:kern w:val="0"/>
          <w:sz w:val="15"/>
          <w:szCs w:val="15"/>
        </w:rPr>
      </w:pPr>
      <w:r>
        <w:rPr>
          <w:rFonts w:ascii="Times New Roman" w:hAnsi="Times New Roman"/>
          <w:kern w:val="0"/>
          <w:sz w:val="15"/>
          <w:szCs w:val="15"/>
        </w:rPr>
        <w:t>[13] </w:t>
      </w:r>
      <w:r>
        <w:fldChar w:fldCharType="begin"/>
      </w:r>
      <w:r>
        <w:instrText xml:space="preserve"> HYPERLINK "http://www.cas.org/expertise/cascontent/registry/index.html" \t "_blank" </w:instrText>
      </w:r>
      <w:r>
        <w:fldChar w:fldCharType="separate"/>
      </w:r>
      <w:r>
        <w:rPr>
          <w:rFonts w:hint="eastAsia" w:ascii="Times New Roman" w:hAnsi="Times New Roman"/>
          <w:kern w:val="0"/>
          <w:sz w:val="15"/>
          <w:szCs w:val="15"/>
          <w:u w:val="single"/>
        </w:rPr>
        <w:t>化学文摘服务社登记</w:t>
      </w:r>
      <w:r>
        <w:rPr>
          <w:rFonts w:hint="eastAsia" w:ascii="Times New Roman" w:hAnsi="Times New Roman"/>
          <w:kern w:val="0"/>
          <w:sz w:val="15"/>
          <w:szCs w:val="15"/>
          <w:u w:val="single"/>
        </w:rPr>
        <w:fldChar w:fldCharType="end"/>
      </w:r>
    </w:p>
    <w:p w14:paraId="55B7AECC">
      <w:pPr>
        <w:widowControl/>
        <w:shd w:val="clear" w:color="auto" w:fill="FFFFFF"/>
        <w:spacing w:before="240" w:after="240" w:line="207" w:lineRule="atLeast"/>
        <w:ind w:firstLine="0"/>
        <w:rPr>
          <w:rFonts w:ascii="Times New Roman" w:hAnsi="Times New Roman"/>
          <w:sz w:val="15"/>
          <w:szCs w:val="15"/>
        </w:rPr>
      </w:pPr>
      <w:r>
        <w:rPr>
          <w:rFonts w:ascii="Times New Roman" w:hAnsi="Times New Roman"/>
          <w:kern w:val="0"/>
          <w:sz w:val="15"/>
          <w:szCs w:val="15"/>
        </w:rPr>
        <w:t xml:space="preserve">[14] </w:t>
      </w:r>
      <w:r>
        <w:rPr>
          <w:rFonts w:hint="eastAsia" w:ascii="Times New Roman" w:hAnsi="宋体"/>
          <w:kern w:val="0"/>
          <w:sz w:val="15"/>
          <w:szCs w:val="15"/>
        </w:rPr>
        <w:t>参见</w:t>
      </w:r>
      <w:r>
        <w:fldChar w:fldCharType="begin"/>
      </w:r>
      <w:r>
        <w:instrText xml:space="preserve"> HYPERLINK "https://www.fda.gov/ScienceResearch/SpecialTopics/RunningClinicalTrials/GuidancesInformationSheetsandNotices/ucm113709.htm" </w:instrText>
      </w:r>
      <w:r>
        <w:fldChar w:fldCharType="separate"/>
      </w:r>
      <w:r>
        <w:rPr>
          <w:rFonts w:hint="eastAsia" w:ascii="Times New Roman" w:hAnsi="宋体"/>
          <w:b/>
          <w:bCs/>
          <w:kern w:val="0"/>
          <w:sz w:val="15"/>
          <w:szCs w:val="15"/>
        </w:rPr>
        <w:t>重大风险和非重大风险医疗器械研究</w:t>
      </w:r>
      <w:r>
        <w:rPr>
          <w:rFonts w:hint="eastAsia" w:ascii="Times New Roman" w:hAnsi="宋体"/>
          <w:b/>
          <w:bCs/>
          <w:kern w:val="0"/>
          <w:sz w:val="15"/>
          <w:szCs w:val="15"/>
        </w:rPr>
        <w:fldChar w:fldCharType="end"/>
      </w:r>
    </w:p>
    <w:p w14:paraId="6B50B229">
      <w:pPr>
        <w:widowControl/>
        <w:shd w:val="clear" w:color="auto" w:fill="FFFFFF"/>
        <w:spacing w:before="240" w:after="240" w:line="207" w:lineRule="atLeast"/>
        <w:ind w:firstLine="0"/>
        <w:rPr>
          <w:rFonts w:ascii="Times New Roman" w:hAnsi="Times New Roman"/>
          <w:kern w:val="0"/>
          <w:sz w:val="15"/>
          <w:szCs w:val="15"/>
        </w:rPr>
      </w:pPr>
      <w:r>
        <w:rPr>
          <w:rFonts w:ascii="Times New Roman" w:hAnsi="Times New Roman"/>
          <w:sz w:val="15"/>
          <w:szCs w:val="15"/>
        </w:rPr>
        <w:br w:type="page"/>
      </w:r>
    </w:p>
    <w:p w14:paraId="0BEFAE21">
      <w:pPr>
        <w:widowControl/>
        <w:shd w:val="clear" w:color="auto" w:fill="FFFFFF"/>
        <w:spacing w:before="240" w:after="240" w:line="207" w:lineRule="atLeast"/>
        <w:ind w:firstLine="0"/>
        <w:rPr>
          <w:rFonts w:ascii="Times New Roman" w:hAnsi="Times New Roman"/>
          <w:kern w:val="0"/>
          <w:sz w:val="15"/>
          <w:szCs w:val="15"/>
        </w:rPr>
      </w:pPr>
      <w:r>
        <w:rPr>
          <w:rFonts w:ascii="Times New Roman" w:hAnsi="Times New Roman"/>
          <w:kern w:val="0"/>
          <w:sz w:val="15"/>
          <w:szCs w:val="15"/>
        </w:rPr>
        <w:t>[15] </w:t>
      </w:r>
      <w:r>
        <w:fldChar w:fldCharType="begin"/>
      </w:r>
      <w:r>
        <w:instrText xml:space="preserve"> HYPERLINK "https://www.fda.gov/medicaldevices/deviceregulationandguidance/guidancedocuments/ssLINK/ucm080735.htm" </w:instrText>
      </w:r>
      <w:r>
        <w:fldChar w:fldCharType="separate"/>
      </w:r>
      <w:r>
        <w:rPr>
          <w:rFonts w:hint="eastAsia" w:ascii="Times New Roman" w:hAnsi="宋体"/>
          <w:kern w:val="0"/>
          <w:sz w:val="15"/>
          <w:szCs w:val="15"/>
          <w:u w:val="single"/>
        </w:rPr>
        <w:t>医疗器械评价所需的生物相容性培训和毒理学信息，</w:t>
      </w:r>
      <w:r>
        <w:rPr>
          <w:rFonts w:ascii="Times New Roman" w:hAnsi="Times New Roman"/>
          <w:kern w:val="0"/>
          <w:sz w:val="15"/>
          <w:szCs w:val="15"/>
          <w:u w:val="single"/>
        </w:rPr>
        <w:t>1995</w:t>
      </w:r>
      <w:r>
        <w:rPr>
          <w:rFonts w:hint="eastAsia" w:ascii="Times New Roman" w:hAnsi="宋体"/>
          <w:kern w:val="0"/>
          <w:sz w:val="15"/>
          <w:szCs w:val="15"/>
          <w:u w:val="single"/>
        </w:rPr>
        <w:t>年</w:t>
      </w:r>
      <w:r>
        <w:rPr>
          <w:rFonts w:ascii="Times New Roman" w:hAnsi="Times New Roman"/>
          <w:kern w:val="0"/>
          <w:sz w:val="15"/>
          <w:szCs w:val="15"/>
          <w:u w:val="single"/>
        </w:rPr>
        <w:t>5</w:t>
      </w:r>
      <w:r>
        <w:rPr>
          <w:rFonts w:hint="eastAsia" w:ascii="Times New Roman" w:hAnsi="宋体"/>
          <w:kern w:val="0"/>
          <w:sz w:val="15"/>
          <w:szCs w:val="15"/>
          <w:u w:val="single"/>
        </w:rPr>
        <w:t>月</w:t>
      </w:r>
      <w:r>
        <w:rPr>
          <w:rFonts w:ascii="Times New Roman" w:hAnsi="Times New Roman"/>
          <w:kern w:val="0"/>
          <w:sz w:val="15"/>
          <w:szCs w:val="15"/>
          <w:u w:val="single"/>
        </w:rPr>
        <w:t>1</w:t>
      </w:r>
      <w:r>
        <w:rPr>
          <w:rFonts w:hint="eastAsia" w:ascii="Times New Roman" w:hAnsi="宋体"/>
          <w:kern w:val="0"/>
          <w:sz w:val="15"/>
          <w:szCs w:val="15"/>
          <w:u w:val="single"/>
        </w:rPr>
        <w:t>日</w:t>
      </w:r>
      <w:r>
        <w:rPr>
          <w:rFonts w:ascii="Times New Roman" w:hAnsi="Times New Roman"/>
          <w:kern w:val="0"/>
          <w:sz w:val="15"/>
          <w:szCs w:val="15"/>
          <w:u w:val="single"/>
        </w:rPr>
        <w:t>(G95-1)</w:t>
      </w:r>
      <w:r>
        <w:rPr>
          <w:rFonts w:ascii="Times New Roman" w:hAnsi="Times New Roman"/>
          <w:kern w:val="0"/>
          <w:sz w:val="15"/>
          <w:szCs w:val="15"/>
          <w:u w:val="single"/>
        </w:rPr>
        <w:fldChar w:fldCharType="end"/>
      </w:r>
    </w:p>
    <w:p w14:paraId="1765A86A">
      <w:pPr>
        <w:widowControl/>
        <w:shd w:val="clear" w:color="auto" w:fill="FFFFFF"/>
        <w:spacing w:before="240" w:after="240" w:line="207" w:lineRule="atLeast"/>
        <w:ind w:firstLine="0"/>
        <w:rPr>
          <w:rFonts w:ascii="Times New Roman" w:hAnsi="Times New Roman"/>
          <w:kern w:val="0"/>
          <w:sz w:val="15"/>
          <w:szCs w:val="15"/>
        </w:rPr>
      </w:pPr>
      <w:r>
        <w:rPr>
          <w:rFonts w:ascii="Times New Roman" w:hAnsi="Times New Roman"/>
          <w:kern w:val="0"/>
          <w:sz w:val="15"/>
          <w:szCs w:val="15"/>
        </w:rPr>
        <w:t>[16] </w:t>
      </w:r>
      <w:r>
        <w:fldChar w:fldCharType="begin"/>
      </w:r>
      <w:r>
        <w:instrText xml:space="preserve"> HYPERLINK "https://www.fda.gov/MedicalDevices/DeviceRegulationandGuidance/GuidanceDocuments/ucm072783.htm" </w:instrText>
      </w:r>
      <w:r>
        <w:fldChar w:fldCharType="separate"/>
      </w:r>
      <w:r>
        <w:rPr>
          <w:rFonts w:hint="eastAsia" w:ascii="Times New Roman" w:hAnsi="宋体"/>
          <w:kern w:val="0"/>
          <w:sz w:val="15"/>
          <w:szCs w:val="15"/>
          <w:u w:val="single"/>
        </w:rPr>
        <w:t>更新的</w:t>
      </w:r>
      <w:r>
        <w:rPr>
          <w:rFonts w:ascii="Times New Roman" w:hAnsi="Times New Roman"/>
          <w:kern w:val="0"/>
          <w:sz w:val="15"/>
          <w:szCs w:val="15"/>
          <w:u w:val="single"/>
        </w:rPr>
        <w:t>510(k)</w:t>
      </w:r>
      <w:r>
        <w:rPr>
          <w:rFonts w:hint="eastAsia" w:ascii="Times New Roman" w:hAnsi="宋体"/>
          <w:kern w:val="0"/>
          <w:sz w:val="15"/>
          <w:szCs w:val="15"/>
          <w:u w:val="single"/>
        </w:rPr>
        <w:t>灭菌审查指导</w:t>
      </w:r>
      <w:r>
        <w:rPr>
          <w:rFonts w:ascii="Times New Roman" w:hAnsi="Times New Roman"/>
          <w:kern w:val="0"/>
          <w:sz w:val="15"/>
          <w:szCs w:val="15"/>
          <w:u w:val="single"/>
        </w:rPr>
        <w:t>K90-1</w:t>
      </w:r>
      <w:r>
        <w:rPr>
          <w:rFonts w:ascii="Times New Roman" w:hAnsi="Times New Roman"/>
          <w:kern w:val="0"/>
          <w:sz w:val="15"/>
          <w:szCs w:val="15"/>
          <w:u w:val="single"/>
        </w:rPr>
        <w:fldChar w:fldCharType="end"/>
      </w:r>
    </w:p>
    <w:p w14:paraId="4662EBA0">
      <w:pPr>
        <w:ind w:firstLine="0"/>
        <w:rPr>
          <w:rFonts w:ascii="Times New Roman" w:hAnsi="Times New Roman"/>
          <w:sz w:val="15"/>
          <w:szCs w:val="15"/>
        </w:rPr>
      </w:pPr>
      <w:r>
        <w:rPr>
          <w:rFonts w:ascii="Times New Roman" w:hAnsi="Times New Roman"/>
          <w:kern w:val="0"/>
          <w:sz w:val="15"/>
          <w:szCs w:val="15"/>
        </w:rPr>
        <w:t>[17] </w:t>
      </w:r>
      <w:r>
        <w:rPr>
          <w:rFonts w:hint="eastAsia" w:ascii="Times New Roman" w:hAnsi="宋体"/>
          <w:sz w:val="15"/>
          <w:szCs w:val="15"/>
        </w:rPr>
        <w:t>虽然</w:t>
      </w:r>
      <w:r>
        <w:rPr>
          <w:rFonts w:ascii="Times New Roman" w:hAnsi="Times New Roman"/>
          <w:sz w:val="15"/>
          <w:szCs w:val="15"/>
        </w:rPr>
        <w:t>510</w:t>
      </w:r>
      <w:r>
        <w:rPr>
          <w:rFonts w:hint="eastAsia" w:ascii="Times New Roman" w:hAnsi="宋体"/>
          <w:sz w:val="15"/>
          <w:szCs w:val="15"/>
        </w:rPr>
        <w:t>（</w:t>
      </w:r>
      <w:r>
        <w:rPr>
          <w:rFonts w:ascii="Times New Roman" w:hAnsi="Times New Roman"/>
          <w:sz w:val="15"/>
          <w:szCs w:val="15"/>
        </w:rPr>
        <w:t>k</w:t>
      </w:r>
      <w:r>
        <w:rPr>
          <w:rFonts w:hint="eastAsia" w:ascii="Times New Roman" w:hAnsi="宋体"/>
          <w:sz w:val="15"/>
          <w:szCs w:val="15"/>
        </w:rPr>
        <w:t>）批准函不需要最终标签，但在将医疗器械引入州际贸易之前，最终标签必须符合</w:t>
      </w:r>
      <w:r>
        <w:rPr>
          <w:rFonts w:ascii="Times New Roman" w:hAnsi="Times New Roman"/>
          <w:sz w:val="15"/>
          <w:szCs w:val="15"/>
        </w:rPr>
        <w:t>21 CFR Part 801</w:t>
      </w:r>
      <w:r>
        <w:rPr>
          <w:rFonts w:hint="eastAsia" w:ascii="Times New Roman" w:hAnsi="宋体"/>
          <w:sz w:val="15"/>
          <w:szCs w:val="15"/>
        </w:rPr>
        <w:t>要求。此外，处方器械最终标签必须符合</w:t>
      </w:r>
      <w:r>
        <w:rPr>
          <w:rFonts w:ascii="Times New Roman" w:hAnsi="Times New Roman"/>
          <w:sz w:val="15"/>
          <w:szCs w:val="15"/>
        </w:rPr>
        <w:t>21 CFR 801.109</w:t>
      </w:r>
      <w:r>
        <w:rPr>
          <w:rFonts w:hint="eastAsia" w:ascii="Times New Roman" w:hAnsi="宋体"/>
          <w:sz w:val="15"/>
          <w:szCs w:val="15"/>
        </w:rPr>
        <w:t>要求。本指南中的标签建议符合</w:t>
      </w:r>
      <w:r>
        <w:rPr>
          <w:rFonts w:hint="eastAsia" w:ascii="Times New Roman" w:hAnsi="Times New Roman"/>
          <w:sz w:val="15"/>
          <w:szCs w:val="15"/>
        </w:rPr>
        <w:t>第801部分的</w:t>
      </w:r>
      <w:r>
        <w:rPr>
          <w:rFonts w:hint="eastAsia" w:ascii="Times New Roman" w:hAnsi="宋体"/>
          <w:sz w:val="15"/>
          <w:szCs w:val="15"/>
        </w:rPr>
        <w:t>要求。</w:t>
      </w:r>
    </w:p>
    <w:p w14:paraId="43B15971">
      <w:pPr>
        <w:ind w:firstLine="0"/>
        <w:rPr>
          <w:rFonts w:ascii="Times New Roman" w:hAnsi="Times New Roman"/>
          <w:sz w:val="15"/>
          <w:szCs w:val="15"/>
        </w:rPr>
      </w:pPr>
    </w:p>
    <w:p w14:paraId="43208AC4">
      <w:pPr>
        <w:widowControl/>
        <w:spacing w:before="20" w:after="20"/>
        <w:ind w:firstLine="0"/>
        <w:rPr>
          <w:rFonts w:hint="eastAsia" w:eastAsia="宋体"/>
          <w:lang w:eastAsia="zh-CN"/>
        </w:rPr>
      </w:pPr>
    </w:p>
    <w:p w14:paraId="3ABCD672">
      <w:pPr>
        <w:widowControl/>
        <w:spacing w:before="20" w:after="20"/>
        <w:ind w:firstLine="0"/>
        <w:jc w:val="center"/>
        <w:rPr>
          <w:rFonts w:hint="eastAsia" w:eastAsia="宋体"/>
          <w:lang w:eastAsia="zh-CN"/>
        </w:rPr>
      </w:pPr>
    </w:p>
    <w:p w14:paraId="693FF6C8">
      <w:pPr>
        <w:widowControl/>
        <w:spacing w:before="20" w:after="20"/>
        <w:ind w:firstLine="0"/>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Kozuka Mincho Pro M"/>
    <w:panose1 w:val="02020609040205080304"/>
    <w:charset w:val="80"/>
    <w:family w:val="modern"/>
    <w:pitch w:val="default"/>
    <w:sig w:usb0="00000000" w:usb1="00000000" w:usb2="00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Kozuka Mincho Pro M">
    <w:panose1 w:val="02020600000000000000"/>
    <w:charset w:val="80"/>
    <w:family w:val="auto"/>
    <w:pitch w:val="default"/>
    <w:sig w:usb0="00000083" w:usb1="2AC71C11" w:usb2="00000012" w:usb3="00000000" w:csb0="20020005"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412D9">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9F4F86"/>
    <w:multiLevelType w:val="multilevel"/>
    <w:tmpl w:val="019F4F86"/>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
    <w:nsid w:val="0E271DBD"/>
    <w:multiLevelType w:val="multilevel"/>
    <w:tmpl w:val="0E271DB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13CB19F2"/>
    <w:multiLevelType w:val="multilevel"/>
    <w:tmpl w:val="13CB19F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15E52A72"/>
    <w:multiLevelType w:val="multilevel"/>
    <w:tmpl w:val="15E52A7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27DE1873"/>
    <w:multiLevelType w:val="multilevel"/>
    <w:tmpl w:val="27DE187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2A1A72CF"/>
    <w:multiLevelType w:val="multilevel"/>
    <w:tmpl w:val="2A1A72C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2DA26563"/>
    <w:multiLevelType w:val="multilevel"/>
    <w:tmpl w:val="2DA2656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52957241"/>
    <w:multiLevelType w:val="multilevel"/>
    <w:tmpl w:val="5295724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57EE1650"/>
    <w:multiLevelType w:val="multilevel"/>
    <w:tmpl w:val="57EE165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
    <w:nsid w:val="5AB47347"/>
    <w:multiLevelType w:val="multilevel"/>
    <w:tmpl w:val="5AB4734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
    <w:nsid w:val="5F230FEA"/>
    <w:multiLevelType w:val="multilevel"/>
    <w:tmpl w:val="5F230FE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
    <w:nsid w:val="6AC01FCE"/>
    <w:multiLevelType w:val="multilevel"/>
    <w:tmpl w:val="6AC01FC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2">
    <w:nsid w:val="6BBF3F48"/>
    <w:multiLevelType w:val="multilevel"/>
    <w:tmpl w:val="6BBF3F4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
    <w:nsid w:val="70D15180"/>
    <w:multiLevelType w:val="multilevel"/>
    <w:tmpl w:val="70D1518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4">
    <w:nsid w:val="71B201F7"/>
    <w:multiLevelType w:val="multilevel"/>
    <w:tmpl w:val="71B201F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5">
    <w:nsid w:val="77443300"/>
    <w:multiLevelType w:val="multilevel"/>
    <w:tmpl w:val="7744330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 w:numId="2">
    <w:abstractNumId w:val="12"/>
  </w:num>
  <w:num w:numId="3">
    <w:abstractNumId w:val="2"/>
  </w:num>
  <w:num w:numId="4">
    <w:abstractNumId w:val="7"/>
  </w:num>
  <w:num w:numId="5">
    <w:abstractNumId w:val="6"/>
  </w:num>
  <w:num w:numId="6">
    <w:abstractNumId w:val="3"/>
  </w:num>
  <w:num w:numId="7">
    <w:abstractNumId w:val="13"/>
  </w:num>
  <w:num w:numId="8">
    <w:abstractNumId w:val="9"/>
  </w:num>
  <w:num w:numId="9">
    <w:abstractNumId w:val="5"/>
  </w:num>
  <w:num w:numId="10">
    <w:abstractNumId w:val="4"/>
  </w:num>
  <w:num w:numId="11">
    <w:abstractNumId w:val="15"/>
  </w:num>
  <w:num w:numId="12">
    <w:abstractNumId w:val="1"/>
  </w:num>
  <w:num w:numId="13">
    <w:abstractNumId w:val="8"/>
  </w:num>
  <w:num w:numId="14">
    <w:abstractNumId w:val="11"/>
  </w:num>
  <w:num w:numId="15">
    <w:abstractNumId w:val="1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F66D4"/>
    <w:rsid w:val="00001C1A"/>
    <w:rsid w:val="00063F64"/>
    <w:rsid w:val="000F1456"/>
    <w:rsid w:val="00102F13"/>
    <w:rsid w:val="001055B0"/>
    <w:rsid w:val="001647CD"/>
    <w:rsid w:val="00193437"/>
    <w:rsid w:val="00193972"/>
    <w:rsid w:val="001B1B9F"/>
    <w:rsid w:val="001E1474"/>
    <w:rsid w:val="00207CD3"/>
    <w:rsid w:val="00242307"/>
    <w:rsid w:val="0024391E"/>
    <w:rsid w:val="00261DC8"/>
    <w:rsid w:val="00297742"/>
    <w:rsid w:val="002A26DD"/>
    <w:rsid w:val="002B7FC4"/>
    <w:rsid w:val="002D335C"/>
    <w:rsid w:val="002E0E64"/>
    <w:rsid w:val="002F77DF"/>
    <w:rsid w:val="00313FD8"/>
    <w:rsid w:val="003201E7"/>
    <w:rsid w:val="00342973"/>
    <w:rsid w:val="00350372"/>
    <w:rsid w:val="00351BA4"/>
    <w:rsid w:val="00374FEC"/>
    <w:rsid w:val="003866A9"/>
    <w:rsid w:val="003A0ABA"/>
    <w:rsid w:val="003A3972"/>
    <w:rsid w:val="003D2397"/>
    <w:rsid w:val="003E4231"/>
    <w:rsid w:val="003F7EB8"/>
    <w:rsid w:val="00415117"/>
    <w:rsid w:val="00420009"/>
    <w:rsid w:val="004301BC"/>
    <w:rsid w:val="00443293"/>
    <w:rsid w:val="004724AA"/>
    <w:rsid w:val="00482BA1"/>
    <w:rsid w:val="00491684"/>
    <w:rsid w:val="004923C0"/>
    <w:rsid w:val="004A360C"/>
    <w:rsid w:val="004C2475"/>
    <w:rsid w:val="004C5AEB"/>
    <w:rsid w:val="004C65F0"/>
    <w:rsid w:val="004F3304"/>
    <w:rsid w:val="004F66D4"/>
    <w:rsid w:val="0051236C"/>
    <w:rsid w:val="00521147"/>
    <w:rsid w:val="00533017"/>
    <w:rsid w:val="0054160B"/>
    <w:rsid w:val="00541FA5"/>
    <w:rsid w:val="00561584"/>
    <w:rsid w:val="00565485"/>
    <w:rsid w:val="00570F00"/>
    <w:rsid w:val="00582A03"/>
    <w:rsid w:val="005C4102"/>
    <w:rsid w:val="005D3390"/>
    <w:rsid w:val="005E28AA"/>
    <w:rsid w:val="005E7A08"/>
    <w:rsid w:val="005F1154"/>
    <w:rsid w:val="0061085B"/>
    <w:rsid w:val="00611961"/>
    <w:rsid w:val="00634BBF"/>
    <w:rsid w:val="00636D0A"/>
    <w:rsid w:val="00643A2E"/>
    <w:rsid w:val="00667366"/>
    <w:rsid w:val="00667D7B"/>
    <w:rsid w:val="00676EE3"/>
    <w:rsid w:val="00685671"/>
    <w:rsid w:val="006A16D6"/>
    <w:rsid w:val="006A4230"/>
    <w:rsid w:val="006F2C19"/>
    <w:rsid w:val="006F3755"/>
    <w:rsid w:val="006F445D"/>
    <w:rsid w:val="00712D8C"/>
    <w:rsid w:val="00712EF0"/>
    <w:rsid w:val="00733777"/>
    <w:rsid w:val="007420C4"/>
    <w:rsid w:val="00750E5D"/>
    <w:rsid w:val="007664E5"/>
    <w:rsid w:val="00772D5A"/>
    <w:rsid w:val="00775580"/>
    <w:rsid w:val="00784228"/>
    <w:rsid w:val="007B64F8"/>
    <w:rsid w:val="007D120A"/>
    <w:rsid w:val="007D4843"/>
    <w:rsid w:val="008264DF"/>
    <w:rsid w:val="008302AE"/>
    <w:rsid w:val="00835005"/>
    <w:rsid w:val="008842A8"/>
    <w:rsid w:val="009074D5"/>
    <w:rsid w:val="009105D9"/>
    <w:rsid w:val="009849C4"/>
    <w:rsid w:val="00986583"/>
    <w:rsid w:val="00991A31"/>
    <w:rsid w:val="009B1A9F"/>
    <w:rsid w:val="009B2466"/>
    <w:rsid w:val="009B32D7"/>
    <w:rsid w:val="009C5653"/>
    <w:rsid w:val="009D4C7A"/>
    <w:rsid w:val="009E5C67"/>
    <w:rsid w:val="009E7370"/>
    <w:rsid w:val="00A02623"/>
    <w:rsid w:val="00A224A4"/>
    <w:rsid w:val="00A23A88"/>
    <w:rsid w:val="00A3602F"/>
    <w:rsid w:val="00A40E52"/>
    <w:rsid w:val="00A518D7"/>
    <w:rsid w:val="00A738A0"/>
    <w:rsid w:val="00A9304B"/>
    <w:rsid w:val="00AA38A3"/>
    <w:rsid w:val="00AA6ABC"/>
    <w:rsid w:val="00AE3303"/>
    <w:rsid w:val="00B20CDC"/>
    <w:rsid w:val="00B22153"/>
    <w:rsid w:val="00B52AA2"/>
    <w:rsid w:val="00B5636B"/>
    <w:rsid w:val="00B93BE0"/>
    <w:rsid w:val="00BA2EA2"/>
    <w:rsid w:val="00BB13D5"/>
    <w:rsid w:val="00BD33FF"/>
    <w:rsid w:val="00BD3DF8"/>
    <w:rsid w:val="00C135A8"/>
    <w:rsid w:val="00C3040D"/>
    <w:rsid w:val="00C3374A"/>
    <w:rsid w:val="00C56C4D"/>
    <w:rsid w:val="00C614C4"/>
    <w:rsid w:val="00C76632"/>
    <w:rsid w:val="00C7759E"/>
    <w:rsid w:val="00C96E44"/>
    <w:rsid w:val="00CB35B9"/>
    <w:rsid w:val="00CD6383"/>
    <w:rsid w:val="00CD7616"/>
    <w:rsid w:val="00CF68A1"/>
    <w:rsid w:val="00D1198A"/>
    <w:rsid w:val="00D12F36"/>
    <w:rsid w:val="00D320EC"/>
    <w:rsid w:val="00D379C6"/>
    <w:rsid w:val="00D52E4E"/>
    <w:rsid w:val="00DA04F2"/>
    <w:rsid w:val="00DB13AC"/>
    <w:rsid w:val="00DC6565"/>
    <w:rsid w:val="00DD6D56"/>
    <w:rsid w:val="00E13DE7"/>
    <w:rsid w:val="00E47BB6"/>
    <w:rsid w:val="00E50117"/>
    <w:rsid w:val="00E5255E"/>
    <w:rsid w:val="00E619E0"/>
    <w:rsid w:val="00E65E9C"/>
    <w:rsid w:val="00EA1ABF"/>
    <w:rsid w:val="00EA5F99"/>
    <w:rsid w:val="00EB737C"/>
    <w:rsid w:val="00ED4A83"/>
    <w:rsid w:val="00EF1D60"/>
    <w:rsid w:val="00EF469D"/>
    <w:rsid w:val="00F014DA"/>
    <w:rsid w:val="00F01FA2"/>
    <w:rsid w:val="00F13201"/>
    <w:rsid w:val="00F21D75"/>
    <w:rsid w:val="00F43997"/>
    <w:rsid w:val="00F46B25"/>
    <w:rsid w:val="00F549D1"/>
    <w:rsid w:val="00F63599"/>
    <w:rsid w:val="00F67AC2"/>
    <w:rsid w:val="00F67BC3"/>
    <w:rsid w:val="00F86A56"/>
    <w:rsid w:val="00FA3341"/>
    <w:rsid w:val="00FB33B3"/>
    <w:rsid w:val="00FC6107"/>
    <w:rsid w:val="533C2DA3"/>
  </w:rsids>
  <m:mathPr>
    <m:mathFont m:val="Cambria Math"/>
    <m:brkBin m:val="before"/>
    <m:brkBinSub m:val="--"/>
    <m:smallFrac m:val="1"/>
    <m:dispDef/>
    <m:lMargin m:val="0"/>
    <m:rMargin m:val="0"/>
    <m:defJc m:val="centerGroup"/>
    <m:wrapIndent m:val="1440"/>
    <m:intLim m:val="subSup"/>
    <m:naryLim m:val="undOvr"/>
  </m:mathPr>
  <w:attachedSchema w:val="urn:schemas-microsoft-com:office:smarttags"/>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99" w:semiHidden="0" w:name="Strong"/>
    <w:lsdException w:qFormat="1" w:unhideWhenUsed="0" w:uiPriority="99"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41"/>
      <w:jc w:val="both"/>
    </w:pPr>
    <w:rPr>
      <w:rFonts w:ascii="Calibri" w:hAnsi="Calibri" w:eastAsia="宋体" w:cs="Times New Roman"/>
      <w:kern w:val="2"/>
      <w:sz w:val="21"/>
      <w:szCs w:val="22"/>
      <w:lang w:val="en-US" w:eastAsia="zh-CN" w:bidi="ar-SA"/>
    </w:rPr>
  </w:style>
  <w:style w:type="paragraph" w:styleId="2">
    <w:name w:val="heading 1"/>
    <w:basedOn w:val="1"/>
    <w:link w:val="19"/>
    <w:qFormat/>
    <w:uiPriority w:val="99"/>
    <w:pPr>
      <w:widowControl/>
      <w:spacing w:before="100" w:beforeAutospacing="1" w:after="100" w:afterAutospacing="1"/>
      <w:ind w:firstLine="0"/>
      <w:jc w:val="left"/>
      <w:outlineLvl w:val="0"/>
    </w:pPr>
    <w:rPr>
      <w:rFonts w:ascii="宋体" w:hAnsi="宋体" w:cs="宋体"/>
      <w:b/>
      <w:bCs/>
      <w:kern w:val="36"/>
      <w:sz w:val="48"/>
      <w:szCs w:val="48"/>
    </w:rPr>
  </w:style>
  <w:style w:type="paragraph" w:styleId="3">
    <w:name w:val="heading 2"/>
    <w:basedOn w:val="1"/>
    <w:link w:val="20"/>
    <w:qFormat/>
    <w:uiPriority w:val="99"/>
    <w:pPr>
      <w:widowControl/>
      <w:spacing w:before="100" w:beforeAutospacing="1" w:after="100" w:afterAutospacing="1"/>
      <w:ind w:firstLine="0"/>
      <w:jc w:val="left"/>
      <w:outlineLvl w:val="1"/>
    </w:pPr>
    <w:rPr>
      <w:rFonts w:ascii="宋体" w:hAnsi="宋体" w:cs="宋体"/>
      <w:b/>
      <w:bCs/>
      <w:kern w:val="0"/>
      <w:sz w:val="36"/>
      <w:szCs w:val="36"/>
    </w:rPr>
  </w:style>
  <w:style w:type="paragraph" w:styleId="4">
    <w:name w:val="heading 3"/>
    <w:basedOn w:val="1"/>
    <w:link w:val="21"/>
    <w:qFormat/>
    <w:uiPriority w:val="99"/>
    <w:pPr>
      <w:widowControl/>
      <w:spacing w:before="100" w:beforeAutospacing="1" w:after="100" w:afterAutospacing="1"/>
      <w:ind w:firstLine="0"/>
      <w:jc w:val="left"/>
      <w:outlineLvl w:val="2"/>
    </w:pPr>
    <w:rPr>
      <w:rFonts w:ascii="宋体" w:hAnsi="宋体" w:cs="宋体"/>
      <w:b/>
      <w:bCs/>
      <w:kern w:val="0"/>
      <w:sz w:val="27"/>
      <w:szCs w:val="27"/>
    </w:rPr>
  </w:style>
  <w:style w:type="paragraph" w:styleId="5">
    <w:name w:val="heading 4"/>
    <w:basedOn w:val="1"/>
    <w:link w:val="22"/>
    <w:qFormat/>
    <w:uiPriority w:val="99"/>
    <w:pPr>
      <w:widowControl/>
      <w:spacing w:before="100" w:beforeAutospacing="1" w:after="100" w:afterAutospacing="1"/>
      <w:ind w:firstLine="0"/>
      <w:jc w:val="left"/>
      <w:outlineLvl w:val="3"/>
    </w:pPr>
    <w:rPr>
      <w:rFonts w:ascii="宋体" w:hAnsi="宋体" w:cs="宋体"/>
      <w:b/>
      <w:bCs/>
      <w:kern w:val="0"/>
      <w:sz w:val="24"/>
      <w:szCs w:val="24"/>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8"/>
    <w:semiHidden/>
    <w:qFormat/>
    <w:uiPriority w:val="99"/>
    <w:pPr>
      <w:jc w:val="left"/>
    </w:pPr>
  </w:style>
  <w:style w:type="paragraph" w:styleId="7">
    <w:name w:val="Balloon Text"/>
    <w:basedOn w:val="1"/>
    <w:link w:val="27"/>
    <w:semiHidden/>
    <w:qFormat/>
    <w:uiPriority w:val="99"/>
    <w:rPr>
      <w:sz w:val="18"/>
      <w:szCs w:val="18"/>
    </w:rPr>
  </w:style>
  <w:style w:type="paragraph" w:styleId="8">
    <w:name w:val="footer"/>
    <w:basedOn w:val="1"/>
    <w:link w:val="24"/>
    <w:semiHidden/>
    <w:qFormat/>
    <w:uiPriority w:val="99"/>
    <w:pPr>
      <w:tabs>
        <w:tab w:val="center" w:pos="4153"/>
        <w:tab w:val="right" w:pos="8306"/>
      </w:tabs>
      <w:snapToGrid w:val="0"/>
      <w:jc w:val="left"/>
    </w:pPr>
    <w:rPr>
      <w:sz w:val="18"/>
      <w:szCs w:val="18"/>
    </w:rPr>
  </w:style>
  <w:style w:type="paragraph" w:styleId="9">
    <w:name w:val="header"/>
    <w:basedOn w:val="1"/>
    <w:link w:val="23"/>
    <w:semiHidden/>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semiHidden/>
    <w:qFormat/>
    <w:locked/>
    <w:uiPriority w:val="99"/>
  </w:style>
  <w:style w:type="paragraph" w:styleId="11">
    <w:name w:val="Normal (Web)"/>
    <w:basedOn w:val="1"/>
    <w:uiPriority w:val="99"/>
    <w:pPr>
      <w:widowControl/>
      <w:spacing w:before="100" w:beforeAutospacing="1" w:after="100" w:afterAutospacing="1"/>
      <w:ind w:firstLine="0"/>
      <w:jc w:val="left"/>
    </w:pPr>
    <w:rPr>
      <w:rFonts w:ascii="宋体" w:hAnsi="宋体" w:cs="宋体"/>
      <w:kern w:val="0"/>
      <w:sz w:val="24"/>
      <w:szCs w:val="24"/>
    </w:rPr>
  </w:style>
  <w:style w:type="paragraph" w:styleId="12">
    <w:name w:val="annotation subject"/>
    <w:basedOn w:val="6"/>
    <w:next w:val="6"/>
    <w:link w:val="29"/>
    <w:semiHidden/>
    <w:uiPriority w:val="99"/>
    <w:rPr>
      <w:b/>
      <w:bCs/>
    </w:rPr>
  </w:style>
  <w:style w:type="character" w:styleId="15">
    <w:name w:val="Strong"/>
    <w:qFormat/>
    <w:uiPriority w:val="99"/>
    <w:rPr>
      <w:rFonts w:cs="Times New Roman"/>
      <w:b/>
      <w:bCs/>
    </w:rPr>
  </w:style>
  <w:style w:type="character" w:styleId="16">
    <w:name w:val="Emphasis"/>
    <w:qFormat/>
    <w:uiPriority w:val="99"/>
    <w:rPr>
      <w:rFonts w:cs="Times New Roman"/>
      <w:i/>
      <w:iCs/>
    </w:rPr>
  </w:style>
  <w:style w:type="character" w:styleId="17">
    <w:name w:val="Hyperlink"/>
    <w:semiHidden/>
    <w:qFormat/>
    <w:uiPriority w:val="99"/>
    <w:rPr>
      <w:rFonts w:cs="Times New Roman"/>
      <w:color w:val="0000FF"/>
      <w:u w:val="single"/>
    </w:rPr>
  </w:style>
  <w:style w:type="character" w:styleId="18">
    <w:name w:val="annotation reference"/>
    <w:semiHidden/>
    <w:qFormat/>
    <w:uiPriority w:val="99"/>
    <w:rPr>
      <w:rFonts w:cs="Times New Roman"/>
      <w:sz w:val="21"/>
      <w:szCs w:val="21"/>
    </w:rPr>
  </w:style>
  <w:style w:type="character" w:customStyle="1" w:styleId="19">
    <w:name w:val="标题 1 Char"/>
    <w:link w:val="2"/>
    <w:qFormat/>
    <w:locked/>
    <w:uiPriority w:val="99"/>
    <w:rPr>
      <w:rFonts w:ascii="宋体" w:hAnsi="宋体" w:eastAsia="宋体" w:cs="宋体"/>
      <w:b/>
      <w:bCs/>
      <w:kern w:val="36"/>
      <w:sz w:val="48"/>
      <w:szCs w:val="48"/>
    </w:rPr>
  </w:style>
  <w:style w:type="character" w:customStyle="1" w:styleId="20">
    <w:name w:val="标题 2 Char"/>
    <w:link w:val="3"/>
    <w:qFormat/>
    <w:locked/>
    <w:uiPriority w:val="99"/>
    <w:rPr>
      <w:rFonts w:ascii="宋体" w:hAnsi="宋体" w:eastAsia="宋体" w:cs="宋体"/>
      <w:b/>
      <w:bCs/>
      <w:kern w:val="0"/>
      <w:sz w:val="36"/>
      <w:szCs w:val="36"/>
    </w:rPr>
  </w:style>
  <w:style w:type="character" w:customStyle="1" w:styleId="21">
    <w:name w:val="标题 3 Char"/>
    <w:link w:val="4"/>
    <w:qFormat/>
    <w:locked/>
    <w:uiPriority w:val="99"/>
    <w:rPr>
      <w:rFonts w:ascii="宋体" w:hAnsi="宋体" w:eastAsia="宋体" w:cs="宋体"/>
      <w:b/>
      <w:bCs/>
      <w:kern w:val="0"/>
      <w:sz w:val="27"/>
      <w:szCs w:val="27"/>
    </w:rPr>
  </w:style>
  <w:style w:type="character" w:customStyle="1" w:styleId="22">
    <w:name w:val="标题 4 Char"/>
    <w:link w:val="5"/>
    <w:qFormat/>
    <w:locked/>
    <w:uiPriority w:val="99"/>
    <w:rPr>
      <w:rFonts w:ascii="宋体" w:hAnsi="宋体" w:eastAsia="宋体" w:cs="宋体"/>
      <w:b/>
      <w:bCs/>
      <w:kern w:val="0"/>
      <w:sz w:val="24"/>
      <w:szCs w:val="24"/>
    </w:rPr>
  </w:style>
  <w:style w:type="character" w:customStyle="1" w:styleId="23">
    <w:name w:val="页眉 Char"/>
    <w:link w:val="9"/>
    <w:semiHidden/>
    <w:qFormat/>
    <w:locked/>
    <w:uiPriority w:val="99"/>
    <w:rPr>
      <w:rFonts w:cs="Times New Roman"/>
      <w:sz w:val="18"/>
      <w:szCs w:val="18"/>
    </w:rPr>
  </w:style>
  <w:style w:type="character" w:customStyle="1" w:styleId="24">
    <w:name w:val="页脚 Char"/>
    <w:link w:val="8"/>
    <w:semiHidden/>
    <w:qFormat/>
    <w:locked/>
    <w:uiPriority w:val="99"/>
    <w:rPr>
      <w:rFonts w:cs="Times New Roman"/>
      <w:sz w:val="18"/>
      <w:szCs w:val="18"/>
    </w:rPr>
  </w:style>
  <w:style w:type="paragraph" w:customStyle="1" w:styleId="25">
    <w:name w:val="text-right"/>
    <w:basedOn w:val="1"/>
    <w:qFormat/>
    <w:uiPriority w:val="99"/>
    <w:pPr>
      <w:widowControl/>
      <w:spacing w:before="100" w:beforeAutospacing="1" w:after="100" w:afterAutospacing="1"/>
      <w:ind w:firstLine="0"/>
      <w:jc w:val="left"/>
    </w:pPr>
    <w:rPr>
      <w:rFonts w:ascii="宋体" w:hAnsi="宋体" w:cs="宋体"/>
      <w:kern w:val="0"/>
      <w:sz w:val="24"/>
      <w:szCs w:val="24"/>
    </w:rPr>
  </w:style>
  <w:style w:type="character" w:customStyle="1" w:styleId="26">
    <w:name w:val="apple-converted-space"/>
    <w:qFormat/>
    <w:uiPriority w:val="99"/>
    <w:rPr>
      <w:rFonts w:cs="Times New Roman"/>
    </w:rPr>
  </w:style>
  <w:style w:type="character" w:customStyle="1" w:styleId="27">
    <w:name w:val="批注框文本 Char"/>
    <w:link w:val="7"/>
    <w:semiHidden/>
    <w:locked/>
    <w:uiPriority w:val="99"/>
    <w:rPr>
      <w:rFonts w:cs="Times New Roman"/>
      <w:sz w:val="18"/>
      <w:szCs w:val="18"/>
    </w:rPr>
  </w:style>
  <w:style w:type="character" w:customStyle="1" w:styleId="28">
    <w:name w:val="批注文字 Char"/>
    <w:link w:val="6"/>
    <w:semiHidden/>
    <w:locked/>
    <w:uiPriority w:val="99"/>
    <w:rPr>
      <w:rFonts w:cs="Times New Roman"/>
    </w:rPr>
  </w:style>
  <w:style w:type="character" w:customStyle="1" w:styleId="29">
    <w:name w:val="批注主题 Char"/>
    <w:link w:val="12"/>
    <w:semiHidden/>
    <w:locked/>
    <w:uiPriority w:val="99"/>
    <w:rPr>
      <w:rFonts w:cs="Times New Roman"/>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6325</Words>
  <Characters>7304</Characters>
  <Lines>87</Lines>
  <Paragraphs>24</Paragraphs>
  <TotalTime>638</TotalTime>
  <ScaleCrop>false</ScaleCrop>
  <LinksUpToDate>false</LinksUpToDate>
  <CharactersWithSpaces>7458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2017-03-24T09:04:00Z</dcterms:created>
  <dc:creator>xlmedtrans</dc:creator>
  <cp:lastModifiedBy>太极箫客</cp:lastModifiedBy>
  <dcterms:modified xsi:type="dcterms:W3CDTF">2025-08-14T06:18:14Z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BC85F349258C4B8A8C0FE9465F087F8F_12</vt:lpwstr>
  </property>
</Properties>
</file>