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74A0">
      <w:pPr>
        <w:snapToGrid w:val="0"/>
        <w:spacing w:line="312" w:lineRule="auto"/>
        <w:rPr>
          <w:rFonts w:ascii="Arial" w:hAnsi="Arial" w:eastAsia="宋体" w:cs="Arial"/>
          <w:b/>
          <w:sz w:val="44"/>
          <w:szCs w:val="44"/>
        </w:rPr>
      </w:pPr>
      <w:bookmarkStart w:id="0" w:name="OLE_LINK29"/>
      <w:bookmarkStart w:id="1" w:name="OLE_LINK30"/>
      <w:bookmarkStart w:id="47" w:name="_GoBack"/>
      <w:bookmarkEnd w:id="47"/>
      <w:r>
        <w:rPr>
          <w:rFonts w:ascii="Arial" w:hAnsi="Arial" w:eastAsia="宋体" w:cs="Arial"/>
          <w:b/>
          <w:sz w:val="44"/>
          <w:szCs w:val="44"/>
        </w:rPr>
        <w:t>行业和FDA工作人员指南</w:t>
      </w:r>
    </w:p>
    <w:p w14:paraId="6802405B">
      <w:pPr>
        <w:snapToGrid w:val="0"/>
        <w:spacing w:line="312" w:lineRule="auto"/>
        <w:rPr>
          <w:rFonts w:ascii="Arial" w:hAnsi="Arial" w:eastAsia="宋体" w:cs="Arial"/>
          <w:b/>
          <w:sz w:val="44"/>
          <w:szCs w:val="44"/>
        </w:rPr>
      </w:pPr>
      <w:r>
        <w:rPr>
          <w:rFonts w:ascii="Arial" w:hAnsi="Arial" w:eastAsia="宋体" w:cs="Arial"/>
          <w:b/>
          <w:sz w:val="44"/>
          <w:szCs w:val="44"/>
        </w:rPr>
        <w:t>－II类特殊控制</w:t>
      </w:r>
      <w:r>
        <w:rPr>
          <w:rFonts w:hint="eastAsia" w:ascii="Arial" w:hAnsi="Arial" w:eastAsia="宋体" w:cs="Arial"/>
          <w:b/>
          <w:sz w:val="44"/>
          <w:szCs w:val="44"/>
        </w:rPr>
        <w:t>指导性文件</w:t>
      </w:r>
      <w:r>
        <w:rPr>
          <w:rFonts w:ascii="Arial" w:hAnsi="Arial" w:eastAsia="宋体" w:cs="Arial"/>
          <w:b/>
          <w:sz w:val="44"/>
          <w:szCs w:val="44"/>
        </w:rPr>
        <w:t>：外部影响阴茎硬度器械</w:t>
      </w:r>
    </w:p>
    <w:bookmarkEnd w:id="0"/>
    <w:bookmarkEnd w:id="1"/>
    <w:p w14:paraId="3C315728">
      <w:pPr>
        <w:snapToGrid w:val="0"/>
        <w:spacing w:line="312" w:lineRule="auto"/>
        <w:rPr>
          <w:rFonts w:ascii="Arial" w:hAnsi="Arial" w:eastAsia="宋体" w:cs="Arial"/>
        </w:rPr>
      </w:pPr>
    </w:p>
    <w:p w14:paraId="49AD0CA0">
      <w:pPr>
        <w:widowControl/>
        <w:numPr>
          <w:ilvl w:val="0"/>
          <w:numId w:val="1"/>
        </w:numPr>
        <w:shd w:val="clear" w:color="auto" w:fill="FFFFFF"/>
        <w:tabs>
          <w:tab w:val="left" w:pos="532"/>
          <w:tab w:val="clear" w:pos="720"/>
        </w:tabs>
        <w:snapToGrid w:val="0"/>
        <w:spacing w:line="312" w:lineRule="auto"/>
        <w:ind w:left="0" w:firstLine="0"/>
        <w:rPr>
          <w:rFonts w:ascii="Arial" w:hAnsi="Arial" w:eastAsia="宋体" w:cs="Arial"/>
          <w:vanish/>
          <w:color w:val="000000"/>
          <w:kern w:val="0"/>
          <w:sz w:val="22"/>
        </w:rPr>
      </w:pPr>
      <w:r>
        <w:fldChar w:fldCharType="begin"/>
      </w:r>
      <w:r>
        <w:instrText xml:space="preserve"> HYPERLINK "https://www.facebook.com/sharer/sharer.php?u=https%3a%2f%2fwww.fda.gov%3a80%2fFDAgov%2fmedicaldevices%2fdeviceregulationandguidance%2fguidancedocuments%2fucm072098.htm" \t "_blank" </w:instrText>
      </w:r>
      <w:r>
        <w:fldChar w:fldCharType="separate"/>
      </w:r>
      <w:r>
        <w:rPr>
          <w:rFonts w:ascii="Arial" w:hAnsi="Arial" w:eastAsia="宋体" w:cs="Arial"/>
          <w:b/>
          <w:bCs/>
          <w:caps/>
          <w:color w:val="0000CC"/>
          <w:kern w:val="0"/>
          <w:sz w:val="15"/>
          <w:u w:val="single"/>
        </w:rPr>
        <w:t>Share</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83E2328">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twitter.com/intent/tweet/?text=Guidance%20for%20Industry%20and%20FDA%20Staff%20-%20Class%20II%20Special%20Controls%20Guidance%20Document%3a%20External%20Penile%20Rigidity%20Devices&amp;url=https%3a%2f%2fwww.fda.gov%3a80%2fFDAgov%2fmedicaldevices%2fdeviceregulationandguidance%2fguidancedocuments%2fucm072098.htm" \t "_blank" </w:instrText>
      </w:r>
      <w:r>
        <w:fldChar w:fldCharType="separate"/>
      </w:r>
      <w:r>
        <w:rPr>
          <w:rFonts w:ascii="Arial" w:hAnsi="Arial" w:eastAsia="宋体" w:cs="Arial"/>
          <w:b/>
          <w:bCs/>
          <w:caps/>
          <w:color w:val="0000CC"/>
          <w:kern w:val="0"/>
          <w:sz w:val="15"/>
          <w:u w:val="single"/>
        </w:rPr>
        <w:t>Tweet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05C69AFF">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 "_blank" </w:instrText>
      </w:r>
      <w:r>
        <w:fldChar w:fldCharType="separate"/>
      </w:r>
      <w:r>
        <w:rPr>
          <w:rFonts w:ascii="Arial" w:hAnsi="Arial" w:eastAsia="宋体" w:cs="Arial"/>
          <w:b/>
          <w:bCs/>
          <w:caps/>
          <w:color w:val="0000CC"/>
          <w:kern w:val="0"/>
          <w:sz w:val="15"/>
          <w:u w:val="single"/>
        </w:rPr>
        <w:t>Linkedin</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AC481A2">
      <w:pPr>
        <w:widowControl/>
        <w:numPr>
          <w:ilvl w:val="0"/>
          <w:numId w:val="1"/>
        </w:numPr>
        <w:shd w:val="clear" w:color="auto" w:fill="FFFFFF"/>
        <w:snapToGrid w:val="0"/>
        <w:spacing w:line="312" w:lineRule="auto"/>
        <w:ind w:left="0" w:firstLine="0"/>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 "_blank" </w:instrText>
      </w:r>
      <w:r>
        <w:fldChar w:fldCharType="separate"/>
      </w:r>
      <w:r>
        <w:rPr>
          <w:rFonts w:ascii="Arial" w:hAnsi="Arial" w:eastAsia="宋体" w:cs="Arial"/>
          <w:b/>
          <w:bCs/>
          <w:caps/>
          <w:color w:val="0000CC"/>
          <w:kern w:val="0"/>
          <w:sz w:val="15"/>
          <w:u w:val="single"/>
        </w:rPr>
        <w:t>Pin it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801F0C4">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"https://www.fda.gov/medicaldevices/deviceregulationandguidance/guidancedocuments/ucm072098.htm" \l "more-shares" </w:instrText>
      </w:r>
      <w:r>
        <w:fldChar w:fldCharType="separate"/>
      </w:r>
      <w:r>
        <w:rPr>
          <w:rFonts w:ascii="Arial" w:hAnsi="Arial" w:eastAsia="宋体" w:cs="Arial"/>
          <w:b/>
          <w:bCs/>
          <w:caps/>
          <w:vanish/>
          <w:color w:val="000000"/>
          <w:kern w:val="0"/>
          <w:sz w:val="15"/>
          <w:u w:val="single"/>
        </w:rPr>
        <w:t>More sharing options</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158B475B">
      <w:pPr>
        <w:widowControl/>
        <w:numPr>
          <w:ilvl w:val="1"/>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072098.htm&amp;title=Guidance%20for%20Industry%20and%20FDA%20Staff%20-%20Class%20II%20Special%20Controls%20Guidance%20Document%3a%20External%20Penile%20Rigidity%20Devices&amp;summary=1231&amp;source=FDA" \t "_blank" </w:instrText>
      </w:r>
      <w:r>
        <w:fldChar w:fldCharType="separate"/>
      </w:r>
      <w:r>
        <w:rPr>
          <w:rFonts w:ascii="Arial" w:hAnsi="Arial" w:eastAsia="宋体" w:cs="Arial"/>
          <w:b/>
          <w:bCs/>
          <w:caps/>
          <w:vanish/>
          <w:color w:val="000000"/>
          <w:kern w:val="0"/>
          <w:sz w:val="15"/>
          <w:u w:val="single"/>
        </w:rPr>
        <w:t>Linkedin</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45C6E9C2">
      <w:pPr>
        <w:widowControl/>
        <w:numPr>
          <w:ilvl w:val="1"/>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072098.htm&amp;description=Guidance%20for%20Industry%20and%20FDA%20Staff%20-%20Class%20II%20Special%20Controls%20Guidance%20Document%3a%20External%20Penile%20Rigidity%20Devices" \t "_blank" </w:instrText>
      </w:r>
      <w:r>
        <w:fldChar w:fldCharType="separate"/>
      </w:r>
      <w:r>
        <w:rPr>
          <w:rFonts w:ascii="Arial" w:hAnsi="Arial" w:eastAsia="宋体" w:cs="Arial"/>
          <w:b/>
          <w:bCs/>
          <w:caps/>
          <w:vanish/>
          <w:color w:val="000000"/>
          <w:kern w:val="0"/>
          <w:sz w:val="15"/>
          <w:u w:val="single"/>
        </w:rPr>
        <w:t>Pin it</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2005C6BF">
      <w:pPr>
        <w:widowControl/>
        <w:numPr>
          <w:ilvl w:val="0"/>
          <w:numId w:val="1"/>
        </w:numPr>
        <w:shd w:val="clear" w:color="auto" w:fill="FFFFFF"/>
        <w:snapToGrid w:val="0"/>
        <w:spacing w:line="312" w:lineRule="auto"/>
        <w:ind w:left="-322" w:firstLine="0"/>
        <w:rPr>
          <w:rFonts w:ascii="Arial" w:hAnsi="Arial" w:eastAsia="宋体" w:cs="Arial"/>
          <w:vanish/>
          <w:color w:val="000000"/>
          <w:kern w:val="0"/>
          <w:sz w:val="22"/>
        </w:rPr>
      </w:pPr>
      <w:r>
        <w:fldChar w:fldCharType="begin"/>
      </w:r>
      <w:r>
        <w:instrText xml:space="preserve"> HYPERLINK "mailto:?subject=Guidance%20for%20Industry%20and%20FDA%20Staff%20-%20Class%20II%20Special%20Controls%20Guidance%20Document%3a%20External%20Penile%20Rigidity%20Devices&amp;body=https%3a%2f%2fwww.fda.gov%3a80%2fFDAgov%2fmedicaldevices%2fdeviceregulationandguidance%2fguidancedocuments%2fucm072098.htm" </w:instrText>
      </w:r>
      <w:r>
        <w:fldChar w:fldCharType="separate"/>
      </w:r>
      <w:r>
        <w:rPr>
          <w:rFonts w:ascii="Arial" w:hAnsi="Arial" w:eastAsia="宋体" w:cs="Arial"/>
          <w:b/>
          <w:bCs/>
          <w:caps/>
          <w:color w:val="0000CC"/>
          <w:kern w:val="0"/>
          <w:sz w:val="15"/>
          <w:u w:val="single"/>
        </w:rPr>
        <w:t>Email</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0E4E5089">
      <w:pPr>
        <w:snapToGrid w:val="0"/>
        <w:spacing w:line="312" w:lineRule="auto"/>
        <w:rPr>
          <w:rFonts w:ascii="Arial" w:hAnsi="Arial" w:eastAsia="宋体" w:cs="Arial"/>
        </w:rPr>
      </w:pPr>
      <w:r>
        <w:fldChar w:fldCharType="begin"/>
      </w:r>
      <w:r>
        <w:instrText xml:space="preserve"> HYPERLINK "javascript:window.print();" \o "Print this page" </w:instrText>
      </w:r>
      <w:r>
        <w:fldChar w:fldCharType="separate"/>
      </w:r>
      <w:r>
        <w:rPr>
          <w:rFonts w:ascii="Arial" w:hAnsi="Arial" w:eastAsia="宋体" w:cs="Arial"/>
          <w:b/>
          <w:bCs/>
          <w:caps/>
          <w:color w:val="0000CC"/>
          <w:kern w:val="0"/>
          <w:sz w:val="15"/>
          <w:szCs w:val="15"/>
          <w:u w:val="single"/>
        </w:rPr>
        <w:t>Print</w:t>
      </w:r>
      <w:r>
        <w:rPr>
          <w:rFonts w:ascii="Arial" w:hAnsi="Arial" w:eastAsia="宋体" w:cs="Arial"/>
          <w:b/>
          <w:bCs/>
          <w:caps/>
          <w:color w:val="0000CC"/>
          <w:kern w:val="0"/>
          <w:sz w:val="15"/>
          <w:szCs w:val="15"/>
          <w:u w:val="single"/>
        </w:rPr>
        <w:fldChar w:fldCharType="end"/>
      </w:r>
    </w:p>
    <w:p w14:paraId="57DA3EB9">
      <w:pPr>
        <w:snapToGrid w:val="0"/>
        <w:spacing w:line="312" w:lineRule="auto"/>
        <w:rPr>
          <w:rFonts w:ascii="Arial" w:hAnsi="Arial" w:eastAsia="宋体" w:cs="Arial"/>
        </w:rPr>
      </w:pPr>
    </w:p>
    <w:p w14:paraId="361819C5">
      <w:pPr>
        <w:snapToGrid w:val="0"/>
        <w:spacing w:line="312" w:lineRule="auto"/>
        <w:rPr>
          <w:rFonts w:ascii="Arial" w:hAnsi="Arial" w:eastAsia="宋体" w:cs="Arial"/>
          <w:b/>
        </w:rPr>
      </w:pPr>
      <w:r>
        <w:rPr>
          <w:rFonts w:ascii="Arial" w:hAnsi="Arial" w:eastAsia="宋体" w:cs="Arial"/>
          <w:b/>
        </w:rPr>
        <w:t>文件发布日期：2004年12月28日</w:t>
      </w:r>
    </w:p>
    <w:p w14:paraId="2057219E">
      <w:pPr>
        <w:snapToGrid w:val="0"/>
        <w:spacing w:line="312" w:lineRule="auto"/>
        <w:rPr>
          <w:rFonts w:ascii="Arial" w:hAnsi="Arial" w:eastAsia="宋体" w:cs="Arial"/>
          <w:b/>
        </w:rPr>
      </w:pPr>
      <w:r>
        <w:rPr>
          <w:rFonts w:ascii="Arial" w:hAnsi="Arial" w:eastAsia="宋体" w:cs="Arial"/>
          <w:b/>
        </w:rPr>
        <w:t>本文件草案于2004年3月17日发布</w:t>
      </w:r>
    </w:p>
    <w:p w14:paraId="48C42C77">
      <w:pPr>
        <w:snapToGrid w:val="0"/>
        <w:spacing w:line="312" w:lineRule="auto"/>
        <w:rPr>
          <w:rFonts w:ascii="Arial" w:hAnsi="Arial" w:eastAsia="宋体" w:cs="Arial"/>
          <w:b/>
        </w:rPr>
      </w:pPr>
      <w:r>
        <w:rPr>
          <w:rFonts w:ascii="Arial" w:hAnsi="Arial" w:eastAsia="宋体" w:cs="Arial"/>
          <w:b/>
        </w:rPr>
        <w:t>本文件取代医疗器械与放射健康中心1997年9月10日发布的</w:t>
      </w:r>
      <w:r>
        <w:rPr>
          <w:rFonts w:hint="eastAsia" w:ascii="宋体" w:hAnsi="宋体" w:eastAsia="宋体" w:cs="Arial"/>
          <w:b/>
        </w:rPr>
        <w:t>《</w:t>
      </w:r>
      <w:r>
        <w:rPr>
          <w:rFonts w:ascii="Arial" w:hAnsi="Arial" w:eastAsia="宋体" w:cs="Arial"/>
          <w:b/>
        </w:rPr>
        <w:t>外部影响阴茎硬度器械临时监管政策</w:t>
      </w:r>
      <w:r>
        <w:rPr>
          <w:rFonts w:hint="eastAsia" w:ascii="宋体" w:hAnsi="宋体" w:eastAsia="宋体" w:cs="Arial"/>
          <w:b/>
        </w:rPr>
        <w:t>》</w:t>
      </w:r>
    </w:p>
    <w:p w14:paraId="43800C7E">
      <w:pPr>
        <w:snapToGrid w:val="0"/>
        <w:spacing w:line="312" w:lineRule="auto"/>
        <w:rPr>
          <w:rFonts w:ascii="Arial" w:hAnsi="Arial" w:eastAsia="宋体" w:cs="Arial"/>
        </w:rPr>
      </w:pPr>
    </w:p>
    <w:p w14:paraId="4F90F166">
      <w:pPr>
        <w:snapToGrid w:val="0"/>
        <w:spacing w:line="312" w:lineRule="auto"/>
        <w:rPr>
          <w:rFonts w:ascii="Arial" w:hAnsi="Arial" w:eastAsia="宋体" w:cs="Arial"/>
        </w:rPr>
      </w:pPr>
      <w:r>
        <w:rPr>
          <w:rFonts w:ascii="Arial" w:hAnsi="Arial" w:eastAsia="宋体" w:cs="Arial"/>
        </w:rPr>
        <w:t>本指南中的信息采集规定已通过美国管理和预算办公室（OMB）控制编号为0910-0485批准。该批准书的有效期至2005年3月31日。机构不得进行信息采集工作或不得要求申办方或个人对信息采集做出响应，除非其出示了当前有效的OMB编号。</w:t>
      </w:r>
    </w:p>
    <w:p w14:paraId="2AA7D874">
      <w:pPr>
        <w:snapToGrid w:val="0"/>
        <w:spacing w:line="312" w:lineRule="auto"/>
        <w:rPr>
          <w:rFonts w:ascii="Arial" w:hAnsi="Arial" w:eastAsia="宋体" w:cs="Arial"/>
        </w:rPr>
      </w:pPr>
    </w:p>
    <w:p w14:paraId="30177413">
      <w:pPr>
        <w:snapToGrid w:val="0"/>
        <w:spacing w:line="312" w:lineRule="auto"/>
        <w:rPr>
          <w:rFonts w:ascii="Arial" w:hAnsi="Arial" w:eastAsia="宋体" w:cs="Arial"/>
        </w:rPr>
      </w:pPr>
      <w:r>
        <w:rPr>
          <w:rFonts w:ascii="Arial" w:hAnsi="Arial" w:eastAsia="宋体" w:cs="Arial"/>
        </w:rPr>
        <w:t>关于本文件的问题，请联系Janine Morris，电话：301-796-5706，电子信箱：</w:t>
      </w:r>
      <w:r>
        <w:fldChar w:fldCharType="begin"/>
      </w:r>
      <w:r>
        <w:instrText xml:space="preserve"> HYPERLINK "mailto:janine.morris@fda.hhs.gov" </w:instrText>
      </w:r>
      <w:r>
        <w:fldChar w:fldCharType="separate"/>
      </w:r>
      <w:r>
        <w:rPr>
          <w:rStyle w:val="8"/>
          <w:rFonts w:ascii="Arial" w:hAnsi="Arial" w:eastAsia="宋体" w:cs="Arial"/>
        </w:rPr>
        <w:t>janine.morris@fda.hhs.gov</w:t>
      </w:r>
      <w:r>
        <w:rPr>
          <w:rStyle w:val="8"/>
          <w:rFonts w:ascii="Arial" w:hAnsi="Arial" w:eastAsia="宋体" w:cs="Arial"/>
        </w:rPr>
        <w:fldChar w:fldCharType="end"/>
      </w:r>
      <w:r>
        <w:rPr>
          <w:rFonts w:ascii="Arial" w:hAnsi="Arial" w:eastAsia="宋体" w:cs="Arial"/>
        </w:rPr>
        <w:t>。</w:t>
      </w:r>
    </w:p>
    <w:p w14:paraId="272CA5F9">
      <w:pPr>
        <w:snapToGrid w:val="0"/>
        <w:spacing w:line="312" w:lineRule="auto"/>
        <w:rPr>
          <w:rFonts w:ascii="Arial" w:hAnsi="Arial" w:eastAsia="宋体" w:cs="Arial"/>
        </w:rPr>
      </w:pPr>
    </w:p>
    <w:p w14:paraId="055E7B82">
      <w:pPr>
        <w:snapToGrid w:val="0"/>
        <w:spacing w:line="312" w:lineRule="auto"/>
        <w:rPr>
          <w:rFonts w:ascii="Arial" w:hAnsi="Arial" w:eastAsia="宋体" w:cs="Arial"/>
        </w:rPr>
      </w:pPr>
    </w:p>
    <w:p w14:paraId="6D5B26F0">
      <w:pPr>
        <w:snapToGrid w:val="0"/>
        <w:spacing w:line="300" w:lineRule="auto"/>
        <w:rPr>
          <w:rFonts w:ascii="Arial" w:hAnsi="Arial" w:eastAsia="宋体" w:cs="Arial"/>
        </w:rPr>
      </w:pPr>
      <w:r>
        <w:rPr>
          <w:rFonts w:ascii="Arial" w:hAnsi="Arial" w:eastAsia="宋体" w:cs="Arial"/>
        </w:rPr>
        <w:drawing>
          <wp:inline distT="0" distB="0" distL="0" distR="0">
            <wp:extent cx="717550" cy="74168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21414" cy="745294"/>
                    </a:xfrm>
                    <a:prstGeom prst="rect">
                      <a:avLst/>
                    </a:prstGeom>
                    <a:noFill/>
                  </pic:spPr>
                </pic:pic>
              </a:graphicData>
            </a:graphic>
          </wp:inline>
        </w:drawing>
      </w:r>
      <w:r>
        <w:rPr>
          <w:rFonts w:ascii="Arial" w:hAnsi="Arial" w:eastAsia="宋体" w:cs="Arial"/>
        </w:rPr>
        <w:t xml:space="preserve"> </w:t>
      </w:r>
    </w:p>
    <w:p w14:paraId="3B635DD8">
      <w:pPr>
        <w:snapToGrid w:val="0"/>
        <w:spacing w:line="300" w:lineRule="auto"/>
        <w:rPr>
          <w:rFonts w:ascii="Arial" w:hAnsi="Arial" w:eastAsia="宋体" w:cs="Arial"/>
        </w:rPr>
      </w:pPr>
    </w:p>
    <w:p w14:paraId="2342CEDA">
      <w:pPr>
        <w:snapToGrid w:val="0"/>
        <w:spacing w:line="300" w:lineRule="auto"/>
        <w:jc w:val="right"/>
        <w:rPr>
          <w:rFonts w:ascii="Arial" w:hAnsi="Arial" w:eastAsia="宋体" w:cs="Arial"/>
          <w:b/>
        </w:rPr>
      </w:pPr>
      <w:r>
        <w:rPr>
          <w:rFonts w:ascii="Arial" w:hAnsi="Arial" w:eastAsia="宋体" w:cs="Arial"/>
          <w:b/>
        </w:rPr>
        <w:t>美国卫生与公众服务部</w:t>
      </w:r>
    </w:p>
    <w:p w14:paraId="6BFA5425">
      <w:pPr>
        <w:snapToGrid w:val="0"/>
        <w:spacing w:line="300" w:lineRule="auto"/>
        <w:jc w:val="right"/>
        <w:rPr>
          <w:rFonts w:ascii="Arial" w:hAnsi="Arial" w:eastAsia="宋体" w:cs="Arial"/>
          <w:b/>
        </w:rPr>
      </w:pPr>
      <w:r>
        <w:rPr>
          <w:rFonts w:ascii="Arial" w:hAnsi="Arial" w:eastAsia="宋体" w:cs="Arial"/>
          <w:b/>
        </w:rPr>
        <w:t>食品药品监督管理局</w:t>
      </w:r>
    </w:p>
    <w:p w14:paraId="70CF4616">
      <w:pPr>
        <w:snapToGrid w:val="0"/>
        <w:spacing w:line="300" w:lineRule="auto"/>
        <w:jc w:val="right"/>
        <w:rPr>
          <w:rFonts w:ascii="Arial" w:hAnsi="Arial" w:eastAsia="宋体" w:cs="Arial"/>
          <w:b/>
        </w:rPr>
      </w:pPr>
      <w:r>
        <w:rPr>
          <w:rFonts w:ascii="Arial" w:hAnsi="Arial" w:eastAsia="宋体" w:cs="Arial"/>
          <w:b/>
        </w:rPr>
        <w:t>器械与放射健康中心</w:t>
      </w:r>
    </w:p>
    <w:p w14:paraId="47D53234">
      <w:pPr>
        <w:snapToGrid w:val="0"/>
        <w:spacing w:line="300" w:lineRule="auto"/>
        <w:jc w:val="right"/>
        <w:rPr>
          <w:rFonts w:ascii="Arial" w:hAnsi="Arial" w:eastAsia="宋体" w:cs="Arial"/>
          <w:b/>
        </w:rPr>
      </w:pPr>
      <w:r>
        <w:rPr>
          <w:rFonts w:ascii="Arial" w:hAnsi="Arial" w:eastAsia="宋体" w:cs="Arial"/>
          <w:b/>
        </w:rPr>
        <w:t>泌尿和碎石器械科</w:t>
      </w:r>
    </w:p>
    <w:p w14:paraId="1AE76E9A">
      <w:pPr>
        <w:snapToGrid w:val="0"/>
        <w:spacing w:line="300" w:lineRule="auto"/>
        <w:jc w:val="right"/>
        <w:rPr>
          <w:rFonts w:ascii="Arial" w:hAnsi="Arial" w:eastAsia="宋体" w:cs="Arial"/>
          <w:b/>
        </w:rPr>
      </w:pPr>
      <w:r>
        <w:rPr>
          <w:rFonts w:ascii="Arial" w:hAnsi="Arial" w:eastAsia="宋体" w:cs="Arial"/>
          <w:b/>
        </w:rPr>
        <w:t>生殖、腹部和放射器械处</w:t>
      </w:r>
    </w:p>
    <w:p w14:paraId="284A04D3">
      <w:pPr>
        <w:snapToGrid w:val="0"/>
        <w:spacing w:line="300" w:lineRule="auto"/>
        <w:jc w:val="right"/>
        <w:rPr>
          <w:rFonts w:ascii="Arial" w:hAnsi="Arial" w:eastAsia="宋体" w:cs="Arial"/>
          <w:b/>
        </w:rPr>
      </w:pPr>
      <w:r>
        <w:rPr>
          <w:rFonts w:ascii="Arial" w:hAnsi="Arial" w:eastAsia="宋体" w:cs="Arial"/>
          <w:b/>
        </w:rPr>
        <w:t>器械评估办公室</w:t>
      </w:r>
    </w:p>
    <w:p w14:paraId="41839A77">
      <w:pPr>
        <w:snapToGrid w:val="0"/>
        <w:spacing w:line="300" w:lineRule="auto"/>
        <w:rPr>
          <w:rFonts w:ascii="Arial" w:hAnsi="Arial" w:eastAsia="宋体" w:cs="Arial"/>
        </w:rPr>
      </w:pPr>
    </w:p>
    <w:p w14:paraId="7F813691">
      <w:pPr>
        <w:snapToGrid w:val="0"/>
        <w:spacing w:line="300" w:lineRule="auto"/>
        <w:rPr>
          <w:rFonts w:ascii="Arial" w:hAnsi="Arial" w:eastAsia="宋体" w:cs="Arial"/>
        </w:rPr>
      </w:pPr>
    </w:p>
    <w:p w14:paraId="31AB4581">
      <w:pPr>
        <w:widowControl/>
        <w:jc w:val="left"/>
        <w:rPr>
          <w:rFonts w:ascii="Arial" w:hAnsi="Arial" w:eastAsia="宋体" w:cs="Arial"/>
          <w:b/>
        </w:rPr>
      </w:pPr>
      <w:r>
        <w:rPr>
          <w:rFonts w:ascii="Arial" w:hAnsi="Arial" w:eastAsia="宋体" w:cs="Arial"/>
          <w:b/>
        </w:rPr>
        <w:br w:type="page"/>
      </w:r>
    </w:p>
    <w:p w14:paraId="49E9E2BD">
      <w:pPr>
        <w:snapToGrid w:val="0"/>
        <w:spacing w:line="300" w:lineRule="auto"/>
        <w:jc w:val="center"/>
        <w:rPr>
          <w:rFonts w:ascii="Arial" w:hAnsi="Arial" w:eastAsia="宋体" w:cs="Arial"/>
          <w:b/>
          <w:sz w:val="28"/>
          <w:szCs w:val="28"/>
        </w:rPr>
      </w:pPr>
      <w:r>
        <w:rPr>
          <w:rFonts w:ascii="Helvetica" w:hAnsi="Helvetica" w:eastAsia="宋体" w:cs="Helvetica"/>
          <w:color w:val="000000"/>
          <w:kern w:val="0"/>
          <w:sz w:val="22"/>
        </w:rPr>
        <w:pict>
          <v:rect id="_x0000_i1025" o:spt="1" style="height:0pt;width:0pt;" fillcolor="#A0A0A0" filled="t" stroked="f" coordsize="21600,21600" o:hr="t" o:hrstd="t" o:hralign="center">
            <v:path/>
            <v:fill on="t" focussize="0,0"/>
            <v:stroke on="f"/>
            <v:imagedata o:title=""/>
            <o:lock v:ext="edit"/>
            <w10:wrap type="none"/>
            <w10:anchorlock/>
          </v:rect>
        </w:pict>
      </w:r>
    </w:p>
    <w:p w14:paraId="52B048A1">
      <w:pPr>
        <w:snapToGrid w:val="0"/>
        <w:spacing w:line="300" w:lineRule="auto"/>
        <w:jc w:val="center"/>
        <w:rPr>
          <w:rFonts w:ascii="Arial" w:hAnsi="Arial" w:eastAsia="宋体" w:cs="Arial"/>
          <w:b/>
          <w:sz w:val="28"/>
          <w:szCs w:val="28"/>
        </w:rPr>
      </w:pPr>
      <w:r>
        <w:rPr>
          <w:rFonts w:ascii="Arial" w:hAnsi="Arial" w:eastAsia="宋体" w:cs="Arial"/>
          <w:b/>
          <w:sz w:val="28"/>
          <w:szCs w:val="28"/>
        </w:rPr>
        <w:t>序言</w:t>
      </w:r>
    </w:p>
    <w:p w14:paraId="7AC22333">
      <w:pPr>
        <w:snapToGrid w:val="0"/>
        <w:spacing w:line="300" w:lineRule="auto"/>
        <w:rPr>
          <w:rFonts w:ascii="Arial" w:hAnsi="Arial" w:eastAsia="宋体" w:cs="Arial"/>
        </w:rPr>
      </w:pPr>
    </w:p>
    <w:p w14:paraId="674BB38B">
      <w:pPr>
        <w:snapToGrid w:val="0"/>
        <w:spacing w:line="300" w:lineRule="auto"/>
        <w:rPr>
          <w:rFonts w:ascii="Arial" w:hAnsi="Arial" w:eastAsia="宋体" w:cs="Arial"/>
          <w:b/>
        </w:rPr>
      </w:pPr>
      <w:r>
        <w:rPr>
          <w:rFonts w:ascii="Arial" w:hAnsi="Arial" w:eastAsia="宋体" w:cs="Arial"/>
          <w:b/>
        </w:rPr>
        <w:t>公众评论</w:t>
      </w:r>
    </w:p>
    <w:p w14:paraId="6040F778">
      <w:pPr>
        <w:snapToGrid w:val="0"/>
        <w:spacing w:line="300" w:lineRule="auto"/>
        <w:rPr>
          <w:rFonts w:ascii="Arial" w:hAnsi="Arial" w:eastAsia="宋体" w:cs="Arial"/>
        </w:rPr>
      </w:pPr>
    </w:p>
    <w:p w14:paraId="64A7A05A">
      <w:pPr>
        <w:snapToGrid w:val="0"/>
        <w:spacing w:line="300" w:lineRule="auto"/>
        <w:rPr>
          <w:rFonts w:ascii="Arial" w:hAnsi="Arial" w:eastAsia="宋体" w:cs="Arial"/>
        </w:rPr>
      </w:pPr>
      <w:r>
        <w:rPr>
          <w:rFonts w:ascii="Arial" w:hAnsi="Arial" w:eastAsia="宋体" w:cs="Arial"/>
        </w:rPr>
        <w:t>书面评论和建议可随时提交至食品药品监督管理局</w:t>
      </w:r>
      <w:r>
        <w:rPr>
          <w:rFonts w:hint="eastAsia" w:ascii="Arial" w:hAnsi="Arial" w:eastAsia="宋体" w:cs="Arial"/>
        </w:rPr>
        <w:t>文档</w:t>
      </w:r>
      <w:r>
        <w:rPr>
          <w:rFonts w:ascii="Arial" w:hAnsi="Arial" w:eastAsia="宋体" w:cs="Arial"/>
        </w:rPr>
        <w:t>管理</w:t>
      </w:r>
      <w:r>
        <w:rPr>
          <w:rFonts w:hint="eastAsia" w:ascii="Arial" w:hAnsi="Arial" w:eastAsia="宋体" w:cs="Arial"/>
        </w:rPr>
        <w:t>部，</w:t>
      </w:r>
      <w:r>
        <w:rPr>
          <w:rFonts w:ascii="Arial" w:hAnsi="Arial" w:eastAsia="宋体" w:cs="Arial"/>
        </w:rPr>
        <w:t>供</w:t>
      </w:r>
      <w:r>
        <w:rPr>
          <w:rFonts w:hint="eastAsia" w:ascii="Arial" w:hAnsi="Arial" w:eastAsia="宋体" w:cs="Arial"/>
        </w:rPr>
        <w:t>部门审议</w:t>
      </w:r>
      <w:r>
        <w:rPr>
          <w:rFonts w:ascii="Arial" w:hAnsi="Arial" w:eastAsia="宋体" w:cs="Arial"/>
        </w:rPr>
        <w:t>。通讯地址：5630 Fishers Lane, Room 1061, （HFA-305）, Rockville, MD, 20852。电子评论可提交至Regulations.gov。提交评论时，请注明</w:t>
      </w:r>
      <w:r>
        <w:rPr>
          <w:rFonts w:hint="eastAsia" w:ascii="Arial" w:hAnsi="Arial" w:eastAsia="宋体" w:cs="Arial"/>
        </w:rPr>
        <w:t>文档</w:t>
      </w:r>
      <w:r>
        <w:rPr>
          <w:rFonts w:ascii="Arial" w:hAnsi="Arial" w:eastAsia="宋体" w:cs="Arial"/>
        </w:rPr>
        <w:t>编号2004D-0071。</w:t>
      </w:r>
      <w:r>
        <w:rPr>
          <w:rFonts w:hint="eastAsia" w:ascii="Arial" w:hAnsi="Arial" w:eastAsia="宋体" w:cs="Arial"/>
        </w:rPr>
        <w:t>可能直到文件下次修订或更新时，评论才会被机构受理</w:t>
      </w:r>
      <w:r>
        <w:rPr>
          <w:rFonts w:ascii="Arial" w:hAnsi="Arial" w:eastAsia="宋体" w:cs="Arial"/>
        </w:rPr>
        <w:t>。</w:t>
      </w:r>
    </w:p>
    <w:p w14:paraId="77221400">
      <w:pPr>
        <w:snapToGrid w:val="0"/>
        <w:spacing w:line="300" w:lineRule="auto"/>
        <w:rPr>
          <w:rFonts w:ascii="Arial" w:hAnsi="Arial" w:eastAsia="宋体" w:cs="Arial"/>
        </w:rPr>
      </w:pPr>
    </w:p>
    <w:p w14:paraId="6B567DFD">
      <w:pPr>
        <w:snapToGrid w:val="0"/>
        <w:spacing w:line="300" w:lineRule="auto"/>
        <w:rPr>
          <w:rFonts w:ascii="Arial" w:hAnsi="Arial" w:eastAsia="宋体" w:cs="Arial"/>
          <w:b/>
        </w:rPr>
      </w:pPr>
      <w:r>
        <w:rPr>
          <w:rFonts w:ascii="Arial" w:hAnsi="Arial" w:eastAsia="宋体" w:cs="Arial"/>
          <w:b/>
        </w:rPr>
        <w:t>其他副本</w:t>
      </w:r>
    </w:p>
    <w:p w14:paraId="02BDAD45">
      <w:pPr>
        <w:snapToGrid w:val="0"/>
        <w:spacing w:line="300" w:lineRule="auto"/>
        <w:rPr>
          <w:rFonts w:ascii="Arial" w:hAnsi="Arial" w:eastAsia="宋体" w:cs="Arial"/>
        </w:rPr>
      </w:pPr>
    </w:p>
    <w:p w14:paraId="55634D91">
      <w:pPr>
        <w:snapToGrid w:val="0"/>
        <w:spacing w:line="300" w:lineRule="auto"/>
        <w:rPr>
          <w:rFonts w:ascii="Arial" w:hAnsi="Arial" w:eastAsia="宋体" w:cs="Arial"/>
        </w:rPr>
      </w:pPr>
      <w:r>
        <w:rPr>
          <w:rFonts w:ascii="Arial" w:hAnsi="Arial" w:eastAsia="宋体" w:cs="Arial"/>
        </w:rPr>
        <w:t>其他副本可从互联网下载。</w:t>
      </w:r>
      <w:r>
        <w:fldChar w:fldCharType="begin"/>
      </w:r>
      <w:r>
        <w:instrText xml:space="preserve"> HYPERLINK "mailto:你们还可发送电子邮件至CDRH-Guidance@fda.hhs.gov" </w:instrText>
      </w:r>
      <w:r>
        <w:fldChar w:fldCharType="separate"/>
      </w:r>
      <w:r>
        <w:rPr>
          <w:rFonts w:hint="eastAsia"/>
        </w:rPr>
        <w:t>贵公司还可发送电子邮件至</w:t>
      </w:r>
      <w:r>
        <w:rPr>
          <w:rStyle w:val="8"/>
          <w:rFonts w:ascii="Arial" w:hAnsi="Arial" w:eastAsia="宋体" w:cs="Arial"/>
        </w:rPr>
        <w:t>CDRH-Guidance@fda.hhs.gov</w:t>
      </w:r>
      <w:r>
        <w:rPr>
          <w:rStyle w:val="8"/>
          <w:rFonts w:ascii="Arial" w:hAnsi="Arial" w:eastAsia="宋体" w:cs="Arial"/>
        </w:rPr>
        <w:fldChar w:fldCharType="end"/>
      </w:r>
      <w:r>
        <w:rPr>
          <w:rFonts w:ascii="Arial" w:hAnsi="Arial" w:eastAsia="宋体" w:cs="Arial"/>
        </w:rPr>
        <w:t>请求获取本指南的副本。请使用文件编号1231确认贵公司索取的指南。</w:t>
      </w:r>
    </w:p>
    <w:p w14:paraId="29EE125C">
      <w:pPr>
        <w:snapToGrid w:val="0"/>
        <w:spacing w:line="300" w:lineRule="auto"/>
        <w:rPr>
          <w:rFonts w:ascii="Arial" w:hAnsi="Arial" w:eastAsia="宋体" w:cs="Arial"/>
        </w:rPr>
      </w:pPr>
    </w:p>
    <w:p w14:paraId="5646E223">
      <w:pPr>
        <w:snapToGrid w:val="0"/>
        <w:spacing w:line="300" w:lineRule="auto"/>
        <w:jc w:val="center"/>
        <w:rPr>
          <w:rFonts w:ascii="Arial" w:hAnsi="Arial" w:eastAsia="宋体" w:cs="Arial"/>
          <w:b/>
        </w:rPr>
      </w:pPr>
      <w:r>
        <w:rPr>
          <w:rFonts w:ascii="Arial" w:hAnsi="Arial" w:eastAsia="宋体" w:cs="Arial"/>
          <w:b/>
        </w:rPr>
        <w:t>目录</w:t>
      </w:r>
    </w:p>
    <w:p w14:paraId="515FD2DB">
      <w:pPr>
        <w:snapToGrid w:val="0"/>
        <w:spacing w:line="300" w:lineRule="auto"/>
        <w:rPr>
          <w:rFonts w:ascii="Arial" w:hAnsi="Arial" w:eastAsia="宋体" w:cs="Arial"/>
        </w:rPr>
      </w:pPr>
    </w:p>
    <w:p w14:paraId="5B4BFB12">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背景</w:t>
      </w:r>
    </w:p>
    <w:p w14:paraId="340D6E82">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适用范围</w:t>
      </w:r>
    </w:p>
    <w:p w14:paraId="065F65D7">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健康风险</w:t>
      </w:r>
    </w:p>
    <w:p w14:paraId="04FB906B">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设计特点</w:t>
      </w:r>
    </w:p>
    <w:p w14:paraId="7F58ADEF">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标签</w:t>
      </w:r>
    </w:p>
    <w:p w14:paraId="1D4658ED">
      <w:pPr>
        <w:pStyle w:val="12"/>
        <w:numPr>
          <w:ilvl w:val="0"/>
          <w:numId w:val="2"/>
        </w:numPr>
        <w:snapToGrid w:val="0"/>
        <w:spacing w:line="300" w:lineRule="auto"/>
        <w:ind w:firstLineChars="0"/>
        <w:rPr>
          <w:rFonts w:ascii="Arial" w:hAnsi="Arial" w:eastAsia="宋体" w:cs="Arial"/>
          <w:color w:val="0000FF"/>
        </w:rPr>
      </w:pPr>
      <w:r>
        <w:rPr>
          <w:rFonts w:ascii="Arial" w:hAnsi="Arial" w:eastAsia="宋体" w:cs="Arial"/>
          <w:color w:val="0000FF"/>
        </w:rPr>
        <w:t>上市前通告豁免的局限性</w:t>
      </w:r>
    </w:p>
    <w:p w14:paraId="29E5EB29">
      <w:pPr>
        <w:snapToGrid w:val="0"/>
        <w:spacing w:line="300" w:lineRule="auto"/>
        <w:rPr>
          <w:rFonts w:ascii="Arial" w:hAnsi="Arial" w:eastAsia="宋体" w:cs="Arial"/>
        </w:rPr>
      </w:pPr>
    </w:p>
    <w:p w14:paraId="717D067B">
      <w:pPr>
        <w:snapToGrid w:val="0"/>
        <w:spacing w:line="300" w:lineRule="auto"/>
        <w:rPr>
          <w:rFonts w:ascii="Arial" w:hAnsi="Arial" w:eastAsia="宋体" w:cs="Arial"/>
        </w:rPr>
      </w:pPr>
    </w:p>
    <w:p w14:paraId="5BE02B7F">
      <w:pPr>
        <w:snapToGrid w:val="0"/>
        <w:spacing w:line="300" w:lineRule="auto"/>
        <w:jc w:val="center"/>
        <w:rPr>
          <w:rFonts w:ascii="Arial" w:hAnsi="Arial" w:eastAsia="宋体" w:cs="Arial"/>
          <w:b/>
          <w:sz w:val="32"/>
          <w:szCs w:val="32"/>
        </w:rPr>
      </w:pPr>
      <w:r>
        <w:rPr>
          <w:rFonts w:ascii="Arial" w:hAnsi="Arial" w:eastAsia="宋体" w:cs="Arial"/>
          <w:b/>
          <w:sz w:val="32"/>
          <w:szCs w:val="32"/>
        </w:rPr>
        <w:t>行业和食品药品监督管理局工作人员指南</w:t>
      </w:r>
    </w:p>
    <w:p w14:paraId="655D708E">
      <w:pPr>
        <w:snapToGrid w:val="0"/>
        <w:spacing w:line="300" w:lineRule="auto"/>
        <w:jc w:val="center"/>
        <w:rPr>
          <w:rFonts w:ascii="Arial" w:hAnsi="Arial" w:eastAsia="宋体" w:cs="Arial"/>
          <w:b/>
          <w:sz w:val="32"/>
          <w:szCs w:val="32"/>
        </w:rPr>
      </w:pPr>
      <w:r>
        <w:rPr>
          <w:rFonts w:ascii="Arial" w:hAnsi="Arial" w:eastAsia="宋体" w:cs="Arial"/>
          <w:b/>
          <w:sz w:val="32"/>
          <w:szCs w:val="32"/>
        </w:rPr>
        <w:t>II类特殊控制</w:t>
      </w:r>
      <w:r>
        <w:rPr>
          <w:rFonts w:hint="eastAsia" w:ascii="Arial" w:hAnsi="Arial" w:eastAsia="宋体" w:cs="Arial"/>
          <w:b/>
          <w:sz w:val="32"/>
          <w:szCs w:val="32"/>
        </w:rPr>
        <w:t>指导性文件</w:t>
      </w:r>
      <w:r>
        <w:rPr>
          <w:rFonts w:ascii="Arial" w:hAnsi="Arial" w:eastAsia="宋体" w:cs="Arial"/>
          <w:b/>
          <w:sz w:val="32"/>
          <w:szCs w:val="32"/>
        </w:rPr>
        <w:t>：外部影响阴茎硬度器械</w:t>
      </w:r>
    </w:p>
    <w:p w14:paraId="1C19E8BA">
      <w:pPr>
        <w:snapToGrid w:val="0"/>
        <w:spacing w:line="300" w:lineRule="auto"/>
        <w:rPr>
          <w:rFonts w:ascii="Arial" w:hAnsi="Arial" w:eastAsia="宋体" w:cs="Arial"/>
        </w:rPr>
      </w:pPr>
    </w:p>
    <w:p w14:paraId="0579851F">
      <w:pPr>
        <w:snapToGrid w:val="0"/>
        <w:spacing w:line="300" w:lineRule="auto"/>
        <w:rPr>
          <w:rFonts w:ascii="Arial" w:hAnsi="Arial" w:eastAsia="宋体" w:cs="Arial"/>
          <w:b/>
        </w:rPr>
      </w:pPr>
      <w:r>
        <w:rPr>
          <w:rFonts w:ascii="Arial" w:hAnsi="Arial" w:eastAsia="宋体" w:cs="Arial"/>
          <w:b/>
        </w:rPr>
        <w:t>1. 背景</w:t>
      </w:r>
    </w:p>
    <w:p w14:paraId="766928DC">
      <w:pPr>
        <w:snapToGrid w:val="0"/>
        <w:spacing w:line="300" w:lineRule="auto"/>
        <w:rPr>
          <w:rFonts w:ascii="Arial" w:hAnsi="Arial" w:eastAsia="宋体" w:cs="Arial"/>
        </w:rPr>
      </w:pPr>
    </w:p>
    <w:p w14:paraId="1F3CE909">
      <w:pPr>
        <w:snapToGrid w:val="0"/>
        <w:spacing w:line="300" w:lineRule="auto"/>
        <w:rPr>
          <w:rFonts w:ascii="Arial" w:hAnsi="Arial" w:eastAsia="宋体" w:cs="Arial"/>
        </w:rPr>
      </w:pPr>
      <w:r>
        <w:rPr>
          <w:rFonts w:ascii="Arial" w:hAnsi="Arial" w:eastAsia="宋体" w:cs="Arial"/>
        </w:rPr>
        <w:t>食品药品监督管理局（FDA）将本指南定名为</w:t>
      </w:r>
      <w:r>
        <w:rPr>
          <w:rFonts w:hint="eastAsia" w:ascii="Arial" w:hAnsi="Arial" w:eastAsia="宋体" w:cs="Arial"/>
        </w:rPr>
        <w:t>外部影响阴茎硬度器械</w:t>
      </w:r>
      <w:r>
        <w:rPr>
          <w:rFonts w:ascii="Arial" w:hAnsi="Arial" w:eastAsia="宋体" w:cs="Arial"/>
        </w:rPr>
        <w:t>特殊控制指导性文件并给予该器械联邦食品、药品和化妆品法案（简称法案）上市前通告要求豁免待遇。FDA在发布本指南的同时还发布联邦公报通告公布最终规定。</w:t>
      </w:r>
    </w:p>
    <w:p w14:paraId="3CFBC2B0">
      <w:pPr>
        <w:snapToGrid w:val="0"/>
        <w:spacing w:line="300" w:lineRule="auto"/>
        <w:rPr>
          <w:rFonts w:ascii="Arial" w:hAnsi="Arial" w:eastAsia="宋体" w:cs="Arial"/>
        </w:rPr>
      </w:pPr>
    </w:p>
    <w:p w14:paraId="3069FF20">
      <w:pPr>
        <w:widowControl/>
        <w:jc w:val="left"/>
        <w:rPr>
          <w:rFonts w:ascii="Arial" w:hAnsi="Arial" w:eastAsia="宋体" w:cs="Arial"/>
        </w:rPr>
      </w:pPr>
      <w:r>
        <w:rPr>
          <w:rFonts w:ascii="Arial" w:hAnsi="Arial" w:eastAsia="宋体" w:cs="Arial"/>
        </w:rPr>
        <w:br w:type="page"/>
      </w:r>
    </w:p>
    <w:p w14:paraId="0D870B22">
      <w:pPr>
        <w:snapToGrid w:val="0"/>
        <w:spacing w:line="300" w:lineRule="auto"/>
        <w:rPr>
          <w:rFonts w:ascii="Arial" w:hAnsi="Arial" w:eastAsia="宋体" w:cs="Arial"/>
        </w:rPr>
      </w:pPr>
      <w:r>
        <w:rPr>
          <w:rFonts w:ascii="Arial" w:hAnsi="Arial" w:eastAsia="宋体" w:cs="Arial"/>
        </w:rPr>
        <w:t>本指南描述了一种外部影响阴茎硬度器械可符合II类特殊控制要求的方法。指定本指南作为一种特殊控制手段意味着遵循建议规范或等效措施解决本指南确认健康风险的外部影响阴茎硬度器械制造商在美国将其器械引入商业分销前</w:t>
      </w:r>
      <w:r>
        <w:rPr>
          <w:rFonts w:hint="eastAsia" w:ascii="Arial" w:hAnsi="Arial" w:eastAsia="宋体" w:cs="Arial"/>
        </w:rPr>
        <w:t>，</w:t>
      </w:r>
      <w:r>
        <w:rPr>
          <w:rFonts w:ascii="Arial" w:hAnsi="Arial" w:eastAsia="宋体" w:cs="Arial"/>
        </w:rPr>
        <w:t>将能不受该法案510（k）部分上市前通告要求的管制而销售其器械。该法案510（m）部分规定，如果FDA</w:t>
      </w:r>
      <w:bookmarkStart w:id="2" w:name="OLE_LINK36"/>
      <w:bookmarkStart w:id="3" w:name="OLE_LINK37"/>
      <w:r>
        <w:rPr>
          <w:rFonts w:ascii="Arial" w:hAnsi="Arial" w:eastAsia="宋体" w:cs="Arial"/>
        </w:rPr>
        <w:t>确定510（k）提交资料无需提供该器械安全性和有效性的合理保证</w:t>
      </w:r>
      <w:bookmarkEnd w:id="2"/>
      <w:bookmarkEnd w:id="3"/>
      <w:r>
        <w:rPr>
          <w:rFonts w:ascii="Arial" w:hAnsi="Arial" w:eastAsia="宋体" w:cs="Arial"/>
        </w:rPr>
        <w:t>，则FDA可根据法案510（k）部分规定免除II类器械受上市前通告要求。如果制造商遵循本特殊控制指导性文件的建议规范或等效措施解决本指南确认的健康风险，则FDA可能会确定510（k）提交资料无需对该属性类型器械提供安全性和有效性的合理保证。因此，预计上市该器械类型的人员无需向FDA提交510（k）提交资料且在上市该器械前不需收到本局的许可通知。但作为一种II类器械，该器械必须遵循通用控制要求和特殊控制要求（该法案第513（a）（1）（B）部分）。</w:t>
      </w:r>
    </w:p>
    <w:p w14:paraId="675F6AC0">
      <w:pPr>
        <w:snapToGrid w:val="0"/>
        <w:spacing w:line="300" w:lineRule="auto"/>
        <w:rPr>
          <w:rFonts w:ascii="Arial" w:hAnsi="Arial" w:eastAsia="宋体" w:cs="Arial"/>
        </w:rPr>
      </w:pPr>
    </w:p>
    <w:p w14:paraId="72ABCE09">
      <w:pPr>
        <w:snapToGrid w:val="0"/>
        <w:spacing w:line="300" w:lineRule="auto"/>
        <w:rPr>
          <w:rFonts w:ascii="Arial" w:hAnsi="Arial" w:eastAsia="宋体" w:cs="Arial"/>
        </w:rPr>
      </w:pPr>
      <w:r>
        <w:rPr>
          <w:rFonts w:ascii="Arial" w:hAnsi="Arial" w:eastAsia="宋体" w:cs="Arial"/>
        </w:rPr>
        <w:t>豁免该器械的最终规定生效后，外部影响阴茎硬度器械制造商需解决本特殊控制指导性文件所涵盖的问题。公司必须说明其器械解决了本指南确认的安全性和有效性问题。其解决问题的方式既可遵循本指南提供的推荐规范，亦可采用能提供安全性和有效性等同保证的某些其他方法。</w:t>
      </w:r>
      <w:r>
        <w:rPr>
          <w:rFonts w:ascii="Arial" w:hAnsi="Arial" w:eastAsia="宋体" w:cs="Arial"/>
          <w:vertAlign w:val="superscript"/>
        </w:rPr>
        <w:t>1</w:t>
      </w:r>
      <w:r>
        <w:rPr>
          <w:rFonts w:ascii="Arial" w:hAnsi="Arial" w:eastAsia="宋体" w:cs="Arial"/>
        </w:rPr>
        <w:t>如果制造商不遵循这些建议规范或等效措施，则不能免除510（k）要求并需在上市前提交510（k）提交资料并获得其器械的许可。</w:t>
      </w:r>
    </w:p>
    <w:p w14:paraId="55BF8ACE">
      <w:pPr>
        <w:snapToGrid w:val="0"/>
        <w:spacing w:line="300" w:lineRule="auto"/>
        <w:rPr>
          <w:rFonts w:ascii="Arial" w:hAnsi="Arial" w:eastAsia="宋体" w:cs="Arial"/>
        </w:rPr>
      </w:pPr>
    </w:p>
    <w:p w14:paraId="1A563FE5">
      <w:pPr>
        <w:snapToGrid w:val="0"/>
        <w:spacing w:line="300" w:lineRule="auto"/>
        <w:rPr>
          <w:rFonts w:ascii="Arial" w:hAnsi="Arial" w:eastAsia="宋体" w:cs="Arial"/>
          <w:b/>
        </w:rPr>
      </w:pPr>
      <w:r>
        <w:rPr>
          <w:rFonts w:ascii="Arial" w:hAnsi="Arial" w:eastAsia="宋体" w:cs="Arial"/>
          <w:b/>
        </w:rPr>
        <w:t>最小负担法</w:t>
      </w:r>
    </w:p>
    <w:p w14:paraId="7D308FBC">
      <w:pPr>
        <w:snapToGrid w:val="0"/>
        <w:spacing w:line="300" w:lineRule="auto"/>
        <w:rPr>
          <w:rFonts w:ascii="Arial" w:hAnsi="Arial" w:eastAsia="宋体" w:cs="Arial"/>
        </w:rPr>
      </w:pPr>
    </w:p>
    <w:p w14:paraId="603C3700">
      <w:pPr>
        <w:snapToGrid w:val="0"/>
        <w:spacing w:line="300" w:lineRule="auto"/>
        <w:rPr>
          <w:rFonts w:ascii="Arial" w:hAnsi="Arial" w:eastAsia="宋体" w:cs="Arial"/>
        </w:rPr>
      </w:pPr>
      <w:r>
        <w:rPr>
          <w:rFonts w:ascii="Arial" w:hAnsi="Arial" w:eastAsia="宋体" w:cs="Arial"/>
        </w:rPr>
        <w:t>本指南确认的问题是我们认为器械在上市前需解决的问题。在编制本指南期间，我们仔细考虑了本机构决策采用的相关法定标准。另外，我们还考虑了在尝试遵循本指南解决我们所确认问题期间可能产生的负担。我们认为我们已考虑采用最小负担法解决本指南提出的问题。然而，如果认为有负担更小的方法可用于解决这些问题，应遵循</w:t>
      </w:r>
      <w:r>
        <w:rPr>
          <w:rFonts w:hint="eastAsia" w:ascii="宋体" w:hAnsi="宋体" w:eastAsia="宋体" w:cs="Arial"/>
        </w:rPr>
        <w:t>《</w:t>
      </w:r>
      <w:r>
        <w:rPr>
          <w:rFonts w:ascii="Arial" w:hAnsi="Arial" w:eastAsia="宋体" w:cs="Arial"/>
          <w:color w:val="0000FF"/>
          <w:u w:val="single"/>
        </w:rPr>
        <w:t>解决最小负担问题的建议方法</w:t>
      </w:r>
      <w:r>
        <w:rPr>
          <w:rFonts w:hint="eastAsia" w:ascii="宋体" w:hAnsi="宋体" w:eastAsia="宋体" w:cs="Arial"/>
        </w:rPr>
        <w:t>》</w:t>
      </w:r>
      <w:r>
        <w:rPr>
          <w:rFonts w:ascii="Arial" w:hAnsi="Arial" w:eastAsia="宋体" w:cs="Arial"/>
        </w:rPr>
        <w:t>指南中描述的程序予以实施。</w:t>
      </w:r>
    </w:p>
    <w:p w14:paraId="54CFE15A">
      <w:pPr>
        <w:snapToGrid w:val="0"/>
        <w:spacing w:line="300" w:lineRule="auto"/>
        <w:rPr>
          <w:rFonts w:ascii="Arial" w:hAnsi="Arial" w:eastAsia="宋体" w:cs="Arial"/>
        </w:rPr>
      </w:pPr>
    </w:p>
    <w:p w14:paraId="1E8CFADA">
      <w:pPr>
        <w:widowControl/>
        <w:shd w:val="clear" w:color="auto" w:fill="FFFFFF"/>
        <w:snapToGrid w:val="0"/>
        <w:spacing w:line="300" w:lineRule="auto"/>
        <w:rPr>
          <w:rFonts w:ascii="Arial" w:hAnsi="Arial" w:eastAsia="宋体" w:cs="Arial"/>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564FB3EB">
      <w:pPr>
        <w:snapToGrid w:val="0"/>
        <w:spacing w:line="300" w:lineRule="auto"/>
        <w:rPr>
          <w:rFonts w:ascii="Arial" w:hAnsi="Arial" w:eastAsia="宋体" w:cs="Arial"/>
        </w:rPr>
      </w:pPr>
    </w:p>
    <w:p w14:paraId="233C0EE7">
      <w:pPr>
        <w:snapToGrid w:val="0"/>
        <w:spacing w:line="300" w:lineRule="auto"/>
        <w:rPr>
          <w:rFonts w:ascii="Arial" w:hAnsi="Arial" w:eastAsia="宋体" w:cs="Arial"/>
        </w:rPr>
      </w:pPr>
      <w:r>
        <w:rPr>
          <w:rFonts w:ascii="Helvetica" w:hAnsi="Helvetica" w:eastAsia="宋体" w:cs="Helvetica"/>
          <w:color w:val="000000"/>
          <w:kern w:val="0"/>
          <w:sz w:val="22"/>
        </w:rPr>
        <w:pict>
          <v:rect id="_x0000_i1026" o:spt="1" style="height:0pt;width:0pt;" fillcolor="#A0A0A0" filled="t" stroked="f" coordsize="21600,21600" o:hr="t" o:hrstd="t" o:hralign="center">
            <v:path/>
            <v:fill on="t" focussize="0,0"/>
            <v:stroke on="f"/>
            <v:imagedata o:title=""/>
            <o:lock v:ext="edit"/>
            <w10:wrap type="none"/>
            <w10:anchorlock/>
          </v:rect>
        </w:pict>
      </w:r>
    </w:p>
    <w:p w14:paraId="211FA9BE">
      <w:pPr>
        <w:widowControl/>
        <w:jc w:val="left"/>
        <w:rPr>
          <w:rFonts w:ascii="Arial" w:hAnsi="Arial" w:eastAsia="宋体" w:cs="Arial"/>
          <w:b/>
        </w:rPr>
      </w:pPr>
      <w:r>
        <w:rPr>
          <w:rFonts w:ascii="Arial" w:hAnsi="Arial" w:eastAsia="宋体" w:cs="Arial"/>
          <w:b/>
        </w:rPr>
        <w:br w:type="page"/>
      </w:r>
    </w:p>
    <w:p w14:paraId="605ED31A">
      <w:pPr>
        <w:snapToGrid w:val="0"/>
        <w:spacing w:line="300" w:lineRule="auto"/>
        <w:rPr>
          <w:rFonts w:ascii="Arial" w:hAnsi="Arial" w:eastAsia="宋体" w:cs="Arial"/>
          <w:b/>
        </w:rPr>
      </w:pPr>
      <w:r>
        <w:rPr>
          <w:rFonts w:ascii="Arial" w:hAnsi="Arial" w:eastAsia="宋体" w:cs="Arial"/>
          <w:b/>
        </w:rPr>
        <w:t>2. 适用范围</w:t>
      </w:r>
    </w:p>
    <w:p w14:paraId="45E2D95D">
      <w:pPr>
        <w:snapToGrid w:val="0"/>
        <w:spacing w:line="300" w:lineRule="auto"/>
        <w:rPr>
          <w:rFonts w:ascii="Arial" w:hAnsi="Arial" w:eastAsia="宋体" w:cs="Arial"/>
        </w:rPr>
      </w:pPr>
    </w:p>
    <w:p w14:paraId="39C9A012">
      <w:pPr>
        <w:snapToGrid w:val="0"/>
        <w:spacing w:line="300" w:lineRule="auto"/>
        <w:rPr>
          <w:rFonts w:ascii="Arial" w:hAnsi="Arial" w:eastAsia="宋体" w:cs="Arial"/>
        </w:rPr>
      </w:pPr>
      <w:r>
        <w:rPr>
          <w:rFonts w:ascii="Arial" w:hAnsi="Arial" w:eastAsia="宋体" w:cs="Arial"/>
        </w:rPr>
        <w:t>本指南的适用范围限于外部影响阴茎硬度器械。该器械根据21 CFR 876.5020的规定进行分类，产品代码为LKY。</w:t>
      </w:r>
    </w:p>
    <w:p w14:paraId="76299292">
      <w:pPr>
        <w:snapToGrid w:val="0"/>
        <w:spacing w:line="300" w:lineRule="auto"/>
        <w:rPr>
          <w:rFonts w:ascii="Arial" w:hAnsi="Arial" w:eastAsia="宋体" w:cs="Arial"/>
        </w:rPr>
      </w:pPr>
    </w:p>
    <w:p w14:paraId="7E41B50F">
      <w:pPr>
        <w:snapToGrid w:val="0"/>
        <w:spacing w:line="300" w:lineRule="auto"/>
        <w:rPr>
          <w:rFonts w:ascii="Arial" w:hAnsi="Arial" w:eastAsia="宋体" w:cs="Arial"/>
        </w:rPr>
      </w:pPr>
      <w:r>
        <w:rPr>
          <w:rFonts w:ascii="Arial" w:hAnsi="Arial" w:eastAsia="宋体" w:cs="Arial"/>
        </w:rPr>
        <w:t>§ 876.5020－外部影响阴茎硬度器械</w:t>
      </w:r>
    </w:p>
    <w:p w14:paraId="37C164A5">
      <w:pPr>
        <w:snapToGrid w:val="0"/>
        <w:spacing w:line="300" w:lineRule="auto"/>
        <w:rPr>
          <w:rFonts w:ascii="Arial" w:hAnsi="Arial" w:eastAsia="宋体" w:cs="Arial"/>
        </w:rPr>
      </w:pPr>
    </w:p>
    <w:p w14:paraId="4D2AAB25">
      <w:pPr>
        <w:snapToGrid w:val="0"/>
        <w:spacing w:line="300" w:lineRule="auto"/>
        <w:rPr>
          <w:rFonts w:ascii="Arial" w:hAnsi="Arial" w:eastAsia="宋体" w:cs="Arial"/>
        </w:rPr>
      </w:pPr>
      <w:r>
        <w:rPr>
          <w:rFonts w:ascii="Arial" w:hAnsi="Arial" w:eastAsia="宋体" w:cs="Arial"/>
        </w:rPr>
        <w:t>外部影响阴茎硬度器械是拟用于创造或维持足够的阴茎硬度以便性交顺利进行的器械。外部影响阴茎硬度器械包括真空泵、缩窄环和阴茎夹板。其是机械式、动力式或气动式器械。</w:t>
      </w:r>
    </w:p>
    <w:p w14:paraId="66CE9E3D">
      <w:pPr>
        <w:snapToGrid w:val="0"/>
        <w:spacing w:line="300" w:lineRule="auto"/>
        <w:rPr>
          <w:rFonts w:ascii="Arial" w:hAnsi="Arial" w:eastAsia="宋体" w:cs="Arial"/>
        </w:rPr>
      </w:pPr>
    </w:p>
    <w:p w14:paraId="2FE4C706">
      <w:pPr>
        <w:snapToGrid w:val="0"/>
        <w:spacing w:line="300" w:lineRule="auto"/>
        <w:rPr>
          <w:rFonts w:ascii="Arial" w:hAnsi="Arial" w:eastAsia="宋体" w:cs="Arial"/>
          <w:b/>
        </w:rPr>
      </w:pPr>
      <w:r>
        <w:rPr>
          <w:rFonts w:ascii="Arial" w:hAnsi="Arial" w:eastAsia="宋体" w:cs="Arial"/>
          <w:b/>
        </w:rPr>
        <w:t>真空泵</w:t>
      </w:r>
    </w:p>
    <w:p w14:paraId="136AB964">
      <w:pPr>
        <w:snapToGrid w:val="0"/>
        <w:spacing w:line="300" w:lineRule="auto"/>
        <w:rPr>
          <w:rFonts w:ascii="Arial" w:hAnsi="Arial" w:eastAsia="宋体" w:cs="Arial"/>
        </w:rPr>
      </w:pPr>
    </w:p>
    <w:p w14:paraId="12DF1E27">
      <w:pPr>
        <w:snapToGrid w:val="0"/>
        <w:spacing w:line="300" w:lineRule="auto"/>
        <w:rPr>
          <w:rFonts w:ascii="Arial" w:hAnsi="Arial" w:eastAsia="宋体" w:cs="Arial"/>
        </w:rPr>
      </w:pPr>
      <w:r>
        <w:rPr>
          <w:rFonts w:ascii="Arial" w:hAnsi="Arial" w:eastAsia="宋体" w:cs="Arial"/>
        </w:rPr>
        <w:t>真空泵由一个圆筒和一个真空泵组成，真空泵是由手工操作或机动运行。使用时用户将圆筒置于疲软的阴茎上，然后使用外部真空将血液吸进阴茎使其勃起。获得满意的勃起后，在移除真空圆筒前，用户常常将缩窄环置于勃起阴茎的根部周围，以便在性交期间维持阴茎的勃起状态。真空圆筒包括一个用于解除真空抽吸器的快速释放机制和/或一个独立的自动真空机制，以限制本指南设计特点部分所列的真空强度。</w:t>
      </w:r>
    </w:p>
    <w:p w14:paraId="31687990">
      <w:pPr>
        <w:snapToGrid w:val="0"/>
        <w:spacing w:line="300" w:lineRule="auto"/>
        <w:rPr>
          <w:rFonts w:ascii="Arial" w:hAnsi="Arial" w:eastAsia="宋体" w:cs="Arial"/>
        </w:rPr>
      </w:pPr>
    </w:p>
    <w:p w14:paraId="5BB58481">
      <w:pPr>
        <w:snapToGrid w:val="0"/>
        <w:spacing w:line="300" w:lineRule="auto"/>
        <w:rPr>
          <w:rFonts w:ascii="Arial" w:hAnsi="Arial" w:eastAsia="宋体" w:cs="Arial"/>
          <w:b/>
        </w:rPr>
      </w:pPr>
      <w:r>
        <w:rPr>
          <w:rFonts w:ascii="Arial" w:hAnsi="Arial" w:eastAsia="宋体" w:cs="Arial"/>
          <w:b/>
        </w:rPr>
        <w:t>缩窄环</w:t>
      </w:r>
    </w:p>
    <w:p w14:paraId="53E3A447">
      <w:pPr>
        <w:snapToGrid w:val="0"/>
        <w:spacing w:line="300" w:lineRule="auto"/>
        <w:rPr>
          <w:rFonts w:ascii="Arial" w:hAnsi="Arial" w:eastAsia="宋体" w:cs="Arial"/>
        </w:rPr>
      </w:pPr>
    </w:p>
    <w:p w14:paraId="289BE8AE">
      <w:pPr>
        <w:snapToGrid w:val="0"/>
        <w:spacing w:line="300" w:lineRule="auto"/>
        <w:rPr>
          <w:rFonts w:ascii="Arial" w:hAnsi="Arial" w:eastAsia="宋体" w:cs="Arial"/>
        </w:rPr>
      </w:pPr>
      <w:r>
        <w:rPr>
          <w:rFonts w:ascii="Arial" w:hAnsi="Arial" w:eastAsia="宋体" w:cs="Arial"/>
        </w:rPr>
        <w:t>将缩窄环置于勃起阴茎根部周围用于性交期间限制静脉血流离开阴茎。缩窄环通常由柔韧弹性材料环与一个用于释放缩窄和移除缩窄环的快速释放机制组成。达到勃起状态但不能维持勃起时，可单独使用缩窄环；无法不能达到勃起状态时，缩窄环可与真空泵组合使用。</w:t>
      </w:r>
    </w:p>
    <w:p w14:paraId="6D5CBCD6">
      <w:pPr>
        <w:snapToGrid w:val="0"/>
        <w:spacing w:line="300" w:lineRule="auto"/>
        <w:rPr>
          <w:rFonts w:ascii="Arial" w:hAnsi="Arial" w:eastAsia="宋体" w:cs="Arial"/>
        </w:rPr>
      </w:pPr>
    </w:p>
    <w:p w14:paraId="0298C8DB">
      <w:pPr>
        <w:snapToGrid w:val="0"/>
        <w:spacing w:line="300" w:lineRule="auto"/>
        <w:rPr>
          <w:rFonts w:ascii="Arial" w:hAnsi="Arial" w:eastAsia="宋体" w:cs="Arial"/>
          <w:b/>
        </w:rPr>
      </w:pPr>
      <w:r>
        <w:rPr>
          <w:rFonts w:ascii="Arial" w:hAnsi="Arial" w:eastAsia="宋体" w:cs="Arial"/>
          <w:b/>
        </w:rPr>
        <w:t>阴茎夹板</w:t>
      </w:r>
    </w:p>
    <w:p w14:paraId="31822EB4">
      <w:pPr>
        <w:snapToGrid w:val="0"/>
        <w:spacing w:line="300" w:lineRule="auto"/>
        <w:rPr>
          <w:rFonts w:ascii="Arial" w:hAnsi="Arial" w:eastAsia="宋体" w:cs="Arial"/>
        </w:rPr>
      </w:pPr>
    </w:p>
    <w:p w14:paraId="7E2674B9">
      <w:pPr>
        <w:snapToGrid w:val="0"/>
        <w:spacing w:line="300" w:lineRule="auto"/>
        <w:rPr>
          <w:rFonts w:ascii="Arial" w:hAnsi="Arial" w:eastAsia="宋体" w:cs="Arial"/>
        </w:rPr>
      </w:pPr>
      <w:r>
        <w:rPr>
          <w:rFonts w:ascii="Arial" w:hAnsi="Arial" w:eastAsia="宋体" w:cs="Arial"/>
        </w:rPr>
        <w:t>阴茎夹板是旨在附着或放置在阴茎处的柔韧性支撑结构，用于性交期间维持阴茎的勃起状态。阴茎夹板包括一个可将夹板快速移除的快速释放机制。</w:t>
      </w:r>
    </w:p>
    <w:p w14:paraId="71B1210A">
      <w:pPr>
        <w:snapToGrid w:val="0"/>
        <w:spacing w:line="300" w:lineRule="auto"/>
        <w:rPr>
          <w:rFonts w:ascii="Arial" w:hAnsi="Arial" w:eastAsia="宋体" w:cs="Arial"/>
        </w:rPr>
      </w:pPr>
    </w:p>
    <w:p w14:paraId="07026ED6">
      <w:pPr>
        <w:snapToGrid w:val="0"/>
        <w:spacing w:line="300" w:lineRule="auto"/>
        <w:rPr>
          <w:rFonts w:ascii="Arial" w:hAnsi="Arial" w:eastAsia="宋体" w:cs="Arial"/>
        </w:rPr>
      </w:pPr>
      <w:r>
        <w:rPr>
          <w:rFonts w:ascii="Arial" w:hAnsi="Arial" w:eastAsia="宋体" w:cs="Arial"/>
        </w:rPr>
        <w:t>外部影响阴茎硬度器械不</w:t>
      </w:r>
      <w:bookmarkStart w:id="4" w:name="OLE_LINK17"/>
      <w:bookmarkStart w:id="5" w:name="OLE_LINK16"/>
      <w:r>
        <w:rPr>
          <w:rFonts w:ascii="Arial" w:hAnsi="Arial" w:eastAsia="宋体" w:cs="Arial"/>
        </w:rPr>
        <w:t>包括</w:t>
      </w:r>
      <w:bookmarkEnd w:id="4"/>
      <w:bookmarkEnd w:id="5"/>
      <w:r>
        <w:rPr>
          <w:rFonts w:ascii="Arial" w:hAnsi="Arial" w:eastAsia="宋体" w:cs="Arial"/>
        </w:rPr>
        <w:t>以下预期用途：</w:t>
      </w:r>
    </w:p>
    <w:p w14:paraId="6B0F6B17">
      <w:pPr>
        <w:snapToGrid w:val="0"/>
        <w:spacing w:line="300" w:lineRule="auto"/>
        <w:rPr>
          <w:rFonts w:ascii="Arial" w:hAnsi="Arial" w:eastAsia="宋体" w:cs="Arial"/>
        </w:rPr>
      </w:pPr>
    </w:p>
    <w:p w14:paraId="1760A1AA">
      <w:pPr>
        <w:pStyle w:val="12"/>
        <w:numPr>
          <w:ilvl w:val="0"/>
          <w:numId w:val="3"/>
        </w:numPr>
        <w:snapToGrid w:val="0"/>
        <w:spacing w:line="300" w:lineRule="auto"/>
        <w:ind w:firstLineChars="0"/>
        <w:rPr>
          <w:rFonts w:ascii="Arial" w:hAnsi="Arial" w:eastAsia="宋体" w:cs="Arial"/>
        </w:rPr>
      </w:pPr>
      <w:r>
        <w:rPr>
          <w:rFonts w:ascii="Arial" w:hAnsi="Arial" w:eastAsia="宋体" w:cs="Arial"/>
        </w:rPr>
        <w:t>机械性阴茎扩展器</w:t>
      </w:r>
    </w:p>
    <w:p w14:paraId="267F8316">
      <w:pPr>
        <w:pStyle w:val="12"/>
        <w:numPr>
          <w:ilvl w:val="0"/>
          <w:numId w:val="3"/>
        </w:numPr>
        <w:snapToGrid w:val="0"/>
        <w:spacing w:line="300" w:lineRule="auto"/>
        <w:ind w:firstLineChars="0"/>
        <w:rPr>
          <w:rFonts w:ascii="Arial" w:hAnsi="Arial" w:eastAsia="宋体" w:cs="Arial"/>
        </w:rPr>
      </w:pPr>
      <w:r>
        <w:rPr>
          <w:rFonts w:ascii="Arial" w:hAnsi="Arial" w:eastAsia="宋体" w:cs="Arial"/>
        </w:rPr>
        <w:t>包皮重塑或修复</w:t>
      </w:r>
    </w:p>
    <w:p w14:paraId="3041C639">
      <w:pPr>
        <w:pStyle w:val="12"/>
        <w:numPr>
          <w:ilvl w:val="0"/>
          <w:numId w:val="3"/>
        </w:numPr>
        <w:snapToGrid w:val="0"/>
        <w:spacing w:line="300" w:lineRule="auto"/>
        <w:ind w:firstLineChars="0"/>
        <w:rPr>
          <w:rFonts w:ascii="Arial" w:hAnsi="Arial" w:eastAsia="宋体" w:cs="Arial"/>
        </w:rPr>
      </w:pPr>
      <w:r>
        <w:rPr>
          <w:rFonts w:ascii="Arial" w:hAnsi="Arial" w:eastAsia="宋体" w:cs="Arial"/>
        </w:rPr>
        <w:t>阴茎增强，如阴茎增大</w:t>
      </w:r>
    </w:p>
    <w:p w14:paraId="0A657543">
      <w:pPr>
        <w:pStyle w:val="12"/>
        <w:numPr>
          <w:ilvl w:val="0"/>
          <w:numId w:val="3"/>
        </w:numPr>
        <w:snapToGrid w:val="0"/>
        <w:spacing w:line="300" w:lineRule="auto"/>
        <w:ind w:firstLineChars="0"/>
        <w:rPr>
          <w:rFonts w:ascii="Arial" w:hAnsi="Arial" w:eastAsia="宋体" w:cs="Arial"/>
        </w:rPr>
      </w:pPr>
      <w:r>
        <w:rPr>
          <w:rFonts w:ascii="Arial" w:hAnsi="Arial" w:eastAsia="宋体" w:cs="Arial"/>
        </w:rPr>
        <w:t>涉及阴茎弯曲和其他阴茎畸形（如</w:t>
      </w:r>
      <w:bookmarkStart w:id="6" w:name="OLE_LINK34"/>
      <w:bookmarkStart w:id="7" w:name="OLE_LINK33"/>
      <w:bookmarkStart w:id="8" w:name="OLE_LINK6"/>
      <w:r>
        <w:rPr>
          <w:rFonts w:ascii="Arial" w:hAnsi="Arial" w:eastAsia="宋体" w:cs="Arial"/>
        </w:rPr>
        <w:t>佩罗尼氏病</w:t>
      </w:r>
      <w:bookmarkEnd w:id="6"/>
      <w:bookmarkEnd w:id="7"/>
      <w:bookmarkEnd w:id="8"/>
      <w:r>
        <w:rPr>
          <w:rFonts w:ascii="Arial" w:hAnsi="Arial" w:eastAsia="宋体" w:cs="Arial"/>
        </w:rPr>
        <w:t>）的疾病或病症的治疗</w:t>
      </w:r>
    </w:p>
    <w:p w14:paraId="66FFE78B">
      <w:pPr>
        <w:pStyle w:val="12"/>
        <w:numPr>
          <w:ilvl w:val="0"/>
          <w:numId w:val="3"/>
        </w:numPr>
        <w:snapToGrid w:val="0"/>
        <w:spacing w:line="300" w:lineRule="auto"/>
        <w:ind w:firstLineChars="0"/>
        <w:rPr>
          <w:rFonts w:ascii="Arial" w:hAnsi="Arial" w:eastAsia="宋体" w:cs="Arial"/>
        </w:rPr>
      </w:pPr>
      <w:r>
        <w:rPr>
          <w:rFonts w:ascii="Arial" w:hAnsi="Arial" w:eastAsia="宋体" w:cs="Arial"/>
        </w:rPr>
        <w:t>勃起功能障碍/阳痿的预防或逆转</w:t>
      </w:r>
    </w:p>
    <w:p w14:paraId="3168A317">
      <w:pPr>
        <w:pStyle w:val="12"/>
        <w:numPr>
          <w:ilvl w:val="0"/>
          <w:numId w:val="3"/>
        </w:numPr>
        <w:snapToGrid w:val="0"/>
        <w:spacing w:line="300" w:lineRule="auto"/>
        <w:ind w:firstLineChars="0"/>
        <w:rPr>
          <w:rFonts w:ascii="Arial" w:hAnsi="Arial" w:eastAsia="宋体" w:cs="Arial"/>
        </w:rPr>
      </w:pPr>
      <w:r>
        <w:rPr>
          <w:rFonts w:ascii="Arial" w:hAnsi="Arial" w:eastAsia="宋体" w:cs="Arial"/>
        </w:rPr>
        <w:t>将避孕套固定在阴茎上</w:t>
      </w:r>
    </w:p>
    <w:p w14:paraId="2DA59624">
      <w:pPr>
        <w:snapToGrid w:val="0"/>
        <w:spacing w:line="300" w:lineRule="auto"/>
        <w:rPr>
          <w:rFonts w:ascii="Arial" w:hAnsi="Arial" w:eastAsia="宋体" w:cs="Arial"/>
        </w:rPr>
      </w:pPr>
    </w:p>
    <w:p w14:paraId="28B85930">
      <w:pPr>
        <w:snapToGrid w:val="0"/>
        <w:spacing w:line="300" w:lineRule="auto"/>
        <w:rPr>
          <w:rFonts w:ascii="Arial" w:hAnsi="Arial" w:eastAsia="宋体" w:cs="Arial"/>
        </w:rPr>
      </w:pPr>
      <w:r>
        <w:rPr>
          <w:rFonts w:ascii="Arial" w:hAnsi="Arial" w:eastAsia="宋体" w:cs="Arial"/>
        </w:rPr>
        <w:t>拟用于上述用途的器械提出了安全性和有效性的新问题。我们认为不能确定其与本指南描述的外部影响阴茎硬度器械实质等同。贵公司可与泌尿和碎石器械科讨论关于此类器械的任何问题。</w:t>
      </w:r>
    </w:p>
    <w:p w14:paraId="1DF961C3">
      <w:pPr>
        <w:snapToGrid w:val="0"/>
        <w:spacing w:line="300" w:lineRule="auto"/>
        <w:rPr>
          <w:rFonts w:ascii="Arial" w:hAnsi="Arial" w:eastAsia="宋体" w:cs="Arial"/>
        </w:rPr>
      </w:pPr>
    </w:p>
    <w:p w14:paraId="0690F08C">
      <w:pPr>
        <w:widowControl/>
        <w:shd w:val="clear" w:color="auto" w:fill="FFFFFF"/>
        <w:snapToGrid w:val="0"/>
        <w:spacing w:line="300" w:lineRule="auto"/>
        <w:rPr>
          <w:rFonts w:ascii="Arial" w:hAnsi="Arial" w:eastAsia="宋体" w:cs="Arial"/>
          <w:b/>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433D4A8C">
      <w:pPr>
        <w:snapToGrid w:val="0"/>
        <w:spacing w:line="300" w:lineRule="auto"/>
        <w:rPr>
          <w:rFonts w:ascii="Arial" w:hAnsi="Arial" w:eastAsia="宋体" w:cs="Arial"/>
        </w:rPr>
      </w:pPr>
    </w:p>
    <w:p w14:paraId="484B6564">
      <w:pPr>
        <w:snapToGrid w:val="0"/>
        <w:spacing w:line="300" w:lineRule="auto"/>
        <w:rPr>
          <w:rFonts w:ascii="Arial" w:hAnsi="Arial" w:eastAsia="宋体" w:cs="Arial"/>
        </w:rPr>
      </w:pPr>
    </w:p>
    <w:p w14:paraId="5FAEAD97">
      <w:pPr>
        <w:widowControl/>
        <w:jc w:val="left"/>
        <w:rPr>
          <w:rFonts w:ascii="Arial" w:hAnsi="Arial" w:eastAsia="宋体" w:cs="Arial"/>
          <w:b/>
        </w:rPr>
      </w:pPr>
      <w:r>
        <w:rPr>
          <w:rFonts w:ascii="Arial" w:hAnsi="Arial" w:eastAsia="宋体" w:cs="Arial"/>
          <w:b/>
        </w:rPr>
        <w:br w:type="page"/>
      </w:r>
    </w:p>
    <w:p w14:paraId="7DB495E7">
      <w:pPr>
        <w:snapToGrid w:val="0"/>
        <w:spacing w:line="300" w:lineRule="auto"/>
        <w:rPr>
          <w:rFonts w:ascii="Arial" w:hAnsi="Arial" w:eastAsia="宋体" w:cs="Arial"/>
          <w:b/>
        </w:rPr>
      </w:pPr>
      <w:r>
        <w:rPr>
          <w:rFonts w:ascii="Helvetica" w:hAnsi="Helvetica" w:eastAsia="宋体" w:cs="Helvetica"/>
          <w:color w:val="000000"/>
          <w:kern w:val="0"/>
          <w:sz w:val="22"/>
        </w:rPr>
        <w:pict>
          <v:rect id="_x0000_i1027" o:spt="1" style="height:0pt;width:0pt;" fillcolor="#A0A0A0" filled="t" stroked="f" coordsize="21600,21600" o:hr="t" o:hrstd="t" o:hralign="center">
            <v:path/>
            <v:fill on="t" focussize="0,0"/>
            <v:stroke on="f"/>
            <v:imagedata o:title=""/>
            <o:lock v:ext="edit"/>
            <w10:wrap type="none"/>
            <w10:anchorlock/>
          </v:rect>
        </w:pict>
      </w:r>
    </w:p>
    <w:p w14:paraId="06FA202B">
      <w:pPr>
        <w:snapToGrid w:val="0"/>
        <w:spacing w:line="300" w:lineRule="auto"/>
        <w:rPr>
          <w:rFonts w:ascii="Arial" w:hAnsi="Arial" w:eastAsia="宋体" w:cs="Arial"/>
          <w:b/>
        </w:rPr>
      </w:pPr>
    </w:p>
    <w:p w14:paraId="49A55A8A">
      <w:pPr>
        <w:snapToGrid w:val="0"/>
        <w:spacing w:line="300" w:lineRule="auto"/>
        <w:rPr>
          <w:rFonts w:ascii="Arial" w:hAnsi="Arial" w:eastAsia="宋体" w:cs="Arial"/>
          <w:b/>
        </w:rPr>
      </w:pPr>
      <w:r>
        <w:rPr>
          <w:rFonts w:ascii="Arial" w:hAnsi="Arial" w:eastAsia="宋体" w:cs="Arial"/>
          <w:b/>
        </w:rPr>
        <w:t>3. 健康风险</w:t>
      </w:r>
    </w:p>
    <w:p w14:paraId="08F7D41E">
      <w:pPr>
        <w:snapToGrid w:val="0"/>
        <w:spacing w:line="300" w:lineRule="auto"/>
        <w:rPr>
          <w:rFonts w:ascii="Arial" w:hAnsi="Arial" w:eastAsia="宋体" w:cs="Arial"/>
        </w:rPr>
      </w:pPr>
    </w:p>
    <w:p w14:paraId="32DF0D3B">
      <w:pPr>
        <w:snapToGrid w:val="0"/>
        <w:spacing w:line="300" w:lineRule="auto"/>
        <w:rPr>
          <w:rFonts w:ascii="Arial" w:hAnsi="Arial" w:eastAsia="宋体" w:cs="Arial"/>
        </w:rPr>
      </w:pPr>
      <w:r>
        <w:rPr>
          <w:rFonts w:ascii="Arial" w:hAnsi="Arial" w:eastAsia="宋体" w:cs="Arial"/>
        </w:rPr>
        <w:t>FDA在下表中确认了与使用外部影响阴茎硬度器械有关的健康风险。FDA建议采取下表所列措施缓解本指南确认的健康风险。</w:t>
      </w:r>
    </w:p>
    <w:p w14:paraId="60866321">
      <w:pPr>
        <w:snapToGrid w:val="0"/>
        <w:spacing w:line="300" w:lineRule="auto"/>
        <w:rPr>
          <w:rFonts w:ascii="Arial" w:hAnsi="Arial" w:eastAsia="宋体" w:cs="Aria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10"/>
        <w:gridCol w:w="2844"/>
      </w:tblGrid>
      <w:tr w14:paraId="6FE3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shd w:val="clear" w:color="auto" w:fill="0000FF"/>
          </w:tcPr>
          <w:p w14:paraId="21267920">
            <w:pPr>
              <w:snapToGrid w:val="0"/>
              <w:spacing w:line="300" w:lineRule="auto"/>
              <w:jc w:val="center"/>
              <w:rPr>
                <w:rFonts w:ascii="Arial" w:hAnsi="Arial" w:eastAsia="宋体" w:cs="Arial"/>
              </w:rPr>
            </w:pPr>
            <w:r>
              <w:rPr>
                <w:rFonts w:ascii="Arial" w:hAnsi="Arial" w:eastAsia="宋体" w:cs="Arial"/>
              </w:rPr>
              <w:t>表1. 确认风险和</w:t>
            </w:r>
            <w:bookmarkStart w:id="9" w:name="OLE_LINK23"/>
            <w:r>
              <w:rPr>
                <w:rFonts w:ascii="Arial" w:hAnsi="Arial" w:eastAsia="宋体" w:cs="Arial"/>
              </w:rPr>
              <w:t>建议采取的缓解措施</w:t>
            </w:r>
            <w:bookmarkEnd w:id="9"/>
          </w:p>
        </w:tc>
      </w:tr>
      <w:tr w14:paraId="6CA6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7" w:type="pct"/>
          </w:tcPr>
          <w:p w14:paraId="55254145">
            <w:pPr>
              <w:snapToGrid w:val="0"/>
              <w:spacing w:line="300" w:lineRule="auto"/>
              <w:rPr>
                <w:rFonts w:ascii="Arial" w:hAnsi="Arial" w:eastAsia="宋体" w:cs="Arial"/>
              </w:rPr>
            </w:pPr>
            <w:r>
              <w:rPr>
                <w:rFonts w:ascii="Arial" w:hAnsi="Arial" w:eastAsia="宋体" w:cs="Arial"/>
              </w:rPr>
              <w:t>确认风险</w:t>
            </w:r>
          </w:p>
        </w:tc>
        <w:tc>
          <w:tcPr>
            <w:tcW w:w="1443" w:type="pct"/>
          </w:tcPr>
          <w:p w14:paraId="6031E71C">
            <w:pPr>
              <w:snapToGrid w:val="0"/>
              <w:spacing w:line="300" w:lineRule="auto"/>
              <w:rPr>
                <w:rFonts w:ascii="Arial" w:hAnsi="Arial" w:eastAsia="宋体" w:cs="Arial"/>
              </w:rPr>
            </w:pPr>
            <w:r>
              <w:rPr>
                <w:rFonts w:ascii="Arial" w:hAnsi="Arial" w:eastAsia="宋体" w:cs="Arial"/>
              </w:rPr>
              <w:t>建议采取的缓解措施</w:t>
            </w:r>
          </w:p>
        </w:tc>
      </w:tr>
      <w:tr w14:paraId="150B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7" w:type="pct"/>
          </w:tcPr>
          <w:p w14:paraId="5BA9C2F6">
            <w:pPr>
              <w:snapToGrid w:val="0"/>
              <w:spacing w:line="300" w:lineRule="auto"/>
              <w:rPr>
                <w:rFonts w:ascii="Arial" w:hAnsi="Arial" w:eastAsia="宋体" w:cs="Arial"/>
              </w:rPr>
            </w:pPr>
            <w:r>
              <w:rPr>
                <w:rFonts w:ascii="Arial" w:hAnsi="Arial" w:eastAsia="宋体" w:cs="Arial"/>
              </w:rPr>
              <w:t>组织损伤、外伤或感染（用户及其配偶）</w:t>
            </w:r>
          </w:p>
        </w:tc>
        <w:tc>
          <w:tcPr>
            <w:tcW w:w="1443" w:type="pct"/>
          </w:tcPr>
          <w:p w14:paraId="4F8DA123">
            <w:pPr>
              <w:snapToGrid w:val="0"/>
              <w:spacing w:line="300" w:lineRule="auto"/>
              <w:rPr>
                <w:rFonts w:ascii="Arial" w:hAnsi="Arial" w:eastAsia="宋体" w:cs="Arial"/>
              </w:rPr>
            </w:pPr>
            <w:r>
              <w:rPr>
                <w:rFonts w:ascii="Arial" w:hAnsi="Arial" w:eastAsia="宋体" w:cs="Arial"/>
              </w:rPr>
              <w:t>设计特点（</w:t>
            </w:r>
            <w:r>
              <w:rPr>
                <w:rFonts w:ascii="Arial" w:hAnsi="Arial" w:eastAsia="宋体" w:cs="Arial"/>
                <w:color w:val="0000FF"/>
              </w:rPr>
              <w:t>第4节</w:t>
            </w:r>
            <w:r>
              <w:rPr>
                <w:rFonts w:ascii="Arial" w:hAnsi="Arial" w:eastAsia="宋体" w:cs="Arial"/>
              </w:rPr>
              <w:t>）</w:t>
            </w:r>
          </w:p>
        </w:tc>
      </w:tr>
      <w:tr w14:paraId="6A93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7" w:type="pct"/>
          </w:tcPr>
          <w:p w14:paraId="203790DE">
            <w:pPr>
              <w:snapToGrid w:val="0"/>
              <w:spacing w:line="300" w:lineRule="auto"/>
              <w:rPr>
                <w:rFonts w:ascii="Arial" w:hAnsi="Arial" w:eastAsia="宋体" w:cs="Arial"/>
              </w:rPr>
            </w:pPr>
            <w:r>
              <w:rPr>
                <w:rFonts w:ascii="Arial" w:hAnsi="Arial" w:eastAsia="宋体" w:cs="Arial"/>
              </w:rPr>
              <w:t>现有病症（如佩罗尼氏病、阴茎异常勃起和尿道狭窄）加重</w:t>
            </w:r>
          </w:p>
        </w:tc>
        <w:tc>
          <w:tcPr>
            <w:tcW w:w="1443" w:type="pct"/>
          </w:tcPr>
          <w:p w14:paraId="37114315">
            <w:pPr>
              <w:snapToGrid w:val="0"/>
              <w:spacing w:line="300" w:lineRule="auto"/>
              <w:rPr>
                <w:rFonts w:ascii="Arial" w:hAnsi="Arial" w:eastAsia="宋体" w:cs="Arial"/>
              </w:rPr>
            </w:pPr>
            <w:r>
              <w:rPr>
                <w:rFonts w:ascii="Arial" w:hAnsi="Arial" w:eastAsia="宋体" w:cs="Arial"/>
              </w:rPr>
              <w:t>标签（</w:t>
            </w:r>
            <w:r>
              <w:rPr>
                <w:rFonts w:ascii="Arial" w:hAnsi="Arial" w:eastAsia="宋体" w:cs="Arial"/>
                <w:color w:val="0000FF"/>
              </w:rPr>
              <w:t>第5节</w:t>
            </w:r>
            <w:r>
              <w:rPr>
                <w:rFonts w:ascii="Arial" w:hAnsi="Arial" w:eastAsia="宋体" w:cs="Arial"/>
              </w:rPr>
              <w:t>）</w:t>
            </w:r>
          </w:p>
        </w:tc>
      </w:tr>
    </w:tbl>
    <w:p w14:paraId="45C64EAC">
      <w:pPr>
        <w:snapToGrid w:val="0"/>
        <w:spacing w:line="300" w:lineRule="auto"/>
        <w:rPr>
          <w:rFonts w:ascii="Arial" w:hAnsi="Arial" w:eastAsia="宋体" w:cs="Arial"/>
        </w:rPr>
      </w:pPr>
    </w:p>
    <w:p w14:paraId="25F117D8">
      <w:pPr>
        <w:snapToGrid w:val="0"/>
        <w:spacing w:line="300" w:lineRule="auto"/>
        <w:rPr>
          <w:rFonts w:ascii="Arial" w:hAnsi="Arial" w:eastAsia="宋体" w:cs="Arial"/>
        </w:rPr>
      </w:pPr>
      <w:r>
        <w:rPr>
          <w:rFonts w:ascii="Arial" w:hAnsi="Arial" w:eastAsia="宋体" w:cs="Arial"/>
        </w:rPr>
        <w:t>FDA认为，遵循本指南提供的建议规范并与该法案的通用控制措施相结合将能为外部影响阴茎硬度器械的安全性与有效性提供合理保证。我们建议制造商根据以下所述对其器械进行评估，并在适当的时候将结果作为质量体系要求的一部分记录在设计历史文件中（</w:t>
      </w:r>
      <w:r>
        <w:rPr>
          <w:rFonts w:ascii="Arial" w:hAnsi="Arial" w:eastAsia="宋体" w:cs="Arial"/>
          <w:color w:val="0000FF"/>
          <w:u w:val="single"/>
        </w:rPr>
        <w:t>21 CFR 820.30</w:t>
      </w:r>
      <w:r>
        <w:rPr>
          <w:rFonts w:ascii="Arial" w:hAnsi="Arial" w:eastAsia="宋体" w:cs="Arial"/>
        </w:rPr>
        <w:t>）。</w:t>
      </w:r>
    </w:p>
    <w:p w14:paraId="4C1C9170">
      <w:pPr>
        <w:snapToGrid w:val="0"/>
        <w:spacing w:line="300" w:lineRule="auto"/>
        <w:rPr>
          <w:rFonts w:ascii="Arial" w:hAnsi="Arial" w:eastAsia="宋体" w:cs="Arial"/>
        </w:rPr>
      </w:pPr>
    </w:p>
    <w:p w14:paraId="5AA3A295">
      <w:pPr>
        <w:widowControl/>
        <w:shd w:val="clear" w:color="auto" w:fill="FFFFFF"/>
        <w:snapToGrid w:val="0"/>
        <w:spacing w:line="300" w:lineRule="auto"/>
        <w:rPr>
          <w:rFonts w:ascii="Arial" w:hAnsi="Arial" w:eastAsia="宋体" w:cs="Arial"/>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7DB8881E">
      <w:pPr>
        <w:snapToGrid w:val="0"/>
        <w:spacing w:line="300" w:lineRule="auto"/>
        <w:rPr>
          <w:rFonts w:ascii="Arial" w:hAnsi="Arial" w:eastAsia="宋体" w:cs="Arial"/>
        </w:rPr>
      </w:pPr>
    </w:p>
    <w:p w14:paraId="6AE06D1C">
      <w:pPr>
        <w:snapToGrid w:val="0"/>
        <w:spacing w:line="300" w:lineRule="auto"/>
        <w:rPr>
          <w:rFonts w:ascii="Arial" w:hAnsi="Arial" w:eastAsia="宋体" w:cs="Arial"/>
        </w:rPr>
      </w:pPr>
      <w:r>
        <w:rPr>
          <w:rFonts w:ascii="Helvetica" w:hAnsi="Helvetica" w:eastAsia="宋体" w:cs="Helvetica"/>
          <w:color w:val="000000"/>
          <w:kern w:val="0"/>
          <w:sz w:val="22"/>
        </w:rPr>
        <w:pict>
          <v:rect id="_x0000_i1028" o:spt="1" style="height:0pt;width:0pt;" fillcolor="#A0A0A0" filled="t" stroked="f" coordsize="21600,21600" o:hr="t" o:hrstd="t" o:hralign="center">
            <v:path/>
            <v:fill on="t" focussize="0,0"/>
            <v:stroke on="f"/>
            <v:imagedata o:title=""/>
            <o:lock v:ext="edit"/>
            <w10:wrap type="none"/>
            <w10:anchorlock/>
          </v:rect>
        </w:pict>
      </w:r>
    </w:p>
    <w:p w14:paraId="0EBCE46B">
      <w:pPr>
        <w:snapToGrid w:val="0"/>
        <w:spacing w:line="300" w:lineRule="auto"/>
        <w:rPr>
          <w:rFonts w:ascii="Arial" w:hAnsi="Arial" w:eastAsia="宋体" w:cs="Arial"/>
          <w:b/>
        </w:rPr>
      </w:pPr>
    </w:p>
    <w:p w14:paraId="6A685DC0">
      <w:pPr>
        <w:snapToGrid w:val="0"/>
        <w:spacing w:line="300" w:lineRule="auto"/>
        <w:rPr>
          <w:rFonts w:ascii="Arial" w:hAnsi="Arial" w:eastAsia="宋体" w:cs="Arial"/>
          <w:b/>
        </w:rPr>
      </w:pPr>
      <w:r>
        <w:rPr>
          <w:rFonts w:ascii="Arial" w:hAnsi="Arial" w:eastAsia="宋体" w:cs="Arial"/>
          <w:b/>
        </w:rPr>
        <w:t>4. 设计特点</w:t>
      </w:r>
    </w:p>
    <w:p w14:paraId="448F3391">
      <w:pPr>
        <w:snapToGrid w:val="0"/>
        <w:spacing w:line="300" w:lineRule="auto"/>
        <w:rPr>
          <w:rFonts w:ascii="Arial" w:hAnsi="Arial" w:eastAsia="宋体" w:cs="Arial"/>
        </w:rPr>
      </w:pPr>
    </w:p>
    <w:p w14:paraId="70BF052D">
      <w:pPr>
        <w:snapToGrid w:val="0"/>
        <w:spacing w:line="300" w:lineRule="auto"/>
        <w:rPr>
          <w:rFonts w:ascii="Arial" w:hAnsi="Arial" w:eastAsia="宋体" w:cs="Arial"/>
        </w:rPr>
      </w:pPr>
      <w:r>
        <w:rPr>
          <w:rFonts w:ascii="Arial" w:hAnsi="Arial" w:eastAsia="宋体" w:cs="Arial"/>
        </w:rPr>
        <w:t>我们建议外部影响阴茎硬度器械具有下述设计特点。我们认为利用这些特点可将该器械对用户造成损伤的潜在风险降至最低水平。</w:t>
      </w:r>
    </w:p>
    <w:p w14:paraId="3584FFB6">
      <w:pPr>
        <w:snapToGrid w:val="0"/>
        <w:spacing w:line="300" w:lineRule="auto"/>
        <w:rPr>
          <w:rFonts w:ascii="Arial" w:hAnsi="Arial" w:eastAsia="宋体" w:cs="Arial"/>
        </w:rPr>
      </w:pPr>
    </w:p>
    <w:p w14:paraId="1B981C5C">
      <w:pPr>
        <w:snapToGrid w:val="0"/>
        <w:spacing w:line="300" w:lineRule="auto"/>
        <w:rPr>
          <w:rFonts w:ascii="Arial" w:hAnsi="Arial" w:eastAsia="宋体" w:cs="Arial"/>
          <w:b/>
        </w:rPr>
      </w:pPr>
      <w:r>
        <w:rPr>
          <w:rFonts w:ascii="Arial" w:hAnsi="Arial" w:eastAsia="宋体" w:cs="Arial"/>
          <w:b/>
        </w:rPr>
        <w:t>真空泵的设计特点</w:t>
      </w:r>
    </w:p>
    <w:p w14:paraId="06C798B8">
      <w:pPr>
        <w:snapToGrid w:val="0"/>
        <w:spacing w:line="300" w:lineRule="auto"/>
        <w:rPr>
          <w:rFonts w:ascii="Arial" w:hAnsi="Arial" w:eastAsia="宋体" w:cs="Arial"/>
        </w:rPr>
      </w:pPr>
    </w:p>
    <w:p w14:paraId="727B6029">
      <w:pPr>
        <w:snapToGrid w:val="0"/>
        <w:spacing w:line="300" w:lineRule="auto"/>
        <w:rPr>
          <w:rFonts w:ascii="Arial" w:hAnsi="Arial" w:eastAsia="宋体" w:cs="Arial"/>
        </w:rPr>
      </w:pPr>
      <w:r>
        <w:rPr>
          <w:rFonts w:ascii="Arial" w:hAnsi="Arial" w:eastAsia="宋体" w:cs="Arial"/>
          <w:b/>
        </w:rPr>
        <w:t>手动安全机制</w:t>
      </w:r>
      <w:r>
        <w:rPr>
          <w:rFonts w:ascii="Arial" w:hAnsi="Arial" w:eastAsia="宋体" w:cs="Arial"/>
        </w:rPr>
        <w:t>－真空器械应包括一个用于快速释放真空压力的手动操作机制。该设计不包括用于延长连续使用时间的设计特点。</w:t>
      </w:r>
    </w:p>
    <w:p w14:paraId="401B0A82">
      <w:pPr>
        <w:snapToGrid w:val="0"/>
        <w:spacing w:line="300" w:lineRule="auto"/>
        <w:rPr>
          <w:rFonts w:ascii="Arial" w:hAnsi="Arial" w:eastAsia="宋体" w:cs="Arial"/>
        </w:rPr>
      </w:pPr>
    </w:p>
    <w:p w14:paraId="06CB043B">
      <w:pPr>
        <w:snapToGrid w:val="0"/>
        <w:spacing w:line="300" w:lineRule="auto"/>
        <w:rPr>
          <w:rFonts w:ascii="Arial" w:hAnsi="Arial" w:eastAsia="宋体" w:cs="Arial"/>
        </w:rPr>
      </w:pPr>
      <w:r>
        <w:rPr>
          <w:rFonts w:ascii="Arial" w:hAnsi="Arial" w:eastAsia="宋体" w:cs="Arial"/>
          <w:b/>
        </w:rPr>
        <w:t>真空能阶</w:t>
      </w:r>
      <w:r>
        <w:rPr>
          <w:rFonts w:ascii="Arial" w:hAnsi="Arial" w:eastAsia="宋体" w:cs="Arial"/>
        </w:rPr>
        <w:t>－真空泵通常可抽出小于17英寸汞柱的真空。如果新器械的真空范围明显不同于该参数，制造商应开展研究，确定其器械所抽真空的可接受性。</w:t>
      </w:r>
      <w:r>
        <w:rPr>
          <w:rFonts w:ascii="Arial" w:hAnsi="Arial" w:eastAsia="宋体" w:cs="Arial"/>
          <w:vertAlign w:val="superscript"/>
        </w:rPr>
        <w:t>2</w:t>
      </w:r>
      <w:r>
        <w:rPr>
          <w:rFonts w:ascii="Arial" w:hAnsi="Arial" w:eastAsia="宋体" w:cs="Arial"/>
        </w:rPr>
        <w:t>制造商应通过测试验证最大真空能阶。该器械应包含一个自动安全阀用于将真空压力限制在安全水平。</w:t>
      </w:r>
    </w:p>
    <w:p w14:paraId="3198EEB9">
      <w:pPr>
        <w:snapToGrid w:val="0"/>
        <w:spacing w:line="300" w:lineRule="auto"/>
        <w:rPr>
          <w:rFonts w:ascii="Arial" w:hAnsi="Arial" w:eastAsia="宋体" w:cs="Arial"/>
        </w:rPr>
      </w:pPr>
    </w:p>
    <w:p w14:paraId="4E6D8244">
      <w:pPr>
        <w:widowControl/>
        <w:jc w:val="left"/>
        <w:rPr>
          <w:rFonts w:ascii="Arial" w:hAnsi="Arial" w:eastAsia="宋体" w:cs="Arial"/>
          <w:b/>
        </w:rPr>
      </w:pPr>
      <w:r>
        <w:rPr>
          <w:rFonts w:ascii="Arial" w:hAnsi="Arial" w:eastAsia="宋体" w:cs="Arial"/>
          <w:b/>
        </w:rPr>
        <w:br w:type="page"/>
      </w:r>
    </w:p>
    <w:p w14:paraId="101CBA18">
      <w:pPr>
        <w:snapToGrid w:val="0"/>
        <w:spacing w:line="300" w:lineRule="auto"/>
        <w:rPr>
          <w:rFonts w:ascii="Arial" w:hAnsi="Arial" w:eastAsia="宋体" w:cs="Arial"/>
        </w:rPr>
      </w:pPr>
      <w:r>
        <w:rPr>
          <w:rFonts w:ascii="Arial" w:hAnsi="Arial" w:eastAsia="宋体" w:cs="Arial"/>
          <w:b/>
        </w:rPr>
        <w:t>形状和外观设计</w:t>
      </w:r>
      <w:r>
        <w:rPr>
          <w:rFonts w:ascii="Arial" w:hAnsi="Arial" w:eastAsia="宋体" w:cs="Arial"/>
        </w:rPr>
        <w:t>－真空泵应拥有光滑的表面和形状。真空泵不应包含有助于延长器械使用时间与超出抽真空和制造勃起所需限制时间使用器械的设计特点，</w:t>
      </w:r>
    </w:p>
    <w:p w14:paraId="527D0535">
      <w:pPr>
        <w:snapToGrid w:val="0"/>
        <w:spacing w:line="300" w:lineRule="auto"/>
        <w:rPr>
          <w:rFonts w:ascii="Arial" w:hAnsi="Arial" w:eastAsia="宋体" w:cs="Arial"/>
        </w:rPr>
      </w:pPr>
    </w:p>
    <w:p w14:paraId="5CF1B855">
      <w:pPr>
        <w:snapToGrid w:val="0"/>
        <w:spacing w:line="300" w:lineRule="auto"/>
        <w:rPr>
          <w:rFonts w:ascii="Arial" w:hAnsi="Arial" w:eastAsia="宋体" w:cs="Arial"/>
        </w:rPr>
      </w:pPr>
      <w:r>
        <w:rPr>
          <w:rFonts w:ascii="Arial" w:hAnsi="Arial" w:eastAsia="宋体" w:cs="Arial"/>
          <w:b/>
        </w:rPr>
        <w:t>电气安全</w:t>
      </w:r>
      <w:r>
        <w:rPr>
          <w:rFonts w:ascii="Arial" w:hAnsi="Arial" w:eastAsia="宋体" w:cs="Arial"/>
        </w:rPr>
        <w:t>－电动真空器械应在用户和器械电源间拥有适当的电隔离。根据国际电工委员会标准IEC 60601-1</w:t>
      </w:r>
      <w:r>
        <w:rPr>
          <w:rFonts w:ascii="宋体" w:hAnsi="宋体" w:eastAsia="宋体" w:cs="Arial"/>
        </w:rPr>
        <w:t>“</w:t>
      </w:r>
      <w:r>
        <w:rPr>
          <w:rFonts w:ascii="Arial" w:hAnsi="Arial" w:eastAsia="宋体" w:cs="Arial"/>
        </w:rPr>
        <w:t>医用电动设备－第1部分：一般安全要求（一般）</w:t>
      </w:r>
      <w:r>
        <w:rPr>
          <w:rFonts w:ascii="宋体" w:hAnsi="宋体" w:eastAsia="宋体" w:cs="Arial"/>
        </w:rPr>
        <w:t>”</w:t>
      </w:r>
      <w:r>
        <w:rPr>
          <w:rFonts w:ascii="Arial" w:hAnsi="Arial" w:eastAsia="宋体" w:cs="Arial"/>
        </w:rPr>
        <w:t>的规定，器械漏电不应超过安全限值。</w:t>
      </w:r>
    </w:p>
    <w:p w14:paraId="75CD13CC">
      <w:pPr>
        <w:snapToGrid w:val="0"/>
        <w:spacing w:line="300" w:lineRule="auto"/>
        <w:rPr>
          <w:rFonts w:ascii="Arial" w:hAnsi="Arial" w:eastAsia="宋体" w:cs="Arial"/>
        </w:rPr>
      </w:pPr>
    </w:p>
    <w:p w14:paraId="3ECCFD9B">
      <w:pPr>
        <w:snapToGrid w:val="0"/>
        <w:spacing w:line="300" w:lineRule="auto"/>
        <w:rPr>
          <w:rFonts w:ascii="Arial" w:hAnsi="Arial" w:eastAsia="宋体" w:cs="Arial"/>
          <w:b/>
        </w:rPr>
      </w:pPr>
      <w:r>
        <w:rPr>
          <w:rFonts w:ascii="Arial" w:hAnsi="Arial" w:eastAsia="宋体" w:cs="Arial"/>
          <w:b/>
        </w:rPr>
        <w:t>缩窄环的设计特点</w:t>
      </w:r>
    </w:p>
    <w:p w14:paraId="0593FB4A">
      <w:pPr>
        <w:snapToGrid w:val="0"/>
        <w:spacing w:line="300" w:lineRule="auto"/>
        <w:rPr>
          <w:rFonts w:ascii="Arial" w:hAnsi="Arial" w:eastAsia="宋体" w:cs="Arial"/>
        </w:rPr>
      </w:pPr>
    </w:p>
    <w:p w14:paraId="6779443B">
      <w:pPr>
        <w:snapToGrid w:val="0"/>
        <w:spacing w:line="300" w:lineRule="auto"/>
        <w:rPr>
          <w:rFonts w:ascii="Arial" w:hAnsi="Arial" w:eastAsia="宋体" w:cs="Arial"/>
        </w:rPr>
      </w:pPr>
      <w:r>
        <w:rPr>
          <w:rFonts w:ascii="Arial" w:hAnsi="Arial" w:eastAsia="宋体" w:cs="Arial"/>
          <w:b/>
        </w:rPr>
        <w:t>手动安全释放机制</w:t>
      </w:r>
      <w:r>
        <w:rPr>
          <w:rFonts w:ascii="Arial" w:hAnsi="Arial" w:eastAsia="宋体" w:cs="Arial"/>
        </w:rPr>
        <w:t>－该器械应拥有一个简单、快速的方法用于手动释放器械。缩窄器械的快速释放机制应包含一个足够宽的拉环、手柄、环圈或其他手段供用户解除连续使用缩窄压并移除器械。该设计不包括用于延长连续使用时间的设计特点。</w:t>
      </w:r>
    </w:p>
    <w:p w14:paraId="6B3ED6D5">
      <w:pPr>
        <w:snapToGrid w:val="0"/>
        <w:spacing w:line="300" w:lineRule="auto"/>
        <w:rPr>
          <w:rFonts w:ascii="Arial" w:hAnsi="Arial" w:eastAsia="宋体" w:cs="Arial"/>
        </w:rPr>
      </w:pPr>
    </w:p>
    <w:p w14:paraId="7A0F1435">
      <w:pPr>
        <w:snapToGrid w:val="0"/>
        <w:spacing w:line="300" w:lineRule="auto"/>
        <w:rPr>
          <w:rFonts w:ascii="Arial" w:hAnsi="Arial" w:eastAsia="宋体" w:cs="Arial"/>
        </w:rPr>
      </w:pPr>
      <w:r>
        <w:rPr>
          <w:rFonts w:ascii="Arial" w:hAnsi="Arial" w:eastAsia="宋体" w:cs="Arial"/>
          <w:b/>
        </w:rPr>
        <w:t>柔韧材料</w:t>
      </w:r>
      <w:r>
        <w:rPr>
          <w:rFonts w:ascii="Arial" w:hAnsi="Arial" w:eastAsia="宋体" w:cs="Arial"/>
        </w:rPr>
        <w:t>－缩窄环应使用柔软、柔韧材料将其对用户或其配偶造成损伤的可能性降至最低水平。</w:t>
      </w:r>
      <w:bookmarkStart w:id="10" w:name="OLE_LINK60"/>
      <w:bookmarkStart w:id="11" w:name="OLE_LINK61"/>
      <w:r>
        <w:rPr>
          <w:rFonts w:ascii="Arial" w:hAnsi="Arial" w:eastAsia="宋体" w:cs="Arial"/>
        </w:rPr>
        <w:t>所用材料不应导致涉及细胞毒性、敏化反应或刺激反应的不良组织反应且应符合国际标准组织适用于有限时间接触皮肤器械的标准ISO-10993</w:t>
      </w:r>
      <w:r>
        <w:rPr>
          <w:rFonts w:hint="eastAsia" w:ascii="宋体" w:hAnsi="宋体" w:eastAsia="宋体" w:cs="Arial"/>
        </w:rPr>
        <w:t>《</w:t>
      </w:r>
      <w:r>
        <w:rPr>
          <w:rFonts w:ascii="Arial" w:hAnsi="Arial" w:eastAsia="宋体" w:cs="Arial"/>
          <w:color w:val="0000FF"/>
          <w:u w:val="single"/>
        </w:rPr>
        <w:t>医疗器械的生物学评估第1部分：评估和测试</w:t>
      </w:r>
      <w:r>
        <w:rPr>
          <w:rFonts w:hint="eastAsia" w:ascii="宋体" w:hAnsi="宋体" w:eastAsia="宋体" w:cs="Arial"/>
        </w:rPr>
        <w:t>》</w:t>
      </w:r>
      <w:r>
        <w:rPr>
          <w:rFonts w:ascii="Arial" w:hAnsi="Arial" w:eastAsia="宋体" w:cs="Arial"/>
        </w:rPr>
        <w:t>。</w:t>
      </w:r>
    </w:p>
    <w:bookmarkEnd w:id="10"/>
    <w:bookmarkEnd w:id="11"/>
    <w:p w14:paraId="1CE14CCB">
      <w:pPr>
        <w:snapToGrid w:val="0"/>
        <w:spacing w:line="300" w:lineRule="auto"/>
        <w:rPr>
          <w:rFonts w:ascii="Arial" w:hAnsi="Arial" w:eastAsia="宋体" w:cs="Arial"/>
        </w:rPr>
      </w:pPr>
    </w:p>
    <w:p w14:paraId="4BF9AAA7">
      <w:pPr>
        <w:snapToGrid w:val="0"/>
        <w:spacing w:line="300" w:lineRule="auto"/>
        <w:rPr>
          <w:rFonts w:ascii="Arial" w:hAnsi="Arial" w:eastAsia="宋体" w:cs="Arial"/>
        </w:rPr>
      </w:pPr>
      <w:bookmarkStart w:id="12" w:name="OLE_LINK63"/>
      <w:bookmarkStart w:id="13" w:name="OLE_LINK62"/>
      <w:r>
        <w:rPr>
          <w:rFonts w:ascii="Arial" w:hAnsi="Arial" w:eastAsia="宋体" w:cs="Arial"/>
          <w:b/>
        </w:rPr>
        <w:t>形状和外观设计</w:t>
      </w:r>
      <w:r>
        <w:rPr>
          <w:rFonts w:ascii="Arial" w:hAnsi="Arial" w:eastAsia="宋体" w:cs="Arial"/>
        </w:rPr>
        <w:t>－缩窄环应包含一个光滑的形状和表面设计，将施加于用户及其配偶的突起点和压觉点降至最少。缩窄环应避免促进用户使用该器械超过30分钟的设计特点。</w:t>
      </w:r>
    </w:p>
    <w:bookmarkEnd w:id="12"/>
    <w:bookmarkEnd w:id="13"/>
    <w:p w14:paraId="576FE438">
      <w:pPr>
        <w:snapToGrid w:val="0"/>
        <w:spacing w:line="300" w:lineRule="auto"/>
        <w:rPr>
          <w:rFonts w:ascii="Arial" w:hAnsi="Arial" w:eastAsia="宋体" w:cs="Arial"/>
        </w:rPr>
      </w:pPr>
    </w:p>
    <w:p w14:paraId="4248415F">
      <w:pPr>
        <w:snapToGrid w:val="0"/>
        <w:spacing w:line="300" w:lineRule="auto"/>
        <w:rPr>
          <w:rFonts w:ascii="Arial" w:hAnsi="Arial" w:eastAsia="宋体" w:cs="Arial"/>
          <w:b/>
        </w:rPr>
      </w:pPr>
      <w:r>
        <w:rPr>
          <w:rFonts w:ascii="Arial" w:hAnsi="Arial" w:eastAsia="宋体" w:cs="Arial"/>
          <w:b/>
        </w:rPr>
        <w:t>阴茎夹板的设计特点</w:t>
      </w:r>
    </w:p>
    <w:p w14:paraId="668E065D">
      <w:pPr>
        <w:snapToGrid w:val="0"/>
        <w:spacing w:line="300" w:lineRule="auto"/>
        <w:rPr>
          <w:rFonts w:ascii="Arial" w:hAnsi="Arial" w:eastAsia="宋体" w:cs="Arial"/>
        </w:rPr>
      </w:pPr>
    </w:p>
    <w:p w14:paraId="114AD045">
      <w:pPr>
        <w:snapToGrid w:val="0"/>
        <w:spacing w:line="300" w:lineRule="auto"/>
        <w:rPr>
          <w:rFonts w:ascii="Arial" w:hAnsi="Arial" w:eastAsia="宋体" w:cs="Arial"/>
        </w:rPr>
      </w:pPr>
      <w:r>
        <w:rPr>
          <w:rFonts w:ascii="Arial" w:hAnsi="Arial" w:eastAsia="宋体" w:cs="Arial"/>
          <w:b/>
        </w:rPr>
        <w:t>手动安全机制</w:t>
      </w:r>
      <w:r>
        <w:rPr>
          <w:rFonts w:ascii="Arial" w:hAnsi="Arial" w:eastAsia="宋体" w:cs="Arial"/>
        </w:rPr>
        <w:t>－该装置应拥有一个简单、快速的方法便于手工释放和拿掉装置。该设计不应包含用于延长连续使用时间的设计特点。</w:t>
      </w:r>
    </w:p>
    <w:p w14:paraId="71CC4854">
      <w:pPr>
        <w:snapToGrid w:val="0"/>
        <w:spacing w:line="300" w:lineRule="auto"/>
        <w:rPr>
          <w:rFonts w:ascii="Arial" w:hAnsi="Arial" w:eastAsia="宋体" w:cs="Arial"/>
        </w:rPr>
      </w:pPr>
    </w:p>
    <w:p w14:paraId="73C7E13E">
      <w:pPr>
        <w:snapToGrid w:val="0"/>
        <w:spacing w:line="300" w:lineRule="auto"/>
        <w:rPr>
          <w:rFonts w:ascii="Arial" w:hAnsi="Arial" w:eastAsia="宋体" w:cs="Arial"/>
        </w:rPr>
      </w:pPr>
      <w:r>
        <w:rPr>
          <w:rFonts w:ascii="Arial" w:hAnsi="Arial" w:eastAsia="宋体" w:cs="Arial"/>
          <w:b/>
        </w:rPr>
        <w:t>柔韧材料</w:t>
      </w:r>
      <w:r>
        <w:rPr>
          <w:rFonts w:ascii="Arial" w:hAnsi="Arial" w:eastAsia="宋体" w:cs="Arial"/>
        </w:rPr>
        <w:t>－阴茎夹板应使用有助于将其对用户或配偶造成损伤的可能性降至最低程度的柔软、柔韧材料。所用材料不应导致涉及细胞毒性、敏化反应或刺激反应的不良组织反应且应遵循国际标准组织适用于有限时间接触皮肤器械的标准ISO-10993</w:t>
      </w:r>
      <w:r>
        <w:rPr>
          <w:rFonts w:hint="eastAsia" w:ascii="宋体" w:hAnsi="宋体" w:eastAsia="宋体" w:cs="Arial"/>
        </w:rPr>
        <w:t>《</w:t>
      </w:r>
      <w:r>
        <w:rPr>
          <w:rFonts w:ascii="Arial" w:hAnsi="Arial" w:eastAsia="宋体" w:cs="Arial"/>
          <w:color w:val="0000FF"/>
          <w:u w:val="single"/>
        </w:rPr>
        <w:t>医疗器械的生物学评估 第1部分：评估和测试</w:t>
      </w:r>
      <w:r>
        <w:rPr>
          <w:rFonts w:hint="eastAsia" w:ascii="宋体" w:hAnsi="宋体" w:eastAsia="宋体" w:cs="Arial"/>
        </w:rPr>
        <w:t>》</w:t>
      </w:r>
      <w:r>
        <w:rPr>
          <w:rFonts w:ascii="Arial" w:hAnsi="Arial" w:eastAsia="宋体" w:cs="Arial"/>
        </w:rPr>
        <w:t>。</w:t>
      </w:r>
    </w:p>
    <w:p w14:paraId="15510B76">
      <w:pPr>
        <w:snapToGrid w:val="0"/>
        <w:spacing w:line="300" w:lineRule="auto"/>
        <w:rPr>
          <w:rFonts w:ascii="Arial" w:hAnsi="Arial" w:eastAsia="宋体" w:cs="Arial"/>
        </w:rPr>
      </w:pPr>
    </w:p>
    <w:p w14:paraId="5FB04E9B">
      <w:pPr>
        <w:snapToGrid w:val="0"/>
        <w:spacing w:line="300" w:lineRule="auto"/>
        <w:rPr>
          <w:rFonts w:ascii="Arial" w:hAnsi="Arial" w:eastAsia="宋体" w:cs="Arial"/>
        </w:rPr>
      </w:pPr>
      <w:r>
        <w:rPr>
          <w:rFonts w:ascii="Arial" w:hAnsi="Arial" w:eastAsia="宋体" w:cs="Arial"/>
          <w:b/>
        </w:rPr>
        <w:t>形状和外观设计</w:t>
      </w:r>
      <w:r>
        <w:rPr>
          <w:rFonts w:ascii="Arial" w:hAnsi="Arial" w:eastAsia="宋体" w:cs="Arial"/>
        </w:rPr>
        <w:t>－阴茎夹板应包含光滑的形状和表面设计。阴茎夹板应设计为不挤压阴茎。</w:t>
      </w:r>
    </w:p>
    <w:p w14:paraId="09738282">
      <w:pPr>
        <w:widowControl/>
        <w:shd w:val="clear" w:color="auto" w:fill="FFFFFF"/>
        <w:snapToGrid w:val="0"/>
        <w:spacing w:line="300" w:lineRule="auto"/>
        <w:rPr>
          <w:rFonts w:ascii="Arial" w:hAnsi="Arial" w:eastAsia="宋体" w:cs="Arial"/>
        </w:rPr>
      </w:pPr>
    </w:p>
    <w:p w14:paraId="7C10BC55">
      <w:pPr>
        <w:widowControl/>
        <w:shd w:val="clear" w:color="auto" w:fill="FFFFFF"/>
        <w:snapToGrid w:val="0"/>
        <w:spacing w:line="300" w:lineRule="auto"/>
        <w:rPr>
          <w:rFonts w:ascii="Arial" w:hAnsi="Arial" w:eastAsia="宋体" w:cs="Arial"/>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1F0E7C2E">
      <w:pPr>
        <w:snapToGrid w:val="0"/>
        <w:spacing w:line="300" w:lineRule="auto"/>
        <w:rPr>
          <w:rFonts w:ascii="Arial" w:hAnsi="Arial" w:eastAsia="宋体" w:cs="Arial"/>
        </w:rPr>
      </w:pPr>
    </w:p>
    <w:p w14:paraId="22E9998D">
      <w:pPr>
        <w:snapToGrid w:val="0"/>
        <w:spacing w:line="300" w:lineRule="auto"/>
        <w:rPr>
          <w:rFonts w:ascii="Arial" w:hAnsi="Arial" w:eastAsia="宋体" w:cs="Arial"/>
        </w:rPr>
      </w:pPr>
      <w:r>
        <w:rPr>
          <w:rFonts w:ascii="Helvetica" w:hAnsi="Helvetica" w:eastAsia="宋体" w:cs="Helvetica"/>
          <w:color w:val="000000"/>
          <w:kern w:val="0"/>
          <w:sz w:val="22"/>
        </w:rPr>
        <w:pict>
          <v:rect id="_x0000_i1029" o:spt="1" style="height:0pt;width:0pt;" fillcolor="#A0A0A0" filled="t" stroked="f" coordsize="21600,21600" o:hr="t" o:hrstd="t" o:hralign="center">
            <v:path/>
            <v:fill on="t" focussize="0,0"/>
            <v:stroke on="f"/>
            <v:imagedata o:title=""/>
            <o:lock v:ext="edit"/>
            <w10:wrap type="none"/>
            <w10:anchorlock/>
          </v:rect>
        </w:pict>
      </w:r>
    </w:p>
    <w:p w14:paraId="376DAA53">
      <w:pPr>
        <w:snapToGrid w:val="0"/>
        <w:spacing w:line="300" w:lineRule="auto"/>
        <w:rPr>
          <w:rFonts w:ascii="Arial" w:hAnsi="Arial" w:eastAsia="宋体" w:cs="Arial"/>
        </w:rPr>
      </w:pPr>
    </w:p>
    <w:p w14:paraId="2CA19963">
      <w:pPr>
        <w:snapToGrid w:val="0"/>
        <w:spacing w:line="300" w:lineRule="auto"/>
        <w:rPr>
          <w:rFonts w:ascii="Arial" w:hAnsi="Arial" w:eastAsia="宋体" w:cs="Arial"/>
          <w:b/>
        </w:rPr>
      </w:pPr>
      <w:r>
        <w:rPr>
          <w:rFonts w:ascii="Arial" w:hAnsi="Arial" w:eastAsia="宋体" w:cs="Arial"/>
          <w:b/>
        </w:rPr>
        <w:t>5. 标签</w:t>
      </w:r>
      <w:r>
        <w:rPr>
          <w:rFonts w:ascii="Arial" w:hAnsi="Arial" w:eastAsia="宋体" w:cs="Arial"/>
          <w:b/>
          <w:vertAlign w:val="superscript"/>
        </w:rPr>
        <w:t>3</w:t>
      </w:r>
    </w:p>
    <w:p w14:paraId="77076AB0">
      <w:pPr>
        <w:snapToGrid w:val="0"/>
        <w:spacing w:line="300" w:lineRule="auto"/>
        <w:rPr>
          <w:rFonts w:ascii="Arial" w:hAnsi="Arial" w:eastAsia="宋体" w:cs="Arial"/>
        </w:rPr>
      </w:pPr>
    </w:p>
    <w:p w14:paraId="5E7147D9">
      <w:pPr>
        <w:snapToGrid w:val="0"/>
        <w:spacing w:line="300" w:lineRule="auto"/>
        <w:rPr>
          <w:rFonts w:ascii="Arial" w:hAnsi="Arial" w:eastAsia="宋体" w:cs="Arial"/>
        </w:rPr>
      </w:pPr>
      <w:r>
        <w:rPr>
          <w:rFonts w:ascii="Arial" w:hAnsi="Arial" w:eastAsia="宋体" w:cs="Arial"/>
        </w:rPr>
        <w:t xml:space="preserve">提出下列建议旨在帮助制造商准备符合 </w:t>
      </w:r>
      <w:r>
        <w:rPr>
          <w:rFonts w:ascii="Arial" w:hAnsi="Arial" w:eastAsia="宋体" w:cs="Arial"/>
          <w:color w:val="0000FF"/>
          <w:u w:val="single"/>
        </w:rPr>
        <w:t>21 CFR 第801</w:t>
      </w:r>
      <w:r>
        <w:rPr>
          <w:rFonts w:ascii="Arial" w:hAnsi="Arial" w:eastAsia="宋体" w:cs="Arial"/>
        </w:rPr>
        <w:t>部</w:t>
      </w:r>
      <w:r>
        <w:rPr>
          <w:rFonts w:hint="eastAsia" w:ascii="Arial" w:hAnsi="Arial" w:eastAsia="宋体" w:cs="Arial"/>
        </w:rPr>
        <w:t>分</w:t>
      </w:r>
      <w:r>
        <w:rPr>
          <w:rFonts w:ascii="Arial" w:hAnsi="Arial" w:eastAsia="宋体" w:cs="Arial"/>
        </w:rPr>
        <w:t>要求的标签。</w:t>
      </w:r>
    </w:p>
    <w:p w14:paraId="4FED6F41">
      <w:pPr>
        <w:snapToGrid w:val="0"/>
        <w:spacing w:line="300" w:lineRule="auto"/>
        <w:rPr>
          <w:rFonts w:ascii="Arial" w:hAnsi="Arial" w:eastAsia="宋体" w:cs="Arial"/>
        </w:rPr>
      </w:pPr>
    </w:p>
    <w:p w14:paraId="16607803">
      <w:pPr>
        <w:snapToGrid w:val="0"/>
        <w:spacing w:line="300" w:lineRule="auto"/>
        <w:rPr>
          <w:rFonts w:ascii="Arial" w:hAnsi="Arial" w:eastAsia="宋体" w:cs="Arial"/>
          <w:b/>
        </w:rPr>
      </w:pPr>
      <w:r>
        <w:rPr>
          <w:rFonts w:ascii="Arial" w:hAnsi="Arial" w:eastAsia="宋体" w:cs="Arial"/>
          <w:b/>
        </w:rPr>
        <w:t>使用说明书</w:t>
      </w:r>
    </w:p>
    <w:p w14:paraId="116B4643">
      <w:pPr>
        <w:snapToGrid w:val="0"/>
        <w:spacing w:line="300" w:lineRule="auto"/>
        <w:rPr>
          <w:rFonts w:ascii="Arial" w:hAnsi="Arial" w:eastAsia="宋体" w:cs="Arial"/>
        </w:rPr>
      </w:pPr>
    </w:p>
    <w:p w14:paraId="0985FF20">
      <w:pPr>
        <w:widowControl/>
        <w:jc w:val="left"/>
        <w:rPr>
          <w:rFonts w:ascii="Arial" w:hAnsi="Arial" w:eastAsia="宋体" w:cs="Arial"/>
        </w:rPr>
      </w:pPr>
      <w:r>
        <w:rPr>
          <w:rFonts w:ascii="Arial" w:hAnsi="Arial" w:eastAsia="宋体" w:cs="Arial"/>
        </w:rPr>
        <w:br w:type="page"/>
      </w:r>
    </w:p>
    <w:p w14:paraId="1FE0637C">
      <w:pPr>
        <w:snapToGrid w:val="0"/>
        <w:spacing w:line="300" w:lineRule="auto"/>
        <w:rPr>
          <w:rFonts w:ascii="Arial" w:hAnsi="Arial" w:eastAsia="宋体" w:cs="Arial"/>
        </w:rPr>
      </w:pPr>
      <w:r>
        <w:rPr>
          <w:rFonts w:ascii="Arial" w:hAnsi="Arial" w:eastAsia="宋体" w:cs="Arial"/>
        </w:rPr>
        <w:t>在使用说明书中应包含带有适当插图的关于如何选定器械规格、放置、操作、移除和清洗器械的综合性说明。</w:t>
      </w:r>
      <w:r>
        <w:rPr>
          <w:rFonts w:ascii="Arial" w:hAnsi="Arial" w:eastAsia="宋体" w:cs="Arial"/>
          <w:vertAlign w:val="superscript"/>
        </w:rPr>
        <w:t>4</w:t>
      </w:r>
      <w:r>
        <w:rPr>
          <w:rFonts w:ascii="Arial" w:hAnsi="Arial" w:eastAsia="宋体" w:cs="Arial"/>
        </w:rPr>
        <w:t>在使用说明书中还应包含对整个系统的一般描述性概述，包括系统及其主要组件的示意图以及对每个安全特点的描述。在使用说明书的第1页应包含用户在使用该器械前应阅读使用说明书的声明。</w:t>
      </w:r>
    </w:p>
    <w:p w14:paraId="577EB3D4">
      <w:pPr>
        <w:snapToGrid w:val="0"/>
        <w:spacing w:line="300" w:lineRule="auto"/>
        <w:rPr>
          <w:rFonts w:ascii="Arial" w:hAnsi="Arial" w:eastAsia="宋体" w:cs="Arial"/>
        </w:rPr>
      </w:pPr>
    </w:p>
    <w:p w14:paraId="2BDEA1C2">
      <w:pPr>
        <w:snapToGrid w:val="0"/>
        <w:spacing w:line="300" w:lineRule="auto"/>
        <w:rPr>
          <w:rFonts w:ascii="Arial" w:hAnsi="Arial" w:eastAsia="宋体" w:cs="Arial"/>
        </w:rPr>
      </w:pPr>
      <w:r>
        <w:rPr>
          <w:rFonts w:ascii="Arial" w:hAnsi="Arial" w:eastAsia="宋体" w:cs="Arial"/>
        </w:rPr>
        <w:t>使用说明书的撰写方式和格式应便于非专业人员（如8</w:t>
      </w:r>
      <w:r>
        <w:rPr>
          <w:rFonts w:hint="eastAsia" w:ascii="Arial" w:hAnsi="Arial" w:eastAsia="宋体" w:cs="Arial"/>
        </w:rPr>
        <w:t>年</w:t>
      </w:r>
      <w:r>
        <w:rPr>
          <w:rFonts w:ascii="Arial" w:hAnsi="Arial" w:eastAsia="宋体" w:cs="Arial"/>
        </w:rPr>
        <w:t>级阅读水平）阅读和理解。其中的任何医学或技术词汇均可非专业人员理解的术语或使用词汇表中定义的术语替代。我们建议在使用说明书中包含下列部分：</w:t>
      </w:r>
    </w:p>
    <w:p w14:paraId="2E2067E4">
      <w:pPr>
        <w:snapToGrid w:val="0"/>
        <w:spacing w:line="300" w:lineRule="auto"/>
        <w:rPr>
          <w:rFonts w:ascii="Arial" w:hAnsi="Arial" w:eastAsia="宋体" w:cs="Arial"/>
        </w:rPr>
      </w:pPr>
    </w:p>
    <w:p w14:paraId="1FB7C620">
      <w:pPr>
        <w:pStyle w:val="12"/>
        <w:numPr>
          <w:ilvl w:val="0"/>
          <w:numId w:val="4"/>
        </w:numPr>
        <w:snapToGrid w:val="0"/>
        <w:spacing w:line="300" w:lineRule="auto"/>
        <w:ind w:firstLineChars="0"/>
        <w:rPr>
          <w:rFonts w:ascii="Arial" w:hAnsi="Arial" w:eastAsia="宋体" w:cs="Arial"/>
        </w:rPr>
      </w:pPr>
      <w:r>
        <w:rPr>
          <w:rFonts w:ascii="Arial" w:hAnsi="Arial" w:eastAsia="宋体" w:cs="Arial"/>
        </w:rPr>
        <w:t>目录</w:t>
      </w:r>
    </w:p>
    <w:p w14:paraId="5D4418FB">
      <w:pPr>
        <w:pStyle w:val="12"/>
        <w:numPr>
          <w:ilvl w:val="0"/>
          <w:numId w:val="4"/>
        </w:numPr>
        <w:snapToGrid w:val="0"/>
        <w:spacing w:line="300" w:lineRule="auto"/>
        <w:ind w:firstLineChars="0"/>
        <w:rPr>
          <w:rFonts w:ascii="Arial" w:hAnsi="Arial" w:eastAsia="宋体" w:cs="Arial"/>
        </w:rPr>
      </w:pPr>
      <w:r>
        <w:rPr>
          <w:rFonts w:ascii="Arial" w:hAnsi="Arial" w:eastAsia="宋体" w:cs="Arial"/>
        </w:rPr>
        <w:t>对该器械及其预期用途的简要描述</w:t>
      </w:r>
    </w:p>
    <w:p w14:paraId="56F6372B">
      <w:pPr>
        <w:pStyle w:val="12"/>
        <w:numPr>
          <w:ilvl w:val="0"/>
          <w:numId w:val="4"/>
        </w:numPr>
        <w:snapToGrid w:val="0"/>
        <w:spacing w:line="300" w:lineRule="auto"/>
        <w:ind w:firstLineChars="0"/>
        <w:rPr>
          <w:rFonts w:ascii="Arial" w:hAnsi="Arial" w:eastAsia="宋体" w:cs="Arial"/>
        </w:rPr>
      </w:pPr>
      <w:r>
        <w:rPr>
          <w:rFonts w:ascii="Arial" w:hAnsi="Arial" w:eastAsia="宋体" w:cs="Arial"/>
        </w:rPr>
        <w:t>与使用该器械有关的所有潜在风险和危险的列表</w:t>
      </w:r>
    </w:p>
    <w:p w14:paraId="0A375049">
      <w:pPr>
        <w:pStyle w:val="12"/>
        <w:numPr>
          <w:ilvl w:val="0"/>
          <w:numId w:val="4"/>
        </w:numPr>
        <w:snapToGrid w:val="0"/>
        <w:spacing w:line="300" w:lineRule="auto"/>
        <w:ind w:firstLineChars="0"/>
        <w:rPr>
          <w:rFonts w:ascii="Arial" w:hAnsi="Arial" w:eastAsia="宋体" w:cs="Arial"/>
        </w:rPr>
      </w:pPr>
      <w:r>
        <w:rPr>
          <w:rFonts w:ascii="Arial" w:hAnsi="Arial" w:eastAsia="宋体" w:cs="Arial"/>
        </w:rPr>
        <w:t>警告声明列表与强调遵循警告声明重要性的结果</w:t>
      </w:r>
    </w:p>
    <w:p w14:paraId="37461C22">
      <w:pPr>
        <w:pStyle w:val="12"/>
        <w:numPr>
          <w:ilvl w:val="0"/>
          <w:numId w:val="4"/>
        </w:numPr>
        <w:snapToGrid w:val="0"/>
        <w:spacing w:line="300" w:lineRule="auto"/>
        <w:ind w:firstLineChars="0"/>
        <w:rPr>
          <w:rFonts w:ascii="Arial" w:hAnsi="Arial" w:eastAsia="宋体" w:cs="Arial"/>
        </w:rPr>
      </w:pPr>
      <w:r>
        <w:rPr>
          <w:rFonts w:ascii="Arial" w:hAnsi="Arial" w:eastAsia="宋体" w:cs="Arial"/>
        </w:rPr>
        <w:t>综合性说明</w:t>
      </w:r>
    </w:p>
    <w:p w14:paraId="70D37BD3">
      <w:pPr>
        <w:pStyle w:val="12"/>
        <w:numPr>
          <w:ilvl w:val="0"/>
          <w:numId w:val="4"/>
        </w:numPr>
        <w:snapToGrid w:val="0"/>
        <w:spacing w:line="300" w:lineRule="auto"/>
        <w:ind w:firstLineChars="0"/>
        <w:rPr>
          <w:rFonts w:ascii="Arial" w:hAnsi="Arial" w:eastAsia="宋体" w:cs="Arial"/>
        </w:rPr>
      </w:pPr>
      <w:r>
        <w:rPr>
          <w:rFonts w:ascii="Arial" w:hAnsi="Arial" w:eastAsia="宋体" w:cs="Arial"/>
        </w:rPr>
        <w:t>故障排除部分（附件1提供了建议内容和格式的实例）</w:t>
      </w:r>
    </w:p>
    <w:p w14:paraId="6B0DEBF2">
      <w:pPr>
        <w:pStyle w:val="12"/>
        <w:numPr>
          <w:ilvl w:val="0"/>
          <w:numId w:val="4"/>
        </w:numPr>
        <w:snapToGrid w:val="0"/>
        <w:spacing w:line="300" w:lineRule="auto"/>
        <w:ind w:firstLineChars="0"/>
        <w:rPr>
          <w:rFonts w:ascii="Arial" w:hAnsi="Arial" w:eastAsia="宋体" w:cs="Arial"/>
        </w:rPr>
      </w:pPr>
      <w:r>
        <w:rPr>
          <w:rFonts w:ascii="Arial" w:hAnsi="Arial" w:eastAsia="宋体" w:cs="Arial"/>
        </w:rPr>
        <w:t>说明中使用的任何医学或技术术语词汇表</w:t>
      </w:r>
    </w:p>
    <w:p w14:paraId="4404DBC1">
      <w:pPr>
        <w:snapToGrid w:val="0"/>
        <w:spacing w:line="300" w:lineRule="auto"/>
        <w:rPr>
          <w:rFonts w:ascii="Arial" w:hAnsi="Arial" w:eastAsia="宋体" w:cs="Arial"/>
        </w:rPr>
      </w:pPr>
    </w:p>
    <w:p w14:paraId="2DA37C53">
      <w:pPr>
        <w:snapToGrid w:val="0"/>
        <w:spacing w:line="300" w:lineRule="auto"/>
        <w:rPr>
          <w:rFonts w:ascii="Arial" w:hAnsi="Arial" w:eastAsia="宋体" w:cs="Arial"/>
          <w:b/>
        </w:rPr>
      </w:pPr>
      <w:r>
        <w:rPr>
          <w:rFonts w:ascii="Arial" w:hAnsi="Arial" w:eastAsia="宋体" w:cs="Arial"/>
          <w:b/>
        </w:rPr>
        <w:t>警告语</w:t>
      </w:r>
    </w:p>
    <w:p w14:paraId="5EDE91E9">
      <w:pPr>
        <w:snapToGrid w:val="0"/>
        <w:spacing w:line="300" w:lineRule="auto"/>
        <w:rPr>
          <w:rFonts w:ascii="Arial" w:hAnsi="Arial" w:eastAsia="宋体" w:cs="Arial"/>
        </w:rPr>
      </w:pPr>
    </w:p>
    <w:p w14:paraId="69C01AD7">
      <w:pPr>
        <w:snapToGrid w:val="0"/>
        <w:spacing w:line="300" w:lineRule="auto"/>
        <w:rPr>
          <w:rFonts w:ascii="Arial" w:hAnsi="Arial" w:eastAsia="宋体" w:cs="Arial"/>
        </w:rPr>
      </w:pPr>
      <w:r>
        <w:rPr>
          <w:rFonts w:ascii="Arial" w:hAnsi="Arial" w:eastAsia="宋体" w:cs="Arial"/>
        </w:rPr>
        <w:t>除上述信息外，FDA建议在标签中应对下列实例中给出的警告语。</w:t>
      </w:r>
    </w:p>
    <w:p w14:paraId="3D05E8F9">
      <w:pPr>
        <w:snapToGrid w:val="0"/>
        <w:spacing w:line="300" w:lineRule="auto"/>
        <w:rPr>
          <w:rFonts w:ascii="Arial" w:hAnsi="Arial" w:eastAsia="宋体" w:cs="Arial"/>
        </w:rPr>
      </w:pPr>
    </w:p>
    <w:p w14:paraId="1F97E61E">
      <w:pPr>
        <w:snapToGrid w:val="0"/>
        <w:spacing w:line="300" w:lineRule="auto"/>
        <w:rPr>
          <w:rFonts w:ascii="Arial" w:hAnsi="Arial" w:eastAsia="宋体" w:cs="Arial"/>
        </w:rPr>
      </w:pPr>
      <w:r>
        <w:rPr>
          <w:rFonts w:ascii="Arial" w:hAnsi="Arial" w:eastAsia="宋体" w:cs="Arial"/>
        </w:rPr>
        <w:t>其他疾病的延迟诊断</w:t>
      </w:r>
    </w:p>
    <w:p w14:paraId="7F9EB9DA">
      <w:pPr>
        <w:snapToGrid w:val="0"/>
        <w:spacing w:line="300" w:lineRule="auto"/>
        <w:rPr>
          <w:rFonts w:ascii="Arial" w:hAnsi="Arial" w:eastAsia="宋体" w:cs="Arial"/>
        </w:rPr>
      </w:pPr>
    </w:p>
    <w:p w14:paraId="159DD958">
      <w:pPr>
        <w:snapToGrid w:val="0"/>
        <w:spacing w:line="300" w:lineRule="auto"/>
        <w:rPr>
          <w:rFonts w:ascii="Arial" w:hAnsi="Arial" w:eastAsia="宋体" w:cs="Arial"/>
        </w:rPr>
      </w:pPr>
      <w:r>
        <w:rPr>
          <w:rFonts w:ascii="Arial" w:hAnsi="Arial" w:eastAsia="宋体" w:cs="Arial"/>
        </w:rPr>
        <w:t>如果有勃起功能障碍的症状，即无法实现足以性交的勃起，在使用该器械前请咨询医生，以便在对导致该障碍的任何最常见原因（如糖尿病、多发性硬化症、肝硬化、慢性肾功能衰竭或酒精中毒）进行诊断时避免造成可能有害的延迟。</w:t>
      </w:r>
    </w:p>
    <w:p w14:paraId="2F4C4753">
      <w:pPr>
        <w:snapToGrid w:val="0"/>
        <w:spacing w:line="300" w:lineRule="auto"/>
        <w:rPr>
          <w:rFonts w:ascii="Arial" w:hAnsi="Arial" w:eastAsia="宋体" w:cs="Arial"/>
        </w:rPr>
      </w:pPr>
    </w:p>
    <w:p w14:paraId="34D8FB10">
      <w:pPr>
        <w:snapToGrid w:val="0"/>
        <w:spacing w:line="300" w:lineRule="auto"/>
        <w:rPr>
          <w:rFonts w:ascii="Arial" w:hAnsi="Arial" w:eastAsia="宋体" w:cs="Arial"/>
        </w:rPr>
      </w:pPr>
      <w:r>
        <w:rPr>
          <w:rFonts w:ascii="Arial" w:hAnsi="Arial" w:eastAsia="宋体" w:cs="Arial"/>
        </w:rPr>
        <w:t>痛觉受损时的使用</w:t>
      </w:r>
    </w:p>
    <w:p w14:paraId="2D6BAEA6">
      <w:pPr>
        <w:snapToGrid w:val="0"/>
        <w:spacing w:line="300" w:lineRule="auto"/>
        <w:rPr>
          <w:rFonts w:ascii="Arial" w:hAnsi="Arial" w:eastAsia="宋体" w:cs="Arial"/>
        </w:rPr>
      </w:pPr>
    </w:p>
    <w:p w14:paraId="668541F7">
      <w:pPr>
        <w:snapToGrid w:val="0"/>
        <w:spacing w:line="300" w:lineRule="auto"/>
        <w:rPr>
          <w:rFonts w:ascii="Arial" w:hAnsi="Arial" w:eastAsia="宋体" w:cs="Arial"/>
        </w:rPr>
      </w:pPr>
      <w:r>
        <w:rPr>
          <w:rFonts w:ascii="Arial" w:hAnsi="Arial" w:eastAsia="宋体" w:cs="Arial"/>
        </w:rPr>
        <w:t>如果阴茎部位存在痛觉减退，请勿使用该器械。（该警告语应告知用户，如果他无法感觉到疼痛，可能无法知道该器械是否正在对他造成伤害。）</w:t>
      </w:r>
    </w:p>
    <w:p w14:paraId="35C2D02D">
      <w:pPr>
        <w:snapToGrid w:val="0"/>
        <w:spacing w:line="300" w:lineRule="auto"/>
        <w:rPr>
          <w:rFonts w:ascii="Arial" w:hAnsi="Arial" w:eastAsia="宋体" w:cs="Arial"/>
        </w:rPr>
      </w:pPr>
    </w:p>
    <w:p w14:paraId="37420D5E">
      <w:pPr>
        <w:snapToGrid w:val="0"/>
        <w:spacing w:line="300" w:lineRule="auto"/>
        <w:rPr>
          <w:rFonts w:ascii="Arial" w:hAnsi="Arial" w:eastAsia="宋体" w:cs="Arial"/>
        </w:rPr>
      </w:pPr>
      <w:r>
        <w:rPr>
          <w:rFonts w:ascii="Arial" w:hAnsi="Arial" w:eastAsia="宋体" w:cs="Arial"/>
        </w:rPr>
        <w:t>手乏力时的使用</w:t>
      </w:r>
    </w:p>
    <w:p w14:paraId="6E01E738">
      <w:pPr>
        <w:snapToGrid w:val="0"/>
        <w:spacing w:line="300" w:lineRule="auto"/>
        <w:rPr>
          <w:rFonts w:ascii="Arial" w:hAnsi="Arial" w:eastAsia="宋体" w:cs="Arial"/>
        </w:rPr>
      </w:pPr>
    </w:p>
    <w:p w14:paraId="516968CA">
      <w:pPr>
        <w:snapToGrid w:val="0"/>
        <w:spacing w:line="300" w:lineRule="auto"/>
        <w:rPr>
          <w:rFonts w:ascii="Arial" w:hAnsi="Arial" w:eastAsia="宋体" w:cs="Arial"/>
        </w:rPr>
      </w:pPr>
      <w:r>
        <w:rPr>
          <w:rFonts w:ascii="Arial" w:hAnsi="Arial" w:eastAsia="宋体" w:cs="Arial"/>
        </w:rPr>
        <w:t>如果感觉到手乏力，请勿使用该器械，因为这时可能会难以移除该器械。</w:t>
      </w:r>
    </w:p>
    <w:p w14:paraId="40FAE453">
      <w:pPr>
        <w:snapToGrid w:val="0"/>
        <w:spacing w:line="300" w:lineRule="auto"/>
        <w:rPr>
          <w:rFonts w:ascii="Arial" w:hAnsi="Arial" w:eastAsia="宋体" w:cs="Arial"/>
        </w:rPr>
      </w:pPr>
    </w:p>
    <w:p w14:paraId="42DC1BEB">
      <w:pPr>
        <w:snapToGrid w:val="0"/>
        <w:spacing w:line="300" w:lineRule="auto"/>
        <w:rPr>
          <w:rFonts w:ascii="Arial" w:hAnsi="Arial" w:eastAsia="宋体" w:cs="Arial"/>
        </w:rPr>
      </w:pPr>
      <w:r>
        <w:rPr>
          <w:rFonts w:ascii="Arial" w:hAnsi="Arial" w:eastAsia="宋体" w:cs="Arial"/>
        </w:rPr>
        <w:t>在标签中还应对替代治疗方法（如咨询、药物治疗、激素治疗、血管外科手术和植入式假体器械）进行描述。在标签中应建议器械用户与他的医生联系以获得关于这些替代治疗方法的更多信息。</w:t>
      </w:r>
    </w:p>
    <w:p w14:paraId="1BDBDBC5">
      <w:pPr>
        <w:snapToGrid w:val="0"/>
        <w:spacing w:line="300" w:lineRule="auto"/>
        <w:rPr>
          <w:rFonts w:ascii="Arial" w:hAnsi="Arial" w:eastAsia="宋体" w:cs="Arial"/>
        </w:rPr>
      </w:pPr>
    </w:p>
    <w:p w14:paraId="10110F2B">
      <w:pPr>
        <w:snapToGrid w:val="0"/>
        <w:spacing w:line="300" w:lineRule="auto"/>
        <w:rPr>
          <w:rFonts w:ascii="Arial" w:hAnsi="Arial" w:eastAsia="宋体" w:cs="Arial"/>
        </w:rPr>
      </w:pPr>
      <w:r>
        <w:rPr>
          <w:rFonts w:ascii="Arial" w:hAnsi="Arial" w:eastAsia="宋体" w:cs="Arial"/>
        </w:rPr>
        <w:t>在外部影响阴茎硬度器械的标签中还应包括：</w:t>
      </w:r>
    </w:p>
    <w:p w14:paraId="3675F14A">
      <w:pPr>
        <w:snapToGrid w:val="0"/>
        <w:spacing w:line="300" w:lineRule="auto"/>
        <w:rPr>
          <w:rFonts w:ascii="Arial" w:hAnsi="Arial" w:eastAsia="宋体" w:cs="Arial"/>
        </w:rPr>
      </w:pPr>
    </w:p>
    <w:p w14:paraId="60B10575">
      <w:pPr>
        <w:pStyle w:val="12"/>
        <w:numPr>
          <w:ilvl w:val="0"/>
          <w:numId w:val="5"/>
        </w:numPr>
        <w:snapToGrid w:val="0"/>
        <w:spacing w:line="300" w:lineRule="auto"/>
        <w:ind w:firstLineChars="0"/>
        <w:rPr>
          <w:rFonts w:ascii="Arial" w:hAnsi="Arial" w:eastAsia="宋体" w:cs="Arial"/>
        </w:rPr>
      </w:pPr>
      <w:r>
        <w:rPr>
          <w:rFonts w:ascii="Arial" w:hAnsi="Arial" w:eastAsia="宋体" w:cs="Arial"/>
        </w:rPr>
        <w:t>适应症</w:t>
      </w:r>
    </w:p>
    <w:p w14:paraId="52DE3544">
      <w:pPr>
        <w:pStyle w:val="12"/>
        <w:numPr>
          <w:ilvl w:val="0"/>
          <w:numId w:val="5"/>
        </w:numPr>
        <w:snapToGrid w:val="0"/>
        <w:spacing w:line="300" w:lineRule="auto"/>
        <w:ind w:firstLineChars="0"/>
        <w:rPr>
          <w:rFonts w:ascii="Arial" w:hAnsi="Arial" w:eastAsia="宋体" w:cs="Arial"/>
        </w:rPr>
      </w:pPr>
      <w:r>
        <w:rPr>
          <w:rFonts w:ascii="Arial" w:hAnsi="Arial" w:eastAsia="宋体" w:cs="Arial"/>
        </w:rPr>
        <w:t>该器械适用人群的识别信息</w:t>
      </w:r>
    </w:p>
    <w:p w14:paraId="26F6F8F0">
      <w:pPr>
        <w:pStyle w:val="12"/>
        <w:numPr>
          <w:ilvl w:val="0"/>
          <w:numId w:val="5"/>
        </w:numPr>
        <w:snapToGrid w:val="0"/>
        <w:spacing w:line="300" w:lineRule="auto"/>
        <w:ind w:firstLineChars="0"/>
        <w:rPr>
          <w:rFonts w:ascii="Arial" w:hAnsi="Arial" w:eastAsia="宋体" w:cs="Arial"/>
        </w:rPr>
      </w:pPr>
      <w:r>
        <w:rPr>
          <w:rFonts w:ascii="Arial" w:hAnsi="Arial" w:eastAsia="宋体" w:cs="Arial"/>
        </w:rPr>
        <w:t>在下列情况下建议用户及其配偶的警告语：如果发生任何并发症，应咨询医生；如果并发症持续，应停止使用该器械。</w:t>
      </w:r>
    </w:p>
    <w:p w14:paraId="5289483F">
      <w:pPr>
        <w:widowControl/>
        <w:jc w:val="left"/>
        <w:rPr>
          <w:rFonts w:ascii="Arial" w:hAnsi="Arial" w:eastAsia="宋体" w:cs="Arial"/>
        </w:rPr>
      </w:pPr>
    </w:p>
    <w:p w14:paraId="6E0F5692">
      <w:pPr>
        <w:pStyle w:val="12"/>
        <w:numPr>
          <w:ilvl w:val="0"/>
          <w:numId w:val="5"/>
        </w:numPr>
        <w:snapToGrid w:val="0"/>
        <w:spacing w:line="300" w:lineRule="auto"/>
        <w:ind w:firstLineChars="0"/>
        <w:rPr>
          <w:rFonts w:ascii="Arial" w:hAnsi="Arial" w:eastAsia="宋体" w:cs="Arial"/>
        </w:rPr>
      </w:pPr>
      <w:r>
        <w:rPr>
          <w:rFonts w:ascii="Arial" w:hAnsi="Arial" w:eastAsia="宋体" w:cs="Arial"/>
        </w:rPr>
        <w:t>请勿使用润滑油的警告语。润滑油可能对该器械的材料造成不良影响。同时给出此类润滑油的实例。</w:t>
      </w:r>
    </w:p>
    <w:p w14:paraId="02ECB93F">
      <w:pPr>
        <w:pStyle w:val="12"/>
        <w:numPr>
          <w:ilvl w:val="0"/>
          <w:numId w:val="5"/>
        </w:numPr>
        <w:snapToGrid w:val="0"/>
        <w:spacing w:line="300" w:lineRule="auto"/>
        <w:ind w:firstLineChars="0"/>
        <w:rPr>
          <w:rFonts w:ascii="Arial" w:hAnsi="Arial" w:eastAsia="宋体" w:cs="Arial"/>
        </w:rPr>
      </w:pPr>
      <w:r>
        <w:rPr>
          <w:rFonts w:ascii="Arial" w:hAnsi="Arial" w:eastAsia="宋体" w:cs="Arial"/>
        </w:rPr>
        <w:t>与贵公司的器械有关的其他禁忌征、警告语和注意事项（见附件1提供的实例。关于真空器械和缩窄环的患者宣传材料样本，1991年12月，当代泌尿学重印）。</w:t>
      </w:r>
    </w:p>
    <w:p w14:paraId="0EC517EF">
      <w:pPr>
        <w:pStyle w:val="12"/>
        <w:numPr>
          <w:ilvl w:val="0"/>
          <w:numId w:val="5"/>
        </w:numPr>
        <w:snapToGrid w:val="0"/>
        <w:spacing w:line="300" w:lineRule="auto"/>
        <w:ind w:firstLineChars="0"/>
        <w:rPr>
          <w:rFonts w:ascii="Arial" w:hAnsi="Arial" w:eastAsia="宋体" w:cs="Arial"/>
        </w:rPr>
      </w:pPr>
      <w:r>
        <w:rPr>
          <w:rFonts w:ascii="Arial" w:hAnsi="Arial" w:eastAsia="宋体" w:cs="Arial"/>
        </w:rPr>
        <w:t>一次性或单次使用状态（如适用）</w:t>
      </w:r>
    </w:p>
    <w:p w14:paraId="34E6AA45">
      <w:pPr>
        <w:snapToGrid w:val="0"/>
        <w:spacing w:line="300" w:lineRule="auto"/>
        <w:rPr>
          <w:rFonts w:ascii="Arial" w:hAnsi="Arial" w:eastAsia="宋体" w:cs="Arial"/>
        </w:rPr>
      </w:pPr>
    </w:p>
    <w:p w14:paraId="3DAFC39B">
      <w:pPr>
        <w:snapToGrid w:val="0"/>
        <w:spacing w:line="300" w:lineRule="auto"/>
        <w:rPr>
          <w:rFonts w:ascii="Arial" w:hAnsi="Arial" w:eastAsia="宋体" w:cs="Arial"/>
          <w:b/>
        </w:rPr>
      </w:pPr>
      <w:r>
        <w:rPr>
          <w:rFonts w:ascii="Arial" w:hAnsi="Arial" w:eastAsia="宋体" w:cs="Arial"/>
          <w:b/>
        </w:rPr>
        <w:t>真空泵的附加标签</w:t>
      </w:r>
    </w:p>
    <w:p w14:paraId="3CF4920F">
      <w:pPr>
        <w:snapToGrid w:val="0"/>
        <w:spacing w:line="300" w:lineRule="auto"/>
        <w:rPr>
          <w:rFonts w:ascii="Arial" w:hAnsi="Arial" w:eastAsia="宋体" w:cs="Arial"/>
        </w:rPr>
      </w:pPr>
    </w:p>
    <w:p w14:paraId="29B05C6F">
      <w:pPr>
        <w:snapToGrid w:val="0"/>
        <w:spacing w:line="300" w:lineRule="auto"/>
        <w:rPr>
          <w:rFonts w:ascii="Arial" w:hAnsi="Arial" w:eastAsia="宋体" w:cs="Arial"/>
        </w:rPr>
      </w:pPr>
      <w:r>
        <w:rPr>
          <w:rFonts w:ascii="Arial" w:hAnsi="Arial" w:eastAsia="宋体" w:cs="Arial"/>
        </w:rPr>
        <w:t>除所有外部影响阴茎硬度器械的信息外，FDA建议在真空泵的标签中应对以下实例给出的警告语和注意事项。</w:t>
      </w:r>
    </w:p>
    <w:p w14:paraId="2C3C6F1A">
      <w:pPr>
        <w:snapToGrid w:val="0"/>
        <w:spacing w:line="300" w:lineRule="auto"/>
        <w:rPr>
          <w:rFonts w:ascii="Arial" w:hAnsi="Arial" w:eastAsia="宋体" w:cs="Arial"/>
        </w:rPr>
      </w:pPr>
    </w:p>
    <w:p w14:paraId="6663DA85">
      <w:pPr>
        <w:snapToGrid w:val="0"/>
        <w:spacing w:line="300" w:lineRule="auto"/>
        <w:rPr>
          <w:rFonts w:ascii="Arial" w:hAnsi="Arial" w:eastAsia="宋体" w:cs="Arial"/>
          <w:b/>
        </w:rPr>
      </w:pPr>
      <w:r>
        <w:rPr>
          <w:rFonts w:ascii="Arial" w:hAnsi="Arial" w:eastAsia="宋体" w:cs="Arial"/>
          <w:b/>
        </w:rPr>
        <w:t>警告语</w:t>
      </w:r>
    </w:p>
    <w:p w14:paraId="431E4958">
      <w:pPr>
        <w:snapToGrid w:val="0"/>
        <w:spacing w:line="300" w:lineRule="auto"/>
        <w:rPr>
          <w:rFonts w:ascii="Arial" w:hAnsi="Arial" w:eastAsia="宋体" w:cs="Arial"/>
        </w:rPr>
      </w:pPr>
    </w:p>
    <w:p w14:paraId="316707A1">
      <w:pPr>
        <w:pStyle w:val="12"/>
        <w:numPr>
          <w:ilvl w:val="0"/>
          <w:numId w:val="6"/>
        </w:numPr>
        <w:snapToGrid w:val="0"/>
        <w:spacing w:line="300" w:lineRule="auto"/>
        <w:ind w:firstLineChars="0"/>
        <w:rPr>
          <w:rFonts w:ascii="Arial" w:hAnsi="Arial" w:eastAsia="宋体" w:cs="Arial"/>
        </w:rPr>
      </w:pPr>
      <w:r>
        <w:rPr>
          <w:rFonts w:ascii="Arial" w:hAnsi="Arial" w:eastAsia="宋体" w:cs="Arial"/>
        </w:rPr>
        <w:t>如果发生疼痛，停止使用真空泵</w:t>
      </w:r>
    </w:p>
    <w:p w14:paraId="7352F15D">
      <w:pPr>
        <w:pStyle w:val="12"/>
        <w:numPr>
          <w:ilvl w:val="0"/>
          <w:numId w:val="6"/>
        </w:numPr>
        <w:snapToGrid w:val="0"/>
        <w:spacing w:line="300" w:lineRule="auto"/>
        <w:ind w:firstLineChars="0"/>
        <w:rPr>
          <w:rFonts w:ascii="Arial" w:hAnsi="Arial" w:eastAsia="宋体" w:cs="Arial"/>
        </w:rPr>
      </w:pPr>
      <w:r>
        <w:rPr>
          <w:rFonts w:ascii="Arial" w:hAnsi="Arial" w:eastAsia="宋体" w:cs="Arial"/>
        </w:rPr>
        <w:t>处于受酒精或药物影响状态时请勿使用真空泵。</w:t>
      </w:r>
      <w:bookmarkStart w:id="14" w:name="OLE_LINK8"/>
      <w:r>
        <w:rPr>
          <w:rFonts w:ascii="Arial" w:hAnsi="Arial" w:eastAsia="宋体" w:cs="Arial"/>
        </w:rPr>
        <w:t>使用酒精或药物可损害用户的辨别力，增加对阴茎造成损伤的风险。</w:t>
      </w:r>
    </w:p>
    <w:bookmarkEnd w:id="14"/>
    <w:p w14:paraId="268DAE49">
      <w:pPr>
        <w:pStyle w:val="12"/>
        <w:numPr>
          <w:ilvl w:val="0"/>
          <w:numId w:val="6"/>
        </w:numPr>
        <w:snapToGrid w:val="0"/>
        <w:spacing w:line="300" w:lineRule="auto"/>
        <w:ind w:firstLineChars="0"/>
        <w:rPr>
          <w:rFonts w:ascii="Arial" w:hAnsi="Arial" w:eastAsia="宋体" w:cs="Arial"/>
        </w:rPr>
      </w:pPr>
      <w:r>
        <w:rPr>
          <w:rFonts w:ascii="Arial" w:hAnsi="Arial" w:eastAsia="宋体" w:cs="Arial"/>
        </w:rPr>
        <w:t>如果用户患有镰状细胞贫血、有持续性勃起史或正在服用大量阿司匹林或其他血液稀释剂，请勿使用真空泵。这些疾病或病症均增加发生挫伤或血肿的风险。</w:t>
      </w:r>
    </w:p>
    <w:p w14:paraId="2FF03BB7">
      <w:pPr>
        <w:pStyle w:val="12"/>
        <w:numPr>
          <w:ilvl w:val="0"/>
          <w:numId w:val="6"/>
        </w:numPr>
        <w:snapToGrid w:val="0"/>
        <w:spacing w:line="300" w:lineRule="auto"/>
        <w:ind w:firstLineChars="0"/>
        <w:rPr>
          <w:rFonts w:ascii="Arial" w:hAnsi="Arial" w:eastAsia="宋体" w:cs="Arial"/>
        </w:rPr>
      </w:pPr>
      <w:r>
        <w:rPr>
          <w:rFonts w:ascii="Arial" w:hAnsi="Arial" w:eastAsia="宋体" w:cs="Arial"/>
        </w:rPr>
        <w:t>误用真空泵可损伤阴茎。</w:t>
      </w:r>
    </w:p>
    <w:p w14:paraId="37E9D5ED">
      <w:pPr>
        <w:snapToGrid w:val="0"/>
        <w:spacing w:line="300" w:lineRule="auto"/>
        <w:rPr>
          <w:rFonts w:ascii="Arial" w:hAnsi="Arial" w:eastAsia="宋体" w:cs="Arial"/>
        </w:rPr>
      </w:pPr>
    </w:p>
    <w:p w14:paraId="5AF6C66C">
      <w:pPr>
        <w:snapToGrid w:val="0"/>
        <w:spacing w:line="300" w:lineRule="auto"/>
        <w:rPr>
          <w:rFonts w:ascii="Arial" w:hAnsi="Arial" w:eastAsia="宋体" w:cs="Arial"/>
          <w:b/>
        </w:rPr>
      </w:pPr>
      <w:r>
        <w:rPr>
          <w:rFonts w:ascii="Arial" w:hAnsi="Arial" w:eastAsia="宋体" w:cs="Arial"/>
          <w:b/>
        </w:rPr>
        <w:t>注意事项</w:t>
      </w:r>
    </w:p>
    <w:p w14:paraId="28379851">
      <w:pPr>
        <w:snapToGrid w:val="0"/>
        <w:spacing w:line="300" w:lineRule="auto"/>
        <w:rPr>
          <w:rFonts w:ascii="Arial" w:hAnsi="Arial" w:eastAsia="宋体" w:cs="Arial"/>
        </w:rPr>
      </w:pPr>
    </w:p>
    <w:p w14:paraId="3B28015E">
      <w:pPr>
        <w:pStyle w:val="12"/>
        <w:numPr>
          <w:ilvl w:val="0"/>
          <w:numId w:val="7"/>
        </w:numPr>
        <w:snapToGrid w:val="0"/>
        <w:spacing w:line="300" w:lineRule="auto"/>
        <w:ind w:firstLineChars="0"/>
        <w:rPr>
          <w:rFonts w:ascii="Arial" w:hAnsi="Arial" w:eastAsia="宋体" w:cs="Arial"/>
        </w:rPr>
      </w:pPr>
      <w:r>
        <w:rPr>
          <w:rFonts w:ascii="Arial" w:hAnsi="Arial" w:eastAsia="宋体" w:cs="Arial"/>
        </w:rPr>
        <w:t>仅使用达到勃起所必需的最小真空压力，真空压力过大可挫伤或损伤阴茎。</w:t>
      </w:r>
    </w:p>
    <w:p w14:paraId="722F5B4E">
      <w:pPr>
        <w:pStyle w:val="12"/>
        <w:numPr>
          <w:ilvl w:val="0"/>
          <w:numId w:val="7"/>
        </w:numPr>
        <w:snapToGrid w:val="0"/>
        <w:spacing w:line="300" w:lineRule="auto"/>
        <w:ind w:firstLineChars="0"/>
        <w:rPr>
          <w:rFonts w:ascii="Arial" w:hAnsi="Arial" w:eastAsia="宋体" w:cs="Arial"/>
        </w:rPr>
      </w:pPr>
      <w:bookmarkStart w:id="15" w:name="OLE_LINK48"/>
      <w:bookmarkStart w:id="16" w:name="OLE_LINK49"/>
      <w:r>
        <w:rPr>
          <w:rFonts w:ascii="Arial" w:hAnsi="Arial" w:eastAsia="宋体" w:cs="Arial"/>
        </w:rPr>
        <w:t>使用真空泵可挫伤或弄破阴茎或阴囊内的血管，导致出现瘀点、出血或血肿形成。</w:t>
      </w:r>
    </w:p>
    <w:bookmarkEnd w:id="15"/>
    <w:bookmarkEnd w:id="16"/>
    <w:p w14:paraId="6676A3AB">
      <w:pPr>
        <w:pStyle w:val="12"/>
        <w:numPr>
          <w:ilvl w:val="0"/>
          <w:numId w:val="7"/>
        </w:numPr>
        <w:snapToGrid w:val="0"/>
        <w:spacing w:line="300" w:lineRule="auto"/>
        <w:ind w:firstLineChars="0"/>
        <w:rPr>
          <w:rFonts w:ascii="Arial" w:hAnsi="Arial" w:eastAsia="宋体" w:cs="Arial"/>
        </w:rPr>
      </w:pPr>
      <w:bookmarkStart w:id="17" w:name="OLE_LINK45"/>
      <w:r>
        <w:rPr>
          <w:rFonts w:ascii="Arial" w:hAnsi="Arial" w:eastAsia="宋体" w:cs="Arial"/>
        </w:rPr>
        <w:t>使用真空泵可使现有疾病加重，这些现有疾病包括佩罗尼氏病（阴茎中形成硬化组织，可导致阴茎疼痛、弯曲和畸变，通常在勃起时出现）、阴茎异常勃起（阴茎持续性勃起，通常感到疼痛，其是疾病的结果且与性唤起无关）和尿道狭窄（尿道狭窄是硬化组织所在部位形成的狭窄，它使尿道变窄，有时可使排尿困难）。</w:t>
      </w:r>
    </w:p>
    <w:bookmarkEnd w:id="17"/>
    <w:p w14:paraId="21F941FB">
      <w:pPr>
        <w:pStyle w:val="12"/>
        <w:numPr>
          <w:ilvl w:val="0"/>
          <w:numId w:val="7"/>
        </w:numPr>
        <w:snapToGrid w:val="0"/>
        <w:spacing w:line="300" w:lineRule="auto"/>
        <w:ind w:firstLineChars="0"/>
        <w:rPr>
          <w:rFonts w:ascii="Arial" w:hAnsi="Arial" w:eastAsia="宋体" w:cs="Arial"/>
        </w:rPr>
      </w:pPr>
      <w:r>
        <w:rPr>
          <w:rFonts w:ascii="Arial" w:hAnsi="Arial" w:eastAsia="宋体" w:cs="Arial"/>
        </w:rPr>
        <w:t>如适用，应在标签上指示患者请勿在水中或水附近使用电动真空泵。</w:t>
      </w:r>
    </w:p>
    <w:p w14:paraId="72FBD4B6">
      <w:pPr>
        <w:snapToGrid w:val="0"/>
        <w:spacing w:line="300" w:lineRule="auto"/>
        <w:rPr>
          <w:rFonts w:ascii="Arial" w:hAnsi="Arial" w:eastAsia="宋体" w:cs="Arial"/>
        </w:rPr>
      </w:pPr>
    </w:p>
    <w:p w14:paraId="4E6748E8">
      <w:pPr>
        <w:snapToGrid w:val="0"/>
        <w:spacing w:line="300" w:lineRule="auto"/>
        <w:rPr>
          <w:rFonts w:ascii="Arial" w:hAnsi="Arial" w:eastAsia="宋体" w:cs="Arial"/>
          <w:b/>
        </w:rPr>
      </w:pPr>
      <w:bookmarkStart w:id="18" w:name="OLE_LINK7"/>
      <w:r>
        <w:rPr>
          <w:rFonts w:ascii="Arial" w:hAnsi="Arial" w:eastAsia="宋体" w:cs="Arial"/>
          <w:b/>
        </w:rPr>
        <w:t>缩窄环的附加标签</w:t>
      </w:r>
    </w:p>
    <w:bookmarkEnd w:id="18"/>
    <w:p w14:paraId="5D46EFE1">
      <w:pPr>
        <w:snapToGrid w:val="0"/>
        <w:spacing w:line="300" w:lineRule="auto"/>
        <w:rPr>
          <w:rFonts w:ascii="Arial" w:hAnsi="Arial" w:eastAsia="宋体" w:cs="Arial"/>
        </w:rPr>
      </w:pPr>
    </w:p>
    <w:p w14:paraId="20802343">
      <w:pPr>
        <w:snapToGrid w:val="0"/>
        <w:spacing w:line="300" w:lineRule="auto"/>
        <w:rPr>
          <w:rFonts w:ascii="Arial" w:hAnsi="Arial" w:eastAsia="宋体" w:cs="Arial"/>
        </w:rPr>
      </w:pPr>
      <w:r>
        <w:rPr>
          <w:rFonts w:ascii="Arial" w:hAnsi="Arial" w:eastAsia="宋体" w:cs="Arial"/>
        </w:rPr>
        <w:t>除适用于所有外部影响阴茎硬度器械的上述信息外，FDA建议在缩窄环的附加标签中来解决下列实例给出的警告语和注意事项。</w:t>
      </w:r>
    </w:p>
    <w:p w14:paraId="312481AB">
      <w:pPr>
        <w:snapToGrid w:val="0"/>
        <w:spacing w:line="300" w:lineRule="auto"/>
        <w:rPr>
          <w:rFonts w:ascii="Arial" w:hAnsi="Arial" w:eastAsia="宋体" w:cs="Arial"/>
        </w:rPr>
      </w:pPr>
    </w:p>
    <w:p w14:paraId="67D999C4">
      <w:pPr>
        <w:snapToGrid w:val="0"/>
        <w:spacing w:line="300" w:lineRule="auto"/>
        <w:rPr>
          <w:rFonts w:ascii="Arial" w:hAnsi="Arial" w:eastAsia="宋体" w:cs="Arial"/>
          <w:b/>
        </w:rPr>
      </w:pPr>
      <w:r>
        <w:rPr>
          <w:rFonts w:ascii="Arial" w:hAnsi="Arial" w:eastAsia="宋体" w:cs="Arial"/>
          <w:b/>
        </w:rPr>
        <w:t>警告语</w:t>
      </w:r>
    </w:p>
    <w:p w14:paraId="73D05B22">
      <w:pPr>
        <w:snapToGrid w:val="0"/>
        <w:spacing w:line="300" w:lineRule="auto"/>
        <w:rPr>
          <w:rFonts w:ascii="Arial" w:hAnsi="Arial" w:eastAsia="宋体" w:cs="Arial"/>
        </w:rPr>
      </w:pPr>
    </w:p>
    <w:p w14:paraId="7D357AC9">
      <w:pPr>
        <w:pStyle w:val="12"/>
        <w:numPr>
          <w:ilvl w:val="0"/>
          <w:numId w:val="8"/>
        </w:numPr>
        <w:snapToGrid w:val="0"/>
        <w:spacing w:line="300" w:lineRule="auto"/>
        <w:ind w:firstLineChars="0"/>
        <w:rPr>
          <w:rFonts w:ascii="Arial" w:hAnsi="Arial" w:eastAsia="宋体" w:cs="Arial"/>
        </w:rPr>
      </w:pPr>
      <w:r>
        <w:rPr>
          <w:rFonts w:ascii="Arial" w:hAnsi="Arial" w:eastAsia="宋体" w:cs="Arial"/>
        </w:rPr>
        <w:t>请勿配戴缩窄环入睡。长期使用缩窄环可对阴茎造成永久性损伤。</w:t>
      </w:r>
    </w:p>
    <w:p w14:paraId="2957C51F">
      <w:pPr>
        <w:pStyle w:val="12"/>
        <w:numPr>
          <w:ilvl w:val="0"/>
          <w:numId w:val="8"/>
        </w:numPr>
        <w:snapToGrid w:val="0"/>
        <w:spacing w:line="300" w:lineRule="auto"/>
        <w:ind w:firstLineChars="0"/>
        <w:rPr>
          <w:rFonts w:ascii="Arial" w:hAnsi="Arial" w:eastAsia="宋体" w:cs="Arial"/>
        </w:rPr>
      </w:pPr>
      <w:r>
        <w:rPr>
          <w:rFonts w:ascii="Arial" w:hAnsi="Arial" w:eastAsia="宋体" w:cs="Arial"/>
        </w:rPr>
        <w:t>两次使用间至少相隔60分钟。更加频繁地使用可增加对阴茎造成损伤的风险。</w:t>
      </w:r>
    </w:p>
    <w:p w14:paraId="19D65978">
      <w:pPr>
        <w:pStyle w:val="12"/>
        <w:numPr>
          <w:ilvl w:val="0"/>
          <w:numId w:val="8"/>
        </w:numPr>
        <w:snapToGrid w:val="0"/>
        <w:spacing w:line="300" w:lineRule="auto"/>
        <w:ind w:firstLineChars="0"/>
        <w:rPr>
          <w:rFonts w:ascii="Arial" w:hAnsi="Arial" w:eastAsia="宋体" w:cs="Arial"/>
        </w:rPr>
      </w:pPr>
      <w:r>
        <w:rPr>
          <w:rFonts w:ascii="Arial" w:hAnsi="Arial" w:eastAsia="宋体" w:cs="Arial"/>
        </w:rPr>
        <w:t>在受酒精或药物影响之下请勿使用缩窄环。使用酒精或药物可损伤用户的判断力，增加对阴茎造成损伤的风险。</w:t>
      </w:r>
    </w:p>
    <w:p w14:paraId="76D1B9DF">
      <w:pPr>
        <w:pStyle w:val="12"/>
        <w:numPr>
          <w:ilvl w:val="0"/>
          <w:numId w:val="8"/>
        </w:numPr>
        <w:snapToGrid w:val="0"/>
        <w:spacing w:line="300" w:lineRule="auto"/>
        <w:ind w:firstLineChars="0"/>
        <w:rPr>
          <w:rFonts w:ascii="Arial" w:hAnsi="Arial" w:eastAsia="宋体" w:cs="Arial"/>
        </w:rPr>
      </w:pPr>
      <w:r>
        <w:rPr>
          <w:rFonts w:ascii="Arial" w:hAnsi="Arial" w:eastAsia="宋体" w:cs="Arial"/>
        </w:rPr>
        <w:t>误用缩窄环可对阴茎造成挫伤、疼痛性损伤或永久性损伤。</w:t>
      </w:r>
    </w:p>
    <w:p w14:paraId="588E22D5">
      <w:pPr>
        <w:widowControl/>
        <w:jc w:val="left"/>
        <w:rPr>
          <w:rFonts w:ascii="Arial" w:hAnsi="Arial" w:eastAsia="宋体" w:cs="Arial"/>
        </w:rPr>
      </w:pPr>
      <w:r>
        <w:rPr>
          <w:rFonts w:ascii="Arial" w:hAnsi="Arial" w:eastAsia="宋体" w:cs="Arial"/>
        </w:rPr>
        <w:br w:type="page"/>
      </w:r>
    </w:p>
    <w:p w14:paraId="456ACB09">
      <w:pPr>
        <w:pStyle w:val="12"/>
        <w:numPr>
          <w:ilvl w:val="0"/>
          <w:numId w:val="8"/>
        </w:numPr>
        <w:snapToGrid w:val="0"/>
        <w:spacing w:line="300" w:lineRule="auto"/>
        <w:ind w:firstLineChars="0"/>
        <w:rPr>
          <w:rFonts w:ascii="Arial" w:hAnsi="Arial" w:eastAsia="宋体" w:cs="Arial"/>
        </w:rPr>
      </w:pPr>
      <w:r>
        <w:rPr>
          <w:rFonts w:ascii="Arial" w:hAnsi="Arial" w:eastAsia="宋体" w:cs="Arial"/>
        </w:rPr>
        <w:t>使用缩窄环不能防止妊娠</w:t>
      </w:r>
    </w:p>
    <w:p w14:paraId="18F47FC9">
      <w:pPr>
        <w:snapToGrid w:val="0"/>
        <w:spacing w:line="300" w:lineRule="auto"/>
        <w:rPr>
          <w:rFonts w:ascii="Arial" w:hAnsi="Arial" w:eastAsia="宋体" w:cs="Arial"/>
        </w:rPr>
      </w:pPr>
    </w:p>
    <w:p w14:paraId="605A681B">
      <w:pPr>
        <w:snapToGrid w:val="0"/>
        <w:spacing w:line="300" w:lineRule="auto"/>
        <w:rPr>
          <w:rFonts w:ascii="Arial" w:hAnsi="Arial" w:eastAsia="宋体" w:cs="Arial"/>
          <w:b/>
        </w:rPr>
      </w:pPr>
      <w:r>
        <w:rPr>
          <w:rFonts w:ascii="Arial" w:hAnsi="Arial" w:eastAsia="宋体" w:cs="Arial"/>
          <w:b/>
        </w:rPr>
        <w:t>注意事项</w:t>
      </w:r>
    </w:p>
    <w:p w14:paraId="226108AC">
      <w:pPr>
        <w:snapToGrid w:val="0"/>
        <w:spacing w:line="300" w:lineRule="auto"/>
        <w:rPr>
          <w:rFonts w:ascii="Arial" w:hAnsi="Arial" w:eastAsia="宋体" w:cs="Arial"/>
        </w:rPr>
      </w:pPr>
    </w:p>
    <w:p w14:paraId="7B78266F">
      <w:pPr>
        <w:pStyle w:val="12"/>
        <w:numPr>
          <w:ilvl w:val="0"/>
          <w:numId w:val="9"/>
        </w:numPr>
        <w:snapToGrid w:val="0"/>
        <w:spacing w:line="300" w:lineRule="auto"/>
        <w:ind w:firstLineChars="0"/>
        <w:rPr>
          <w:rFonts w:ascii="Arial" w:hAnsi="Arial" w:eastAsia="宋体" w:cs="Arial"/>
        </w:rPr>
      </w:pPr>
      <w:r>
        <w:rPr>
          <w:rFonts w:ascii="Arial" w:hAnsi="Arial" w:eastAsia="宋体" w:cs="Arial"/>
        </w:rPr>
        <w:t>使用缩窄环可使现有病症加重，这些病症包括佩罗尼氏病（阴茎中形成硬化组织，可导致阴茎疼痛、弯曲和畸变，通常在勃起时出现）、阴茎异常勃起（阴茎持续性勃起，通常感到疼痛，其是疾病的结果且与性唤起无关）和尿道狭窄（尿道狭窄是硬化组织所在部位形成的狭窄，其使尿道变窄，有时可使排尿困难）。</w:t>
      </w:r>
    </w:p>
    <w:p w14:paraId="23331FEE">
      <w:pPr>
        <w:pStyle w:val="12"/>
        <w:numPr>
          <w:ilvl w:val="0"/>
          <w:numId w:val="9"/>
        </w:numPr>
        <w:snapToGrid w:val="0"/>
        <w:spacing w:line="300" w:lineRule="auto"/>
        <w:ind w:firstLineChars="0"/>
        <w:rPr>
          <w:rFonts w:ascii="Arial" w:hAnsi="Arial" w:eastAsia="宋体" w:cs="Arial"/>
        </w:rPr>
      </w:pPr>
      <w:r>
        <w:rPr>
          <w:rFonts w:ascii="Arial" w:hAnsi="Arial" w:eastAsia="宋体" w:cs="Arial"/>
        </w:rPr>
        <w:t>每次使用缩窄环不得超过30分钟（</w:t>
      </w:r>
      <w:bookmarkStart w:id="19" w:name="OLE_LINK47"/>
      <w:bookmarkStart w:id="20" w:name="OLE_LINK46"/>
      <w:r>
        <w:rPr>
          <w:rFonts w:ascii="Arial" w:hAnsi="Arial" w:eastAsia="宋体" w:cs="Arial"/>
        </w:rPr>
        <w:t>应给这条注意事项加上黑框或用其他方式使这条注意事项比其他条目更加醒目</w:t>
      </w:r>
      <w:bookmarkEnd w:id="19"/>
      <w:bookmarkEnd w:id="20"/>
      <w:r>
        <w:rPr>
          <w:rFonts w:ascii="Arial" w:hAnsi="Arial" w:eastAsia="宋体" w:cs="Arial"/>
        </w:rPr>
        <w:t>）。</w:t>
      </w:r>
    </w:p>
    <w:p w14:paraId="3621CEE7">
      <w:pPr>
        <w:pStyle w:val="12"/>
        <w:numPr>
          <w:ilvl w:val="0"/>
          <w:numId w:val="9"/>
        </w:numPr>
        <w:snapToGrid w:val="0"/>
        <w:spacing w:line="300" w:lineRule="auto"/>
        <w:ind w:firstLineChars="0"/>
        <w:rPr>
          <w:rFonts w:ascii="Arial" w:hAnsi="Arial" w:eastAsia="宋体" w:cs="Arial"/>
        </w:rPr>
      </w:pPr>
      <w:r>
        <w:rPr>
          <w:rFonts w:ascii="Arial" w:hAnsi="Arial" w:eastAsia="宋体" w:cs="Arial"/>
        </w:rPr>
        <w:t>持久使用缩窄环（即不拿掉）可对阴茎造成永久性损伤（应给这条注意事项加上黑框或用其他方式使这条注意事项比其他条目更加醒目）。</w:t>
      </w:r>
    </w:p>
    <w:p w14:paraId="0066551B">
      <w:pPr>
        <w:pStyle w:val="12"/>
        <w:numPr>
          <w:ilvl w:val="0"/>
          <w:numId w:val="9"/>
        </w:numPr>
        <w:snapToGrid w:val="0"/>
        <w:spacing w:line="300" w:lineRule="auto"/>
        <w:ind w:firstLineChars="0"/>
        <w:rPr>
          <w:rFonts w:ascii="Arial" w:hAnsi="Arial" w:eastAsia="宋体" w:cs="Arial"/>
        </w:rPr>
      </w:pPr>
      <w:r>
        <w:rPr>
          <w:rFonts w:ascii="Arial" w:hAnsi="Arial" w:eastAsia="宋体" w:cs="Arial"/>
        </w:rPr>
        <w:t>使用器械可挫伤或弄破阴茎或阴囊内的血管，导致出现瘀点（出现在皮肤或粘膜等体表部位、略带紫色的小斑点，由轻微出血所致）、出血（血液从破裂的血管中流出）或血肿形成（血管破裂所致的充满血液的局部肿胀）。</w:t>
      </w:r>
    </w:p>
    <w:p w14:paraId="35B032F3">
      <w:pPr>
        <w:pStyle w:val="12"/>
        <w:numPr>
          <w:ilvl w:val="0"/>
          <w:numId w:val="9"/>
        </w:numPr>
        <w:snapToGrid w:val="0"/>
        <w:spacing w:line="300" w:lineRule="auto"/>
        <w:ind w:firstLineChars="0"/>
        <w:rPr>
          <w:rFonts w:ascii="Arial" w:hAnsi="Arial" w:eastAsia="宋体" w:cs="Arial"/>
        </w:rPr>
      </w:pPr>
      <w:r>
        <w:rPr>
          <w:rFonts w:ascii="Arial" w:hAnsi="Arial" w:eastAsia="宋体" w:cs="Arial"/>
        </w:rPr>
        <w:t>使用可维持勃起的挤压程度最小的缩窄环。过度挤压可导致阴茎损伤。</w:t>
      </w:r>
    </w:p>
    <w:p w14:paraId="609DE0B4">
      <w:pPr>
        <w:snapToGrid w:val="0"/>
        <w:spacing w:line="300" w:lineRule="auto"/>
        <w:rPr>
          <w:rFonts w:ascii="Arial" w:hAnsi="Arial" w:eastAsia="宋体" w:cs="Arial"/>
        </w:rPr>
      </w:pPr>
    </w:p>
    <w:p w14:paraId="74194F88">
      <w:pPr>
        <w:widowControl/>
        <w:shd w:val="clear" w:color="auto" w:fill="FFFFFF"/>
        <w:snapToGrid w:val="0"/>
        <w:spacing w:line="300" w:lineRule="auto"/>
        <w:rPr>
          <w:rFonts w:ascii="Arial" w:hAnsi="Arial" w:eastAsia="宋体" w:cs="Arial"/>
          <w:b/>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682E927B">
      <w:pPr>
        <w:snapToGrid w:val="0"/>
        <w:spacing w:line="300" w:lineRule="auto"/>
        <w:rPr>
          <w:rFonts w:ascii="Arial" w:hAnsi="Arial" w:eastAsia="宋体" w:cs="Arial"/>
        </w:rPr>
      </w:pPr>
      <w:r>
        <w:rPr>
          <w:rFonts w:ascii="Helvetica" w:hAnsi="Helvetica" w:eastAsia="宋体" w:cs="Helvetica"/>
          <w:color w:val="000000"/>
          <w:kern w:val="0"/>
          <w:sz w:val="22"/>
        </w:rPr>
        <w:pict>
          <v:rect id="_x0000_i1030" o:spt="1" style="height:0pt;width:0pt;" fillcolor="#A0A0A0" filled="t" stroked="f" coordsize="21600,21600" o:hr="t" o:hrstd="t" o:hralign="center">
            <v:path/>
            <v:fill on="t" focussize="0,0"/>
            <v:stroke on="f"/>
            <v:imagedata o:title=""/>
            <o:lock v:ext="edit"/>
            <w10:wrap type="none"/>
            <w10:anchorlock/>
          </v:rect>
        </w:pict>
      </w:r>
    </w:p>
    <w:p w14:paraId="79AB0005">
      <w:pPr>
        <w:snapToGrid w:val="0"/>
        <w:spacing w:line="300" w:lineRule="auto"/>
        <w:rPr>
          <w:rFonts w:ascii="Arial" w:hAnsi="Arial" w:eastAsia="宋体" w:cs="Arial"/>
        </w:rPr>
      </w:pPr>
    </w:p>
    <w:p w14:paraId="5CACD473">
      <w:pPr>
        <w:snapToGrid w:val="0"/>
        <w:spacing w:line="300" w:lineRule="auto"/>
        <w:rPr>
          <w:rFonts w:ascii="Arial" w:hAnsi="Arial" w:eastAsia="宋体" w:cs="Arial"/>
          <w:b/>
        </w:rPr>
      </w:pPr>
      <w:r>
        <w:rPr>
          <w:rFonts w:ascii="Arial" w:hAnsi="Arial" w:eastAsia="宋体" w:cs="Arial"/>
          <w:b/>
        </w:rPr>
        <w:t>6. 上市前通告豁免的局限性</w:t>
      </w:r>
    </w:p>
    <w:p w14:paraId="32B08816">
      <w:pPr>
        <w:snapToGrid w:val="0"/>
        <w:spacing w:line="300" w:lineRule="auto"/>
        <w:rPr>
          <w:rFonts w:ascii="Arial" w:hAnsi="Arial" w:eastAsia="宋体" w:cs="Arial"/>
        </w:rPr>
      </w:pPr>
    </w:p>
    <w:p w14:paraId="5F06EA41">
      <w:pPr>
        <w:snapToGrid w:val="0"/>
        <w:spacing w:line="300" w:lineRule="auto"/>
        <w:rPr>
          <w:rFonts w:ascii="Arial" w:hAnsi="Arial" w:eastAsia="宋体" w:cs="Arial"/>
        </w:rPr>
      </w:pPr>
      <w:r>
        <w:rPr>
          <w:rFonts w:ascii="Arial" w:hAnsi="Arial" w:eastAsia="宋体" w:cs="Arial"/>
        </w:rPr>
        <w:t>FDA给予II类器械510（k）要求豁免待遇的决定建立在目前正在商业分销或一直在商业分销的该属性类型器械现有且可合</w:t>
      </w:r>
      <w:bookmarkStart w:id="21" w:name="OLE_LINK59"/>
      <w:r>
        <w:rPr>
          <w:rFonts w:ascii="Arial" w:hAnsi="Arial" w:eastAsia="宋体" w:cs="Arial"/>
        </w:rPr>
        <w:t>理</w:t>
      </w:r>
      <w:bookmarkEnd w:id="21"/>
      <w:r>
        <w:rPr>
          <w:rFonts w:ascii="Arial" w:hAnsi="Arial" w:eastAsia="宋体" w:cs="Arial"/>
        </w:rPr>
        <w:t>预见特征的</w:t>
      </w:r>
      <w:bookmarkStart w:id="22" w:name="OLE_LINK66"/>
      <w:bookmarkStart w:id="23" w:name="OLE_LINK65"/>
      <w:r>
        <w:rPr>
          <w:rFonts w:ascii="Arial" w:hAnsi="Arial" w:eastAsia="宋体" w:cs="Arial"/>
        </w:rPr>
        <w:t>基</w:t>
      </w:r>
      <w:bookmarkEnd w:id="22"/>
      <w:bookmarkEnd w:id="23"/>
      <w:r>
        <w:rPr>
          <w:rFonts w:ascii="Arial" w:hAnsi="Arial" w:eastAsia="宋体" w:cs="Arial"/>
        </w:rPr>
        <w:t>础之上。</w:t>
      </w:r>
      <w:bookmarkStart w:id="24" w:name="OLE_LINK64"/>
      <w:r>
        <w:rPr>
          <w:rFonts w:ascii="Arial" w:hAnsi="Arial" w:eastAsia="宋体" w:cs="Arial"/>
        </w:rPr>
        <w:t>21 CFR 876.9</w:t>
      </w:r>
      <w:bookmarkEnd w:id="24"/>
      <w:r>
        <w:rPr>
          <w:rFonts w:ascii="Arial" w:hAnsi="Arial" w:eastAsia="宋体" w:cs="Arial"/>
        </w:rPr>
        <w:t>详细描述了豁免的局限性。如果器械存在下列情形，根据豁免510（k）要求进行分类的器械均无法豁免：</w:t>
      </w:r>
    </w:p>
    <w:p w14:paraId="4A76B876">
      <w:pPr>
        <w:snapToGrid w:val="0"/>
        <w:spacing w:line="300" w:lineRule="auto"/>
        <w:rPr>
          <w:rFonts w:ascii="Arial" w:hAnsi="Arial" w:eastAsia="宋体" w:cs="Arial"/>
        </w:rPr>
      </w:pPr>
    </w:p>
    <w:p w14:paraId="1A24D918">
      <w:pPr>
        <w:pStyle w:val="12"/>
        <w:numPr>
          <w:ilvl w:val="0"/>
          <w:numId w:val="10"/>
        </w:numPr>
        <w:snapToGrid w:val="0"/>
        <w:spacing w:line="300" w:lineRule="auto"/>
        <w:ind w:firstLineChars="0"/>
        <w:rPr>
          <w:rFonts w:ascii="Arial" w:hAnsi="Arial" w:eastAsia="宋体" w:cs="Arial"/>
        </w:rPr>
      </w:pPr>
      <w:r>
        <w:rPr>
          <w:rFonts w:ascii="Arial" w:hAnsi="Arial" w:eastAsia="宋体" w:cs="Arial"/>
        </w:rPr>
        <w:t>器械的预期用途不同于该属性类型内合法上市器械的预期用途</w:t>
      </w:r>
    </w:p>
    <w:p w14:paraId="26E00808">
      <w:pPr>
        <w:pStyle w:val="12"/>
        <w:numPr>
          <w:ilvl w:val="0"/>
          <w:numId w:val="10"/>
        </w:numPr>
        <w:snapToGrid w:val="0"/>
        <w:spacing w:line="300" w:lineRule="auto"/>
        <w:ind w:firstLineChars="0"/>
        <w:rPr>
          <w:rFonts w:ascii="Arial" w:hAnsi="Arial" w:eastAsia="宋体" w:cs="Arial"/>
        </w:rPr>
      </w:pPr>
      <w:r>
        <w:rPr>
          <w:rFonts w:ascii="Arial" w:hAnsi="Arial" w:eastAsia="宋体" w:cs="Arial"/>
        </w:rPr>
        <w:t>器械运行采用了不同于该属性类型内合法上市器械的基础科学技术</w:t>
      </w:r>
    </w:p>
    <w:p w14:paraId="3846ED86">
      <w:pPr>
        <w:snapToGrid w:val="0"/>
        <w:spacing w:line="300" w:lineRule="auto"/>
        <w:rPr>
          <w:rFonts w:ascii="Arial" w:hAnsi="Arial" w:eastAsia="宋体" w:cs="Arial"/>
        </w:rPr>
      </w:pPr>
    </w:p>
    <w:p w14:paraId="167BBB99">
      <w:pPr>
        <w:snapToGrid w:val="0"/>
        <w:spacing w:line="300" w:lineRule="auto"/>
        <w:rPr>
          <w:rFonts w:ascii="Arial" w:hAnsi="Arial" w:eastAsia="宋体" w:cs="Arial"/>
        </w:rPr>
      </w:pPr>
      <w:r>
        <w:fldChar w:fldCharType="begin"/>
      </w:r>
      <w:r>
        <w:instrText xml:space="preserve"> HYPERLINK "https://www.fda.gov/medicaldevices/deviceregulationandguidance/guidancedocuments/ucm072098.htm" \l "top" </w:instrText>
      </w:r>
      <w:r>
        <w:fldChar w:fldCharType="separate"/>
      </w:r>
      <w:r>
        <w:rPr>
          <w:rStyle w:val="8"/>
          <w:rFonts w:ascii="Arial" w:hAnsi="Arial" w:eastAsia="宋体" w:cs="Arial"/>
          <w:b/>
          <w:bCs/>
        </w:rPr>
        <w:t>返回顶部</w:t>
      </w:r>
      <w:r>
        <w:rPr>
          <w:rStyle w:val="8"/>
          <w:rFonts w:ascii="Arial" w:hAnsi="Arial" w:eastAsia="宋体" w:cs="Arial"/>
          <w:b/>
          <w:bCs/>
        </w:rPr>
        <w:fldChar w:fldCharType="end"/>
      </w:r>
    </w:p>
    <w:p w14:paraId="7D79E068">
      <w:pPr>
        <w:snapToGrid w:val="0"/>
        <w:spacing w:line="300" w:lineRule="auto"/>
        <w:rPr>
          <w:rFonts w:ascii="Arial" w:hAnsi="Arial" w:eastAsia="宋体" w:cs="Arial"/>
        </w:rPr>
      </w:pPr>
      <w:r>
        <w:rPr>
          <w:rFonts w:ascii="Helvetica" w:hAnsi="Helvetica" w:eastAsia="宋体" w:cs="Helvetica"/>
          <w:color w:val="000000"/>
          <w:kern w:val="0"/>
          <w:sz w:val="22"/>
        </w:rPr>
        <w:pict>
          <v:rect id="_x0000_i1031" o:spt="1" style="height:0pt;width:0pt;" fillcolor="#A0A0A0" filled="t" stroked="f" coordsize="21600,21600" o:hr="t" o:hrstd="t" o:hralign="center">
            <v:path/>
            <v:fill on="t" focussize="0,0"/>
            <v:stroke on="f"/>
            <v:imagedata o:title=""/>
            <o:lock v:ext="edit"/>
            <w10:wrap type="none"/>
            <w10:anchorlock/>
          </v:rect>
        </w:pict>
      </w:r>
    </w:p>
    <w:p w14:paraId="0640C377">
      <w:pPr>
        <w:snapToGrid w:val="0"/>
        <w:spacing w:line="300" w:lineRule="auto"/>
        <w:rPr>
          <w:rFonts w:ascii="Arial" w:hAnsi="Arial" w:eastAsia="宋体" w:cs="Arial"/>
          <w:b/>
        </w:rPr>
      </w:pPr>
    </w:p>
    <w:p w14:paraId="0BCB08DF">
      <w:pPr>
        <w:snapToGrid w:val="0"/>
        <w:spacing w:line="300" w:lineRule="auto"/>
        <w:rPr>
          <w:rFonts w:ascii="Arial" w:hAnsi="Arial" w:eastAsia="宋体" w:cs="Arial"/>
          <w:b/>
        </w:rPr>
      </w:pPr>
      <w:r>
        <w:rPr>
          <w:rFonts w:ascii="Arial" w:hAnsi="Arial" w:eastAsia="宋体" w:cs="Arial"/>
          <w:b/>
        </w:rPr>
        <w:t>附件1－故障排除指南</w:t>
      </w:r>
    </w:p>
    <w:p w14:paraId="00988F67">
      <w:pPr>
        <w:snapToGrid w:val="0"/>
        <w:spacing w:line="300" w:lineRule="auto"/>
        <w:rPr>
          <w:rFonts w:ascii="Arial" w:hAnsi="Arial" w:eastAsia="宋体" w:cs="Arial"/>
        </w:rPr>
      </w:pPr>
      <w:bookmarkStart w:id="25" w:name="OLE_LINK84"/>
      <w:bookmarkStart w:id="26" w:name="OLE_LINK85"/>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5ECCE4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46FEC8EA">
            <w:pPr>
              <w:snapToGrid w:val="0"/>
              <w:spacing w:line="300" w:lineRule="auto"/>
              <w:rPr>
                <w:rFonts w:ascii="Arial" w:hAnsi="Arial" w:eastAsia="宋体" w:cs="Arial"/>
                <w:b/>
                <w:szCs w:val="21"/>
              </w:rPr>
            </w:pPr>
            <w:r>
              <w:rPr>
                <w:rFonts w:ascii="Arial" w:hAnsi="Arial" w:eastAsia="宋体" w:cs="Arial"/>
                <w:b/>
                <w:szCs w:val="21"/>
              </w:rPr>
              <w:t>患者宣传材料</w:t>
            </w:r>
          </w:p>
          <w:p w14:paraId="3487938B">
            <w:pPr>
              <w:snapToGrid w:val="0"/>
              <w:spacing w:line="300" w:lineRule="auto"/>
              <w:rPr>
                <w:rFonts w:ascii="Arial" w:hAnsi="Arial" w:eastAsia="宋体" w:cs="Arial"/>
                <w:szCs w:val="21"/>
              </w:rPr>
            </w:pPr>
            <w:r>
              <w:rPr>
                <w:rFonts w:ascii="Arial" w:hAnsi="Arial" w:eastAsia="宋体" w:cs="Arial"/>
                <w:szCs w:val="21"/>
              </w:rPr>
              <w:t>真空器械常见问题的处理方法</w:t>
            </w:r>
          </w:p>
        </w:tc>
      </w:tr>
      <w:tr w14:paraId="0BE0DDC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bottom w:val="nil"/>
              <w:right w:val="nil"/>
            </w:tcBorders>
          </w:tcPr>
          <w:p w14:paraId="7EFFC9CC">
            <w:pPr>
              <w:snapToGrid w:val="0"/>
              <w:spacing w:line="300" w:lineRule="auto"/>
              <w:rPr>
                <w:rFonts w:ascii="Arial" w:hAnsi="Arial" w:eastAsia="宋体" w:cs="Arial"/>
                <w:b/>
                <w:szCs w:val="21"/>
              </w:rPr>
            </w:pPr>
            <w:r>
              <w:rPr>
                <w:rFonts w:ascii="Arial" w:hAnsi="Arial" w:eastAsia="宋体" w:cs="Arial"/>
                <w:b/>
                <w:szCs w:val="21"/>
              </w:rPr>
              <w:t>问题</w:t>
            </w:r>
          </w:p>
        </w:tc>
        <w:tc>
          <w:tcPr>
            <w:tcW w:w="1250" w:type="pct"/>
            <w:tcBorders>
              <w:top w:val="nil"/>
              <w:left w:val="nil"/>
              <w:bottom w:val="nil"/>
              <w:right w:val="nil"/>
            </w:tcBorders>
          </w:tcPr>
          <w:p w14:paraId="53635FD2">
            <w:pPr>
              <w:snapToGrid w:val="0"/>
              <w:spacing w:line="300" w:lineRule="auto"/>
              <w:rPr>
                <w:rFonts w:ascii="Arial" w:hAnsi="Arial" w:eastAsia="宋体" w:cs="Arial"/>
                <w:b/>
                <w:szCs w:val="21"/>
              </w:rPr>
            </w:pPr>
            <w:r>
              <w:rPr>
                <w:rFonts w:ascii="Arial" w:hAnsi="Arial" w:eastAsia="宋体" w:cs="Arial"/>
                <w:b/>
                <w:szCs w:val="21"/>
              </w:rPr>
              <w:t>可能原因</w:t>
            </w:r>
          </w:p>
        </w:tc>
        <w:tc>
          <w:tcPr>
            <w:tcW w:w="1250" w:type="pct"/>
            <w:tcBorders>
              <w:top w:val="nil"/>
              <w:left w:val="nil"/>
              <w:bottom w:val="nil"/>
              <w:right w:val="nil"/>
            </w:tcBorders>
          </w:tcPr>
          <w:p w14:paraId="4CCD33CC">
            <w:pPr>
              <w:snapToGrid w:val="0"/>
              <w:spacing w:line="300" w:lineRule="auto"/>
              <w:rPr>
                <w:rFonts w:ascii="Arial" w:hAnsi="Arial" w:eastAsia="宋体" w:cs="Arial"/>
                <w:b/>
                <w:szCs w:val="21"/>
              </w:rPr>
            </w:pPr>
            <w:r>
              <w:rPr>
                <w:rFonts w:ascii="Arial" w:hAnsi="Arial" w:eastAsia="宋体" w:cs="Arial"/>
                <w:b/>
                <w:szCs w:val="21"/>
              </w:rPr>
              <w:t>补救方法</w:t>
            </w:r>
          </w:p>
        </w:tc>
        <w:tc>
          <w:tcPr>
            <w:tcW w:w="1250" w:type="pct"/>
            <w:tcBorders>
              <w:left w:val="nil"/>
              <w:bottom w:val="nil"/>
            </w:tcBorders>
          </w:tcPr>
          <w:p w14:paraId="5CE4ED25">
            <w:pPr>
              <w:snapToGrid w:val="0"/>
              <w:spacing w:line="300" w:lineRule="auto"/>
              <w:rPr>
                <w:rFonts w:ascii="Arial" w:hAnsi="Arial" w:eastAsia="宋体" w:cs="Arial"/>
                <w:b/>
                <w:szCs w:val="21"/>
              </w:rPr>
            </w:pPr>
            <w:r>
              <w:rPr>
                <w:rFonts w:ascii="Arial" w:hAnsi="Arial" w:eastAsia="宋体" w:cs="Arial"/>
                <w:b/>
                <w:szCs w:val="21"/>
              </w:rPr>
              <w:t>评论</w:t>
            </w:r>
          </w:p>
        </w:tc>
      </w:tr>
      <w:tr w14:paraId="46C4963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top w:val="nil"/>
              <w:bottom w:val="single" w:color="auto" w:sz="4" w:space="0"/>
              <w:right w:val="nil"/>
            </w:tcBorders>
          </w:tcPr>
          <w:p w14:paraId="04854869">
            <w:pPr>
              <w:snapToGrid w:val="0"/>
              <w:spacing w:line="300" w:lineRule="auto"/>
              <w:rPr>
                <w:rFonts w:ascii="Arial" w:hAnsi="Arial" w:eastAsia="宋体" w:cs="Arial"/>
                <w:szCs w:val="21"/>
              </w:rPr>
            </w:pPr>
            <w:r>
              <w:rPr>
                <w:rFonts w:ascii="Arial" w:hAnsi="Arial" w:eastAsia="宋体" w:cs="Arial"/>
                <w:szCs w:val="21"/>
              </w:rPr>
              <w:t>未勃起</w:t>
            </w:r>
          </w:p>
        </w:tc>
        <w:tc>
          <w:tcPr>
            <w:tcW w:w="1250" w:type="pct"/>
            <w:tcBorders>
              <w:top w:val="nil"/>
              <w:left w:val="nil"/>
              <w:bottom w:val="single" w:color="auto" w:sz="4" w:space="0"/>
              <w:right w:val="nil"/>
            </w:tcBorders>
          </w:tcPr>
          <w:p w14:paraId="57C4A8F6">
            <w:pPr>
              <w:snapToGrid w:val="0"/>
              <w:spacing w:line="300" w:lineRule="auto"/>
              <w:rPr>
                <w:rFonts w:ascii="Arial" w:hAnsi="Arial" w:eastAsia="宋体" w:cs="Arial"/>
                <w:szCs w:val="21"/>
              </w:rPr>
            </w:pPr>
            <w:r>
              <w:rPr>
                <w:rFonts w:ascii="Arial" w:hAnsi="Arial" w:eastAsia="宋体" w:cs="Arial"/>
                <w:szCs w:val="21"/>
              </w:rPr>
              <w:t>因密封不良导致漏气致使不能产生真空</w:t>
            </w:r>
          </w:p>
        </w:tc>
        <w:tc>
          <w:tcPr>
            <w:tcW w:w="1250" w:type="pct"/>
            <w:tcBorders>
              <w:top w:val="nil"/>
              <w:left w:val="nil"/>
              <w:bottom w:val="single" w:color="auto" w:sz="4" w:space="0"/>
              <w:right w:val="nil"/>
            </w:tcBorders>
          </w:tcPr>
          <w:p w14:paraId="192AEB70">
            <w:pPr>
              <w:snapToGrid w:val="0"/>
              <w:spacing w:line="300" w:lineRule="auto"/>
              <w:rPr>
                <w:rFonts w:ascii="Arial" w:hAnsi="Arial" w:eastAsia="宋体" w:cs="Arial"/>
                <w:szCs w:val="21"/>
              </w:rPr>
            </w:pPr>
            <w:r>
              <w:rPr>
                <w:rFonts w:ascii="Arial" w:hAnsi="Arial" w:eastAsia="宋体" w:cs="Arial"/>
                <w:szCs w:val="21"/>
              </w:rPr>
              <w:t>使用更多润滑油；在身体上施加稳定压力；修剪阴毛；检查器械是否漏气</w:t>
            </w:r>
          </w:p>
        </w:tc>
        <w:tc>
          <w:tcPr>
            <w:tcW w:w="1250" w:type="pct"/>
            <w:tcBorders>
              <w:top w:val="nil"/>
              <w:left w:val="nil"/>
              <w:bottom w:val="single" w:color="auto" w:sz="4" w:space="0"/>
            </w:tcBorders>
          </w:tcPr>
          <w:p w14:paraId="550F16C6">
            <w:pPr>
              <w:snapToGrid w:val="0"/>
              <w:spacing w:line="300" w:lineRule="auto"/>
              <w:rPr>
                <w:rFonts w:ascii="Arial" w:hAnsi="Arial" w:eastAsia="宋体" w:cs="Arial"/>
                <w:szCs w:val="21"/>
              </w:rPr>
            </w:pPr>
            <w:r>
              <w:rPr>
                <w:rFonts w:ascii="Arial" w:hAnsi="Arial" w:eastAsia="宋体" w:cs="Arial"/>
                <w:szCs w:val="21"/>
              </w:rPr>
              <w:t>出现问题的最常见原因是缺乏经验；</w:t>
            </w:r>
            <w:bookmarkStart w:id="27" w:name="OLE_LINK122"/>
            <w:bookmarkStart w:id="28" w:name="OLE_LINK132"/>
            <w:bookmarkStart w:id="29" w:name="OLE_LINK123"/>
            <w:r>
              <w:rPr>
                <w:rFonts w:ascii="Arial" w:hAnsi="Arial" w:eastAsia="宋体" w:cs="Arial"/>
                <w:szCs w:val="21"/>
              </w:rPr>
              <w:t>当能够熟练使用器械时问题即可得到解决。</w:t>
            </w:r>
            <w:bookmarkEnd w:id="27"/>
            <w:bookmarkEnd w:id="28"/>
            <w:bookmarkEnd w:id="29"/>
          </w:p>
        </w:tc>
      </w:tr>
      <w:bookmarkEnd w:id="25"/>
      <w:bookmarkEnd w:id="26"/>
    </w:tbl>
    <w:p w14:paraId="4ED49FB8">
      <w:pPr>
        <w:snapToGrid w:val="0"/>
        <w:spacing w:line="300" w:lineRule="auto"/>
        <w:rPr>
          <w:rFonts w:ascii="Arial" w:hAnsi="Arial" w:eastAsia="宋体" w:cs="Arial"/>
        </w:rPr>
      </w:pPr>
    </w:p>
    <w:p w14:paraId="0AD531BE">
      <w:bookmarkStart w:id="30" w:name="OLE_LINK135"/>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741D744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c>
          <w:tcPr>
            <w:tcW w:w="5000" w:type="pct"/>
            <w:gridSpan w:val="4"/>
          </w:tcPr>
          <w:p w14:paraId="0E563827">
            <w:pPr>
              <w:snapToGrid w:val="0"/>
              <w:spacing w:line="300" w:lineRule="auto"/>
              <w:rPr>
                <w:rFonts w:ascii="Arial" w:hAnsi="Arial" w:eastAsia="宋体" w:cs="Arial"/>
                <w:b/>
                <w:szCs w:val="21"/>
              </w:rPr>
            </w:pPr>
            <w:r>
              <w:rPr>
                <w:rFonts w:ascii="Arial" w:hAnsi="Arial" w:eastAsia="宋体" w:cs="Arial"/>
                <w:b/>
                <w:szCs w:val="21"/>
              </w:rPr>
              <w:t>患者宣传材料</w:t>
            </w:r>
          </w:p>
          <w:bookmarkEnd w:id="30"/>
          <w:p w14:paraId="4B5440D0">
            <w:pPr>
              <w:snapToGrid w:val="0"/>
              <w:spacing w:line="300" w:lineRule="auto"/>
              <w:rPr>
                <w:rFonts w:ascii="Arial" w:hAnsi="Arial" w:eastAsia="宋体" w:cs="Arial"/>
                <w:szCs w:val="21"/>
              </w:rPr>
            </w:pPr>
            <w:r>
              <w:rPr>
                <w:rFonts w:ascii="Arial" w:hAnsi="Arial" w:eastAsia="宋体" w:cs="Arial"/>
                <w:szCs w:val="21"/>
              </w:rPr>
              <w:t>真空器械常见问题的处理方法</w:t>
            </w:r>
          </w:p>
        </w:tc>
      </w:tr>
      <w:tr w14:paraId="25E636F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480A6003">
            <w:pPr>
              <w:snapToGrid w:val="0"/>
              <w:spacing w:line="300" w:lineRule="auto"/>
              <w:rPr>
                <w:rFonts w:ascii="Arial" w:hAnsi="Arial" w:eastAsia="宋体" w:cs="Arial"/>
                <w:b/>
                <w:szCs w:val="21"/>
              </w:rPr>
            </w:pPr>
            <w:bookmarkStart w:id="31" w:name="OLE_LINK140"/>
            <w:bookmarkStart w:id="32" w:name="OLE_LINK141"/>
            <w:r>
              <w:rPr>
                <w:rFonts w:ascii="Arial" w:hAnsi="Arial" w:eastAsia="宋体" w:cs="Arial"/>
                <w:b/>
                <w:szCs w:val="21"/>
              </w:rPr>
              <w:t>问题</w:t>
            </w:r>
          </w:p>
        </w:tc>
        <w:tc>
          <w:tcPr>
            <w:tcW w:w="1250" w:type="pct"/>
            <w:tcBorders>
              <w:top w:val="nil"/>
              <w:left w:val="nil"/>
              <w:bottom w:val="nil"/>
              <w:right w:val="nil"/>
            </w:tcBorders>
          </w:tcPr>
          <w:p w14:paraId="5EEC9261">
            <w:pPr>
              <w:snapToGrid w:val="0"/>
              <w:spacing w:line="300" w:lineRule="auto"/>
              <w:rPr>
                <w:rFonts w:ascii="Arial" w:hAnsi="Arial" w:eastAsia="宋体" w:cs="Arial"/>
                <w:b/>
                <w:szCs w:val="21"/>
              </w:rPr>
            </w:pPr>
            <w:r>
              <w:rPr>
                <w:rFonts w:ascii="Arial" w:hAnsi="Arial" w:eastAsia="宋体" w:cs="Arial"/>
                <w:b/>
                <w:szCs w:val="21"/>
              </w:rPr>
              <w:t>可能原因</w:t>
            </w:r>
          </w:p>
        </w:tc>
        <w:tc>
          <w:tcPr>
            <w:tcW w:w="1250" w:type="pct"/>
            <w:tcBorders>
              <w:top w:val="nil"/>
              <w:left w:val="nil"/>
              <w:bottom w:val="nil"/>
              <w:right w:val="nil"/>
            </w:tcBorders>
          </w:tcPr>
          <w:p w14:paraId="5B665A13">
            <w:pPr>
              <w:snapToGrid w:val="0"/>
              <w:spacing w:line="300" w:lineRule="auto"/>
              <w:rPr>
                <w:rFonts w:ascii="Arial" w:hAnsi="Arial" w:eastAsia="宋体" w:cs="Arial"/>
                <w:b/>
                <w:szCs w:val="21"/>
              </w:rPr>
            </w:pPr>
            <w:r>
              <w:rPr>
                <w:rFonts w:ascii="Arial" w:hAnsi="Arial" w:eastAsia="宋体" w:cs="Arial"/>
                <w:b/>
                <w:szCs w:val="21"/>
              </w:rPr>
              <w:t>补救方法</w:t>
            </w:r>
          </w:p>
        </w:tc>
        <w:tc>
          <w:tcPr>
            <w:tcW w:w="1250" w:type="pct"/>
            <w:tcBorders>
              <w:left w:val="nil"/>
            </w:tcBorders>
          </w:tcPr>
          <w:p w14:paraId="15DD3F1A">
            <w:pPr>
              <w:snapToGrid w:val="0"/>
              <w:spacing w:line="300" w:lineRule="auto"/>
              <w:rPr>
                <w:rFonts w:ascii="Arial" w:hAnsi="Arial" w:eastAsia="宋体" w:cs="Arial"/>
                <w:b/>
                <w:szCs w:val="21"/>
              </w:rPr>
            </w:pPr>
            <w:r>
              <w:rPr>
                <w:rFonts w:ascii="Arial" w:hAnsi="Arial" w:eastAsia="宋体" w:cs="Arial"/>
                <w:b/>
                <w:szCs w:val="21"/>
              </w:rPr>
              <w:t>评论</w:t>
            </w:r>
          </w:p>
        </w:tc>
      </w:tr>
      <w:tr w14:paraId="0A87871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482687C6">
            <w:pPr>
              <w:snapToGrid w:val="0"/>
              <w:spacing w:line="300" w:lineRule="auto"/>
              <w:rPr>
                <w:rFonts w:ascii="Arial" w:hAnsi="Arial" w:eastAsia="宋体" w:cs="Arial"/>
                <w:szCs w:val="21"/>
              </w:rPr>
            </w:pPr>
            <w:r>
              <w:rPr>
                <w:rFonts w:ascii="Arial" w:hAnsi="Arial" w:eastAsia="宋体" w:cs="Arial"/>
                <w:szCs w:val="21"/>
              </w:rPr>
              <w:t>部分勃起</w:t>
            </w:r>
          </w:p>
        </w:tc>
        <w:tc>
          <w:tcPr>
            <w:tcW w:w="1250" w:type="pct"/>
            <w:tcBorders>
              <w:top w:val="nil"/>
              <w:left w:val="nil"/>
              <w:bottom w:val="nil"/>
              <w:right w:val="nil"/>
            </w:tcBorders>
          </w:tcPr>
          <w:p w14:paraId="48028849">
            <w:pPr>
              <w:snapToGrid w:val="0"/>
              <w:spacing w:line="300" w:lineRule="auto"/>
              <w:rPr>
                <w:rFonts w:ascii="Arial" w:hAnsi="Arial" w:eastAsia="宋体" w:cs="Arial"/>
                <w:szCs w:val="21"/>
              </w:rPr>
            </w:pPr>
            <w:r>
              <w:rPr>
                <w:rFonts w:ascii="Arial" w:hAnsi="Arial" w:eastAsia="宋体" w:cs="Arial"/>
                <w:szCs w:val="21"/>
              </w:rPr>
              <w:t>圆筒尺寸不正确；内衬或密封环尺寸不正确；熟练度不够</w:t>
            </w:r>
          </w:p>
        </w:tc>
        <w:tc>
          <w:tcPr>
            <w:tcW w:w="1250" w:type="pct"/>
            <w:tcBorders>
              <w:top w:val="nil"/>
              <w:left w:val="nil"/>
              <w:bottom w:val="nil"/>
              <w:right w:val="nil"/>
            </w:tcBorders>
          </w:tcPr>
          <w:p w14:paraId="3DC16847">
            <w:pPr>
              <w:snapToGrid w:val="0"/>
              <w:spacing w:line="300" w:lineRule="auto"/>
              <w:rPr>
                <w:rFonts w:ascii="Arial" w:hAnsi="Arial" w:eastAsia="宋体" w:cs="Arial"/>
                <w:szCs w:val="21"/>
              </w:rPr>
            </w:pPr>
            <w:r>
              <w:rPr>
                <w:rFonts w:ascii="Arial" w:hAnsi="Arial" w:eastAsia="宋体" w:cs="Arial"/>
                <w:szCs w:val="21"/>
              </w:rPr>
              <w:t>更多练习使用器械；使用较大的圆筒内衬</w:t>
            </w:r>
          </w:p>
        </w:tc>
        <w:tc>
          <w:tcPr>
            <w:tcW w:w="1250" w:type="pct"/>
            <w:tcBorders>
              <w:left w:val="nil"/>
            </w:tcBorders>
          </w:tcPr>
          <w:p w14:paraId="247BC839">
            <w:pPr>
              <w:snapToGrid w:val="0"/>
              <w:spacing w:line="300" w:lineRule="auto"/>
              <w:rPr>
                <w:rFonts w:ascii="Arial" w:hAnsi="Arial" w:eastAsia="宋体" w:cs="Arial"/>
                <w:szCs w:val="21"/>
              </w:rPr>
            </w:pPr>
            <w:r>
              <w:rPr>
                <w:rFonts w:ascii="Arial" w:hAnsi="Arial" w:eastAsia="宋体" w:cs="Arial"/>
                <w:szCs w:val="21"/>
              </w:rPr>
              <w:t>连续使用器械，问题通常即可得到解决。</w:t>
            </w:r>
          </w:p>
        </w:tc>
      </w:tr>
      <w:bookmarkEnd w:id="31"/>
      <w:bookmarkEnd w:id="32"/>
      <w:tr w14:paraId="59D72FC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bottom w:val="nil"/>
              <w:right w:val="nil"/>
            </w:tcBorders>
          </w:tcPr>
          <w:p w14:paraId="1FDF2416">
            <w:pPr>
              <w:snapToGrid w:val="0"/>
              <w:spacing w:line="300" w:lineRule="auto"/>
              <w:rPr>
                <w:rFonts w:ascii="Arial" w:hAnsi="Arial" w:eastAsia="宋体" w:cs="Arial"/>
                <w:szCs w:val="21"/>
              </w:rPr>
            </w:pPr>
            <w:r>
              <w:rPr>
                <w:rFonts w:ascii="Arial" w:hAnsi="Arial" w:eastAsia="宋体" w:cs="Arial"/>
                <w:szCs w:val="21"/>
              </w:rPr>
              <w:t>勃起快速消失（5分钟内）</w:t>
            </w:r>
          </w:p>
        </w:tc>
        <w:tc>
          <w:tcPr>
            <w:tcW w:w="1250" w:type="pct"/>
            <w:tcBorders>
              <w:top w:val="nil"/>
              <w:left w:val="nil"/>
              <w:bottom w:val="nil"/>
              <w:right w:val="nil"/>
            </w:tcBorders>
          </w:tcPr>
          <w:p w14:paraId="248DF896">
            <w:pPr>
              <w:snapToGrid w:val="0"/>
              <w:spacing w:line="300" w:lineRule="auto"/>
              <w:rPr>
                <w:rFonts w:ascii="Arial" w:hAnsi="Arial" w:eastAsia="宋体" w:cs="Arial"/>
                <w:szCs w:val="21"/>
              </w:rPr>
            </w:pPr>
            <w:r>
              <w:rPr>
                <w:rFonts w:ascii="Arial" w:hAnsi="Arial" w:eastAsia="宋体" w:cs="Arial"/>
                <w:szCs w:val="21"/>
              </w:rPr>
              <w:t>故障器械、密封不良、润滑不足或阴毛过多导致漏气致使真空消失</w:t>
            </w:r>
          </w:p>
        </w:tc>
        <w:tc>
          <w:tcPr>
            <w:tcW w:w="1250" w:type="pct"/>
            <w:tcBorders>
              <w:top w:val="nil"/>
              <w:left w:val="nil"/>
              <w:bottom w:val="nil"/>
              <w:right w:val="nil"/>
            </w:tcBorders>
          </w:tcPr>
          <w:p w14:paraId="105B2F06">
            <w:pPr>
              <w:snapToGrid w:val="0"/>
              <w:spacing w:line="300" w:lineRule="auto"/>
              <w:rPr>
                <w:rFonts w:ascii="Arial" w:hAnsi="Arial" w:eastAsia="宋体" w:cs="Arial"/>
                <w:szCs w:val="21"/>
              </w:rPr>
            </w:pPr>
            <w:r>
              <w:rPr>
                <w:rFonts w:ascii="Arial" w:hAnsi="Arial" w:eastAsia="宋体" w:cs="Arial"/>
                <w:szCs w:val="21"/>
              </w:rPr>
              <w:t>同</w:t>
            </w:r>
            <w:r>
              <w:rPr>
                <w:rFonts w:ascii="宋体" w:hAnsi="宋体" w:eastAsia="宋体" w:cs="Arial"/>
                <w:szCs w:val="21"/>
              </w:rPr>
              <w:t>“</w:t>
            </w:r>
            <w:r>
              <w:rPr>
                <w:rFonts w:ascii="Arial" w:hAnsi="Arial" w:eastAsia="宋体" w:cs="Arial"/>
                <w:szCs w:val="21"/>
              </w:rPr>
              <w:t>未勃起</w:t>
            </w:r>
            <w:r>
              <w:rPr>
                <w:rFonts w:ascii="宋体" w:hAnsi="宋体" w:eastAsia="宋体" w:cs="Arial"/>
                <w:szCs w:val="21"/>
              </w:rPr>
              <w:t>”</w:t>
            </w:r>
            <w:r>
              <w:rPr>
                <w:rFonts w:ascii="Arial" w:hAnsi="Arial" w:eastAsia="宋体" w:cs="Arial"/>
                <w:szCs w:val="21"/>
              </w:rPr>
              <w:t>。其他方法：使用较小的圆筒内衬；使用较小的张力环或使用双重张力环；小心移除张力带</w:t>
            </w:r>
          </w:p>
        </w:tc>
        <w:tc>
          <w:tcPr>
            <w:tcW w:w="1250" w:type="pct"/>
            <w:tcBorders>
              <w:left w:val="nil"/>
              <w:bottom w:val="nil"/>
            </w:tcBorders>
          </w:tcPr>
          <w:p w14:paraId="7D9816C8">
            <w:pPr>
              <w:snapToGrid w:val="0"/>
              <w:spacing w:line="300" w:lineRule="auto"/>
              <w:rPr>
                <w:rFonts w:ascii="Arial" w:hAnsi="Arial" w:eastAsia="宋体" w:cs="Arial"/>
                <w:szCs w:val="21"/>
              </w:rPr>
            </w:pPr>
            <w:r>
              <w:rPr>
                <w:rFonts w:ascii="Arial" w:hAnsi="Arial" w:eastAsia="宋体" w:cs="Arial"/>
                <w:szCs w:val="21"/>
              </w:rPr>
              <w:t>需试用不同尺寸的密封环、内衬和张力带；如果需要帮助或支持以坚持下去，请咨询医生。</w:t>
            </w:r>
          </w:p>
        </w:tc>
      </w:tr>
      <w:tr w14:paraId="25F03A5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top w:val="nil"/>
              <w:bottom w:val="nil"/>
              <w:right w:val="nil"/>
            </w:tcBorders>
          </w:tcPr>
          <w:p w14:paraId="5B3A1287">
            <w:pPr>
              <w:snapToGrid w:val="0"/>
              <w:spacing w:line="300" w:lineRule="auto"/>
              <w:rPr>
                <w:rFonts w:ascii="Arial" w:hAnsi="Arial" w:eastAsia="宋体" w:cs="Arial"/>
                <w:szCs w:val="21"/>
              </w:rPr>
            </w:pPr>
            <w:r>
              <w:rPr>
                <w:rFonts w:ascii="Arial" w:hAnsi="Arial" w:eastAsia="宋体" w:cs="Arial"/>
                <w:szCs w:val="21"/>
              </w:rPr>
              <w:t>勃起延迟消失（5-10分钟后）</w:t>
            </w:r>
          </w:p>
        </w:tc>
        <w:tc>
          <w:tcPr>
            <w:tcW w:w="1250" w:type="pct"/>
            <w:tcBorders>
              <w:top w:val="nil"/>
              <w:left w:val="nil"/>
              <w:bottom w:val="nil"/>
              <w:right w:val="nil"/>
            </w:tcBorders>
          </w:tcPr>
          <w:p w14:paraId="2AA49F71">
            <w:pPr>
              <w:snapToGrid w:val="0"/>
              <w:spacing w:line="300" w:lineRule="auto"/>
              <w:rPr>
                <w:rFonts w:ascii="Arial" w:hAnsi="Arial" w:eastAsia="宋体" w:cs="Arial"/>
                <w:szCs w:val="21"/>
              </w:rPr>
            </w:pPr>
            <w:r>
              <w:rPr>
                <w:rFonts w:ascii="Arial" w:hAnsi="Arial" w:eastAsia="宋体" w:cs="Arial"/>
                <w:szCs w:val="21"/>
              </w:rPr>
              <w:t>张力带或张力环张力不足</w:t>
            </w:r>
          </w:p>
        </w:tc>
        <w:tc>
          <w:tcPr>
            <w:tcW w:w="1250" w:type="pct"/>
            <w:tcBorders>
              <w:top w:val="nil"/>
              <w:left w:val="nil"/>
              <w:bottom w:val="nil"/>
              <w:right w:val="nil"/>
            </w:tcBorders>
          </w:tcPr>
          <w:p w14:paraId="77E5671B">
            <w:pPr>
              <w:snapToGrid w:val="0"/>
              <w:spacing w:line="300" w:lineRule="auto"/>
              <w:rPr>
                <w:rFonts w:ascii="Arial" w:hAnsi="Arial" w:eastAsia="宋体" w:cs="Arial"/>
                <w:szCs w:val="21"/>
              </w:rPr>
            </w:pPr>
            <w:r>
              <w:rPr>
                <w:rFonts w:ascii="Arial" w:hAnsi="Arial" w:eastAsia="宋体" w:cs="Arial"/>
                <w:szCs w:val="21"/>
              </w:rPr>
              <w:t>使用较小的张力环或张力带或两者组合使用；使用两步应用法（</w:t>
            </w:r>
            <w:bookmarkStart w:id="33" w:name="OLE_LINK117"/>
            <w:bookmarkStart w:id="34" w:name="OLE_LINK116"/>
            <w:r>
              <w:rPr>
                <w:rFonts w:ascii="Arial" w:hAnsi="Arial" w:eastAsia="宋体" w:cs="Arial"/>
                <w:szCs w:val="21"/>
              </w:rPr>
              <w:t>对此请咨询医生</w:t>
            </w:r>
            <w:bookmarkEnd w:id="33"/>
            <w:bookmarkEnd w:id="34"/>
            <w:r>
              <w:rPr>
                <w:rFonts w:ascii="Arial" w:hAnsi="Arial" w:eastAsia="宋体" w:cs="Arial"/>
                <w:szCs w:val="21"/>
              </w:rPr>
              <w:t>）</w:t>
            </w:r>
          </w:p>
        </w:tc>
        <w:tc>
          <w:tcPr>
            <w:tcW w:w="1250" w:type="pct"/>
            <w:tcBorders>
              <w:top w:val="nil"/>
              <w:left w:val="nil"/>
              <w:bottom w:val="nil"/>
            </w:tcBorders>
          </w:tcPr>
          <w:p w14:paraId="29E80B79">
            <w:pPr>
              <w:snapToGrid w:val="0"/>
              <w:spacing w:line="300" w:lineRule="auto"/>
              <w:rPr>
                <w:rFonts w:ascii="Arial" w:hAnsi="Arial" w:eastAsia="宋体" w:cs="Arial"/>
                <w:szCs w:val="21"/>
              </w:rPr>
            </w:pPr>
            <w:r>
              <w:rPr>
                <w:rFonts w:ascii="Arial" w:hAnsi="Arial" w:eastAsia="宋体" w:cs="Arial"/>
                <w:szCs w:val="21"/>
              </w:rPr>
              <w:t>－</w:t>
            </w:r>
          </w:p>
        </w:tc>
      </w:tr>
      <w:tr w14:paraId="39B6460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top w:val="nil"/>
              <w:right w:val="nil"/>
            </w:tcBorders>
          </w:tcPr>
          <w:p w14:paraId="57785982">
            <w:pPr>
              <w:snapToGrid w:val="0"/>
              <w:spacing w:line="300" w:lineRule="auto"/>
              <w:rPr>
                <w:rFonts w:ascii="Arial" w:hAnsi="Arial" w:eastAsia="宋体" w:cs="Arial"/>
                <w:szCs w:val="21"/>
              </w:rPr>
            </w:pPr>
            <w:r>
              <w:rPr>
                <w:rFonts w:ascii="Arial" w:hAnsi="Arial" w:eastAsia="宋体" w:cs="Arial"/>
                <w:szCs w:val="21"/>
              </w:rPr>
              <w:t>牵拉阴囊皮肤</w:t>
            </w:r>
          </w:p>
        </w:tc>
        <w:tc>
          <w:tcPr>
            <w:tcW w:w="1250" w:type="pct"/>
            <w:tcBorders>
              <w:top w:val="nil"/>
              <w:left w:val="nil"/>
              <w:bottom w:val="nil"/>
              <w:right w:val="nil"/>
            </w:tcBorders>
          </w:tcPr>
          <w:p w14:paraId="0B548680">
            <w:pPr>
              <w:snapToGrid w:val="0"/>
              <w:spacing w:line="300" w:lineRule="auto"/>
              <w:rPr>
                <w:rFonts w:ascii="Arial" w:hAnsi="Arial" w:eastAsia="宋体" w:cs="Arial"/>
                <w:szCs w:val="21"/>
              </w:rPr>
            </w:pPr>
            <w:r>
              <w:rPr>
                <w:rFonts w:ascii="Arial" w:hAnsi="Arial" w:eastAsia="宋体" w:cs="Arial"/>
                <w:szCs w:val="21"/>
              </w:rPr>
              <w:t>阴囊上有润滑油；抽吸技巧不正确；内衬或密封环过大；缺乏使用经验</w:t>
            </w:r>
          </w:p>
        </w:tc>
        <w:tc>
          <w:tcPr>
            <w:tcW w:w="1250" w:type="pct"/>
            <w:tcBorders>
              <w:top w:val="nil"/>
              <w:left w:val="nil"/>
              <w:bottom w:val="nil"/>
              <w:right w:val="nil"/>
            </w:tcBorders>
          </w:tcPr>
          <w:p w14:paraId="705462EC">
            <w:pPr>
              <w:snapToGrid w:val="0"/>
              <w:spacing w:line="300" w:lineRule="auto"/>
              <w:rPr>
                <w:rFonts w:ascii="Arial" w:hAnsi="Arial" w:eastAsia="宋体" w:cs="Arial"/>
                <w:szCs w:val="21"/>
              </w:rPr>
            </w:pPr>
            <w:r>
              <w:rPr>
                <w:rFonts w:ascii="Arial" w:hAnsi="Arial" w:eastAsia="宋体" w:cs="Arial"/>
                <w:szCs w:val="21"/>
              </w:rPr>
              <w:t>擦掉阴囊上的润滑油；使用较小的内衬或密封环；使用经过改进的抽吸技巧（请咨询医生）；继续练习使用；抽吸时让圆筒向下形成角度</w:t>
            </w:r>
          </w:p>
        </w:tc>
        <w:tc>
          <w:tcPr>
            <w:tcW w:w="1250" w:type="pct"/>
            <w:tcBorders>
              <w:top w:val="nil"/>
              <w:left w:val="nil"/>
            </w:tcBorders>
          </w:tcPr>
          <w:p w14:paraId="32F0208C">
            <w:pPr>
              <w:snapToGrid w:val="0"/>
              <w:spacing w:line="300" w:lineRule="auto"/>
              <w:rPr>
                <w:rFonts w:ascii="Arial" w:hAnsi="Arial" w:eastAsia="宋体" w:cs="Arial"/>
                <w:szCs w:val="21"/>
              </w:rPr>
            </w:pPr>
            <w:r>
              <w:rPr>
                <w:rFonts w:ascii="Arial" w:hAnsi="Arial" w:eastAsia="宋体" w:cs="Arial"/>
                <w:szCs w:val="21"/>
              </w:rPr>
              <w:t>当能够熟练使用器械时问题即可得到解决。</w:t>
            </w:r>
          </w:p>
        </w:tc>
      </w:tr>
      <w:tr w14:paraId="2994A83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7E44BD9B">
            <w:pPr>
              <w:snapToGrid w:val="0"/>
              <w:spacing w:line="300" w:lineRule="auto"/>
              <w:rPr>
                <w:rFonts w:ascii="Arial" w:hAnsi="Arial" w:eastAsia="宋体" w:cs="Arial"/>
                <w:szCs w:val="21"/>
              </w:rPr>
            </w:pPr>
            <w:r>
              <w:rPr>
                <w:rFonts w:ascii="Arial" w:hAnsi="Arial" w:eastAsia="宋体" w:cs="Arial"/>
                <w:szCs w:val="21"/>
              </w:rPr>
              <w:t>不适或疼痛：</w:t>
            </w:r>
          </w:p>
        </w:tc>
        <w:tc>
          <w:tcPr>
            <w:tcW w:w="1250" w:type="pct"/>
            <w:tcBorders>
              <w:top w:val="nil"/>
              <w:left w:val="nil"/>
              <w:bottom w:val="nil"/>
              <w:right w:val="nil"/>
            </w:tcBorders>
          </w:tcPr>
          <w:p w14:paraId="7811D055">
            <w:pPr>
              <w:snapToGrid w:val="0"/>
              <w:spacing w:line="300" w:lineRule="auto"/>
              <w:rPr>
                <w:rFonts w:ascii="Arial" w:hAnsi="Arial" w:eastAsia="宋体" w:cs="Arial"/>
                <w:szCs w:val="21"/>
              </w:rPr>
            </w:pPr>
          </w:p>
        </w:tc>
        <w:tc>
          <w:tcPr>
            <w:tcW w:w="1250" w:type="pct"/>
            <w:tcBorders>
              <w:top w:val="nil"/>
              <w:left w:val="nil"/>
              <w:bottom w:val="nil"/>
              <w:right w:val="nil"/>
            </w:tcBorders>
          </w:tcPr>
          <w:p w14:paraId="04E55EED">
            <w:pPr>
              <w:snapToGrid w:val="0"/>
              <w:spacing w:line="300" w:lineRule="auto"/>
              <w:rPr>
                <w:rFonts w:ascii="Arial" w:hAnsi="Arial" w:eastAsia="宋体" w:cs="Arial"/>
                <w:szCs w:val="21"/>
              </w:rPr>
            </w:pPr>
          </w:p>
        </w:tc>
        <w:tc>
          <w:tcPr>
            <w:tcW w:w="1250" w:type="pct"/>
            <w:tcBorders>
              <w:left w:val="nil"/>
            </w:tcBorders>
          </w:tcPr>
          <w:p w14:paraId="27B2AFA3">
            <w:pPr>
              <w:snapToGrid w:val="0"/>
              <w:spacing w:line="300" w:lineRule="auto"/>
              <w:rPr>
                <w:rFonts w:ascii="Arial" w:hAnsi="Arial" w:eastAsia="宋体" w:cs="Arial"/>
                <w:szCs w:val="21"/>
              </w:rPr>
            </w:pPr>
          </w:p>
        </w:tc>
      </w:tr>
      <w:tr w14:paraId="585E20D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c>
          <w:tcPr>
            <w:tcW w:w="1250" w:type="pct"/>
            <w:tcBorders>
              <w:right w:val="nil"/>
            </w:tcBorders>
          </w:tcPr>
          <w:p w14:paraId="009BD664">
            <w:pPr>
              <w:snapToGrid w:val="0"/>
              <w:spacing w:line="300" w:lineRule="auto"/>
              <w:rPr>
                <w:rFonts w:ascii="Arial" w:hAnsi="Arial" w:eastAsia="宋体" w:cs="Arial"/>
                <w:szCs w:val="21"/>
              </w:rPr>
            </w:pPr>
            <w:r>
              <w:rPr>
                <w:rFonts w:ascii="Arial" w:hAnsi="Arial" w:eastAsia="宋体" w:cs="Arial"/>
                <w:szCs w:val="21"/>
              </w:rPr>
              <w:t>抽吸期间</w:t>
            </w:r>
          </w:p>
        </w:tc>
        <w:tc>
          <w:tcPr>
            <w:tcW w:w="1250" w:type="pct"/>
            <w:tcBorders>
              <w:top w:val="nil"/>
              <w:left w:val="nil"/>
              <w:bottom w:val="nil"/>
              <w:right w:val="nil"/>
            </w:tcBorders>
          </w:tcPr>
          <w:p w14:paraId="477A0AFD">
            <w:pPr>
              <w:snapToGrid w:val="0"/>
              <w:spacing w:line="300" w:lineRule="auto"/>
              <w:rPr>
                <w:rFonts w:ascii="Arial" w:hAnsi="Arial" w:eastAsia="宋体" w:cs="Arial"/>
                <w:szCs w:val="21"/>
              </w:rPr>
            </w:pPr>
            <w:r>
              <w:rPr>
                <w:rFonts w:ascii="Arial" w:hAnsi="Arial" w:eastAsia="宋体" w:cs="Arial"/>
                <w:szCs w:val="21"/>
              </w:rPr>
              <w:t>抽吸太快；牵拉阴囊组织</w:t>
            </w:r>
          </w:p>
        </w:tc>
        <w:tc>
          <w:tcPr>
            <w:tcW w:w="1250" w:type="pct"/>
            <w:tcBorders>
              <w:top w:val="nil"/>
              <w:left w:val="nil"/>
              <w:bottom w:val="nil"/>
              <w:right w:val="nil"/>
            </w:tcBorders>
          </w:tcPr>
          <w:p w14:paraId="4AF0DD6B">
            <w:pPr>
              <w:snapToGrid w:val="0"/>
              <w:spacing w:line="300" w:lineRule="auto"/>
              <w:rPr>
                <w:rFonts w:ascii="Arial" w:hAnsi="Arial" w:eastAsia="宋体" w:cs="Arial"/>
                <w:szCs w:val="21"/>
              </w:rPr>
            </w:pPr>
            <w:r>
              <w:rPr>
                <w:rFonts w:ascii="Arial" w:hAnsi="Arial" w:eastAsia="宋体" w:cs="Arial"/>
                <w:szCs w:val="21"/>
              </w:rPr>
              <w:t>缓慢抽吸；连续使用器械</w:t>
            </w:r>
          </w:p>
        </w:tc>
        <w:tc>
          <w:tcPr>
            <w:tcW w:w="1250" w:type="pct"/>
            <w:tcBorders>
              <w:left w:val="nil"/>
            </w:tcBorders>
          </w:tcPr>
          <w:p w14:paraId="4B862D8D">
            <w:pPr>
              <w:snapToGrid w:val="0"/>
              <w:spacing w:line="300" w:lineRule="auto"/>
              <w:rPr>
                <w:rFonts w:ascii="Arial" w:hAnsi="Arial" w:eastAsia="宋体" w:cs="Arial"/>
                <w:szCs w:val="21"/>
              </w:rPr>
            </w:pPr>
            <w:r>
              <w:rPr>
                <w:rFonts w:ascii="Arial" w:hAnsi="Arial" w:eastAsia="宋体" w:cs="Arial"/>
                <w:szCs w:val="21"/>
              </w:rPr>
              <w:t>当能够熟练使用器械时问题通常即可得到解决。</w:t>
            </w:r>
          </w:p>
        </w:tc>
      </w:tr>
      <w:tr w14:paraId="5AD001D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36CBA8B8">
            <w:pPr>
              <w:snapToGrid w:val="0"/>
              <w:spacing w:line="300" w:lineRule="auto"/>
              <w:rPr>
                <w:rFonts w:ascii="Arial" w:hAnsi="Arial" w:eastAsia="宋体" w:cs="Arial"/>
                <w:szCs w:val="21"/>
              </w:rPr>
            </w:pPr>
            <w:r>
              <w:rPr>
                <w:rFonts w:ascii="Arial" w:hAnsi="Arial" w:eastAsia="宋体" w:cs="Arial"/>
                <w:szCs w:val="21"/>
              </w:rPr>
              <w:t>由张力环所致</w:t>
            </w:r>
          </w:p>
        </w:tc>
        <w:tc>
          <w:tcPr>
            <w:tcW w:w="1250" w:type="pct"/>
            <w:tcBorders>
              <w:top w:val="nil"/>
              <w:left w:val="nil"/>
              <w:bottom w:val="single" w:color="auto" w:sz="4" w:space="0"/>
              <w:right w:val="nil"/>
            </w:tcBorders>
          </w:tcPr>
          <w:p w14:paraId="452FEF4E">
            <w:pPr>
              <w:snapToGrid w:val="0"/>
              <w:spacing w:line="300" w:lineRule="auto"/>
              <w:rPr>
                <w:rFonts w:ascii="Arial" w:hAnsi="Arial" w:eastAsia="宋体" w:cs="Arial"/>
                <w:szCs w:val="21"/>
              </w:rPr>
            </w:pPr>
            <w:r>
              <w:rPr>
                <w:rFonts w:ascii="Arial" w:hAnsi="Arial" w:eastAsia="宋体" w:cs="Arial"/>
                <w:szCs w:val="21"/>
              </w:rPr>
              <w:t>张力环太小；焦虑</w:t>
            </w:r>
          </w:p>
        </w:tc>
        <w:tc>
          <w:tcPr>
            <w:tcW w:w="1250" w:type="pct"/>
            <w:tcBorders>
              <w:top w:val="nil"/>
              <w:left w:val="nil"/>
              <w:bottom w:val="single" w:color="auto" w:sz="4" w:space="0"/>
              <w:right w:val="nil"/>
            </w:tcBorders>
          </w:tcPr>
          <w:p w14:paraId="34A7EF39">
            <w:pPr>
              <w:snapToGrid w:val="0"/>
              <w:spacing w:line="300" w:lineRule="auto"/>
              <w:rPr>
                <w:rFonts w:ascii="Arial" w:hAnsi="Arial" w:eastAsia="宋体" w:cs="Arial"/>
                <w:szCs w:val="21"/>
              </w:rPr>
            </w:pPr>
            <w:r>
              <w:rPr>
                <w:rFonts w:ascii="Arial" w:hAnsi="Arial" w:eastAsia="宋体" w:cs="Arial"/>
                <w:szCs w:val="21"/>
              </w:rPr>
              <w:t>使用较大的张力环；连续使用器械</w:t>
            </w:r>
          </w:p>
        </w:tc>
        <w:tc>
          <w:tcPr>
            <w:tcW w:w="1250" w:type="pct"/>
            <w:tcBorders>
              <w:left w:val="nil"/>
            </w:tcBorders>
          </w:tcPr>
          <w:p w14:paraId="2516C70E">
            <w:pPr>
              <w:snapToGrid w:val="0"/>
              <w:spacing w:line="300" w:lineRule="auto"/>
              <w:rPr>
                <w:rFonts w:ascii="Arial" w:hAnsi="Arial" w:eastAsia="宋体" w:cs="Arial"/>
                <w:szCs w:val="21"/>
              </w:rPr>
            </w:pPr>
            <w:r>
              <w:rPr>
                <w:rFonts w:ascii="Arial" w:hAnsi="Arial" w:eastAsia="宋体" w:cs="Arial"/>
                <w:szCs w:val="21"/>
              </w:rPr>
              <w:t>当连续使用器械时问题通常即可得到解决。</w:t>
            </w:r>
          </w:p>
        </w:tc>
      </w:tr>
    </w:tbl>
    <w:p w14:paraId="3E4C5C3B">
      <w:pPr>
        <w:snapToGrid w:val="0"/>
        <w:spacing w:line="300" w:lineRule="auto"/>
        <w:rPr>
          <w:rFonts w:ascii="Arial" w:hAnsi="Arial" w:eastAsia="宋体" w:cs="Arial"/>
        </w:rPr>
      </w:pPr>
    </w:p>
    <w:p w14:paraId="755049F3">
      <w:pPr>
        <w:snapToGrid w:val="0"/>
        <w:spacing w:line="300" w:lineRule="auto"/>
        <w:rPr>
          <w:rFonts w:ascii="Arial" w:hAnsi="Arial" w:eastAsia="宋体" w:cs="Arial"/>
        </w:rPr>
      </w:pPr>
    </w:p>
    <w:p w14:paraId="6162A509">
      <w:pPr>
        <w:snapToGrid w:val="0"/>
        <w:spacing w:line="300" w:lineRule="auto"/>
        <w:rPr>
          <w:rFonts w:ascii="Arial" w:hAnsi="Arial" w:eastAsia="宋体" w:cs="Arial"/>
        </w:rPr>
      </w:pPr>
    </w:p>
    <w:p w14:paraId="12BC8F44">
      <w: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2E1919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6F8ED941">
            <w:pPr>
              <w:snapToGrid w:val="0"/>
              <w:spacing w:line="300" w:lineRule="auto"/>
              <w:rPr>
                <w:rFonts w:ascii="Arial" w:hAnsi="Arial" w:eastAsia="宋体" w:cs="Arial"/>
                <w:b/>
                <w:szCs w:val="21"/>
              </w:rPr>
            </w:pPr>
            <w:r>
              <w:rPr>
                <w:rFonts w:ascii="Arial" w:hAnsi="Arial" w:eastAsia="宋体" w:cs="Arial"/>
                <w:b/>
                <w:szCs w:val="21"/>
              </w:rPr>
              <w:t>患者宣传材料</w:t>
            </w:r>
          </w:p>
          <w:p w14:paraId="1EEE6D8D">
            <w:pPr>
              <w:snapToGrid w:val="0"/>
              <w:spacing w:line="300" w:lineRule="auto"/>
              <w:rPr>
                <w:rFonts w:ascii="Arial" w:hAnsi="Arial" w:eastAsia="宋体" w:cs="Arial"/>
                <w:szCs w:val="21"/>
              </w:rPr>
            </w:pPr>
            <w:bookmarkStart w:id="35" w:name="OLE_LINK138"/>
            <w:bookmarkStart w:id="36" w:name="OLE_LINK137"/>
            <w:r>
              <w:rPr>
                <w:rFonts w:ascii="Arial" w:hAnsi="Arial" w:eastAsia="宋体" w:cs="Arial"/>
                <w:szCs w:val="21"/>
              </w:rPr>
              <w:t>真空器械常见问题</w:t>
            </w:r>
            <w:bookmarkStart w:id="37" w:name="OLE_LINK136"/>
            <w:r>
              <w:rPr>
                <w:rFonts w:ascii="Arial" w:hAnsi="Arial" w:eastAsia="宋体" w:cs="Arial"/>
                <w:szCs w:val="21"/>
              </w:rPr>
              <w:t>的处理</w:t>
            </w:r>
            <w:bookmarkEnd w:id="37"/>
            <w:r>
              <w:rPr>
                <w:rFonts w:ascii="Arial" w:hAnsi="Arial" w:eastAsia="宋体" w:cs="Arial"/>
                <w:szCs w:val="21"/>
              </w:rPr>
              <w:t>方法</w:t>
            </w:r>
            <w:bookmarkEnd w:id="35"/>
            <w:bookmarkEnd w:id="36"/>
          </w:p>
        </w:tc>
      </w:tr>
      <w:tr w14:paraId="55EC437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04569363">
            <w:pPr>
              <w:snapToGrid w:val="0"/>
              <w:spacing w:line="300" w:lineRule="auto"/>
              <w:rPr>
                <w:rFonts w:ascii="Arial" w:hAnsi="Arial" w:eastAsia="宋体" w:cs="Arial"/>
                <w:szCs w:val="21"/>
              </w:rPr>
            </w:pPr>
            <w:r>
              <w:rPr>
                <w:rFonts w:ascii="Arial" w:hAnsi="Arial" w:eastAsia="宋体" w:cs="Arial"/>
                <w:b/>
                <w:szCs w:val="21"/>
              </w:rPr>
              <w:t>问题</w:t>
            </w:r>
          </w:p>
        </w:tc>
        <w:tc>
          <w:tcPr>
            <w:tcW w:w="1250" w:type="pct"/>
            <w:tcBorders>
              <w:top w:val="nil"/>
              <w:left w:val="nil"/>
              <w:bottom w:val="nil"/>
              <w:right w:val="nil"/>
            </w:tcBorders>
          </w:tcPr>
          <w:p w14:paraId="063B73BE">
            <w:pPr>
              <w:snapToGrid w:val="0"/>
              <w:spacing w:line="300" w:lineRule="auto"/>
              <w:rPr>
                <w:rFonts w:ascii="Arial" w:hAnsi="Arial" w:eastAsia="宋体" w:cs="Arial"/>
                <w:szCs w:val="21"/>
              </w:rPr>
            </w:pPr>
            <w:r>
              <w:rPr>
                <w:rFonts w:ascii="Arial" w:hAnsi="Arial" w:eastAsia="宋体" w:cs="Arial"/>
                <w:b/>
                <w:szCs w:val="21"/>
              </w:rPr>
              <w:t>可能原因</w:t>
            </w:r>
          </w:p>
        </w:tc>
        <w:tc>
          <w:tcPr>
            <w:tcW w:w="1250" w:type="pct"/>
            <w:tcBorders>
              <w:top w:val="nil"/>
              <w:left w:val="nil"/>
              <w:bottom w:val="nil"/>
              <w:right w:val="nil"/>
            </w:tcBorders>
          </w:tcPr>
          <w:p w14:paraId="4B5DE53D">
            <w:pPr>
              <w:snapToGrid w:val="0"/>
              <w:spacing w:line="300" w:lineRule="auto"/>
              <w:rPr>
                <w:rFonts w:ascii="Arial" w:hAnsi="Arial" w:eastAsia="宋体" w:cs="Arial"/>
                <w:szCs w:val="21"/>
              </w:rPr>
            </w:pPr>
            <w:r>
              <w:rPr>
                <w:rFonts w:ascii="Arial" w:hAnsi="Arial" w:eastAsia="宋体" w:cs="Arial"/>
                <w:b/>
                <w:szCs w:val="21"/>
              </w:rPr>
              <w:t>补救办法</w:t>
            </w:r>
          </w:p>
        </w:tc>
        <w:tc>
          <w:tcPr>
            <w:tcW w:w="1250" w:type="pct"/>
            <w:tcBorders>
              <w:left w:val="nil"/>
            </w:tcBorders>
          </w:tcPr>
          <w:p w14:paraId="13098CCD">
            <w:pPr>
              <w:snapToGrid w:val="0"/>
              <w:spacing w:line="300" w:lineRule="auto"/>
              <w:rPr>
                <w:rFonts w:ascii="Arial" w:hAnsi="Arial" w:eastAsia="宋体" w:cs="Arial"/>
                <w:szCs w:val="21"/>
              </w:rPr>
            </w:pPr>
            <w:r>
              <w:rPr>
                <w:rFonts w:ascii="Arial" w:hAnsi="Arial" w:eastAsia="宋体" w:cs="Arial"/>
                <w:b/>
                <w:szCs w:val="21"/>
              </w:rPr>
              <w:t>评论</w:t>
            </w:r>
          </w:p>
        </w:tc>
      </w:tr>
      <w:tr w14:paraId="56B5104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1F348281">
            <w:pPr>
              <w:snapToGrid w:val="0"/>
              <w:spacing w:line="300" w:lineRule="auto"/>
              <w:rPr>
                <w:rFonts w:ascii="Arial" w:hAnsi="Arial" w:eastAsia="宋体" w:cs="Arial"/>
                <w:szCs w:val="21"/>
              </w:rPr>
            </w:pPr>
            <w:r>
              <w:rPr>
                <w:rFonts w:ascii="Arial" w:hAnsi="Arial" w:eastAsia="宋体" w:cs="Arial"/>
                <w:szCs w:val="21"/>
              </w:rPr>
              <w:t>性交期间</w:t>
            </w:r>
          </w:p>
        </w:tc>
        <w:tc>
          <w:tcPr>
            <w:tcW w:w="1250" w:type="pct"/>
            <w:tcBorders>
              <w:top w:val="nil"/>
              <w:left w:val="nil"/>
              <w:bottom w:val="nil"/>
              <w:right w:val="nil"/>
            </w:tcBorders>
          </w:tcPr>
          <w:p w14:paraId="4277A1FD">
            <w:pPr>
              <w:snapToGrid w:val="0"/>
              <w:spacing w:line="300" w:lineRule="auto"/>
              <w:rPr>
                <w:rFonts w:ascii="Arial" w:hAnsi="Arial" w:eastAsia="宋体" w:cs="Arial"/>
                <w:szCs w:val="21"/>
              </w:rPr>
            </w:pPr>
            <w:r>
              <w:rPr>
                <w:rFonts w:ascii="Arial" w:hAnsi="Arial" w:eastAsia="宋体" w:cs="Arial"/>
                <w:szCs w:val="21"/>
              </w:rPr>
              <w:t>润滑油不足；压迫敏感区</w:t>
            </w:r>
          </w:p>
        </w:tc>
        <w:tc>
          <w:tcPr>
            <w:tcW w:w="1250" w:type="pct"/>
            <w:tcBorders>
              <w:top w:val="nil"/>
              <w:left w:val="nil"/>
              <w:bottom w:val="nil"/>
              <w:right w:val="nil"/>
            </w:tcBorders>
          </w:tcPr>
          <w:p w14:paraId="6D1DB30B">
            <w:pPr>
              <w:snapToGrid w:val="0"/>
              <w:spacing w:line="300" w:lineRule="auto"/>
              <w:rPr>
                <w:rFonts w:ascii="Arial" w:hAnsi="Arial" w:eastAsia="宋体" w:cs="Arial"/>
                <w:szCs w:val="21"/>
              </w:rPr>
            </w:pPr>
            <w:r>
              <w:rPr>
                <w:rFonts w:ascii="Arial" w:hAnsi="Arial" w:eastAsia="宋体" w:cs="Arial"/>
                <w:szCs w:val="21"/>
              </w:rPr>
              <w:t>使用更多润滑油；变换位置</w:t>
            </w:r>
          </w:p>
        </w:tc>
        <w:tc>
          <w:tcPr>
            <w:tcW w:w="1250" w:type="pct"/>
            <w:tcBorders>
              <w:left w:val="nil"/>
            </w:tcBorders>
          </w:tcPr>
          <w:p w14:paraId="15EDF0FC">
            <w:pPr>
              <w:snapToGrid w:val="0"/>
              <w:spacing w:line="300" w:lineRule="auto"/>
              <w:rPr>
                <w:rFonts w:ascii="Arial" w:hAnsi="Arial" w:eastAsia="宋体" w:cs="Arial"/>
                <w:szCs w:val="21"/>
              </w:rPr>
            </w:pPr>
            <w:r>
              <w:rPr>
                <w:rFonts w:ascii="Arial" w:hAnsi="Arial" w:eastAsia="宋体" w:cs="Arial"/>
                <w:szCs w:val="21"/>
              </w:rPr>
              <w:t>－</w:t>
            </w:r>
          </w:p>
        </w:tc>
      </w:tr>
      <w:tr w14:paraId="2456DB2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42A2C2AD">
            <w:pPr>
              <w:snapToGrid w:val="0"/>
              <w:spacing w:line="300" w:lineRule="auto"/>
              <w:rPr>
                <w:rFonts w:ascii="Arial" w:hAnsi="Arial" w:eastAsia="宋体" w:cs="Arial"/>
                <w:szCs w:val="21"/>
              </w:rPr>
            </w:pPr>
            <w:r>
              <w:rPr>
                <w:rFonts w:ascii="Arial" w:hAnsi="Arial" w:eastAsia="宋体" w:cs="Arial"/>
                <w:szCs w:val="21"/>
              </w:rPr>
              <w:t>射精期间</w:t>
            </w:r>
          </w:p>
        </w:tc>
        <w:tc>
          <w:tcPr>
            <w:tcW w:w="1250" w:type="pct"/>
            <w:tcBorders>
              <w:top w:val="nil"/>
              <w:left w:val="nil"/>
              <w:bottom w:val="nil"/>
              <w:right w:val="nil"/>
            </w:tcBorders>
          </w:tcPr>
          <w:p w14:paraId="4C4677D7">
            <w:pPr>
              <w:snapToGrid w:val="0"/>
              <w:spacing w:line="300" w:lineRule="auto"/>
              <w:rPr>
                <w:rFonts w:ascii="Arial" w:hAnsi="Arial" w:eastAsia="宋体" w:cs="Arial"/>
                <w:szCs w:val="21"/>
              </w:rPr>
            </w:pPr>
            <w:r>
              <w:rPr>
                <w:rFonts w:ascii="Arial" w:hAnsi="Arial" w:eastAsia="宋体" w:cs="Arial"/>
                <w:szCs w:val="21"/>
              </w:rPr>
              <w:t>长期节欲；前列腺感染或炎症</w:t>
            </w:r>
          </w:p>
        </w:tc>
        <w:tc>
          <w:tcPr>
            <w:tcW w:w="1250" w:type="pct"/>
            <w:tcBorders>
              <w:top w:val="nil"/>
              <w:left w:val="nil"/>
              <w:bottom w:val="nil"/>
              <w:right w:val="nil"/>
            </w:tcBorders>
          </w:tcPr>
          <w:p w14:paraId="3D366C93">
            <w:pPr>
              <w:snapToGrid w:val="0"/>
              <w:spacing w:line="300" w:lineRule="auto"/>
              <w:rPr>
                <w:rFonts w:ascii="Arial" w:hAnsi="Arial" w:eastAsia="宋体" w:cs="Arial"/>
                <w:szCs w:val="21"/>
              </w:rPr>
            </w:pPr>
            <w:r>
              <w:rPr>
                <w:rFonts w:ascii="Arial" w:hAnsi="Arial" w:eastAsia="宋体" w:cs="Arial"/>
                <w:szCs w:val="21"/>
              </w:rPr>
              <w:t>继续使用器械</w:t>
            </w:r>
          </w:p>
        </w:tc>
        <w:tc>
          <w:tcPr>
            <w:tcW w:w="1250" w:type="pct"/>
            <w:tcBorders>
              <w:left w:val="nil"/>
            </w:tcBorders>
          </w:tcPr>
          <w:p w14:paraId="19FF0C3E">
            <w:pPr>
              <w:snapToGrid w:val="0"/>
              <w:spacing w:line="300" w:lineRule="auto"/>
              <w:rPr>
                <w:rFonts w:ascii="Arial" w:hAnsi="Arial" w:eastAsia="宋体" w:cs="Arial"/>
                <w:szCs w:val="21"/>
              </w:rPr>
            </w:pPr>
            <w:r>
              <w:rPr>
                <w:rFonts w:ascii="Arial" w:hAnsi="Arial" w:eastAsia="宋体" w:cs="Arial"/>
                <w:szCs w:val="21"/>
              </w:rPr>
              <w:t>当能够熟练使用器械时问题通常即可得到解决。</w:t>
            </w:r>
          </w:p>
        </w:tc>
      </w:tr>
      <w:tr w14:paraId="638B07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0BD45DF0">
            <w:pPr>
              <w:snapToGrid w:val="0"/>
              <w:spacing w:line="300" w:lineRule="auto"/>
              <w:rPr>
                <w:rFonts w:ascii="Arial" w:hAnsi="Arial" w:eastAsia="宋体" w:cs="Arial"/>
                <w:szCs w:val="21"/>
              </w:rPr>
            </w:pPr>
            <w:r>
              <w:rPr>
                <w:rFonts w:ascii="Arial" w:hAnsi="Arial" w:eastAsia="宋体" w:cs="Arial"/>
                <w:szCs w:val="21"/>
              </w:rPr>
              <w:t>泛红、刺激症状或挫伤</w:t>
            </w:r>
          </w:p>
        </w:tc>
        <w:tc>
          <w:tcPr>
            <w:tcW w:w="1250" w:type="pct"/>
            <w:tcBorders>
              <w:top w:val="nil"/>
              <w:left w:val="nil"/>
              <w:bottom w:val="nil"/>
              <w:right w:val="nil"/>
            </w:tcBorders>
          </w:tcPr>
          <w:p w14:paraId="1BFEE7C7">
            <w:pPr>
              <w:snapToGrid w:val="0"/>
              <w:spacing w:line="300" w:lineRule="auto"/>
              <w:rPr>
                <w:rFonts w:ascii="Arial" w:hAnsi="Arial" w:eastAsia="宋体" w:cs="Arial"/>
                <w:szCs w:val="21"/>
              </w:rPr>
            </w:pPr>
            <w:r>
              <w:rPr>
                <w:rFonts w:ascii="Arial" w:hAnsi="Arial" w:eastAsia="宋体" w:cs="Arial"/>
                <w:szCs w:val="21"/>
              </w:rPr>
              <w:t>抽吸太快；抽吸过度</w:t>
            </w:r>
          </w:p>
        </w:tc>
        <w:tc>
          <w:tcPr>
            <w:tcW w:w="1250" w:type="pct"/>
            <w:tcBorders>
              <w:top w:val="nil"/>
              <w:left w:val="nil"/>
              <w:bottom w:val="nil"/>
              <w:right w:val="nil"/>
            </w:tcBorders>
          </w:tcPr>
          <w:p w14:paraId="5D72B0E2">
            <w:pPr>
              <w:snapToGrid w:val="0"/>
              <w:spacing w:line="300" w:lineRule="auto"/>
              <w:rPr>
                <w:rFonts w:ascii="Arial" w:hAnsi="Arial" w:eastAsia="宋体" w:cs="Arial"/>
                <w:szCs w:val="21"/>
              </w:rPr>
            </w:pPr>
            <w:r>
              <w:rPr>
                <w:rFonts w:ascii="Arial" w:hAnsi="Arial" w:eastAsia="宋体" w:cs="Arial"/>
                <w:szCs w:val="21"/>
              </w:rPr>
              <w:t>缓慢抽吸；使用较小真空泵</w:t>
            </w:r>
          </w:p>
        </w:tc>
        <w:tc>
          <w:tcPr>
            <w:tcW w:w="1250" w:type="pct"/>
            <w:tcBorders>
              <w:left w:val="nil"/>
            </w:tcBorders>
          </w:tcPr>
          <w:p w14:paraId="43A1AF8C">
            <w:pPr>
              <w:snapToGrid w:val="0"/>
              <w:spacing w:line="300" w:lineRule="auto"/>
              <w:rPr>
                <w:rFonts w:ascii="Arial" w:hAnsi="Arial" w:eastAsia="宋体" w:cs="Arial"/>
                <w:szCs w:val="21"/>
              </w:rPr>
            </w:pPr>
            <w:r>
              <w:rPr>
                <w:rFonts w:ascii="Arial" w:hAnsi="Arial" w:eastAsia="宋体" w:cs="Arial"/>
                <w:szCs w:val="21"/>
              </w:rPr>
              <w:t>如果用过几次后问题持续存在，请咨询医生。</w:t>
            </w:r>
          </w:p>
        </w:tc>
      </w:tr>
      <w:tr w14:paraId="6A3F78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622B8CEC">
            <w:pPr>
              <w:snapToGrid w:val="0"/>
              <w:spacing w:line="300" w:lineRule="auto"/>
              <w:rPr>
                <w:rFonts w:ascii="Arial" w:hAnsi="Arial" w:eastAsia="宋体" w:cs="Arial"/>
                <w:szCs w:val="21"/>
              </w:rPr>
            </w:pPr>
            <w:r>
              <w:rPr>
                <w:rFonts w:ascii="Arial" w:hAnsi="Arial" w:eastAsia="宋体" w:cs="Arial"/>
                <w:szCs w:val="21"/>
              </w:rPr>
              <w:t>阴茎发冷（</w:t>
            </w:r>
            <w:r>
              <w:rPr>
                <w:rFonts w:hint="eastAsia" w:ascii="Arial" w:hAnsi="Arial" w:eastAsia="宋体" w:cs="Arial"/>
                <w:szCs w:val="21"/>
              </w:rPr>
              <w:t>您</w:t>
            </w:r>
            <w:r>
              <w:rPr>
                <w:rFonts w:ascii="Arial" w:hAnsi="Arial" w:eastAsia="宋体" w:cs="Arial"/>
                <w:szCs w:val="21"/>
              </w:rPr>
              <w:t>或配偶感觉到）</w:t>
            </w:r>
          </w:p>
        </w:tc>
        <w:tc>
          <w:tcPr>
            <w:tcW w:w="1250" w:type="pct"/>
            <w:tcBorders>
              <w:top w:val="nil"/>
              <w:left w:val="nil"/>
              <w:bottom w:val="nil"/>
              <w:right w:val="nil"/>
            </w:tcBorders>
          </w:tcPr>
          <w:p w14:paraId="24D9C145">
            <w:pPr>
              <w:snapToGrid w:val="0"/>
              <w:spacing w:line="300" w:lineRule="auto"/>
              <w:rPr>
                <w:rFonts w:ascii="Arial" w:hAnsi="Arial" w:eastAsia="宋体" w:cs="Arial"/>
                <w:szCs w:val="21"/>
              </w:rPr>
            </w:pPr>
            <w:bookmarkStart w:id="38" w:name="OLE_LINK51"/>
            <w:bookmarkStart w:id="39" w:name="OLE_LINK50"/>
            <w:bookmarkStart w:id="40" w:name="OLE_LINK52"/>
            <w:r>
              <w:rPr>
                <w:rFonts w:ascii="Arial" w:hAnsi="Arial" w:eastAsia="宋体" w:cs="Arial"/>
                <w:szCs w:val="21"/>
              </w:rPr>
              <w:t>流往阴茎的血流受压</w:t>
            </w:r>
            <w:bookmarkEnd w:id="38"/>
            <w:bookmarkEnd w:id="39"/>
            <w:bookmarkEnd w:id="40"/>
            <w:r>
              <w:rPr>
                <w:rFonts w:ascii="Arial" w:hAnsi="Arial" w:eastAsia="宋体" w:cs="Arial"/>
                <w:szCs w:val="21"/>
              </w:rPr>
              <w:t>；润滑作用</w:t>
            </w:r>
          </w:p>
        </w:tc>
        <w:tc>
          <w:tcPr>
            <w:tcW w:w="1250" w:type="pct"/>
            <w:tcBorders>
              <w:top w:val="nil"/>
              <w:left w:val="nil"/>
              <w:bottom w:val="nil"/>
              <w:right w:val="nil"/>
            </w:tcBorders>
          </w:tcPr>
          <w:p w14:paraId="48CC0809">
            <w:pPr>
              <w:snapToGrid w:val="0"/>
              <w:spacing w:line="300" w:lineRule="auto"/>
              <w:rPr>
                <w:rFonts w:ascii="Arial" w:hAnsi="Arial" w:eastAsia="宋体" w:cs="Arial"/>
                <w:szCs w:val="21"/>
              </w:rPr>
            </w:pPr>
            <w:r>
              <w:rPr>
                <w:rFonts w:ascii="Arial" w:hAnsi="Arial" w:eastAsia="宋体" w:cs="Arial"/>
                <w:szCs w:val="21"/>
              </w:rPr>
              <w:t>洗掉润滑油或使用前给润滑油加热</w:t>
            </w:r>
          </w:p>
        </w:tc>
        <w:tc>
          <w:tcPr>
            <w:tcW w:w="1250" w:type="pct"/>
            <w:tcBorders>
              <w:left w:val="nil"/>
            </w:tcBorders>
          </w:tcPr>
          <w:p w14:paraId="1A1E122F">
            <w:pPr>
              <w:snapToGrid w:val="0"/>
              <w:spacing w:line="300" w:lineRule="auto"/>
              <w:rPr>
                <w:rFonts w:ascii="Arial" w:hAnsi="Arial" w:eastAsia="宋体" w:cs="Arial"/>
                <w:szCs w:val="21"/>
              </w:rPr>
            </w:pPr>
            <w:r>
              <w:rPr>
                <w:rFonts w:ascii="Arial" w:hAnsi="Arial" w:eastAsia="宋体" w:cs="Arial"/>
                <w:szCs w:val="21"/>
              </w:rPr>
              <w:t>－</w:t>
            </w:r>
          </w:p>
        </w:tc>
      </w:tr>
      <w:tr w14:paraId="43143D8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250" w:type="pct"/>
            <w:tcBorders>
              <w:right w:val="nil"/>
            </w:tcBorders>
          </w:tcPr>
          <w:p w14:paraId="45BA40FB">
            <w:pPr>
              <w:snapToGrid w:val="0"/>
              <w:spacing w:line="300" w:lineRule="auto"/>
              <w:rPr>
                <w:rFonts w:ascii="Arial" w:hAnsi="Arial" w:eastAsia="宋体" w:cs="Arial"/>
                <w:szCs w:val="21"/>
              </w:rPr>
            </w:pPr>
            <w:r>
              <w:rPr>
                <w:rFonts w:ascii="Arial" w:hAnsi="Arial" w:eastAsia="宋体" w:cs="Arial"/>
                <w:szCs w:val="21"/>
              </w:rPr>
              <w:t>阴茎根部转动</w:t>
            </w:r>
          </w:p>
        </w:tc>
        <w:tc>
          <w:tcPr>
            <w:tcW w:w="1250" w:type="pct"/>
            <w:tcBorders>
              <w:top w:val="nil"/>
              <w:left w:val="nil"/>
              <w:bottom w:val="nil"/>
              <w:right w:val="nil"/>
            </w:tcBorders>
          </w:tcPr>
          <w:p w14:paraId="670673E9">
            <w:pPr>
              <w:snapToGrid w:val="0"/>
              <w:spacing w:line="300" w:lineRule="auto"/>
              <w:rPr>
                <w:rFonts w:ascii="Arial" w:hAnsi="Arial" w:eastAsia="宋体" w:cs="Arial"/>
                <w:szCs w:val="21"/>
              </w:rPr>
            </w:pPr>
            <w:r>
              <w:rPr>
                <w:rFonts w:ascii="Arial" w:hAnsi="Arial" w:eastAsia="宋体" w:cs="Arial"/>
                <w:szCs w:val="21"/>
              </w:rPr>
              <w:t>流往阴茎的血流受压</w:t>
            </w:r>
          </w:p>
        </w:tc>
        <w:tc>
          <w:tcPr>
            <w:tcW w:w="1250" w:type="pct"/>
            <w:tcBorders>
              <w:top w:val="nil"/>
              <w:left w:val="nil"/>
              <w:bottom w:val="nil"/>
              <w:right w:val="nil"/>
            </w:tcBorders>
          </w:tcPr>
          <w:p w14:paraId="489E99F9">
            <w:pPr>
              <w:snapToGrid w:val="0"/>
              <w:spacing w:line="300" w:lineRule="auto"/>
              <w:rPr>
                <w:rFonts w:ascii="Arial" w:hAnsi="Arial" w:eastAsia="宋体" w:cs="Arial"/>
                <w:szCs w:val="21"/>
              </w:rPr>
            </w:pPr>
            <w:r>
              <w:rPr>
                <w:rFonts w:ascii="Arial" w:hAnsi="Arial" w:eastAsia="宋体" w:cs="Arial"/>
                <w:szCs w:val="21"/>
              </w:rPr>
              <w:t>如可控制，在有了部分勃起后再使用器械。</w:t>
            </w:r>
          </w:p>
        </w:tc>
        <w:tc>
          <w:tcPr>
            <w:tcW w:w="1250" w:type="pct"/>
            <w:tcBorders>
              <w:left w:val="nil"/>
            </w:tcBorders>
          </w:tcPr>
          <w:p w14:paraId="352D96C2">
            <w:pPr>
              <w:snapToGrid w:val="0"/>
              <w:spacing w:line="300" w:lineRule="auto"/>
              <w:rPr>
                <w:rFonts w:ascii="Arial" w:hAnsi="Arial" w:eastAsia="宋体" w:cs="Arial"/>
                <w:szCs w:val="21"/>
              </w:rPr>
            </w:pPr>
            <w:r>
              <w:rPr>
                <w:rFonts w:ascii="Arial" w:hAnsi="Arial" w:eastAsia="宋体" w:cs="Arial"/>
                <w:szCs w:val="21"/>
              </w:rPr>
              <w:t>－</w:t>
            </w:r>
          </w:p>
        </w:tc>
      </w:tr>
      <w:tr w14:paraId="4A09D99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000" w:type="pct"/>
            <w:gridSpan w:val="4"/>
          </w:tcPr>
          <w:p w14:paraId="22D06F42">
            <w:pPr>
              <w:snapToGrid w:val="0"/>
              <w:spacing w:line="300" w:lineRule="auto"/>
              <w:rPr>
                <w:rFonts w:ascii="Arial" w:hAnsi="Arial" w:eastAsia="宋体" w:cs="Arial"/>
                <w:szCs w:val="21"/>
              </w:rPr>
            </w:pPr>
            <w:r>
              <w:rPr>
                <w:rFonts w:ascii="Arial" w:hAnsi="Arial" w:eastAsia="宋体" w:cs="Arial"/>
                <w:szCs w:val="21"/>
              </w:rPr>
              <w:t>复印本使用说明书表无需征得发布者许可。可将该表提供给患者。</w:t>
            </w:r>
          </w:p>
        </w:tc>
      </w:tr>
    </w:tbl>
    <w:p w14:paraId="4654CCA4">
      <w:pPr>
        <w:snapToGrid w:val="0"/>
        <w:spacing w:line="300" w:lineRule="auto"/>
        <w:rPr>
          <w:rFonts w:ascii="Arial" w:hAnsi="Arial" w:eastAsia="宋体" w:cs="Arial"/>
        </w:rPr>
      </w:pPr>
      <w:bookmarkStart w:id="41" w:name="OLE_LINK22"/>
      <w:bookmarkStart w:id="42" w:name="OLE_LINK21"/>
      <w:r>
        <w:rPr>
          <w:rFonts w:ascii="Arial" w:hAnsi="Arial" w:eastAsia="宋体" w:cs="Arial"/>
        </w:rPr>
        <w:t xml:space="preserve">一种帮助患者使用真空器械的方法。 Lewis JH, Sidi AA, Reddy PK. </w:t>
      </w:r>
      <w:bookmarkStart w:id="43" w:name="OLE_LINK24"/>
      <w:bookmarkStart w:id="44" w:name="OLE_LINK25"/>
      <w:r>
        <w:rPr>
          <w:rFonts w:ascii="Arial" w:hAnsi="Arial" w:eastAsia="宋体" w:cs="Arial"/>
        </w:rPr>
        <w:t>当代泌尿科1991 年12月；3（12）:15; 19 21; 24.审查。PubMed ID: 10148056.</w:t>
      </w:r>
    </w:p>
    <w:bookmarkEnd w:id="41"/>
    <w:bookmarkEnd w:id="42"/>
    <w:bookmarkEnd w:id="43"/>
    <w:bookmarkEnd w:id="44"/>
    <w:p w14:paraId="010E8300">
      <w:pPr>
        <w:snapToGrid w:val="0"/>
        <w:spacing w:line="300" w:lineRule="auto"/>
        <w:rPr>
          <w:rFonts w:ascii="Arial" w:hAnsi="Arial" w:eastAsia="宋体" w:cs="Arial"/>
        </w:rPr>
      </w:pPr>
    </w:p>
    <w:p w14:paraId="19554522">
      <w:pPr>
        <w:widowControl/>
        <w:shd w:val="clear" w:color="auto" w:fill="FFFFFF"/>
        <w:snapToGrid w:val="0"/>
        <w:spacing w:line="300" w:lineRule="auto"/>
        <w:rPr>
          <w:rFonts w:ascii="Arial" w:hAnsi="Arial" w:eastAsia="宋体" w:cs="Arial"/>
          <w:b/>
          <w:color w:val="000000"/>
          <w:kern w:val="0"/>
          <w:sz w:val="22"/>
        </w:rPr>
      </w:pPr>
      <w:r>
        <w:fldChar w:fldCharType="begin"/>
      </w:r>
      <w:r>
        <w:instrText xml:space="preserve"> HYPERLINK "https://www.fda.gov/medicaldevices/deviceregulationandguidance/guidancedocuments/ucm072098.htm"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p>
    <w:p w14:paraId="166A9B4F">
      <w:pPr>
        <w:snapToGrid w:val="0"/>
        <w:spacing w:line="300" w:lineRule="auto"/>
        <w:rPr>
          <w:rFonts w:ascii="Arial" w:hAnsi="Arial" w:eastAsia="宋体" w:cs="Arial"/>
        </w:rPr>
      </w:pPr>
    </w:p>
    <w:p w14:paraId="6ABDED07">
      <w:pPr>
        <w:snapToGrid w:val="0"/>
        <w:spacing w:line="300" w:lineRule="auto"/>
        <w:rPr>
          <w:rFonts w:ascii="Arial" w:hAnsi="Arial" w:eastAsia="宋体" w:cs="Arial"/>
        </w:rPr>
      </w:pPr>
      <w:r>
        <w:rPr>
          <w:rFonts w:ascii="Helvetica" w:hAnsi="Helvetica" w:eastAsia="宋体" w:cs="Helvetica"/>
          <w:color w:val="000000"/>
          <w:kern w:val="0"/>
          <w:sz w:val="22"/>
        </w:rPr>
        <w:pict>
          <v:rect id="_x0000_i1032" o:spt="1" style="height:0pt;width:0pt;" fillcolor="#A0A0A0" filled="t" stroked="f" coordsize="21600,21600" o:hr="t" o:hrstd="t" o:hralign="center">
            <v:path/>
            <v:fill on="t" focussize="0,0"/>
            <v:stroke on="f"/>
            <v:imagedata o:title=""/>
            <o:lock v:ext="edit"/>
            <w10:wrap type="none"/>
            <w10:anchorlock/>
          </v:rect>
        </w:pict>
      </w:r>
    </w:p>
    <w:p w14:paraId="4BC6C8B1">
      <w:pPr>
        <w:snapToGrid w:val="0"/>
        <w:spacing w:line="300" w:lineRule="auto"/>
        <w:rPr>
          <w:rFonts w:ascii="Arial" w:hAnsi="Arial" w:eastAsia="宋体" w:cs="Arial"/>
          <w:vertAlign w:val="superscript"/>
        </w:rPr>
      </w:pPr>
    </w:p>
    <w:p w14:paraId="5830035C">
      <w:pPr>
        <w:pStyle w:val="12"/>
        <w:numPr>
          <w:ilvl w:val="0"/>
          <w:numId w:val="11"/>
        </w:numPr>
        <w:snapToGrid w:val="0"/>
        <w:spacing w:line="300" w:lineRule="auto"/>
        <w:ind w:firstLineChars="0"/>
        <w:rPr>
          <w:rFonts w:ascii="Arial" w:hAnsi="Arial" w:eastAsia="宋体" w:cs="Arial"/>
        </w:rPr>
      </w:pPr>
      <w:r>
        <w:rPr>
          <w:rFonts w:ascii="Arial" w:hAnsi="Arial" w:eastAsia="宋体" w:cs="Arial"/>
        </w:rPr>
        <w:t>我们建议制造商</w:t>
      </w:r>
      <w:bookmarkStart w:id="45" w:name="OLE_LINK99"/>
      <w:bookmarkStart w:id="46" w:name="OLE_LINK100"/>
      <w:r>
        <w:rPr>
          <w:rFonts w:ascii="Arial" w:hAnsi="Arial" w:eastAsia="宋体" w:cs="Arial"/>
        </w:rPr>
        <w:t>将如何解决本指南提供的建议规范记录在其设计历史文件中。</w:t>
      </w:r>
      <w:bookmarkEnd w:id="45"/>
      <w:bookmarkEnd w:id="46"/>
      <w:r>
        <w:rPr>
          <w:rFonts w:ascii="Arial" w:hAnsi="Arial" w:eastAsia="宋体" w:cs="Arial"/>
        </w:rPr>
        <w:t>制造商必须遵循</w:t>
      </w:r>
      <w:r>
        <w:rPr>
          <w:rFonts w:ascii="Arial" w:hAnsi="Arial" w:eastAsia="宋体" w:cs="Arial"/>
          <w:color w:val="0000FF"/>
          <w:u w:val="single"/>
        </w:rPr>
        <w:t>21 CFR 820.30</w:t>
      </w:r>
      <w:r>
        <w:rPr>
          <w:rFonts w:ascii="Arial" w:hAnsi="Arial" w:eastAsia="宋体" w:cs="Arial"/>
        </w:rPr>
        <w:t>的规定维护设计控制文件，包括设计历史文件。</w:t>
      </w:r>
    </w:p>
    <w:p w14:paraId="14336157">
      <w:pPr>
        <w:pStyle w:val="12"/>
        <w:numPr>
          <w:ilvl w:val="0"/>
          <w:numId w:val="11"/>
        </w:numPr>
        <w:snapToGrid w:val="0"/>
        <w:spacing w:line="300" w:lineRule="auto"/>
        <w:ind w:firstLineChars="0"/>
        <w:rPr>
          <w:rFonts w:ascii="Arial" w:hAnsi="Arial" w:eastAsia="宋体" w:cs="Arial"/>
        </w:rPr>
      </w:pPr>
      <w:r>
        <w:rPr>
          <w:rFonts w:ascii="Arial" w:hAnsi="Arial" w:eastAsia="宋体" w:cs="Arial"/>
        </w:rPr>
        <w:t xml:space="preserve">我们建议制造商将如何解决本指南提供的建议规范记录在其设计历史文件中。另见 </w:t>
      </w:r>
      <w:r>
        <w:rPr>
          <w:rFonts w:ascii="Arial" w:hAnsi="Arial" w:eastAsia="宋体" w:cs="Arial"/>
          <w:color w:val="0000FF"/>
          <w:u w:val="single"/>
        </w:rPr>
        <w:t>21 CFR 820.30</w:t>
      </w:r>
      <w:r>
        <w:rPr>
          <w:rFonts w:ascii="Arial" w:hAnsi="Arial" w:eastAsia="宋体" w:cs="Arial"/>
        </w:rPr>
        <w:t>。</w:t>
      </w:r>
    </w:p>
    <w:p w14:paraId="121719FE">
      <w:pPr>
        <w:pStyle w:val="12"/>
        <w:numPr>
          <w:ilvl w:val="0"/>
          <w:numId w:val="11"/>
        </w:numPr>
        <w:snapToGrid w:val="0"/>
        <w:spacing w:line="300" w:lineRule="auto"/>
        <w:ind w:firstLineChars="0"/>
        <w:rPr>
          <w:rFonts w:ascii="Arial" w:hAnsi="Arial" w:eastAsia="宋体" w:cs="Arial"/>
        </w:rPr>
      </w:pPr>
      <w:r>
        <w:rPr>
          <w:rFonts w:ascii="Arial" w:hAnsi="Arial" w:eastAsia="宋体" w:cs="Arial"/>
        </w:rPr>
        <w:t>在将医疗器械引入洲际贸易前，标签必须遵循</w:t>
      </w:r>
      <w:r>
        <w:rPr>
          <w:rFonts w:ascii="Arial" w:hAnsi="Arial" w:eastAsia="宋体" w:cs="Arial"/>
          <w:color w:val="0000FF"/>
          <w:u w:val="single"/>
        </w:rPr>
        <w:t>21 CFR第801部</w:t>
      </w:r>
      <w:r>
        <w:rPr>
          <w:rFonts w:ascii="Arial" w:hAnsi="Arial" w:eastAsia="宋体" w:cs="Arial"/>
        </w:rPr>
        <w:t>的要求。</w:t>
      </w:r>
    </w:p>
    <w:p w14:paraId="5E41E1FA">
      <w:pPr>
        <w:widowControl/>
        <w:jc w:val="left"/>
        <w:rPr>
          <w:rFonts w:ascii="Arial" w:hAnsi="Arial" w:eastAsia="宋体" w:cs="Arial"/>
          <w:vertAlign w:val="superscript"/>
        </w:rPr>
      </w:pPr>
      <w:r>
        <w:rPr>
          <w:rFonts w:ascii="Arial" w:hAnsi="Arial" w:eastAsia="宋体" w:cs="Arial"/>
          <w:vertAlign w:val="superscript"/>
        </w:rPr>
        <w:br w:type="page"/>
      </w:r>
    </w:p>
    <w:p w14:paraId="7C925D8C">
      <w:pPr>
        <w:pStyle w:val="12"/>
        <w:numPr>
          <w:ilvl w:val="0"/>
          <w:numId w:val="11"/>
        </w:numPr>
        <w:snapToGrid w:val="0"/>
        <w:spacing w:line="300" w:lineRule="auto"/>
        <w:ind w:firstLineChars="0"/>
        <w:rPr>
          <w:rFonts w:ascii="Arial" w:hAnsi="Arial" w:eastAsia="宋体" w:cs="Arial"/>
        </w:rPr>
      </w:pPr>
      <w:r>
        <w:rPr>
          <w:rFonts w:ascii="Arial" w:hAnsi="Arial" w:eastAsia="宋体" w:cs="Arial"/>
        </w:rPr>
        <w:t>外部影响阴茎硬度器械是非处方（OTC）销售器械。然而，在使用时常常要咨询医生。制造商可选择通过专业渠道限制其器械的分销。医疗保健供应商实际上可给患者开具这些器械。通过咨询医生而使用外部影响阴茎硬度器械需依靠医生的医疗经验和知识对患者进行评估，以确定外部影响阴茎硬度器械是否适合患者，并针对患者的实际情况深入讨论任何用法说明。</w:t>
      </w:r>
    </w:p>
    <w:p w14:paraId="0CF8D9BA">
      <w:pPr>
        <w:snapToGrid w:val="0"/>
        <w:spacing w:line="300" w:lineRule="auto"/>
        <w:rPr>
          <w:rFonts w:ascii="Arial" w:hAnsi="Arial" w:eastAsia="宋体" w:cs="Arial"/>
        </w:rPr>
      </w:pPr>
    </w:p>
    <w:p w14:paraId="48D6A2D5">
      <w:pPr>
        <w:snapToGrid w:val="0"/>
        <w:spacing w:line="300" w:lineRule="auto"/>
        <w:rPr>
          <w:rFonts w:ascii="Arial" w:hAnsi="Arial" w:eastAsia="宋体" w:cs="Arial"/>
        </w:rPr>
      </w:pPr>
    </w:p>
    <w:p w14:paraId="2E777B55">
      <w:pPr>
        <w:snapToGrid w:val="0"/>
        <w:spacing w:line="300" w:lineRule="auto"/>
        <w:rPr>
          <w:rFonts w:ascii="Arial" w:hAnsi="Arial" w:eastAsia="宋体" w:cs="Arial"/>
        </w:rPr>
      </w:pPr>
    </w:p>
    <w:p w14:paraId="2A1EF046">
      <w:pPr>
        <w:snapToGrid w:val="0"/>
        <w:spacing w:line="312" w:lineRule="auto"/>
        <w:rPr>
          <w:rFonts w:hint="eastAsia" w:eastAsia="宋体"/>
          <w:lang w:eastAsia="zh-CN"/>
        </w:rPr>
      </w:pPr>
    </w:p>
    <w:p w14:paraId="387F4833">
      <w:pPr>
        <w:snapToGrid w:val="0"/>
        <w:spacing w:line="312" w:lineRule="auto"/>
        <w:jc w:val="center"/>
        <w:rPr>
          <w:rFonts w:hint="eastAsia" w:eastAsia="宋体"/>
          <w:lang w:eastAsia="zh-CN"/>
        </w:rPr>
      </w:pPr>
    </w:p>
    <w:p w14:paraId="0576763C">
      <w:pPr>
        <w:snapToGrid w:val="0"/>
        <w:spacing w:line="312"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7390E"/>
    <w:multiLevelType w:val="multilevel"/>
    <w:tmpl w:val="08E7390E"/>
    <w:lvl w:ilvl="0" w:tentative="0">
      <w:start w:val="1"/>
      <w:numFmt w:val="decimal"/>
      <w:lvlText w:val="%1."/>
      <w:lvlJc w:val="left"/>
      <w:pPr>
        <w:ind w:left="360" w:hanging="360"/>
      </w:pPr>
      <w:rPr>
        <w:rFonts w:hint="default"/>
        <w:color w:val="auto"/>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2E31C8"/>
    <w:multiLevelType w:val="multilevel"/>
    <w:tmpl w:val="3E2E3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B814A20"/>
    <w:multiLevelType w:val="multilevel"/>
    <w:tmpl w:val="4B814A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364575F"/>
    <w:multiLevelType w:val="multilevel"/>
    <w:tmpl w:val="53645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40C28EF"/>
    <w:multiLevelType w:val="multilevel"/>
    <w:tmpl w:val="540C28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BBB7095"/>
    <w:multiLevelType w:val="multilevel"/>
    <w:tmpl w:val="5BBB70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C5C7BC9"/>
    <w:multiLevelType w:val="multilevel"/>
    <w:tmpl w:val="5C5C7B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5CC051F"/>
    <w:multiLevelType w:val="multilevel"/>
    <w:tmpl w:val="65CC05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2132262"/>
    <w:multiLevelType w:val="multilevel"/>
    <w:tmpl w:val="721322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449641F"/>
    <w:multiLevelType w:val="multilevel"/>
    <w:tmpl w:val="744964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9475AE1"/>
    <w:multiLevelType w:val="multilevel"/>
    <w:tmpl w:val="79475AE1"/>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4"/>
  </w:num>
  <w:num w:numId="4">
    <w:abstractNumId w:val="6"/>
  </w:num>
  <w:num w:numId="5">
    <w:abstractNumId w:val="5"/>
  </w:num>
  <w:num w:numId="6">
    <w:abstractNumId w:val="1"/>
  </w:num>
  <w:num w:numId="7">
    <w:abstractNumId w:val="9"/>
  </w:num>
  <w:num w:numId="8">
    <w:abstractNumId w:val="3"/>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53"/>
    <w:rsid w:val="00016A24"/>
    <w:rsid w:val="00041C3F"/>
    <w:rsid w:val="00044503"/>
    <w:rsid w:val="00047C7A"/>
    <w:rsid w:val="00053BF0"/>
    <w:rsid w:val="0007651D"/>
    <w:rsid w:val="00097F54"/>
    <w:rsid w:val="000B2A96"/>
    <w:rsid w:val="000B7939"/>
    <w:rsid w:val="000C2E8F"/>
    <w:rsid w:val="000C3429"/>
    <w:rsid w:val="000D1EE6"/>
    <w:rsid w:val="000D243F"/>
    <w:rsid w:val="000D6887"/>
    <w:rsid w:val="000D7066"/>
    <w:rsid w:val="000E4041"/>
    <w:rsid w:val="000E6CFB"/>
    <w:rsid w:val="000F30CD"/>
    <w:rsid w:val="00105492"/>
    <w:rsid w:val="00130DDE"/>
    <w:rsid w:val="00131B41"/>
    <w:rsid w:val="00133E58"/>
    <w:rsid w:val="001410E2"/>
    <w:rsid w:val="00151CA2"/>
    <w:rsid w:val="00161DE8"/>
    <w:rsid w:val="00165B1F"/>
    <w:rsid w:val="001665DD"/>
    <w:rsid w:val="00170E2D"/>
    <w:rsid w:val="00174C9E"/>
    <w:rsid w:val="00174DCA"/>
    <w:rsid w:val="001758D1"/>
    <w:rsid w:val="001767CC"/>
    <w:rsid w:val="001855E2"/>
    <w:rsid w:val="00197D2C"/>
    <w:rsid w:val="001A0412"/>
    <w:rsid w:val="001A2C9C"/>
    <w:rsid w:val="001A579D"/>
    <w:rsid w:val="001A696A"/>
    <w:rsid w:val="001C1873"/>
    <w:rsid w:val="001C3AA9"/>
    <w:rsid w:val="001E1B5F"/>
    <w:rsid w:val="001F53E5"/>
    <w:rsid w:val="00202FBA"/>
    <w:rsid w:val="00207AB1"/>
    <w:rsid w:val="00210FE6"/>
    <w:rsid w:val="00215534"/>
    <w:rsid w:val="00221A6D"/>
    <w:rsid w:val="00225BA1"/>
    <w:rsid w:val="00233AB5"/>
    <w:rsid w:val="00246D60"/>
    <w:rsid w:val="00252C4D"/>
    <w:rsid w:val="00255694"/>
    <w:rsid w:val="00266860"/>
    <w:rsid w:val="0027065B"/>
    <w:rsid w:val="00290DF4"/>
    <w:rsid w:val="002912C4"/>
    <w:rsid w:val="002A1479"/>
    <w:rsid w:val="002B1053"/>
    <w:rsid w:val="002B6D33"/>
    <w:rsid w:val="002C014C"/>
    <w:rsid w:val="002C1274"/>
    <w:rsid w:val="002D238D"/>
    <w:rsid w:val="002F2700"/>
    <w:rsid w:val="003011A9"/>
    <w:rsid w:val="003053D0"/>
    <w:rsid w:val="0030544F"/>
    <w:rsid w:val="0031563C"/>
    <w:rsid w:val="00315F9C"/>
    <w:rsid w:val="00325319"/>
    <w:rsid w:val="003351C0"/>
    <w:rsid w:val="00336A0B"/>
    <w:rsid w:val="00341A8C"/>
    <w:rsid w:val="00342CFD"/>
    <w:rsid w:val="00365729"/>
    <w:rsid w:val="00373EEC"/>
    <w:rsid w:val="00381846"/>
    <w:rsid w:val="0038478C"/>
    <w:rsid w:val="00385C48"/>
    <w:rsid w:val="00385EAD"/>
    <w:rsid w:val="0039273E"/>
    <w:rsid w:val="003A43D6"/>
    <w:rsid w:val="003B5C96"/>
    <w:rsid w:val="003C220A"/>
    <w:rsid w:val="003D1747"/>
    <w:rsid w:val="003E003E"/>
    <w:rsid w:val="003E3EFD"/>
    <w:rsid w:val="003E4ACD"/>
    <w:rsid w:val="003F698B"/>
    <w:rsid w:val="00403BCD"/>
    <w:rsid w:val="0041003A"/>
    <w:rsid w:val="00421354"/>
    <w:rsid w:val="00433438"/>
    <w:rsid w:val="004426C4"/>
    <w:rsid w:val="00444C95"/>
    <w:rsid w:val="00463814"/>
    <w:rsid w:val="004827DC"/>
    <w:rsid w:val="004830DB"/>
    <w:rsid w:val="004903B1"/>
    <w:rsid w:val="004A1B82"/>
    <w:rsid w:val="004D3826"/>
    <w:rsid w:val="004E02FF"/>
    <w:rsid w:val="004F2E42"/>
    <w:rsid w:val="004F46EE"/>
    <w:rsid w:val="00500738"/>
    <w:rsid w:val="0050785D"/>
    <w:rsid w:val="00543B66"/>
    <w:rsid w:val="00574815"/>
    <w:rsid w:val="00596A99"/>
    <w:rsid w:val="005C18D2"/>
    <w:rsid w:val="005C42BD"/>
    <w:rsid w:val="005C7CC6"/>
    <w:rsid w:val="005E5DAD"/>
    <w:rsid w:val="005E7819"/>
    <w:rsid w:val="005F71BC"/>
    <w:rsid w:val="005F77DE"/>
    <w:rsid w:val="0062068F"/>
    <w:rsid w:val="00622EB3"/>
    <w:rsid w:val="00624969"/>
    <w:rsid w:val="00635943"/>
    <w:rsid w:val="00640951"/>
    <w:rsid w:val="00646FCA"/>
    <w:rsid w:val="0065292F"/>
    <w:rsid w:val="00684B3C"/>
    <w:rsid w:val="00686CFA"/>
    <w:rsid w:val="006967BC"/>
    <w:rsid w:val="006A6310"/>
    <w:rsid w:val="006B2962"/>
    <w:rsid w:val="006C3C42"/>
    <w:rsid w:val="006C3DCA"/>
    <w:rsid w:val="006C7E0A"/>
    <w:rsid w:val="006D05BF"/>
    <w:rsid w:val="006F4A11"/>
    <w:rsid w:val="006F728D"/>
    <w:rsid w:val="0070322D"/>
    <w:rsid w:val="007056BD"/>
    <w:rsid w:val="00711D83"/>
    <w:rsid w:val="00713B6A"/>
    <w:rsid w:val="00724C85"/>
    <w:rsid w:val="00726445"/>
    <w:rsid w:val="00752375"/>
    <w:rsid w:val="00756FFB"/>
    <w:rsid w:val="0076089C"/>
    <w:rsid w:val="00775423"/>
    <w:rsid w:val="00775C86"/>
    <w:rsid w:val="00781FF3"/>
    <w:rsid w:val="007926ED"/>
    <w:rsid w:val="007B168B"/>
    <w:rsid w:val="007B1B68"/>
    <w:rsid w:val="007B3FCD"/>
    <w:rsid w:val="007B4C2D"/>
    <w:rsid w:val="007C49F8"/>
    <w:rsid w:val="007C6E72"/>
    <w:rsid w:val="007D2CE8"/>
    <w:rsid w:val="007D5E45"/>
    <w:rsid w:val="007D62E2"/>
    <w:rsid w:val="007E2B59"/>
    <w:rsid w:val="008051C2"/>
    <w:rsid w:val="00805614"/>
    <w:rsid w:val="00805B25"/>
    <w:rsid w:val="00811C8C"/>
    <w:rsid w:val="00811ECC"/>
    <w:rsid w:val="00814390"/>
    <w:rsid w:val="00814B1D"/>
    <w:rsid w:val="00837150"/>
    <w:rsid w:val="00843B5C"/>
    <w:rsid w:val="008449FE"/>
    <w:rsid w:val="00845007"/>
    <w:rsid w:val="00865214"/>
    <w:rsid w:val="008665C8"/>
    <w:rsid w:val="008715EA"/>
    <w:rsid w:val="008723B2"/>
    <w:rsid w:val="008830BE"/>
    <w:rsid w:val="008843B4"/>
    <w:rsid w:val="00892CCD"/>
    <w:rsid w:val="00895DB0"/>
    <w:rsid w:val="008A2162"/>
    <w:rsid w:val="008A3393"/>
    <w:rsid w:val="008A4C0A"/>
    <w:rsid w:val="008A56E7"/>
    <w:rsid w:val="008B27D9"/>
    <w:rsid w:val="008B59EF"/>
    <w:rsid w:val="008B68F6"/>
    <w:rsid w:val="008C3454"/>
    <w:rsid w:val="008C496F"/>
    <w:rsid w:val="008D66A1"/>
    <w:rsid w:val="008D7B38"/>
    <w:rsid w:val="008E69AD"/>
    <w:rsid w:val="008F27A6"/>
    <w:rsid w:val="00903B93"/>
    <w:rsid w:val="00907E01"/>
    <w:rsid w:val="00923D03"/>
    <w:rsid w:val="0094096E"/>
    <w:rsid w:val="00943445"/>
    <w:rsid w:val="00943944"/>
    <w:rsid w:val="009453CA"/>
    <w:rsid w:val="00950FF9"/>
    <w:rsid w:val="00957828"/>
    <w:rsid w:val="00971989"/>
    <w:rsid w:val="009744B9"/>
    <w:rsid w:val="00981833"/>
    <w:rsid w:val="00986D69"/>
    <w:rsid w:val="009872FD"/>
    <w:rsid w:val="009A25CA"/>
    <w:rsid w:val="009B3646"/>
    <w:rsid w:val="009C232C"/>
    <w:rsid w:val="009C6E98"/>
    <w:rsid w:val="009E6A80"/>
    <w:rsid w:val="00A05395"/>
    <w:rsid w:val="00A25FB4"/>
    <w:rsid w:val="00A26A59"/>
    <w:rsid w:val="00A27E53"/>
    <w:rsid w:val="00A40AC0"/>
    <w:rsid w:val="00A53154"/>
    <w:rsid w:val="00A54397"/>
    <w:rsid w:val="00A64820"/>
    <w:rsid w:val="00AA676E"/>
    <w:rsid w:val="00AB1E3C"/>
    <w:rsid w:val="00AB2E28"/>
    <w:rsid w:val="00AC0636"/>
    <w:rsid w:val="00AC1173"/>
    <w:rsid w:val="00AC174F"/>
    <w:rsid w:val="00AC7DC5"/>
    <w:rsid w:val="00AD46CF"/>
    <w:rsid w:val="00AD5BD8"/>
    <w:rsid w:val="00AF2F8B"/>
    <w:rsid w:val="00B235F7"/>
    <w:rsid w:val="00B31D39"/>
    <w:rsid w:val="00B43D96"/>
    <w:rsid w:val="00B51EB6"/>
    <w:rsid w:val="00B54253"/>
    <w:rsid w:val="00B62883"/>
    <w:rsid w:val="00B767FE"/>
    <w:rsid w:val="00B80EBF"/>
    <w:rsid w:val="00B948A2"/>
    <w:rsid w:val="00BA3AB7"/>
    <w:rsid w:val="00BA7DC6"/>
    <w:rsid w:val="00BC482D"/>
    <w:rsid w:val="00BC4EC9"/>
    <w:rsid w:val="00BC5EE2"/>
    <w:rsid w:val="00BD086D"/>
    <w:rsid w:val="00BE3674"/>
    <w:rsid w:val="00BE5A12"/>
    <w:rsid w:val="00BE6F54"/>
    <w:rsid w:val="00BF47AE"/>
    <w:rsid w:val="00C10EE1"/>
    <w:rsid w:val="00C347E4"/>
    <w:rsid w:val="00C40F9F"/>
    <w:rsid w:val="00C4128F"/>
    <w:rsid w:val="00C47878"/>
    <w:rsid w:val="00C53E78"/>
    <w:rsid w:val="00C6117C"/>
    <w:rsid w:val="00C618B4"/>
    <w:rsid w:val="00C762B9"/>
    <w:rsid w:val="00C830DD"/>
    <w:rsid w:val="00C93314"/>
    <w:rsid w:val="00C975A0"/>
    <w:rsid w:val="00CA7218"/>
    <w:rsid w:val="00CB3576"/>
    <w:rsid w:val="00CC4FD7"/>
    <w:rsid w:val="00CC70C5"/>
    <w:rsid w:val="00CF68CC"/>
    <w:rsid w:val="00D03069"/>
    <w:rsid w:val="00D05270"/>
    <w:rsid w:val="00D12049"/>
    <w:rsid w:val="00D2009E"/>
    <w:rsid w:val="00D22A13"/>
    <w:rsid w:val="00D24D59"/>
    <w:rsid w:val="00D367D8"/>
    <w:rsid w:val="00D3685D"/>
    <w:rsid w:val="00D3686C"/>
    <w:rsid w:val="00D43CE3"/>
    <w:rsid w:val="00D70427"/>
    <w:rsid w:val="00D7113E"/>
    <w:rsid w:val="00D712CC"/>
    <w:rsid w:val="00D71585"/>
    <w:rsid w:val="00D73097"/>
    <w:rsid w:val="00D80B37"/>
    <w:rsid w:val="00D81583"/>
    <w:rsid w:val="00D87259"/>
    <w:rsid w:val="00D87D1B"/>
    <w:rsid w:val="00DA11E9"/>
    <w:rsid w:val="00DB34B9"/>
    <w:rsid w:val="00DB5AF6"/>
    <w:rsid w:val="00DB69F7"/>
    <w:rsid w:val="00DD0CB6"/>
    <w:rsid w:val="00DD231F"/>
    <w:rsid w:val="00DD613C"/>
    <w:rsid w:val="00DE7EAB"/>
    <w:rsid w:val="00DF1A71"/>
    <w:rsid w:val="00DF1EA8"/>
    <w:rsid w:val="00DF388C"/>
    <w:rsid w:val="00E10C72"/>
    <w:rsid w:val="00E24492"/>
    <w:rsid w:val="00E27772"/>
    <w:rsid w:val="00E31186"/>
    <w:rsid w:val="00E32289"/>
    <w:rsid w:val="00E4345E"/>
    <w:rsid w:val="00E446F0"/>
    <w:rsid w:val="00E47176"/>
    <w:rsid w:val="00E50D06"/>
    <w:rsid w:val="00E52586"/>
    <w:rsid w:val="00E63D16"/>
    <w:rsid w:val="00E6471A"/>
    <w:rsid w:val="00E650F6"/>
    <w:rsid w:val="00E679A1"/>
    <w:rsid w:val="00E725CB"/>
    <w:rsid w:val="00E732A0"/>
    <w:rsid w:val="00E74BB9"/>
    <w:rsid w:val="00E87E60"/>
    <w:rsid w:val="00EB3B62"/>
    <w:rsid w:val="00EB483D"/>
    <w:rsid w:val="00EB71D4"/>
    <w:rsid w:val="00EC11D3"/>
    <w:rsid w:val="00ED0690"/>
    <w:rsid w:val="00ED2532"/>
    <w:rsid w:val="00F04448"/>
    <w:rsid w:val="00F15F64"/>
    <w:rsid w:val="00F22457"/>
    <w:rsid w:val="00F3138F"/>
    <w:rsid w:val="00F325C3"/>
    <w:rsid w:val="00F401FB"/>
    <w:rsid w:val="00F46E5B"/>
    <w:rsid w:val="00F755C9"/>
    <w:rsid w:val="00F80FBE"/>
    <w:rsid w:val="00F811AF"/>
    <w:rsid w:val="00F91E9D"/>
    <w:rsid w:val="00F97396"/>
    <w:rsid w:val="00FA1B07"/>
    <w:rsid w:val="00FB40B1"/>
    <w:rsid w:val="00FC5614"/>
    <w:rsid w:val="00FD4ABD"/>
    <w:rsid w:val="00FD5DD5"/>
    <w:rsid w:val="00FD7691"/>
    <w:rsid w:val="00FE6EAA"/>
    <w:rsid w:val="1659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4D94-0DC7-4699-89A8-5790E6A3EC5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6126</Words>
  <Characters>6538</Characters>
  <Lines>78</Lines>
  <Paragraphs>22</Paragraphs>
  <TotalTime>1</TotalTime>
  <ScaleCrop>false</ScaleCrop>
  <LinksUpToDate>false</LinksUpToDate>
  <CharactersWithSpaces>6579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2017-06-09T08:01:00Z</dcterms:created>
  <dc:creator>BH</dc:creator>
  <cp:lastModifiedBy>太极箫客</cp:lastModifiedBy>
  <dcterms:modified xsi:type="dcterms:W3CDTF">2025-08-14T06:18:13Z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B9E5D97B9E234B30B316E3C8CCAFA294_12</vt:lpwstr>
  </property>
</Properties>
</file>