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30B81">
      <w:pPr>
        <w:snapToGrid w:val="0"/>
        <w:spacing w:line="300" w:lineRule="auto"/>
        <w:ind w:right="-8" w:rightChars="-4"/>
        <w:rPr>
          <w:rFonts w:ascii="Arial" w:hAnsi="Arial" w:eastAsia="宋体" w:cs="Arial"/>
          <w:b/>
          <w:sz w:val="36"/>
          <w:szCs w:val="36"/>
        </w:rPr>
      </w:pPr>
      <w:bookmarkStart w:id="0" w:name="OLE_LINK38"/>
      <w:bookmarkStart w:id="1" w:name="OLE_LINK39"/>
      <w:bookmarkStart w:id="2" w:name="OLE_LINK40"/>
      <w:bookmarkStart w:id="3" w:name="OLE_LINK35"/>
      <w:bookmarkStart w:id="4" w:name="OLE_LINK36"/>
      <w:bookmarkStart w:id="5" w:name="OLE_LINK41"/>
      <w:bookmarkStart w:id="6" w:name="OLE_LINK6"/>
      <w:bookmarkStart w:id="7" w:name="OLE_LINK2"/>
      <w:bookmarkStart w:id="101" w:name="_GoBack"/>
      <w:bookmarkEnd w:id="101"/>
      <w:r>
        <w:rPr>
          <w:rFonts w:ascii="Arial" w:hAnsi="Arial" w:eastAsia="宋体" w:cs="Arial"/>
          <w:b/>
          <w:sz w:val="36"/>
          <w:szCs w:val="36"/>
        </w:rPr>
        <w:t>行业和FDA工作人员指南</w:t>
      </w:r>
    </w:p>
    <w:bookmarkEnd w:id="0"/>
    <w:bookmarkEnd w:id="1"/>
    <w:p w14:paraId="422294AF">
      <w:pPr>
        <w:snapToGrid w:val="0"/>
        <w:spacing w:line="300" w:lineRule="auto"/>
        <w:ind w:right="-8" w:rightChars="-4"/>
        <w:rPr>
          <w:rFonts w:ascii="Arial" w:hAnsi="Arial" w:eastAsia="宋体" w:cs="Arial"/>
          <w:b/>
          <w:sz w:val="36"/>
          <w:szCs w:val="36"/>
        </w:rPr>
      </w:pPr>
      <w:r>
        <w:rPr>
          <w:rFonts w:ascii="Arial" w:hAnsi="Arial" w:eastAsia="宋体" w:cs="Arial"/>
          <w:b/>
          <w:sz w:val="36"/>
          <w:szCs w:val="36"/>
        </w:rPr>
        <w:t>－II类特殊控制指导性文件：RNA分析前系统</w:t>
      </w:r>
    </w:p>
    <w:p w14:paraId="5A3391A5">
      <w:pPr>
        <w:snapToGrid w:val="0"/>
        <w:spacing w:line="300" w:lineRule="auto"/>
        <w:ind w:right="-8" w:rightChars="-4"/>
        <w:rPr>
          <w:rFonts w:ascii="Arial" w:hAnsi="Arial" w:eastAsia="宋体" w:cs="Arial"/>
          <w:b/>
          <w:sz w:val="36"/>
          <w:szCs w:val="36"/>
        </w:rPr>
      </w:pPr>
      <w:r>
        <w:rPr>
          <w:rFonts w:ascii="Arial" w:hAnsi="Arial" w:eastAsia="宋体" w:cs="Arial"/>
          <w:b/>
          <w:sz w:val="36"/>
          <w:szCs w:val="36"/>
        </w:rPr>
        <w:t>（用于分子诊断测试中RT-PCR的RNA采集、稳定和纯化系统）</w:t>
      </w:r>
    </w:p>
    <w:bookmarkEnd w:id="2"/>
    <w:bookmarkEnd w:id="3"/>
    <w:bookmarkEnd w:id="4"/>
    <w:bookmarkEnd w:id="5"/>
    <w:p w14:paraId="53887943">
      <w:pPr>
        <w:snapToGrid w:val="0"/>
        <w:spacing w:line="300" w:lineRule="auto"/>
        <w:ind w:right="-8" w:rightChars="-4"/>
        <w:rPr>
          <w:rFonts w:ascii="Arial" w:hAnsi="Arial" w:eastAsia="宋体" w:cs="Arial"/>
          <w:b/>
        </w:rPr>
      </w:pPr>
      <w:r>
        <w:rPr>
          <w:rFonts w:ascii="Arial" w:hAnsi="Arial" w:eastAsia="宋体" w:cs="Arial"/>
          <w:b/>
        </w:rPr>
        <w:t>发布日期：2005年8月25日</w:t>
      </w:r>
    </w:p>
    <w:p w14:paraId="01FA334C">
      <w:pPr>
        <w:snapToGrid w:val="0"/>
        <w:spacing w:line="300" w:lineRule="auto"/>
        <w:ind w:right="-8" w:rightChars="-4"/>
        <w:rPr>
          <w:rFonts w:ascii="Arial" w:hAnsi="Arial" w:eastAsia="宋体" w:cs="Arial"/>
        </w:rPr>
      </w:pPr>
    </w:p>
    <w:p w14:paraId="2E381F6E">
      <w:pPr>
        <w:snapToGrid w:val="0"/>
        <w:spacing w:line="300" w:lineRule="auto"/>
        <w:ind w:right="-8" w:rightChars="-4"/>
        <w:rPr>
          <w:rFonts w:ascii="Arial" w:hAnsi="Arial" w:eastAsia="宋体" w:cs="Arial"/>
        </w:rPr>
      </w:pPr>
      <w:r>
        <w:rPr>
          <w:rFonts w:ascii="Arial" w:hAnsi="Arial" w:eastAsia="宋体" w:cs="Arial"/>
        </w:rPr>
        <w:t>若对本文件有疑问，请与Uwe Scherf联系。联系电话：301-796-5456，电子信箱：</w:t>
      </w:r>
      <w:r>
        <w:rPr>
          <w:rFonts w:ascii="Arial" w:hAnsi="Arial" w:eastAsia="宋体" w:cs="Arial"/>
          <w:color w:val="800080"/>
          <w:u w:val="single"/>
        </w:rPr>
        <w:t>uwe.scherf@fda.hhs.gov</w:t>
      </w:r>
      <w:r>
        <w:rPr>
          <w:rFonts w:ascii="Arial" w:hAnsi="Arial" w:eastAsia="宋体" w:cs="Arial"/>
        </w:rPr>
        <w:t>。</w:t>
      </w:r>
    </w:p>
    <w:bookmarkEnd w:id="6"/>
    <w:bookmarkEnd w:id="7"/>
    <w:p w14:paraId="3F9E2525">
      <w:pPr>
        <w:snapToGrid w:val="0"/>
        <w:spacing w:line="300" w:lineRule="auto"/>
        <w:ind w:right="-8" w:rightChars="-4"/>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134620</wp:posOffset>
                </wp:positionV>
                <wp:extent cx="1278255" cy="1150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8194" cy="11503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B65A0">
                            <w:r>
                              <w:rPr>
                                <w:rFonts w:ascii="宋体" w:hAnsi="宋体" w:eastAsia="宋体" w:cs="宋体"/>
                                <w:kern w:val="0"/>
                                <w:sz w:val="24"/>
                                <w:szCs w:val="24"/>
                              </w:rPr>
                              <w:drawing>
                                <wp:inline distT="0" distB="0" distL="0" distR="0">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10.6pt;height:90.6pt;width:100.65pt;z-index:251660288;mso-width-relative:page;mso-height-relative:page;" filled="f" stroked="f" coordsize="21600,21600" o:gfxdata="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MdlA9gAAAAIAQAADwAAAAAAAAABACAAAAAi&#10;AAAAZHJzL2Rvd25yZXYueG1sUEsBAhQAFAAAAAgAh07iQCBXb3lDAgAAdQQAAA4AAAAAAAAAAQAg&#10;AAAAJwEAAGRycy9lMm9Eb2MueG1sUEsFBgAAAAAGAAYAWQEAANwFAAAAAA==&#10;">
                <v:fill on="f" focussize="0,0"/>
                <v:stroke on="f" weight="0.5pt"/>
                <v:imagedata o:title=""/>
                <o:lock v:ext="edit" aspectratio="f"/>
                <v:textbox>
                  <w:txbxContent>
                    <w:p w14:paraId="60FB65A0">
                      <w:r>
                        <w:rPr>
                          <w:rFonts w:ascii="宋体" w:hAnsi="宋体" w:eastAsia="宋体" w:cs="宋体"/>
                          <w:kern w:val="0"/>
                          <w:sz w:val="24"/>
                          <w:szCs w:val="24"/>
                        </w:rPr>
                        <w:drawing>
                          <wp:inline distT="0" distB="0" distL="0" distR="0">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14:paraId="25AC8899">
      <w:pPr>
        <w:snapToGrid w:val="0"/>
        <w:spacing w:line="300" w:lineRule="auto"/>
        <w:ind w:right="-8" w:rightChars="-4" w:firstLine="2100" w:firstLineChars="1000"/>
        <w:jc w:val="left"/>
        <w:rPr>
          <w:rFonts w:ascii="Arial" w:hAnsi="Arial" w:eastAsia="宋体" w:cs="Arial"/>
        </w:rPr>
      </w:pPr>
      <w:bookmarkStart w:id="8" w:name="OLE_LINK18"/>
      <w:bookmarkStart w:id="9" w:name="OLE_LINK22"/>
      <w:r>
        <w:rPr>
          <w:rFonts w:ascii="Arial" w:hAnsi="Arial" w:eastAsia="宋体" w:cs="Arial"/>
        </w:rPr>
        <w:t>美国卫生</w:t>
      </w:r>
      <w:r>
        <w:rPr>
          <w:rFonts w:hint="eastAsia" w:ascii="Arial" w:hAnsi="Arial" w:eastAsia="宋体" w:cs="Arial"/>
        </w:rPr>
        <w:t>与</w:t>
      </w:r>
      <w:r>
        <w:rPr>
          <w:rFonts w:ascii="Arial" w:hAnsi="Arial" w:eastAsia="宋体" w:cs="Arial"/>
        </w:rPr>
        <w:t>公众服务部</w:t>
      </w:r>
    </w:p>
    <w:p w14:paraId="1892576B">
      <w:pPr>
        <w:snapToGrid w:val="0"/>
        <w:spacing w:line="300" w:lineRule="auto"/>
        <w:ind w:right="-8" w:rightChars="-4" w:firstLine="2100" w:firstLineChars="1000"/>
        <w:jc w:val="left"/>
        <w:rPr>
          <w:rFonts w:ascii="Arial" w:hAnsi="Arial" w:eastAsia="宋体" w:cs="Arial"/>
        </w:rPr>
      </w:pPr>
      <w:r>
        <w:rPr>
          <w:rFonts w:ascii="Arial" w:hAnsi="Arial" w:eastAsia="宋体" w:cs="Arial"/>
        </w:rPr>
        <w:t>食品药品监督管理局</w:t>
      </w:r>
    </w:p>
    <w:p w14:paraId="1E0DC065">
      <w:pPr>
        <w:snapToGrid w:val="0"/>
        <w:spacing w:line="300" w:lineRule="auto"/>
        <w:ind w:right="-8" w:rightChars="-4" w:firstLine="2100" w:firstLineChars="1000"/>
        <w:jc w:val="left"/>
        <w:rPr>
          <w:rFonts w:ascii="Arial" w:hAnsi="Arial" w:eastAsia="宋体" w:cs="Arial"/>
        </w:rPr>
      </w:pPr>
      <w:r>
        <w:rPr>
          <w:rFonts w:ascii="Arial" w:hAnsi="Arial" w:eastAsia="宋体" w:cs="Arial"/>
        </w:rPr>
        <w:t>器械</w:t>
      </w:r>
      <w:r>
        <w:rPr>
          <w:rFonts w:hint="eastAsia" w:ascii="Arial" w:hAnsi="Arial" w:eastAsia="宋体" w:cs="Arial"/>
        </w:rPr>
        <w:t>与</w:t>
      </w:r>
      <w:r>
        <w:rPr>
          <w:rFonts w:ascii="Arial" w:hAnsi="Arial" w:eastAsia="宋体" w:cs="Arial"/>
        </w:rPr>
        <w:t>放射健康中心</w:t>
      </w:r>
    </w:p>
    <w:p w14:paraId="4792E842">
      <w:pPr>
        <w:snapToGrid w:val="0"/>
        <w:spacing w:line="300" w:lineRule="auto"/>
        <w:ind w:right="-8" w:rightChars="-4" w:firstLine="2100" w:firstLineChars="1000"/>
        <w:jc w:val="left"/>
        <w:rPr>
          <w:rFonts w:ascii="Arial" w:hAnsi="Arial" w:eastAsia="宋体" w:cs="Arial"/>
        </w:rPr>
      </w:pPr>
      <w:r>
        <w:rPr>
          <w:rFonts w:ascii="Arial" w:hAnsi="Arial" w:eastAsia="宋体" w:cs="Arial"/>
        </w:rPr>
        <w:t>体外诊断器械评估和安全办公室</w:t>
      </w:r>
    </w:p>
    <w:p w14:paraId="3475EE6A">
      <w:pPr>
        <w:snapToGrid w:val="0"/>
        <w:spacing w:line="300" w:lineRule="auto"/>
        <w:ind w:right="-8" w:rightChars="-4" w:firstLine="2100" w:firstLineChars="1000"/>
        <w:jc w:val="left"/>
        <w:rPr>
          <w:rFonts w:ascii="Arial" w:hAnsi="Arial" w:eastAsia="宋体" w:cs="Arial"/>
        </w:rPr>
      </w:pPr>
      <w:r>
        <w:rPr>
          <w:rFonts w:ascii="Arial" w:hAnsi="Arial" w:eastAsia="宋体" w:cs="Arial"/>
        </w:rPr>
        <w:t>免疫学和血液学器械部</w:t>
      </w:r>
    </w:p>
    <w:bookmarkEnd w:id="8"/>
    <w:bookmarkEnd w:id="9"/>
    <w:p w14:paraId="4795B5E8">
      <w:pPr>
        <w:snapToGrid w:val="0"/>
        <w:spacing w:line="300" w:lineRule="auto"/>
        <w:ind w:right="-8" w:rightChars="-4"/>
        <w:rPr>
          <w:rFonts w:ascii="Arial" w:hAnsi="Arial" w:eastAsia="宋体" w:cs="Arial"/>
        </w:rPr>
      </w:pPr>
    </w:p>
    <w:p w14:paraId="666B7A8D">
      <w:pPr>
        <w:snapToGrid w:val="0"/>
        <w:spacing w:line="300" w:lineRule="auto"/>
        <w:ind w:right="-8" w:rightChars="-4"/>
        <w:rPr>
          <w:rFonts w:ascii="Arial" w:hAnsi="Arial" w:eastAsia="宋体" w:cs="Arial"/>
        </w:rPr>
      </w:pPr>
      <w:bookmarkStart w:id="10" w:name="OLE_LINK27"/>
      <w:r>
        <w:rPr>
          <w:rFonts w:ascii="Arial" w:hAnsi="Arial" w:eastAsia="宋体" w:cs="Arial"/>
          <w:b/>
        </w:rPr>
        <w:t>前言</w:t>
      </w:r>
    </w:p>
    <w:p w14:paraId="7624907B">
      <w:pPr>
        <w:snapToGrid w:val="0"/>
        <w:spacing w:line="300" w:lineRule="auto"/>
        <w:ind w:right="-8" w:rightChars="-4"/>
        <w:rPr>
          <w:rFonts w:ascii="Arial" w:hAnsi="Arial" w:eastAsia="宋体" w:cs="Arial"/>
          <w:b/>
        </w:rPr>
      </w:pPr>
      <w:r>
        <w:rPr>
          <w:rFonts w:ascii="Arial" w:hAnsi="Arial" w:eastAsia="宋体" w:cs="Arial"/>
          <w:b/>
        </w:rPr>
        <w:t>公众评论：</w:t>
      </w:r>
    </w:p>
    <w:p w14:paraId="551761DC">
      <w:pPr>
        <w:snapToGrid w:val="0"/>
        <w:spacing w:line="300" w:lineRule="auto"/>
        <w:ind w:right="-8" w:rightChars="-4"/>
        <w:rPr>
          <w:rFonts w:ascii="Arial" w:hAnsi="Arial" w:eastAsia="宋体" w:cs="Arial"/>
        </w:rPr>
      </w:pPr>
    </w:p>
    <w:p w14:paraId="2E6E54FD">
      <w:pPr>
        <w:snapToGrid w:val="0"/>
        <w:spacing w:line="300" w:lineRule="auto"/>
        <w:ind w:right="-8" w:rightChars="-4"/>
        <w:rPr>
          <w:rFonts w:ascii="Arial" w:hAnsi="Arial" w:eastAsia="宋体" w:cs="Arial"/>
          <w:szCs w:val="21"/>
        </w:rPr>
      </w:pPr>
      <w:r>
        <w:rPr>
          <w:rFonts w:ascii="Arial" w:hAnsi="Arial" w:eastAsia="宋体" w:cs="Arial"/>
          <w:szCs w:val="21"/>
        </w:rPr>
        <w:t>书面评论和建议可随时提交至食品药品监督管理局文档管理部</w:t>
      </w:r>
      <w:r>
        <w:rPr>
          <w:rFonts w:hint="eastAsia" w:ascii="Arial" w:hAnsi="Arial" w:eastAsia="宋体" w:cs="Arial"/>
          <w:szCs w:val="21"/>
        </w:rPr>
        <w:t>，</w:t>
      </w:r>
      <w:r>
        <w:rPr>
          <w:rFonts w:ascii="Arial" w:hAnsi="Arial" w:eastAsia="宋体" w:cs="Arial"/>
          <w:szCs w:val="21"/>
        </w:rPr>
        <w:t>供机构考虑。通讯地址：</w:t>
      </w:r>
      <w:r>
        <w:rPr>
          <w:rFonts w:ascii="Arial" w:hAnsi="Arial" w:eastAsia="宋体" w:cs="Arial"/>
          <w:color w:val="000000"/>
          <w:kern w:val="0"/>
          <w:szCs w:val="21"/>
        </w:rPr>
        <w:t>5630 Fishers Lane，Room 1061，(HFA-305)，Rockville，MD，20852</w:t>
      </w:r>
      <w:r>
        <w:rPr>
          <w:rFonts w:ascii="Arial" w:hAnsi="Arial" w:eastAsia="宋体" w:cs="Arial"/>
          <w:szCs w:val="21"/>
        </w:rPr>
        <w:t>。电子评论可提交至</w:t>
      </w:r>
      <w:r>
        <w:rPr>
          <w:rFonts w:ascii="Arial" w:hAnsi="Arial" w:eastAsia="宋体" w:cs="Arial"/>
          <w:color w:val="800080"/>
          <w:szCs w:val="21"/>
          <w:u w:val="single"/>
        </w:rPr>
        <w:t>Regulations.gov</w:t>
      </w:r>
      <w:r>
        <w:rPr>
          <w:rFonts w:ascii="Arial" w:hAnsi="Arial" w:eastAsia="宋体" w:cs="Arial"/>
          <w:szCs w:val="21"/>
        </w:rPr>
        <w:t>网站。提交评论时，请注明文档编号[2005D-0264]。</w:t>
      </w:r>
      <w:r>
        <w:rPr>
          <w:rFonts w:hint="eastAsia" w:ascii="Arial" w:hAnsi="Arial" w:eastAsia="宋体" w:cs="Arial"/>
          <w:szCs w:val="21"/>
        </w:rPr>
        <w:t>可能直到文件下次修订或更新时，评论才会被机构受理。</w:t>
      </w:r>
    </w:p>
    <w:bookmarkEnd w:id="10"/>
    <w:p w14:paraId="03F18E49">
      <w:pPr>
        <w:snapToGrid w:val="0"/>
        <w:spacing w:line="300" w:lineRule="auto"/>
        <w:ind w:right="-8" w:rightChars="-4"/>
        <w:rPr>
          <w:rFonts w:ascii="Arial" w:hAnsi="Arial" w:eastAsia="宋体" w:cs="Arial"/>
        </w:rPr>
      </w:pPr>
    </w:p>
    <w:p w14:paraId="565BDF48">
      <w:pPr>
        <w:snapToGrid w:val="0"/>
        <w:spacing w:line="300" w:lineRule="auto"/>
        <w:ind w:right="-8" w:rightChars="-4"/>
        <w:rPr>
          <w:rFonts w:ascii="Arial" w:hAnsi="Arial" w:eastAsia="宋体" w:cs="Arial"/>
          <w:b/>
        </w:rPr>
      </w:pPr>
      <w:bookmarkStart w:id="11" w:name="OLE_LINK28"/>
      <w:bookmarkStart w:id="12" w:name="OLE_LINK29"/>
      <w:r>
        <w:rPr>
          <w:rFonts w:ascii="Arial" w:hAnsi="Arial" w:eastAsia="宋体" w:cs="Arial"/>
          <w:b/>
        </w:rPr>
        <w:t>其他副本</w:t>
      </w:r>
    </w:p>
    <w:p w14:paraId="3F3E4273">
      <w:pPr>
        <w:snapToGrid w:val="0"/>
        <w:spacing w:line="300" w:lineRule="auto"/>
        <w:ind w:right="-8" w:rightChars="-4"/>
        <w:rPr>
          <w:rFonts w:ascii="Arial" w:hAnsi="Arial" w:eastAsia="宋体" w:cs="Arial"/>
        </w:rPr>
      </w:pPr>
    </w:p>
    <w:p w14:paraId="6CBD3DE7">
      <w:pPr>
        <w:snapToGrid w:val="0"/>
        <w:spacing w:line="300" w:lineRule="auto"/>
        <w:ind w:right="-8" w:rightChars="-4"/>
        <w:rPr>
          <w:rFonts w:ascii="Arial" w:hAnsi="Arial" w:eastAsia="宋体" w:cs="Arial"/>
        </w:rPr>
      </w:pPr>
      <w:r>
        <w:rPr>
          <w:rFonts w:ascii="Arial" w:hAnsi="Arial" w:eastAsia="宋体" w:cs="Arial"/>
        </w:rPr>
        <w:t>其他副本可从因特网获得。贵公司还可发送电邮申请至</w:t>
      </w:r>
      <w:r>
        <w:rPr>
          <w:rFonts w:ascii="Arial" w:hAnsi="Arial" w:eastAsia="宋体" w:cs="Arial"/>
          <w:color w:val="800080"/>
          <w:szCs w:val="21"/>
          <w:u w:val="single"/>
        </w:rPr>
        <w:t>todsmica@fda.hhs.gov</w:t>
      </w:r>
      <w:r>
        <w:rPr>
          <w:rFonts w:ascii="Arial" w:hAnsi="Arial" w:eastAsia="宋体" w:cs="Arial"/>
        </w:rPr>
        <w:t>获取本指南的电子副本或发送传真至301-827-8149申请获取复印件。请用文件编号（1563）确认贵公司索取的指南。</w:t>
      </w:r>
    </w:p>
    <w:bookmarkEnd w:id="11"/>
    <w:bookmarkEnd w:id="12"/>
    <w:p w14:paraId="42F98E52">
      <w:pPr>
        <w:snapToGrid w:val="0"/>
        <w:spacing w:line="300" w:lineRule="auto"/>
        <w:ind w:right="-8" w:rightChars="-4"/>
        <w:rPr>
          <w:rFonts w:ascii="Arial" w:hAnsi="Arial" w:eastAsia="宋体" w:cs="Arial"/>
        </w:rPr>
      </w:pPr>
    </w:p>
    <w:p w14:paraId="66B7C89F">
      <w:pPr>
        <w:snapToGrid w:val="0"/>
        <w:spacing w:line="300" w:lineRule="auto"/>
        <w:ind w:right="-8" w:rightChars="-4"/>
        <w:rPr>
          <w:rFonts w:ascii="Arial" w:hAnsi="Arial" w:eastAsia="宋体" w:cs="Arial"/>
          <w:b/>
        </w:rPr>
      </w:pPr>
      <w:r>
        <w:rPr>
          <w:rFonts w:ascii="Arial" w:hAnsi="Arial" w:eastAsia="宋体" w:cs="Arial"/>
          <w:b/>
        </w:rPr>
        <w:t>目录</w:t>
      </w:r>
    </w:p>
    <w:p w14:paraId="4A1FD808">
      <w:pPr>
        <w:snapToGrid w:val="0"/>
        <w:spacing w:line="300" w:lineRule="auto"/>
        <w:ind w:right="-8" w:rightChars="-4"/>
        <w:rPr>
          <w:rFonts w:ascii="Arial" w:hAnsi="Arial" w:eastAsia="宋体" w:cs="Arial"/>
        </w:rPr>
      </w:pPr>
    </w:p>
    <w:p w14:paraId="0650F0D7">
      <w:pPr>
        <w:snapToGrid w:val="0"/>
        <w:spacing w:line="300" w:lineRule="auto"/>
        <w:ind w:right="-8" w:rightChars="-4"/>
        <w:rPr>
          <w:rFonts w:ascii="Arial" w:hAnsi="Arial" w:eastAsia="宋体" w:cs="Arial"/>
        </w:rPr>
      </w:pPr>
      <w:bookmarkStart w:id="13" w:name="OLE_LINK37"/>
      <w:bookmarkStart w:id="14" w:name="OLE_LINK34"/>
      <w:r>
        <w:rPr>
          <w:rFonts w:ascii="Arial" w:hAnsi="Arial" w:eastAsia="宋体" w:cs="Arial"/>
        </w:rPr>
        <w:t xml:space="preserve">1. </w:t>
      </w:r>
      <w:r>
        <w:rPr>
          <w:rFonts w:ascii="Arial" w:hAnsi="Arial" w:eastAsia="宋体" w:cs="Arial"/>
          <w:color w:val="800080"/>
          <w:u w:val="single"/>
        </w:rPr>
        <w:t>前言</w:t>
      </w:r>
    </w:p>
    <w:p w14:paraId="5EF322EE">
      <w:pPr>
        <w:snapToGrid w:val="0"/>
        <w:spacing w:line="300" w:lineRule="auto"/>
        <w:ind w:right="-8" w:rightChars="-4"/>
        <w:rPr>
          <w:rFonts w:ascii="Arial" w:hAnsi="Arial" w:eastAsia="宋体" w:cs="Arial"/>
        </w:rPr>
      </w:pPr>
      <w:r>
        <w:rPr>
          <w:rFonts w:ascii="Arial" w:hAnsi="Arial" w:eastAsia="宋体" w:cs="Arial"/>
        </w:rPr>
        <w:t xml:space="preserve">2. </w:t>
      </w:r>
      <w:r>
        <w:rPr>
          <w:rFonts w:ascii="Arial" w:hAnsi="Arial" w:eastAsia="宋体" w:cs="Arial"/>
          <w:color w:val="800080"/>
          <w:u w:val="single"/>
        </w:rPr>
        <w:t>背景</w:t>
      </w:r>
    </w:p>
    <w:p w14:paraId="65AB6D21">
      <w:pPr>
        <w:snapToGrid w:val="0"/>
        <w:spacing w:line="300" w:lineRule="auto"/>
        <w:ind w:right="-8" w:rightChars="-4"/>
        <w:rPr>
          <w:rFonts w:ascii="Arial" w:hAnsi="Arial" w:eastAsia="宋体" w:cs="Arial"/>
        </w:rPr>
      </w:pPr>
      <w:r>
        <w:rPr>
          <w:rFonts w:ascii="Arial" w:hAnsi="Arial" w:eastAsia="宋体" w:cs="Arial"/>
        </w:rPr>
        <w:t xml:space="preserve">3. </w:t>
      </w:r>
      <w:r>
        <w:rPr>
          <w:rFonts w:ascii="Arial" w:hAnsi="Arial" w:eastAsia="宋体" w:cs="Arial"/>
          <w:color w:val="800080"/>
          <w:u w:val="single"/>
        </w:rPr>
        <w:t>简化510（k）提交资料的内容和格式</w:t>
      </w:r>
    </w:p>
    <w:p w14:paraId="26151CE3">
      <w:pPr>
        <w:snapToGrid w:val="0"/>
        <w:spacing w:line="300" w:lineRule="auto"/>
        <w:ind w:right="-8" w:rightChars="-4"/>
        <w:rPr>
          <w:rFonts w:ascii="Arial" w:hAnsi="Arial" w:eastAsia="宋体" w:cs="Arial"/>
        </w:rPr>
      </w:pPr>
      <w:r>
        <w:rPr>
          <w:rFonts w:ascii="Arial" w:hAnsi="Arial" w:eastAsia="宋体" w:cs="Arial"/>
        </w:rPr>
        <w:t xml:space="preserve">4. </w:t>
      </w:r>
      <w:r>
        <w:rPr>
          <w:rFonts w:ascii="Arial" w:hAnsi="Arial" w:eastAsia="宋体" w:cs="Arial"/>
          <w:color w:val="800080"/>
          <w:u w:val="single"/>
        </w:rPr>
        <w:t>适用范围</w:t>
      </w:r>
    </w:p>
    <w:p w14:paraId="01C5A087">
      <w:pPr>
        <w:snapToGrid w:val="0"/>
        <w:spacing w:line="300" w:lineRule="auto"/>
        <w:ind w:right="-8" w:rightChars="-4"/>
        <w:rPr>
          <w:rFonts w:ascii="Arial" w:hAnsi="Arial" w:eastAsia="宋体" w:cs="Arial"/>
        </w:rPr>
      </w:pPr>
      <w:r>
        <w:rPr>
          <w:rFonts w:ascii="Arial" w:hAnsi="Arial" w:eastAsia="宋体" w:cs="Arial"/>
        </w:rPr>
        <w:t xml:space="preserve">5. </w:t>
      </w:r>
      <w:r>
        <w:rPr>
          <w:rFonts w:ascii="Arial" w:hAnsi="Arial" w:eastAsia="宋体" w:cs="Arial"/>
          <w:color w:val="800080"/>
          <w:u w:val="single"/>
        </w:rPr>
        <w:t>健康风险</w:t>
      </w:r>
    </w:p>
    <w:p w14:paraId="5A23056A">
      <w:pPr>
        <w:snapToGrid w:val="0"/>
        <w:spacing w:line="300" w:lineRule="auto"/>
        <w:ind w:right="-8" w:rightChars="-4"/>
        <w:rPr>
          <w:rFonts w:ascii="Arial" w:hAnsi="Arial" w:eastAsia="宋体" w:cs="Arial"/>
        </w:rPr>
      </w:pPr>
      <w:r>
        <w:rPr>
          <w:rFonts w:ascii="Arial" w:hAnsi="Arial" w:eastAsia="宋体" w:cs="Arial"/>
        </w:rPr>
        <w:t xml:space="preserve">6. </w:t>
      </w:r>
      <w:r>
        <w:rPr>
          <w:rFonts w:ascii="Arial" w:hAnsi="Arial" w:eastAsia="宋体" w:cs="Arial"/>
          <w:color w:val="800080"/>
          <w:u w:val="single"/>
        </w:rPr>
        <w:t>器械描述</w:t>
      </w:r>
    </w:p>
    <w:p w14:paraId="6E7A9BA9">
      <w:pPr>
        <w:snapToGrid w:val="0"/>
        <w:spacing w:line="300" w:lineRule="auto"/>
        <w:ind w:right="-8" w:rightChars="-4"/>
        <w:rPr>
          <w:rFonts w:ascii="Arial" w:hAnsi="Arial" w:eastAsia="宋体" w:cs="Arial"/>
        </w:rPr>
      </w:pPr>
      <w:r>
        <w:rPr>
          <w:rFonts w:ascii="Arial" w:hAnsi="Arial" w:eastAsia="宋体" w:cs="Arial"/>
        </w:rPr>
        <w:t xml:space="preserve">7. </w:t>
      </w:r>
      <w:r>
        <w:rPr>
          <w:rFonts w:ascii="Arial" w:hAnsi="Arial" w:eastAsia="宋体" w:cs="Arial"/>
          <w:color w:val="800080"/>
          <w:u w:val="single"/>
        </w:rPr>
        <w:t>性能特征</w:t>
      </w:r>
    </w:p>
    <w:p w14:paraId="6662956E">
      <w:pPr>
        <w:snapToGrid w:val="0"/>
        <w:spacing w:line="300" w:lineRule="auto"/>
        <w:ind w:right="-8" w:rightChars="-4"/>
        <w:rPr>
          <w:rFonts w:ascii="Arial" w:hAnsi="Arial" w:eastAsia="宋体" w:cs="Arial"/>
        </w:rPr>
      </w:pPr>
      <w:r>
        <w:rPr>
          <w:rFonts w:ascii="Arial" w:hAnsi="Arial" w:eastAsia="宋体" w:cs="Arial"/>
        </w:rPr>
        <w:t xml:space="preserve">8. </w:t>
      </w:r>
      <w:r>
        <w:rPr>
          <w:rFonts w:ascii="Arial" w:hAnsi="Arial" w:eastAsia="宋体" w:cs="Arial"/>
          <w:color w:val="800080"/>
          <w:u w:val="single"/>
        </w:rPr>
        <w:t>标签</w:t>
      </w:r>
    </w:p>
    <w:p w14:paraId="10481235">
      <w:pPr>
        <w:snapToGrid w:val="0"/>
        <w:spacing w:line="300" w:lineRule="auto"/>
        <w:ind w:right="-8" w:rightChars="-4"/>
        <w:rPr>
          <w:rFonts w:ascii="Arial" w:hAnsi="Arial" w:eastAsia="宋体" w:cs="Arial"/>
          <w:b/>
        </w:rPr>
      </w:pPr>
      <w:r>
        <w:rPr>
          <w:rFonts w:ascii="Arial" w:hAnsi="Arial" w:eastAsia="宋体" w:cs="Arial"/>
          <w:b/>
        </w:rPr>
        <w:t>行业和FDA工作人员指南</w:t>
      </w:r>
    </w:p>
    <w:bookmarkEnd w:id="13"/>
    <w:bookmarkEnd w:id="14"/>
    <w:p w14:paraId="3D64CD60">
      <w:pPr>
        <w:snapToGrid w:val="0"/>
        <w:spacing w:line="300" w:lineRule="auto"/>
        <w:ind w:right="-8" w:rightChars="-4"/>
        <w:rPr>
          <w:rFonts w:ascii="Arial" w:hAnsi="Arial" w:eastAsia="宋体" w:cs="Arial"/>
        </w:rPr>
      </w:pPr>
    </w:p>
    <w:p w14:paraId="0864D1AC">
      <w:pPr>
        <w:snapToGrid w:val="0"/>
        <w:spacing w:line="300" w:lineRule="auto"/>
        <w:ind w:right="-8" w:rightChars="-4"/>
        <w:rPr>
          <w:rFonts w:ascii="Arial" w:hAnsi="Arial" w:eastAsia="宋体" w:cs="Arial"/>
        </w:rPr>
      </w:pPr>
      <w:r>
        <w:rPr>
          <w:rFonts w:ascii="Arial" w:hAnsi="Arial" w:eastAsia="宋体" w:cs="Arial"/>
          <w:b/>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158750</wp:posOffset>
                </wp:positionV>
                <wp:extent cx="5172075" cy="0"/>
                <wp:effectExtent l="0" t="0" r="29210" b="19050"/>
                <wp:wrapNone/>
                <wp:docPr id="3" name="直接连接符 3"/>
                <wp:cNvGraphicFramePr/>
                <a:graphic xmlns:a="http://schemas.openxmlformats.org/drawingml/2006/main">
                  <a:graphicData uri="http://schemas.microsoft.com/office/word/2010/wordprocessingShape">
                    <wps:wsp>
                      <wps:cNvCnPr/>
                      <wps:spPr>
                        <a:xfrm>
                          <a:off x="0" y="0"/>
                          <a:ext cx="51717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12.5pt;height:0pt;width:407.25pt;z-index:251659264;mso-width-relative:page;mso-height-relative:page;" filled="f" stroked="t" coordsize="21600,21600" o:gfxdata="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5/hJ9QAAAAHAQAADwAAAAAAAAABACAA&#10;AAAiAAAAZHJzL2Rvd25yZXYueG1sUEsBAhQAFAAAAAgAh07iQLX68ZjYAQAAmgMAAA4AAAAAAAAA&#10;AQAgAAAAIwEAAGRycy9lMm9Eb2MueG1sUEsFBgAAAAAGAAYAWQEAAG0FAAAAAA==&#10;">
                <v:fill on="f" focussize="0,0"/>
                <v:stroke color="#000000 [3213]" joinstyle="round"/>
                <v:imagedata o:title=""/>
                <o:lock v:ext="edit" aspectratio="f"/>
              </v:line>
            </w:pict>
          </mc:Fallback>
        </mc:AlternateContent>
      </w:r>
    </w:p>
    <w:p w14:paraId="42E1D28A">
      <w:pPr>
        <w:snapToGrid w:val="0"/>
        <w:spacing w:line="300" w:lineRule="auto"/>
        <w:ind w:right="-8" w:rightChars="-4"/>
        <w:rPr>
          <w:rFonts w:ascii="Arial" w:hAnsi="Arial" w:eastAsia="宋体" w:cs="Arial"/>
          <w:b/>
        </w:rPr>
      </w:pPr>
    </w:p>
    <w:p w14:paraId="24E318E6">
      <w:pPr>
        <w:snapToGrid w:val="0"/>
        <w:spacing w:line="300" w:lineRule="auto"/>
        <w:ind w:right="-8" w:rightChars="-4"/>
        <w:rPr>
          <w:rFonts w:ascii="Arial" w:hAnsi="Arial" w:eastAsia="宋体" w:cs="Arial"/>
          <w:b/>
        </w:rPr>
      </w:pPr>
    </w:p>
    <w:p w14:paraId="255BC07B">
      <w:pPr>
        <w:snapToGrid w:val="0"/>
        <w:spacing w:line="300" w:lineRule="auto"/>
        <w:ind w:right="-8" w:rightChars="-4"/>
        <w:rPr>
          <w:rFonts w:ascii="Arial" w:hAnsi="Arial" w:eastAsia="宋体" w:cs="Arial"/>
          <w:b/>
        </w:rPr>
      </w:pPr>
      <w:r>
        <w:rPr>
          <w:rFonts w:ascii="Arial" w:hAnsi="Arial" w:eastAsia="宋体" w:cs="Arial"/>
          <w:b/>
        </w:rPr>
        <w:t>II类特殊控制指导性文件：</w:t>
      </w:r>
      <w:bookmarkStart w:id="15" w:name="OLE_LINK49"/>
      <w:bookmarkStart w:id="16" w:name="OLE_LINK50"/>
      <w:r>
        <w:rPr>
          <w:rFonts w:ascii="Arial" w:hAnsi="Arial" w:eastAsia="宋体" w:cs="Arial"/>
          <w:b/>
        </w:rPr>
        <w:t>RNA分析前系统（用于分子诊断测试中RT-PCR的RNA采集、稳定和纯化系统）</w:t>
      </w:r>
    </w:p>
    <w:bookmarkEnd w:id="15"/>
    <w:bookmarkEnd w:id="16"/>
    <w:p w14:paraId="38DB312B">
      <w:pPr>
        <w:snapToGrid w:val="0"/>
        <w:spacing w:line="300" w:lineRule="auto"/>
        <w:ind w:right="-8" w:rightChars="-4"/>
        <w:rPr>
          <w:rFonts w:ascii="Arial" w:hAnsi="Arial" w:eastAsia="宋体" w:cs="Arial"/>
          <w:b/>
        </w:rPr>
      </w:pPr>
    </w:p>
    <w:p w14:paraId="7BBF1C79">
      <w:pPr>
        <w:snapToGrid w:val="0"/>
        <w:spacing w:line="300" w:lineRule="auto"/>
        <w:ind w:right="-8" w:rightChars="-4"/>
        <w:rPr>
          <w:rFonts w:ascii="Arial" w:hAnsi="Arial" w:eastAsia="宋体" w:cs="Arial"/>
          <w:b/>
        </w:rPr>
      </w:pPr>
      <w:r>
        <w:rPr>
          <w:rFonts w:ascii="Arial" w:hAnsi="Arial" w:eastAsia="宋体" w:cs="Arial"/>
          <w:b/>
        </w:rPr>
        <w:t>1. 前言</w:t>
      </w:r>
    </w:p>
    <w:p w14:paraId="31E49D3E">
      <w:pPr>
        <w:snapToGrid w:val="0"/>
        <w:spacing w:line="300" w:lineRule="auto"/>
        <w:ind w:right="-8" w:rightChars="-4"/>
        <w:rPr>
          <w:rFonts w:ascii="Arial" w:hAnsi="Arial" w:eastAsia="宋体" w:cs="Arial"/>
        </w:rPr>
      </w:pPr>
    </w:p>
    <w:p w14:paraId="7407A8B5">
      <w:pPr>
        <w:snapToGrid w:val="0"/>
        <w:spacing w:line="300" w:lineRule="auto"/>
        <w:ind w:right="-8" w:rightChars="-4"/>
        <w:rPr>
          <w:rFonts w:ascii="Arial" w:hAnsi="Arial" w:eastAsia="宋体" w:cs="Arial"/>
        </w:rPr>
      </w:pPr>
      <w:bookmarkStart w:id="17" w:name="OLE_LINK43"/>
      <w:bookmarkStart w:id="18" w:name="OLE_LINK44"/>
      <w:r>
        <w:rPr>
          <w:rFonts w:ascii="Arial" w:hAnsi="Arial" w:eastAsia="宋体" w:cs="Arial"/>
        </w:rPr>
        <w:t>本指导性文件是作为特殊控制指导而编制的，目的是支持将RNA分析前系统（RNA采集、稳定和纯化系统）归入II类器械（特殊控制）。</w:t>
      </w:r>
      <w:bookmarkEnd w:id="17"/>
      <w:bookmarkEnd w:id="18"/>
      <w:bookmarkStart w:id="19" w:name="OLE_LINK63"/>
      <w:bookmarkStart w:id="20" w:name="OLE_LINK64"/>
      <w:bookmarkStart w:id="21" w:name="OLE_LINK139"/>
      <w:bookmarkStart w:id="22" w:name="OLE_LINK137"/>
      <w:bookmarkStart w:id="23" w:name="OLE_LINK138"/>
      <w:bookmarkStart w:id="24" w:name="OLE_LINK140"/>
      <w:r>
        <w:rPr>
          <w:rFonts w:ascii="Arial" w:hAnsi="Arial" w:eastAsia="宋体" w:cs="Arial"/>
        </w:rPr>
        <w:t>RNA分析前系统</w:t>
      </w:r>
      <w:bookmarkEnd w:id="19"/>
      <w:bookmarkEnd w:id="20"/>
      <w:r>
        <w:rPr>
          <w:rFonts w:ascii="Arial" w:hAnsi="Arial" w:eastAsia="宋体" w:cs="Arial"/>
        </w:rPr>
        <w:t>是拟用来采集、储存和运输患者试样，稳定试样细胞内RNA，及之后分离和纯化细胞内RNA用于RT-PCR（实时聚合酶链反应）的器械。RT-PCR是体外分子诊断使用的一种测试方法。该器械可由样品采集器械、核酸分离和纯化试剂与处理试剂/器械（试管、分离柱等）组成。其还可包含核酸分离和纯化步骤使用的自动化工具。</w:t>
      </w:r>
    </w:p>
    <w:bookmarkEnd w:id="21"/>
    <w:bookmarkEnd w:id="22"/>
    <w:bookmarkEnd w:id="23"/>
    <w:bookmarkEnd w:id="24"/>
    <w:p w14:paraId="73229AAC">
      <w:pPr>
        <w:snapToGrid w:val="0"/>
        <w:spacing w:line="300" w:lineRule="auto"/>
        <w:ind w:right="-8" w:rightChars="-4"/>
        <w:rPr>
          <w:rFonts w:ascii="Arial" w:hAnsi="Arial" w:eastAsia="宋体" w:cs="Arial"/>
        </w:rPr>
      </w:pPr>
    </w:p>
    <w:p w14:paraId="404F3163">
      <w:pPr>
        <w:snapToGrid w:val="0"/>
        <w:spacing w:line="300" w:lineRule="auto"/>
        <w:ind w:right="-8" w:rightChars="-4"/>
        <w:rPr>
          <w:rFonts w:ascii="Arial" w:hAnsi="Arial" w:eastAsia="宋体" w:cs="Arial"/>
        </w:rPr>
      </w:pPr>
      <w:bookmarkStart w:id="25" w:name="OLE_LINK51"/>
      <w:bookmarkStart w:id="26" w:name="OLE_LINK52"/>
      <w:r>
        <w:rPr>
          <w:rFonts w:ascii="Arial" w:hAnsi="Arial" w:eastAsia="宋体" w:cs="Arial"/>
        </w:rPr>
        <w:t>本指南将与联邦公报的通告同时发布，宣布</w:t>
      </w:r>
      <w:bookmarkStart w:id="27" w:name="OLE_LINK69"/>
      <w:bookmarkStart w:id="28" w:name="OLE_LINK70"/>
      <w:r>
        <w:rPr>
          <w:rFonts w:ascii="Arial" w:hAnsi="Arial" w:eastAsia="宋体" w:cs="Arial"/>
        </w:rPr>
        <w:t>RNA分析前系统</w:t>
      </w:r>
      <w:bookmarkEnd w:id="27"/>
      <w:bookmarkEnd w:id="28"/>
      <w:r>
        <w:rPr>
          <w:rFonts w:ascii="Arial" w:hAnsi="Arial" w:eastAsia="宋体" w:cs="Arial"/>
        </w:rPr>
        <w:t>的分类。提交</w:t>
      </w:r>
      <w:bookmarkStart w:id="29" w:name="OLE_LINK30"/>
      <w:bookmarkStart w:id="30" w:name="OLE_LINK31"/>
      <w:r>
        <w:rPr>
          <w:rFonts w:ascii="Arial" w:hAnsi="Arial" w:eastAsia="宋体" w:cs="Arial"/>
        </w:rPr>
        <w:t>RNA分析前系统</w:t>
      </w:r>
      <w:bookmarkEnd w:id="29"/>
      <w:bookmarkEnd w:id="30"/>
      <w:r>
        <w:rPr>
          <w:rFonts w:ascii="Arial" w:hAnsi="Arial" w:eastAsia="宋体" w:cs="Arial"/>
        </w:rPr>
        <w:t>上市前通告（510（k））的任何公司均需对本特殊控制指导性文件所包含的问题予以妥善解决。然而，公司仅需说明其器械符合本指南的推荐规范或以某些其它方式提供安全性和有效性的等同保证。</w:t>
      </w:r>
    </w:p>
    <w:bookmarkEnd w:id="25"/>
    <w:bookmarkEnd w:id="26"/>
    <w:p w14:paraId="6E278066">
      <w:pPr>
        <w:snapToGrid w:val="0"/>
        <w:spacing w:line="300" w:lineRule="auto"/>
        <w:ind w:right="-8" w:rightChars="-4"/>
        <w:rPr>
          <w:rFonts w:ascii="Arial" w:hAnsi="Arial" w:eastAsia="宋体" w:cs="Arial"/>
        </w:rPr>
      </w:pPr>
    </w:p>
    <w:p w14:paraId="7AB4FC12">
      <w:pPr>
        <w:snapToGrid w:val="0"/>
        <w:spacing w:line="300" w:lineRule="auto"/>
        <w:ind w:right="-8" w:rightChars="-4"/>
        <w:rPr>
          <w:rFonts w:ascii="Arial" w:hAnsi="Arial" w:eastAsia="宋体" w:cs="Arial"/>
        </w:rPr>
      </w:pPr>
      <w:bookmarkStart w:id="31" w:name="OLE_LINK58"/>
      <w:bookmarkStart w:id="32" w:name="OLE_LINK57"/>
      <w:r>
        <w:rPr>
          <w:rFonts w:ascii="Arial" w:hAnsi="Arial" w:eastAsia="宋体" w:cs="Arial"/>
        </w:rPr>
        <w:t>公司必须说明其器械解决了本指南识别的安全性和有效性问题。其解决问题的方式既可遵从本指南提供的推荐规范，亦可采用能提供安全性和有效性等同保证的某些其它方法。</w:t>
      </w:r>
    </w:p>
    <w:bookmarkEnd w:id="31"/>
    <w:bookmarkEnd w:id="32"/>
    <w:p w14:paraId="28B8C9E9">
      <w:pPr>
        <w:snapToGrid w:val="0"/>
        <w:spacing w:line="300" w:lineRule="auto"/>
        <w:ind w:right="-8" w:rightChars="-4"/>
        <w:rPr>
          <w:rFonts w:ascii="Arial" w:hAnsi="Arial" w:eastAsia="宋体" w:cs="Arial"/>
        </w:rPr>
      </w:pPr>
    </w:p>
    <w:p w14:paraId="0C16C944">
      <w:pPr>
        <w:snapToGrid w:val="0"/>
        <w:spacing w:line="300" w:lineRule="auto"/>
        <w:ind w:right="-8" w:rightChars="-4"/>
        <w:rPr>
          <w:rFonts w:ascii="Arial" w:hAnsi="Arial" w:eastAsia="宋体" w:cs="Arial"/>
          <w:b/>
        </w:rPr>
      </w:pPr>
      <w:bookmarkStart w:id="33" w:name="OLE_LINK65"/>
      <w:bookmarkStart w:id="34" w:name="OLE_LINK66"/>
      <w:r>
        <w:rPr>
          <w:rFonts w:ascii="Arial" w:hAnsi="Arial" w:eastAsia="宋体" w:cs="Arial"/>
          <w:b/>
        </w:rPr>
        <w:t>最小负担方法</w:t>
      </w:r>
    </w:p>
    <w:p w14:paraId="3A0EFDC1">
      <w:pPr>
        <w:snapToGrid w:val="0"/>
        <w:spacing w:line="300" w:lineRule="auto"/>
        <w:ind w:right="-8" w:rightChars="-4"/>
        <w:rPr>
          <w:rFonts w:ascii="Arial" w:hAnsi="Arial" w:eastAsia="宋体" w:cs="Arial"/>
        </w:rPr>
      </w:pPr>
    </w:p>
    <w:p w14:paraId="289DCCC0">
      <w:pPr>
        <w:snapToGrid w:val="0"/>
        <w:spacing w:line="300" w:lineRule="auto"/>
        <w:ind w:right="-8" w:rightChars="-4"/>
        <w:rPr>
          <w:rFonts w:ascii="Arial" w:hAnsi="Arial" w:eastAsia="宋体" w:cs="Arial"/>
        </w:rPr>
      </w:pPr>
      <w:r>
        <w:rPr>
          <w:rFonts w:ascii="Arial" w:hAnsi="Arial" w:eastAsia="宋体" w:cs="Arial"/>
        </w:rPr>
        <w:t>本指南识别的问题是我们认为贵公司的器械上市前必须解决的问题。在编制本指南的过程中，我们仔细斟酌了本局决策采用的相关法规标准。另外，我们还斟酌了贵公司在采用本指南建议的方式努力遵从法定监管标准并努力解决我们所确认问题的过程中可能产生的负担。我们认为我们已考虑采用最小负担方法解决本指导性文件呈现的问题。然而，如果贵公司认为有负担更小的方法可用于解决这些问题，应遵守“解决最小负担问题的建议方法”文件中描述的程序予以实施。</w:t>
      </w:r>
    </w:p>
    <w:bookmarkEnd w:id="33"/>
    <w:bookmarkEnd w:id="34"/>
    <w:p w14:paraId="4CEC33ED">
      <w:pPr>
        <w:snapToGrid w:val="0"/>
        <w:spacing w:line="300" w:lineRule="auto"/>
        <w:ind w:right="-8" w:rightChars="-4"/>
        <w:rPr>
          <w:rFonts w:ascii="Arial" w:hAnsi="Arial" w:eastAsia="宋体" w:cs="Arial"/>
        </w:rPr>
      </w:pPr>
    </w:p>
    <w:p w14:paraId="2CC8A7C1">
      <w:pPr>
        <w:snapToGrid w:val="0"/>
        <w:spacing w:line="300" w:lineRule="auto"/>
        <w:ind w:right="-8" w:rightChars="-4"/>
        <w:rPr>
          <w:rFonts w:ascii="Arial" w:hAnsi="Arial" w:eastAsia="宋体" w:cs="Arial"/>
          <w:b/>
        </w:rPr>
      </w:pPr>
      <w:r>
        <w:rPr>
          <w:rFonts w:ascii="Arial" w:hAnsi="Arial" w:eastAsia="宋体" w:cs="Arial"/>
          <w:b/>
        </w:rPr>
        <w:t>2. 背景</w:t>
      </w:r>
    </w:p>
    <w:p w14:paraId="28CAD0ED">
      <w:pPr>
        <w:snapToGrid w:val="0"/>
        <w:spacing w:line="300" w:lineRule="auto"/>
        <w:ind w:right="-8" w:rightChars="-4"/>
        <w:rPr>
          <w:rFonts w:ascii="Arial" w:hAnsi="Arial" w:eastAsia="宋体" w:cs="Arial"/>
        </w:rPr>
      </w:pPr>
    </w:p>
    <w:p w14:paraId="546D617D">
      <w:pPr>
        <w:snapToGrid w:val="0"/>
        <w:spacing w:line="300" w:lineRule="auto"/>
        <w:ind w:right="-8" w:rightChars="-4"/>
        <w:rPr>
          <w:rFonts w:ascii="Arial" w:hAnsi="Arial" w:eastAsia="宋体" w:cs="Arial"/>
        </w:rPr>
      </w:pPr>
      <w:bookmarkStart w:id="35" w:name="OLE_LINK15"/>
      <w:r>
        <w:rPr>
          <w:rFonts w:ascii="Arial" w:hAnsi="Arial" w:eastAsia="宋体" w:cs="Arial"/>
        </w:rPr>
        <w:t>FDA认为，特殊控制措施与通用控制措施相结合足以对RNA分析前系统的安全性和有效性提供合理保证。拟销售该属性类型器械的制造商应（1）遵从联邦食品、药品和化妆品法案（法案）规定的通用控制要求，包括21 CFR 第807部分第E子部分描述的上市前通告要求，（2）解决本指导性文件确认识别的与</w:t>
      </w:r>
      <w:bookmarkStart w:id="36" w:name="OLE_LINK71"/>
      <w:r>
        <w:rPr>
          <w:rFonts w:ascii="Arial" w:hAnsi="Arial" w:eastAsia="宋体" w:cs="Arial"/>
        </w:rPr>
        <w:t>该</w:t>
      </w:r>
      <w:bookmarkEnd w:id="36"/>
      <w:r>
        <w:rPr>
          <w:rFonts w:ascii="Arial" w:hAnsi="Arial" w:eastAsia="宋体" w:cs="Arial"/>
        </w:rPr>
        <w:t>器械有关的特定健康风险，（3）于销售该器械前获得FDA做出的实质等同认定。</w:t>
      </w:r>
    </w:p>
    <w:bookmarkEnd w:id="35"/>
    <w:p w14:paraId="4900ADC6">
      <w:pPr>
        <w:snapToGrid w:val="0"/>
        <w:spacing w:line="300" w:lineRule="auto"/>
        <w:ind w:right="-8" w:rightChars="-4"/>
        <w:rPr>
          <w:rFonts w:ascii="Arial" w:hAnsi="Arial" w:eastAsia="宋体" w:cs="Arial"/>
        </w:rPr>
      </w:pPr>
    </w:p>
    <w:p w14:paraId="01B9349E">
      <w:pPr>
        <w:snapToGrid w:val="0"/>
        <w:spacing w:line="300" w:lineRule="auto"/>
        <w:ind w:right="-8" w:rightChars="-4"/>
        <w:rPr>
          <w:rFonts w:ascii="Arial" w:hAnsi="Arial" w:eastAsia="宋体" w:cs="Arial"/>
        </w:rPr>
      </w:pPr>
      <w:bookmarkStart w:id="37" w:name="OLE_LINK17"/>
      <w:r>
        <w:rPr>
          <w:rFonts w:ascii="Arial" w:hAnsi="Arial" w:eastAsia="宋体" w:cs="Arial"/>
        </w:rPr>
        <w:t>本指导性文件确认识别了RNA采集、稳定和纯化系统的分类规则和产品代码（参考</w:t>
      </w:r>
      <w:r>
        <w:rPr>
          <w:rFonts w:ascii="Arial" w:hAnsi="Arial" w:eastAsia="宋体" w:cs="Arial"/>
          <w:color w:val="800080"/>
          <w:u w:val="single"/>
        </w:rPr>
        <w:t>第4节－适用范围</w:t>
      </w:r>
      <w:r>
        <w:rPr>
          <w:rFonts w:ascii="Arial" w:hAnsi="Arial" w:eastAsia="宋体" w:cs="Arial"/>
        </w:rPr>
        <w:t>）。另外，本指导性文件在其它部分确认了健康风险并描述了相应的控制措施。制造商若遵从这些措施并与通用控制措施相结合，通常可解决与RNA分析前系统相关的健康风险并可使510（k）提交资料及时获得审查和许可。本文件在上市前通告提交资料所含特殊内容要求方面弥补了FDA其它文件的不足之处。贵公司还应参考21 CFR 807.87和FDA关于该主题的其它文件，如上市前通告510（k）。</w:t>
      </w:r>
    </w:p>
    <w:bookmarkEnd w:id="37"/>
    <w:p w14:paraId="6CDB3FA9">
      <w:pPr>
        <w:snapToGrid w:val="0"/>
        <w:spacing w:line="300" w:lineRule="auto"/>
        <w:ind w:right="-8" w:rightChars="-4"/>
        <w:rPr>
          <w:rFonts w:ascii="Arial" w:hAnsi="Arial" w:eastAsia="宋体" w:cs="Arial"/>
        </w:rPr>
      </w:pPr>
    </w:p>
    <w:p w14:paraId="6E3386E8">
      <w:pPr>
        <w:snapToGrid w:val="0"/>
        <w:spacing w:line="300" w:lineRule="auto"/>
        <w:ind w:right="-8" w:rightChars="-4"/>
        <w:rPr>
          <w:rFonts w:ascii="Arial" w:hAnsi="Arial" w:eastAsia="宋体" w:cs="Arial"/>
        </w:rPr>
      </w:pPr>
      <w:bookmarkStart w:id="38" w:name="OLE_LINK23"/>
      <w:r>
        <w:rPr>
          <w:rFonts w:ascii="Arial" w:hAnsi="Arial" w:eastAsia="宋体" w:cs="Arial"/>
        </w:rPr>
        <w:t>如“新510（k）范本－在上市前通告中证明实质等同的替代方法；最终指南”所述</w:t>
      </w:r>
      <w:r>
        <w:rPr>
          <w:rFonts w:ascii="Arial" w:hAnsi="Arial" w:eastAsia="宋体" w:cs="Arial"/>
          <w:vertAlign w:val="superscript"/>
        </w:rPr>
        <w:t>1</w:t>
      </w:r>
      <w:r>
        <w:rPr>
          <w:rFonts w:ascii="Arial" w:hAnsi="Arial" w:eastAsia="宋体" w:cs="Arial"/>
        </w:rPr>
        <w:t>，制造商既可提交传统510（k）提交资料，亦可提交简化510（k）提交资料。FDA认为，简化510（k）提交资料提供了证明新器械实质等同的最小负担方法，FDA发布了指导性文件后尤其如此。该指导性文件提供了在提交器械提交资料时应解决哪些问题的推荐规范。另外，考虑对获得许可器械进行修改的制造商提交特殊510（k）提交资料可减轻法规负担。</w:t>
      </w:r>
    </w:p>
    <w:bookmarkEnd w:id="38"/>
    <w:p w14:paraId="7B734615">
      <w:pPr>
        <w:snapToGrid w:val="0"/>
        <w:spacing w:line="300" w:lineRule="auto"/>
        <w:ind w:right="-8" w:rightChars="-4"/>
        <w:rPr>
          <w:rFonts w:ascii="Arial" w:hAnsi="Arial" w:eastAsia="宋体" w:cs="Arial"/>
        </w:rPr>
      </w:pPr>
    </w:p>
    <w:p w14:paraId="3CA56CFB">
      <w:pPr>
        <w:snapToGrid w:val="0"/>
        <w:spacing w:line="300" w:lineRule="auto"/>
        <w:ind w:right="-8" w:rightChars="-4"/>
        <w:rPr>
          <w:rFonts w:ascii="Arial" w:hAnsi="Arial" w:eastAsia="宋体" w:cs="Arial"/>
          <w:b/>
        </w:rPr>
      </w:pPr>
      <w:bookmarkStart w:id="39" w:name="OLE_LINK42"/>
      <w:bookmarkStart w:id="40" w:name="OLE_LINK26"/>
      <w:r>
        <w:rPr>
          <w:rFonts w:ascii="Arial" w:hAnsi="Arial" w:eastAsia="宋体" w:cs="Arial"/>
          <w:b/>
        </w:rPr>
        <w:t>3. 简化510（k）提交资料的内容和格式</w:t>
      </w:r>
    </w:p>
    <w:p w14:paraId="35715770">
      <w:pPr>
        <w:snapToGrid w:val="0"/>
        <w:spacing w:line="300" w:lineRule="auto"/>
        <w:ind w:right="-8" w:rightChars="-4"/>
        <w:rPr>
          <w:rFonts w:ascii="Arial" w:hAnsi="Arial" w:eastAsia="宋体" w:cs="Arial"/>
        </w:rPr>
      </w:pPr>
    </w:p>
    <w:p w14:paraId="4F89C0F2">
      <w:pPr>
        <w:snapToGrid w:val="0"/>
        <w:spacing w:line="300" w:lineRule="auto"/>
        <w:ind w:right="-8" w:rightChars="-4"/>
        <w:rPr>
          <w:rFonts w:ascii="Arial" w:hAnsi="Arial" w:eastAsia="宋体" w:cs="Arial"/>
        </w:rPr>
      </w:pPr>
      <w:r>
        <w:rPr>
          <w:rFonts w:ascii="Arial" w:hAnsi="Arial" w:eastAsia="宋体" w:cs="Arial"/>
        </w:rPr>
        <w:t>简化510（k）提交资料必须包括21 CFR 807.87确认的必要元素（包括足以描述器械、预期用途和使用说明的拟定标签）。在简化510（k）提交资料中，FDA会考虑总结报告的内容是否适当支持了符合21 CFR 807.87(f)或(g)含义的数据。因此，我们建议贵公司在该文件中包括总结报告。该报告应对器械开发和测试期间如何使用本指导性文件做出说明并描述所用方法或实验。报告还应包括实验数据汇总或对验收标准的描述。验收标准适用于处理本文件确认的健康风险以及贵公司的器械所特有的任何其它风险。本节提供信息的目的是为了满足807.87部分的某些要求以及我们建议贵公司将其包含在简化510（k）提交资料中的某些其它项目。</w:t>
      </w:r>
    </w:p>
    <w:bookmarkEnd w:id="39"/>
    <w:bookmarkEnd w:id="40"/>
    <w:p w14:paraId="416E6E76">
      <w:pPr>
        <w:snapToGrid w:val="0"/>
        <w:spacing w:line="300" w:lineRule="auto"/>
        <w:ind w:right="-8" w:rightChars="-4"/>
        <w:rPr>
          <w:rFonts w:ascii="Arial" w:hAnsi="Arial" w:eastAsia="宋体" w:cs="Arial"/>
        </w:rPr>
      </w:pPr>
    </w:p>
    <w:p w14:paraId="109ADEC8">
      <w:pPr>
        <w:snapToGrid w:val="0"/>
        <w:spacing w:line="300" w:lineRule="auto"/>
        <w:ind w:right="-8" w:rightChars="-4"/>
        <w:rPr>
          <w:rFonts w:ascii="Arial" w:hAnsi="Arial" w:eastAsia="宋体" w:cs="Arial"/>
          <w:b/>
        </w:rPr>
      </w:pPr>
      <w:bookmarkStart w:id="41" w:name="OLE_LINK45"/>
      <w:bookmarkStart w:id="42" w:name="OLE_LINK46"/>
      <w:r>
        <w:rPr>
          <w:rFonts w:ascii="Arial" w:hAnsi="Arial" w:eastAsia="宋体" w:cs="Arial"/>
          <w:b/>
        </w:rPr>
        <w:t>封面</w:t>
      </w:r>
    </w:p>
    <w:p w14:paraId="53BF9613">
      <w:pPr>
        <w:snapToGrid w:val="0"/>
        <w:spacing w:line="300" w:lineRule="auto"/>
        <w:ind w:right="-8" w:rightChars="-4"/>
        <w:rPr>
          <w:rFonts w:ascii="Arial" w:hAnsi="Arial" w:eastAsia="宋体" w:cs="Arial"/>
        </w:rPr>
      </w:pPr>
    </w:p>
    <w:p w14:paraId="4E59D5CF">
      <w:pPr>
        <w:snapToGrid w:val="0"/>
        <w:spacing w:line="300" w:lineRule="auto"/>
        <w:ind w:right="-8" w:rightChars="-4"/>
        <w:rPr>
          <w:rFonts w:ascii="Arial" w:hAnsi="Arial" w:eastAsia="宋体" w:cs="Arial"/>
        </w:rPr>
      </w:pPr>
      <w:r>
        <w:rPr>
          <w:rFonts w:ascii="Arial" w:hAnsi="Arial" w:eastAsia="宋体" w:cs="Arial"/>
        </w:rPr>
        <w:t>应在封面上以醒目方式显示本提交资料为简化510（k）提交资料并注明本指导性文件的标题。</w:t>
      </w:r>
    </w:p>
    <w:p w14:paraId="0D8A6BA3">
      <w:pPr>
        <w:snapToGrid w:val="0"/>
        <w:spacing w:line="300" w:lineRule="auto"/>
        <w:ind w:right="-8" w:rightChars="-4"/>
        <w:rPr>
          <w:rFonts w:ascii="Arial" w:hAnsi="Arial" w:eastAsia="宋体" w:cs="Arial"/>
        </w:rPr>
      </w:pPr>
    </w:p>
    <w:bookmarkEnd w:id="41"/>
    <w:bookmarkEnd w:id="42"/>
    <w:p w14:paraId="69DEE5C2">
      <w:pPr>
        <w:snapToGrid w:val="0"/>
        <w:spacing w:line="300" w:lineRule="auto"/>
        <w:ind w:right="-8" w:rightChars="-4"/>
        <w:rPr>
          <w:rFonts w:ascii="Arial" w:hAnsi="Arial" w:eastAsia="宋体" w:cs="Arial"/>
          <w:b/>
        </w:rPr>
      </w:pPr>
      <w:bookmarkStart w:id="43" w:name="OLE_LINK56"/>
      <w:bookmarkStart w:id="44" w:name="OLE_LINK55"/>
      <w:r>
        <w:rPr>
          <w:rFonts w:ascii="Arial" w:hAnsi="Arial" w:eastAsia="宋体" w:cs="Arial"/>
          <w:b/>
        </w:rPr>
        <w:t>拟定标签</w:t>
      </w:r>
    </w:p>
    <w:p w14:paraId="3A1DA8BC">
      <w:pPr>
        <w:snapToGrid w:val="0"/>
        <w:spacing w:line="300" w:lineRule="auto"/>
        <w:ind w:right="-8" w:rightChars="-4"/>
        <w:rPr>
          <w:rFonts w:ascii="Arial" w:hAnsi="Arial" w:eastAsia="宋体" w:cs="Arial"/>
        </w:rPr>
      </w:pPr>
    </w:p>
    <w:p w14:paraId="05C09DFC">
      <w:pPr>
        <w:snapToGrid w:val="0"/>
        <w:spacing w:line="300" w:lineRule="auto"/>
        <w:ind w:right="-8" w:rightChars="-4"/>
        <w:rPr>
          <w:rFonts w:ascii="Arial" w:hAnsi="Arial" w:eastAsia="宋体" w:cs="Arial"/>
        </w:rPr>
      </w:pPr>
      <w:r>
        <w:rPr>
          <w:rFonts w:ascii="Arial" w:hAnsi="Arial" w:eastAsia="宋体" w:cs="Arial"/>
        </w:rPr>
        <w:t>拟定标签应足以描述该器械、其预期用途和使用说明。（</w:t>
      </w:r>
      <w:bookmarkStart w:id="45" w:name="OLE_LINK1"/>
      <w:bookmarkStart w:id="46" w:name="OLE_LINK3"/>
      <w:bookmarkStart w:id="47" w:name="OLE_LINK4"/>
      <w:r>
        <w:rPr>
          <w:rFonts w:ascii="Arial" w:hAnsi="Arial" w:eastAsia="宋体" w:cs="Arial"/>
        </w:rPr>
        <w:t>具体信息见第8节，贵公司应将这些信息包含在该类型器械的标签中</w:t>
      </w:r>
      <w:bookmarkEnd w:id="45"/>
      <w:bookmarkEnd w:id="46"/>
      <w:bookmarkEnd w:id="47"/>
      <w:r>
        <w:rPr>
          <w:rFonts w:ascii="Arial" w:hAnsi="Arial" w:eastAsia="宋体" w:cs="Arial"/>
        </w:rPr>
        <w:t>）</w:t>
      </w:r>
    </w:p>
    <w:bookmarkEnd w:id="43"/>
    <w:bookmarkEnd w:id="44"/>
    <w:p w14:paraId="489949C9">
      <w:pPr>
        <w:snapToGrid w:val="0"/>
        <w:spacing w:line="300" w:lineRule="auto"/>
        <w:ind w:right="-8" w:rightChars="-4"/>
        <w:rPr>
          <w:rFonts w:ascii="Arial" w:hAnsi="Arial" w:eastAsia="宋体" w:cs="Arial"/>
        </w:rPr>
      </w:pPr>
    </w:p>
    <w:p w14:paraId="1743FED0">
      <w:pPr>
        <w:snapToGrid w:val="0"/>
        <w:spacing w:line="300" w:lineRule="auto"/>
        <w:ind w:right="-8" w:rightChars="-4"/>
        <w:rPr>
          <w:rFonts w:ascii="Arial" w:hAnsi="Arial" w:eastAsia="宋体" w:cs="Arial"/>
          <w:b/>
        </w:rPr>
      </w:pPr>
      <w:bookmarkStart w:id="48" w:name="OLE_LINK60"/>
      <w:bookmarkStart w:id="49" w:name="OLE_LINK59"/>
      <w:r>
        <w:rPr>
          <w:rFonts w:ascii="Arial" w:hAnsi="Arial" w:eastAsia="宋体" w:cs="Arial"/>
          <w:b/>
        </w:rPr>
        <w:t>总结报告</w:t>
      </w:r>
    </w:p>
    <w:p w14:paraId="21807109">
      <w:pPr>
        <w:snapToGrid w:val="0"/>
        <w:spacing w:line="300" w:lineRule="auto"/>
        <w:ind w:right="-8" w:rightChars="-4"/>
        <w:rPr>
          <w:rFonts w:ascii="Arial" w:hAnsi="Arial" w:eastAsia="宋体" w:cs="Arial"/>
        </w:rPr>
      </w:pPr>
    </w:p>
    <w:p w14:paraId="583EF6D3">
      <w:pPr>
        <w:snapToGrid w:val="0"/>
        <w:spacing w:line="300" w:lineRule="auto"/>
        <w:ind w:right="-8" w:rightChars="-4"/>
        <w:rPr>
          <w:rFonts w:ascii="Arial" w:hAnsi="Arial" w:eastAsia="宋体" w:cs="Arial"/>
        </w:rPr>
      </w:pPr>
      <w:r>
        <w:rPr>
          <w:rFonts w:ascii="Arial" w:hAnsi="Arial" w:eastAsia="宋体" w:cs="Arial"/>
        </w:rPr>
        <w:t>我们建议在总结报告中包含下列内容：</w:t>
      </w:r>
    </w:p>
    <w:p w14:paraId="2C302B57">
      <w:pPr>
        <w:snapToGrid w:val="0"/>
        <w:spacing w:line="300" w:lineRule="auto"/>
        <w:ind w:right="-8" w:rightChars="-4"/>
        <w:rPr>
          <w:rFonts w:ascii="Arial" w:hAnsi="Arial" w:eastAsia="宋体" w:cs="Arial"/>
        </w:rPr>
      </w:pPr>
    </w:p>
    <w:p w14:paraId="6181BF41">
      <w:pPr>
        <w:widowControl/>
        <w:jc w:val="left"/>
        <w:rPr>
          <w:rFonts w:ascii="Arial" w:hAnsi="Arial" w:eastAsia="宋体" w:cs="Arial"/>
        </w:rPr>
      </w:pPr>
      <w:r>
        <w:rPr>
          <w:rFonts w:ascii="Arial" w:hAnsi="Arial" w:eastAsia="宋体" w:cs="Arial"/>
        </w:rPr>
        <w:br w:type="page"/>
      </w:r>
    </w:p>
    <w:p w14:paraId="54EF7183">
      <w:pPr>
        <w:pStyle w:val="9"/>
        <w:numPr>
          <w:ilvl w:val="0"/>
          <w:numId w:val="1"/>
        </w:numPr>
        <w:snapToGrid w:val="0"/>
        <w:spacing w:line="300" w:lineRule="auto"/>
        <w:ind w:right="-8" w:rightChars="-4" w:firstLineChars="0"/>
        <w:rPr>
          <w:rFonts w:ascii="Arial" w:hAnsi="Arial" w:eastAsia="宋体" w:cs="Arial"/>
        </w:rPr>
      </w:pPr>
      <w:r>
        <w:rPr>
          <w:rFonts w:ascii="Arial" w:hAnsi="Arial" w:eastAsia="宋体" w:cs="Arial"/>
        </w:rPr>
        <w:t>对该器械及其预期用途的描述。我们建议在描述中包含对性能参数的全面讨论，适当的时候还要包含该器械详细、有标识的图纸。贵公司还应提交一份“适应症”附件。</w:t>
      </w:r>
      <w:r>
        <w:rPr>
          <w:rFonts w:ascii="Arial" w:hAnsi="Arial" w:eastAsia="宋体" w:cs="Arial"/>
          <w:vertAlign w:val="superscript"/>
        </w:rPr>
        <w:t>2</w:t>
      </w:r>
    </w:p>
    <w:bookmarkEnd w:id="48"/>
    <w:bookmarkEnd w:id="49"/>
    <w:p w14:paraId="54DF6A41">
      <w:pPr>
        <w:pStyle w:val="9"/>
        <w:numPr>
          <w:ilvl w:val="0"/>
          <w:numId w:val="1"/>
        </w:numPr>
        <w:snapToGrid w:val="0"/>
        <w:spacing w:line="300" w:lineRule="auto"/>
        <w:ind w:right="-8" w:rightChars="-4" w:firstLineChars="0"/>
        <w:rPr>
          <w:rFonts w:ascii="Arial" w:hAnsi="Arial" w:eastAsia="宋体" w:cs="Arial"/>
        </w:rPr>
      </w:pPr>
      <w:bookmarkStart w:id="50" w:name="OLE_LINK68"/>
      <w:bookmarkStart w:id="51" w:name="OLE_LINK67"/>
      <w:r>
        <w:rPr>
          <w:rFonts w:ascii="Arial" w:hAnsi="Arial" w:eastAsia="宋体" w:cs="Arial"/>
        </w:rPr>
        <w:t>对器械设计的描述。我们建议在描述中包含对性能参数的全面讨论，适当的时候还要包含该器械详细、有标识的草图。</w:t>
      </w:r>
    </w:p>
    <w:bookmarkEnd w:id="50"/>
    <w:bookmarkEnd w:id="51"/>
    <w:p w14:paraId="7C516106">
      <w:pPr>
        <w:pStyle w:val="9"/>
        <w:numPr>
          <w:ilvl w:val="0"/>
          <w:numId w:val="1"/>
        </w:numPr>
        <w:snapToGrid w:val="0"/>
        <w:spacing w:line="300" w:lineRule="auto"/>
        <w:ind w:right="-8" w:rightChars="-4" w:firstLineChars="0"/>
        <w:rPr>
          <w:rFonts w:ascii="Arial" w:hAnsi="Arial" w:eastAsia="宋体" w:cs="Arial"/>
        </w:rPr>
      </w:pPr>
      <w:bookmarkStart w:id="52" w:name="OLE_LINK92"/>
      <w:bookmarkStart w:id="53" w:name="OLE_LINK91"/>
      <w:bookmarkStart w:id="54" w:name="OLE_LINK72"/>
      <w:bookmarkStart w:id="55" w:name="OLE_LINK73"/>
      <w:r>
        <w:rPr>
          <w:rFonts w:ascii="Arial" w:hAnsi="Arial" w:eastAsia="宋体" w:cs="Arial"/>
        </w:rPr>
        <w:t>对风险分析方法的确认。通常采用这些方法评定风险状况以及具体器械的设计和分析结果（通常与使用该器械有关的健康风险见第5节）。</w:t>
      </w:r>
      <w:bookmarkEnd w:id="52"/>
      <w:bookmarkEnd w:id="53"/>
    </w:p>
    <w:bookmarkEnd w:id="54"/>
    <w:bookmarkEnd w:id="55"/>
    <w:p w14:paraId="6E038264">
      <w:pPr>
        <w:pStyle w:val="9"/>
        <w:numPr>
          <w:ilvl w:val="0"/>
          <w:numId w:val="1"/>
        </w:numPr>
        <w:snapToGrid w:val="0"/>
        <w:spacing w:line="300" w:lineRule="auto"/>
        <w:ind w:right="-8" w:rightChars="-4" w:firstLineChars="0"/>
        <w:rPr>
          <w:rFonts w:ascii="Arial" w:hAnsi="Arial" w:eastAsia="宋体" w:cs="Arial"/>
        </w:rPr>
      </w:pPr>
      <w:bookmarkStart w:id="56" w:name="OLE_LINK74"/>
      <w:r>
        <w:rPr>
          <w:rFonts w:ascii="Arial" w:hAnsi="Arial" w:eastAsia="宋体" w:cs="Arial"/>
        </w:rPr>
        <w:t>对器械特征的讨论。利用这些特征可解决本II类指导性文件确认识别的风险问题以及在贵公司的风险分析中确认的任何其它风险问题。</w:t>
      </w:r>
    </w:p>
    <w:bookmarkEnd w:id="56"/>
    <w:p w14:paraId="023EAB7F">
      <w:pPr>
        <w:pStyle w:val="9"/>
        <w:numPr>
          <w:ilvl w:val="0"/>
          <w:numId w:val="1"/>
        </w:numPr>
        <w:snapToGrid w:val="0"/>
        <w:spacing w:line="300" w:lineRule="auto"/>
        <w:ind w:right="-8" w:rightChars="-4" w:firstLineChars="0"/>
        <w:rPr>
          <w:rFonts w:ascii="Arial" w:hAnsi="Arial" w:eastAsia="宋体" w:cs="Arial"/>
          <w:vertAlign w:val="superscript"/>
        </w:rPr>
      </w:pPr>
      <w:bookmarkStart w:id="57" w:name="OLE_LINK76"/>
      <w:bookmarkStart w:id="58" w:name="OLE_LINK75"/>
      <w:r>
        <w:rPr>
          <w:rFonts w:ascii="Arial" w:hAnsi="Arial" w:eastAsia="宋体" w:cs="Arial"/>
        </w:rPr>
        <w:t>对试验方法的简要描述。贵公司已经使用或打算使用这些方法解决本指导性文件第6-7节识别的每个性能问题。如果贵公司遵从所建议的试验方法进行了试验，可引用该方法而不需对其进行描述。如果贵公司对所建议的试验方法做过更改，可引用该方法，但应提供足够信息对更改的性质和理由做出解释。对每种试验方法，贵公司既可（1）以清晰、简洁的方式（如表格）简要呈现试验产生的数据，亦可（2）描述将要用于自身试验结果的验收标准</w:t>
      </w:r>
      <w:r>
        <w:rPr>
          <w:rFonts w:ascii="Arial" w:hAnsi="Arial" w:eastAsia="宋体" w:cs="Arial"/>
          <w:vertAlign w:val="superscript"/>
        </w:rPr>
        <w:t>3</w:t>
      </w:r>
      <w:r>
        <w:rPr>
          <w:rFonts w:ascii="Arial" w:hAnsi="Arial" w:eastAsia="宋体" w:cs="Arial"/>
        </w:rPr>
        <w:t>（亦见21 CFR 820.30第Ｃ子部分－适用于质量体系法规的设计控制）。</w:t>
      </w:r>
    </w:p>
    <w:bookmarkEnd w:id="57"/>
    <w:bookmarkEnd w:id="58"/>
    <w:p w14:paraId="1518CF50">
      <w:pPr>
        <w:pStyle w:val="9"/>
        <w:numPr>
          <w:ilvl w:val="0"/>
          <w:numId w:val="1"/>
        </w:numPr>
        <w:snapToGrid w:val="0"/>
        <w:spacing w:line="300" w:lineRule="auto"/>
        <w:ind w:right="-8" w:rightChars="-4" w:firstLineChars="0"/>
        <w:rPr>
          <w:rFonts w:ascii="Arial" w:hAnsi="Arial" w:eastAsia="宋体" w:cs="Arial"/>
        </w:rPr>
      </w:pPr>
      <w:bookmarkStart w:id="59" w:name="OLE_LINK78"/>
      <w:bookmarkStart w:id="60" w:name="OLE_LINK77"/>
      <w:r>
        <w:rPr>
          <w:rFonts w:ascii="Arial" w:hAnsi="Arial" w:eastAsia="宋体" w:cs="Arial"/>
        </w:rPr>
        <w:t>如果贵公司决定器械设计或测试的任何部分都依赖一个公认标准，贵公司既可包含（１）产品上市前贵公司将进行测试且测试将满足规定验收标准的陈述，亦可包含（２）遵从该标准的声明。</w:t>
      </w:r>
      <w:r>
        <w:rPr>
          <w:rFonts w:ascii="Arial" w:hAnsi="Arial" w:eastAsia="宋体" w:cs="Arial"/>
          <w:vertAlign w:val="superscript"/>
        </w:rPr>
        <w:t>４</w:t>
      </w:r>
      <w:r>
        <w:rPr>
          <w:rFonts w:ascii="Arial" w:hAnsi="Arial" w:eastAsia="宋体" w:cs="Arial"/>
        </w:rPr>
        <w:t>由于符合声明建立在测试结果的基础之上，我们认为贵公司在完成该标准描述的测试之前无法正确提交符合声明。若欲了解更多信息，请参考上述法案的第514(c)(1)(B)部分和FDA指南“</w:t>
      </w:r>
      <w:r>
        <w:rPr>
          <w:rFonts w:ascii="Arial" w:hAnsi="Arial" w:eastAsia="宋体" w:cs="Arial"/>
          <w:b/>
          <w:color w:val="800080"/>
        </w:rPr>
        <w:t>标准在实质等同认定过程中的应用；行业和FDA用最终指南</w:t>
      </w:r>
      <w:r>
        <w:rPr>
          <w:rFonts w:ascii="Arial" w:hAnsi="Arial" w:eastAsia="宋体" w:cs="Arial"/>
        </w:rPr>
        <w:t>”。</w:t>
      </w:r>
    </w:p>
    <w:bookmarkEnd w:id="59"/>
    <w:bookmarkEnd w:id="60"/>
    <w:p w14:paraId="77BEB3C6">
      <w:pPr>
        <w:snapToGrid w:val="0"/>
        <w:spacing w:line="300" w:lineRule="auto"/>
        <w:ind w:right="-8" w:rightChars="-4"/>
        <w:rPr>
          <w:rFonts w:ascii="Arial" w:hAnsi="Arial" w:eastAsia="宋体" w:cs="Arial"/>
        </w:rPr>
      </w:pPr>
    </w:p>
    <w:p w14:paraId="2ED8A1D0">
      <w:pPr>
        <w:snapToGrid w:val="0"/>
        <w:spacing w:line="300" w:lineRule="auto"/>
        <w:ind w:right="-8" w:rightChars="-4"/>
        <w:rPr>
          <w:rFonts w:ascii="Arial" w:hAnsi="Arial" w:eastAsia="宋体" w:cs="Arial"/>
        </w:rPr>
      </w:pPr>
      <w:bookmarkStart w:id="61" w:name="OLE_LINK79"/>
      <w:bookmarkStart w:id="62" w:name="OLE_LINK80"/>
      <w:r>
        <w:rPr>
          <w:rFonts w:ascii="Arial" w:hAnsi="Arial" w:eastAsia="宋体" w:cs="Arial"/>
        </w:rPr>
        <w:t>对于FDA确认的风险或贵公司在风险分析过程中确认的风险，如果贵公司不清楚是如何处理的，我们可以要求贵公司提供关于器械性能特征各方面的其它信息。如果需要其它信息用来评估贵公司所用验收标准是否合适，我们亦会要求贵公司予以提供（根据21 CFR 807.87(l)的规定，我们可以要求贵公司提供做出实质等同认定所必需的任何其它信息）。</w:t>
      </w:r>
    </w:p>
    <w:bookmarkEnd w:id="61"/>
    <w:bookmarkEnd w:id="62"/>
    <w:p w14:paraId="49C28D5E">
      <w:pPr>
        <w:snapToGrid w:val="0"/>
        <w:spacing w:line="300" w:lineRule="auto"/>
        <w:ind w:right="-8" w:rightChars="-4"/>
        <w:rPr>
          <w:rFonts w:ascii="Arial" w:hAnsi="Arial" w:eastAsia="宋体" w:cs="Arial"/>
        </w:rPr>
      </w:pPr>
    </w:p>
    <w:p w14:paraId="42DC0A1A">
      <w:pPr>
        <w:snapToGrid w:val="0"/>
        <w:spacing w:line="300" w:lineRule="auto"/>
        <w:ind w:right="-8" w:rightChars="-4"/>
        <w:rPr>
          <w:rFonts w:ascii="Arial" w:hAnsi="Arial" w:eastAsia="宋体" w:cs="Arial"/>
        </w:rPr>
      </w:pPr>
      <w:bookmarkStart w:id="63" w:name="OLE_LINK82"/>
      <w:bookmarkStart w:id="64" w:name="OLE_LINK81"/>
      <w:r>
        <w:rPr>
          <w:rFonts w:ascii="Arial" w:hAnsi="Arial" w:eastAsia="宋体" w:cs="Arial"/>
        </w:rPr>
        <w:t>作为提交简化510（k）提交资料的替代方法，贵公司可提交传统510（k）提交资料。该版本的文件可提供21 CFR 807.87规定要求并在本指导性文件中描述的所有信息与数据。传统510（k）提交资料中应包含贵公司的所有方法、数据、验收标准和结论。考虑对获得许可器械进行更改的制造商应考虑提交特殊510（k）提交资料。</w:t>
      </w:r>
    </w:p>
    <w:bookmarkEnd w:id="63"/>
    <w:bookmarkEnd w:id="64"/>
    <w:p w14:paraId="2CA34E4D">
      <w:pPr>
        <w:snapToGrid w:val="0"/>
        <w:spacing w:line="300" w:lineRule="auto"/>
        <w:ind w:right="-8" w:rightChars="-4"/>
        <w:rPr>
          <w:rFonts w:ascii="Arial" w:hAnsi="Arial" w:eastAsia="宋体" w:cs="Arial"/>
        </w:rPr>
      </w:pPr>
    </w:p>
    <w:p w14:paraId="3D7DA24D">
      <w:pPr>
        <w:snapToGrid w:val="0"/>
        <w:spacing w:line="300" w:lineRule="auto"/>
        <w:ind w:right="-8" w:rightChars="-4"/>
        <w:rPr>
          <w:rFonts w:ascii="Arial" w:hAnsi="Arial" w:eastAsia="宋体" w:cs="Arial"/>
          <w:b/>
        </w:rPr>
      </w:pPr>
      <w:bookmarkStart w:id="65" w:name="OLE_LINK84"/>
      <w:bookmarkStart w:id="66" w:name="OLE_LINK85"/>
      <w:r>
        <w:rPr>
          <w:rFonts w:ascii="Arial" w:hAnsi="Arial" w:eastAsia="宋体" w:cs="Arial"/>
          <w:b/>
        </w:rPr>
        <w:t>4. 适用范围</w:t>
      </w:r>
    </w:p>
    <w:p w14:paraId="1F05B636">
      <w:pPr>
        <w:snapToGrid w:val="0"/>
        <w:spacing w:line="300" w:lineRule="auto"/>
        <w:ind w:right="-8" w:rightChars="-4"/>
        <w:rPr>
          <w:rFonts w:ascii="Arial" w:hAnsi="Arial" w:eastAsia="宋体" w:cs="Arial"/>
        </w:rPr>
      </w:pPr>
    </w:p>
    <w:p w14:paraId="623F9C93">
      <w:pPr>
        <w:snapToGrid w:val="0"/>
        <w:spacing w:line="300" w:lineRule="auto"/>
        <w:ind w:right="-8" w:rightChars="-4"/>
        <w:rPr>
          <w:rFonts w:ascii="Arial" w:hAnsi="Arial" w:eastAsia="宋体" w:cs="Arial"/>
        </w:rPr>
      </w:pPr>
      <w:r>
        <w:rPr>
          <w:rFonts w:ascii="Arial" w:hAnsi="Arial" w:eastAsia="宋体" w:cs="Arial"/>
        </w:rPr>
        <w:t>本文件的适用范围限于在21 CFR 866.4700中描述的下列器械（产品代码：NTW）：</w:t>
      </w:r>
    </w:p>
    <w:bookmarkEnd w:id="65"/>
    <w:bookmarkEnd w:id="66"/>
    <w:p w14:paraId="50E4742A">
      <w:pPr>
        <w:snapToGrid w:val="0"/>
        <w:spacing w:line="300" w:lineRule="auto"/>
        <w:ind w:right="-8" w:rightChars="-4"/>
        <w:rPr>
          <w:rFonts w:ascii="Arial" w:hAnsi="Arial" w:eastAsia="宋体" w:cs="Arial"/>
        </w:rPr>
      </w:pPr>
    </w:p>
    <w:p w14:paraId="35C64283">
      <w:pPr>
        <w:snapToGrid w:val="0"/>
        <w:spacing w:line="300" w:lineRule="auto"/>
        <w:ind w:right="-8" w:rightChars="-4"/>
        <w:rPr>
          <w:rFonts w:ascii="Arial" w:hAnsi="Arial" w:eastAsia="宋体" w:cs="Arial"/>
        </w:rPr>
      </w:pPr>
      <w:bookmarkStart w:id="67" w:name="OLE_LINK86"/>
      <w:bookmarkStart w:id="68" w:name="OLE_LINK87"/>
      <w:r>
        <w:rPr>
          <w:rFonts w:ascii="Arial" w:hAnsi="Arial" w:eastAsia="宋体" w:cs="Arial"/>
        </w:rPr>
        <w:t>21 CFR 866.4700：</w:t>
      </w:r>
      <w:bookmarkStart w:id="69" w:name="OLE_LINK134"/>
      <w:r>
        <w:rPr>
          <w:rFonts w:ascii="Arial" w:hAnsi="Arial" w:eastAsia="宋体" w:cs="Arial"/>
        </w:rPr>
        <w:t>RNA分析前系统</w:t>
      </w:r>
      <w:bookmarkEnd w:id="69"/>
      <w:r>
        <w:rPr>
          <w:rFonts w:ascii="Arial" w:hAnsi="Arial" w:eastAsia="宋体" w:cs="Arial"/>
        </w:rPr>
        <w:t>。</w:t>
      </w:r>
      <w:bookmarkStart w:id="70" w:name="OLE_LINK8"/>
      <w:bookmarkStart w:id="71" w:name="OLE_LINK7"/>
    </w:p>
    <w:bookmarkEnd w:id="67"/>
    <w:bookmarkEnd w:id="68"/>
    <w:p w14:paraId="6610156F">
      <w:pPr>
        <w:snapToGrid w:val="0"/>
        <w:spacing w:line="300" w:lineRule="auto"/>
        <w:ind w:right="-8" w:rightChars="-4"/>
        <w:rPr>
          <w:rFonts w:ascii="Arial" w:hAnsi="Arial" w:eastAsia="宋体" w:cs="Arial"/>
        </w:rPr>
      </w:pPr>
    </w:p>
    <w:p w14:paraId="355CF78C">
      <w:pPr>
        <w:snapToGrid w:val="0"/>
        <w:spacing w:line="300" w:lineRule="auto"/>
        <w:ind w:right="-8" w:rightChars="-4"/>
        <w:rPr>
          <w:rFonts w:ascii="Arial" w:hAnsi="Arial" w:eastAsia="宋体" w:cs="Arial"/>
        </w:rPr>
      </w:pPr>
      <w:r>
        <w:rPr>
          <w:rFonts w:ascii="Arial" w:hAnsi="Arial" w:eastAsia="宋体" w:cs="Arial"/>
        </w:rPr>
        <w:t>RNA分析前系统是拟用来采集、储存和运输患者试样，稳定试样细胞内RNA，及之后分离和纯化细胞内RNA用于RT-PCR的器械。</w:t>
      </w:r>
      <w:bookmarkStart w:id="72" w:name="OLE_LINK142"/>
      <w:bookmarkStart w:id="73" w:name="OLE_LINK141"/>
      <w:r>
        <w:rPr>
          <w:rFonts w:ascii="Arial" w:hAnsi="Arial" w:eastAsia="宋体" w:cs="Arial"/>
        </w:rPr>
        <w:t>RT-PCR</w:t>
      </w:r>
      <w:bookmarkEnd w:id="72"/>
      <w:bookmarkEnd w:id="73"/>
      <w:r>
        <w:rPr>
          <w:rFonts w:ascii="Arial" w:hAnsi="Arial" w:eastAsia="宋体" w:cs="Arial"/>
        </w:rPr>
        <w:t>是体外分子诊断使用的一种测试方法。</w:t>
      </w:r>
    </w:p>
    <w:p w14:paraId="7449BCA5">
      <w:pPr>
        <w:snapToGrid w:val="0"/>
        <w:spacing w:line="300" w:lineRule="auto"/>
        <w:ind w:right="-8" w:rightChars="-4"/>
        <w:rPr>
          <w:rFonts w:ascii="Arial" w:hAnsi="Arial" w:eastAsia="宋体" w:cs="Arial"/>
        </w:rPr>
      </w:pPr>
    </w:p>
    <w:p w14:paraId="01AFF7B9">
      <w:pPr>
        <w:snapToGrid w:val="0"/>
        <w:spacing w:line="300" w:lineRule="auto"/>
        <w:ind w:right="-8" w:rightChars="-4"/>
        <w:rPr>
          <w:rFonts w:ascii="Arial" w:hAnsi="Arial" w:eastAsia="宋体" w:cs="Arial"/>
        </w:rPr>
      </w:pPr>
      <w:r>
        <w:rPr>
          <w:rFonts w:ascii="Arial" w:hAnsi="Arial" w:eastAsia="宋体" w:cs="Arial"/>
        </w:rPr>
        <w:t>该器械可由样品采集器械、核酸分离和纯化试剂与处理试剂/器械组成。其还可包含核酸分离和纯化步骤使用的自动化工具。</w:t>
      </w:r>
    </w:p>
    <w:p w14:paraId="49B7852A">
      <w:pPr>
        <w:snapToGrid w:val="0"/>
        <w:spacing w:line="300" w:lineRule="auto"/>
        <w:ind w:right="-8" w:rightChars="-4"/>
        <w:rPr>
          <w:rFonts w:ascii="Arial" w:hAnsi="Arial" w:eastAsia="宋体" w:cs="Arial"/>
        </w:rPr>
      </w:pPr>
    </w:p>
    <w:bookmarkEnd w:id="70"/>
    <w:bookmarkEnd w:id="71"/>
    <w:p w14:paraId="3F87E4AF">
      <w:pPr>
        <w:snapToGrid w:val="0"/>
        <w:spacing w:line="300" w:lineRule="auto"/>
        <w:ind w:right="-8" w:rightChars="-4"/>
        <w:rPr>
          <w:rFonts w:ascii="Arial" w:hAnsi="Arial" w:eastAsia="宋体" w:cs="Arial"/>
          <w:b/>
        </w:rPr>
      </w:pPr>
      <w:bookmarkStart w:id="74" w:name="OLE_LINK94"/>
      <w:bookmarkStart w:id="75" w:name="OLE_LINK95"/>
      <w:r>
        <w:rPr>
          <w:rFonts w:ascii="Arial" w:hAnsi="Arial" w:eastAsia="宋体" w:cs="Arial"/>
          <w:b/>
        </w:rPr>
        <w:t>5. 健康风险</w:t>
      </w:r>
    </w:p>
    <w:p w14:paraId="15BF8249">
      <w:pPr>
        <w:snapToGrid w:val="0"/>
        <w:spacing w:line="300" w:lineRule="auto"/>
        <w:ind w:right="-8" w:rightChars="-4"/>
        <w:rPr>
          <w:rFonts w:ascii="Arial" w:hAnsi="Arial" w:eastAsia="宋体" w:cs="Arial"/>
        </w:rPr>
      </w:pPr>
    </w:p>
    <w:p w14:paraId="7A8106B2">
      <w:pPr>
        <w:snapToGrid w:val="0"/>
        <w:spacing w:line="300" w:lineRule="auto"/>
        <w:ind w:right="-8" w:rightChars="-4"/>
        <w:rPr>
          <w:rFonts w:ascii="Arial" w:hAnsi="Arial" w:eastAsia="宋体" w:cs="Arial"/>
        </w:rPr>
      </w:pPr>
      <w:r>
        <w:rPr>
          <w:rFonts w:ascii="Arial" w:hAnsi="Arial" w:eastAsia="宋体" w:cs="Arial"/>
        </w:rPr>
        <w:t>试样采集或RNA稳定或纯化期间系统出现故障可使提取的RNA质量降低，含量下降。采用低质量RNA样品进行测试时可产生虚假的低水平或高水平RNA转录产物信号，从而导致诊断不准确和/或患者管理不当。RNA含量低可使样品不能用于下游的RT-PCR测试而需重新采集试样，从而可能导致诊断延迟。另外，根据试样类型，重新采集可能产生其它患者风险（如组织活检）。风险水平可随所诊断或管理的疾病或病情/病期而变化。对RNA测试结果应始终与其它临床因素结合使用。</w:t>
      </w:r>
    </w:p>
    <w:bookmarkEnd w:id="74"/>
    <w:bookmarkEnd w:id="75"/>
    <w:p w14:paraId="7A4537BB">
      <w:pPr>
        <w:snapToGrid w:val="0"/>
        <w:spacing w:line="300" w:lineRule="auto"/>
        <w:ind w:right="-8" w:rightChars="-4"/>
        <w:rPr>
          <w:rFonts w:ascii="Arial" w:hAnsi="Arial" w:eastAsia="宋体" w:cs="Arial"/>
        </w:rPr>
      </w:pPr>
    </w:p>
    <w:p w14:paraId="5EFACC5F">
      <w:pPr>
        <w:snapToGrid w:val="0"/>
        <w:spacing w:line="300" w:lineRule="auto"/>
        <w:ind w:right="-8" w:rightChars="-4"/>
        <w:rPr>
          <w:rFonts w:ascii="Arial" w:hAnsi="Arial" w:eastAsia="宋体" w:cs="Arial"/>
        </w:rPr>
      </w:pPr>
      <w:r>
        <w:rPr>
          <w:rFonts w:ascii="Arial" w:hAnsi="Arial" w:eastAsia="宋体" w:cs="Arial"/>
        </w:rPr>
        <w:t>FDA在下表中识别了本文件要解决的通常与使用RNA分析前系统有关的健康风险。如下表所示，本指导性文件对用来减轻该确认风险的推荐控制措施进行了描述。贵公司在提交上市前通告前应做一次风险分析，识别贵公司的器械特有的所有其它风险。在上市前通告中应对风险分析方法加以描述。如果贵公司选择采用替代方法处理本文件确认的健康风险或确认了这些风险的附加风险，应提供足够细节支持贵公司处理风险所采用的方法。</w:t>
      </w:r>
    </w:p>
    <w:p w14:paraId="719BB2E3">
      <w:pPr>
        <w:snapToGrid w:val="0"/>
        <w:spacing w:line="300" w:lineRule="auto"/>
        <w:ind w:right="-8" w:rightChars="-4"/>
        <w:rPr>
          <w:rFonts w:ascii="Arial" w:hAnsi="Arial" w:eastAsia="宋体" w:cs="Aria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1A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8498CC">
            <w:pPr>
              <w:snapToGrid w:val="0"/>
              <w:spacing w:line="300" w:lineRule="auto"/>
              <w:ind w:right="-8" w:rightChars="-4"/>
              <w:rPr>
                <w:rFonts w:ascii="Arial" w:hAnsi="Arial" w:eastAsia="宋体" w:cs="Arial"/>
              </w:rPr>
            </w:pPr>
            <w:bookmarkStart w:id="76" w:name="_Hlk475913593"/>
            <w:r>
              <w:rPr>
                <w:rFonts w:ascii="Arial" w:hAnsi="Arial" w:eastAsia="宋体" w:cs="Arial"/>
              </w:rPr>
              <w:t>确认风险</w:t>
            </w:r>
          </w:p>
        </w:tc>
        <w:tc>
          <w:tcPr>
            <w:tcW w:w="4261" w:type="dxa"/>
          </w:tcPr>
          <w:p w14:paraId="02531EF6">
            <w:pPr>
              <w:snapToGrid w:val="0"/>
              <w:spacing w:line="300" w:lineRule="auto"/>
              <w:ind w:right="-8" w:rightChars="-4"/>
              <w:rPr>
                <w:rFonts w:ascii="Arial" w:hAnsi="Arial" w:eastAsia="宋体" w:cs="Arial"/>
              </w:rPr>
            </w:pPr>
            <w:r>
              <w:rPr>
                <w:rFonts w:ascii="Arial" w:hAnsi="Arial" w:eastAsia="宋体" w:cs="Arial"/>
              </w:rPr>
              <w:t>建议采取的</w:t>
            </w:r>
            <w:r>
              <w:rPr>
                <w:rFonts w:hint="eastAsia" w:ascii="Arial" w:hAnsi="Arial" w:eastAsia="宋体" w:cs="Arial"/>
              </w:rPr>
              <w:t>缓解</w:t>
            </w:r>
            <w:r>
              <w:rPr>
                <w:rFonts w:ascii="Arial" w:hAnsi="Arial" w:eastAsia="宋体" w:cs="Arial"/>
              </w:rPr>
              <w:t>措施</w:t>
            </w:r>
          </w:p>
        </w:tc>
      </w:tr>
      <w:bookmarkEnd w:id="76"/>
      <w:tr w14:paraId="4BF8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F8456B">
            <w:pPr>
              <w:snapToGrid w:val="0"/>
              <w:spacing w:line="300" w:lineRule="auto"/>
              <w:ind w:right="-8" w:rightChars="-4"/>
              <w:rPr>
                <w:rFonts w:ascii="Arial" w:hAnsi="Arial" w:eastAsia="宋体" w:cs="Arial"/>
              </w:rPr>
            </w:pPr>
            <w:r>
              <w:rPr>
                <w:rFonts w:ascii="Arial" w:hAnsi="Arial" w:eastAsia="宋体" w:cs="Arial"/>
              </w:rPr>
              <w:t>结果不准确，患者管理不当</w:t>
            </w:r>
          </w:p>
        </w:tc>
        <w:tc>
          <w:tcPr>
            <w:tcW w:w="4261" w:type="dxa"/>
            <w:vMerge w:val="restart"/>
            <w:vAlign w:val="center"/>
          </w:tcPr>
          <w:p w14:paraId="72DA2B63">
            <w:pPr>
              <w:snapToGrid w:val="0"/>
              <w:spacing w:line="300" w:lineRule="auto"/>
              <w:ind w:right="-8" w:rightChars="-4"/>
              <w:jc w:val="center"/>
              <w:rPr>
                <w:rFonts w:ascii="Arial" w:hAnsi="Arial" w:eastAsia="宋体" w:cs="Arial"/>
              </w:rPr>
            </w:pPr>
            <w:r>
              <w:rPr>
                <w:rFonts w:ascii="Arial" w:hAnsi="Arial" w:eastAsia="宋体" w:cs="Arial"/>
              </w:rPr>
              <w:t>第6-7节</w:t>
            </w:r>
          </w:p>
        </w:tc>
      </w:tr>
      <w:tr w14:paraId="67BE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643F5B5">
            <w:pPr>
              <w:snapToGrid w:val="0"/>
              <w:spacing w:line="300" w:lineRule="auto"/>
              <w:ind w:right="-8" w:rightChars="-4"/>
              <w:rPr>
                <w:rFonts w:ascii="Arial" w:hAnsi="Arial" w:eastAsia="宋体" w:cs="Arial"/>
              </w:rPr>
            </w:pPr>
            <w:r>
              <w:rPr>
                <w:rFonts w:ascii="Arial" w:hAnsi="Arial" w:eastAsia="宋体" w:cs="Arial"/>
              </w:rPr>
              <w:t>诊断延迟</w:t>
            </w:r>
          </w:p>
        </w:tc>
        <w:tc>
          <w:tcPr>
            <w:tcW w:w="4261" w:type="dxa"/>
            <w:vMerge w:val="continue"/>
          </w:tcPr>
          <w:p w14:paraId="746A4646">
            <w:pPr>
              <w:snapToGrid w:val="0"/>
              <w:spacing w:line="300" w:lineRule="auto"/>
              <w:ind w:right="-8" w:rightChars="-4"/>
              <w:rPr>
                <w:rFonts w:ascii="Arial" w:hAnsi="Arial" w:eastAsia="宋体" w:cs="Arial"/>
              </w:rPr>
            </w:pPr>
          </w:p>
        </w:tc>
      </w:tr>
      <w:tr w14:paraId="3F28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03C493">
            <w:pPr>
              <w:snapToGrid w:val="0"/>
              <w:spacing w:line="300" w:lineRule="auto"/>
              <w:ind w:right="-8" w:rightChars="-4"/>
              <w:rPr>
                <w:rFonts w:ascii="Arial" w:hAnsi="Arial" w:eastAsia="宋体" w:cs="Arial"/>
              </w:rPr>
            </w:pPr>
            <w:r>
              <w:rPr>
                <w:rFonts w:ascii="Arial" w:hAnsi="Arial" w:eastAsia="宋体" w:cs="Arial"/>
              </w:rPr>
              <w:t>需重新采集患者试样</w:t>
            </w:r>
          </w:p>
        </w:tc>
        <w:tc>
          <w:tcPr>
            <w:tcW w:w="4261" w:type="dxa"/>
            <w:vMerge w:val="continue"/>
          </w:tcPr>
          <w:p w14:paraId="73E4CD30">
            <w:pPr>
              <w:snapToGrid w:val="0"/>
              <w:spacing w:line="300" w:lineRule="auto"/>
              <w:ind w:right="-8" w:rightChars="-4"/>
              <w:rPr>
                <w:rFonts w:ascii="Arial" w:hAnsi="Arial" w:eastAsia="宋体" w:cs="Arial"/>
              </w:rPr>
            </w:pPr>
          </w:p>
        </w:tc>
      </w:tr>
    </w:tbl>
    <w:p w14:paraId="6B3D5CB5">
      <w:pPr>
        <w:snapToGrid w:val="0"/>
        <w:spacing w:line="300" w:lineRule="auto"/>
        <w:ind w:right="-8" w:rightChars="-4"/>
        <w:rPr>
          <w:rFonts w:ascii="Arial" w:hAnsi="Arial" w:eastAsia="宋体" w:cs="Arial"/>
        </w:rPr>
      </w:pPr>
    </w:p>
    <w:p w14:paraId="097DD9FC">
      <w:pPr>
        <w:snapToGrid w:val="0"/>
        <w:spacing w:line="300" w:lineRule="auto"/>
        <w:ind w:right="-8" w:rightChars="-4"/>
        <w:rPr>
          <w:rFonts w:ascii="Arial" w:hAnsi="Arial" w:eastAsia="宋体" w:cs="Arial"/>
          <w:b/>
        </w:rPr>
      </w:pPr>
      <w:bookmarkStart w:id="77" w:name="OLE_LINK125"/>
      <w:bookmarkStart w:id="78" w:name="OLE_LINK126"/>
      <w:r>
        <w:rPr>
          <w:rFonts w:ascii="Arial" w:hAnsi="Arial" w:eastAsia="宋体" w:cs="Arial"/>
          <w:b/>
        </w:rPr>
        <w:t>6. 器械描述</w:t>
      </w:r>
    </w:p>
    <w:p w14:paraId="082E3230">
      <w:pPr>
        <w:snapToGrid w:val="0"/>
        <w:spacing w:line="300" w:lineRule="auto"/>
        <w:ind w:right="-8" w:rightChars="-4"/>
        <w:rPr>
          <w:rFonts w:ascii="Arial" w:hAnsi="Arial" w:eastAsia="宋体" w:cs="Arial"/>
        </w:rPr>
      </w:pPr>
    </w:p>
    <w:p w14:paraId="79D6D3AA">
      <w:pPr>
        <w:snapToGrid w:val="0"/>
        <w:spacing w:line="300" w:lineRule="auto"/>
        <w:ind w:right="-8" w:rightChars="-4"/>
        <w:rPr>
          <w:rFonts w:ascii="Arial" w:hAnsi="Arial" w:eastAsia="宋体" w:cs="Arial"/>
        </w:rPr>
      </w:pPr>
      <w:r>
        <w:rPr>
          <w:rFonts w:ascii="Arial" w:hAnsi="Arial" w:eastAsia="宋体" w:cs="Arial"/>
        </w:rPr>
        <w:t>贵公司应在510（k）提交资料中确认分类法规、产品代码和合法销售的比较器械。为了帮助FDA在审查时高效地对贵公司器械的各个方面与</w:t>
      </w:r>
      <w:bookmarkStart w:id="79" w:name="OLE_LINK158"/>
      <w:bookmarkStart w:id="80" w:name="OLE_LINK159"/>
      <w:r>
        <w:rPr>
          <w:rFonts w:ascii="Arial" w:hAnsi="Arial" w:eastAsia="宋体" w:cs="Arial"/>
        </w:rPr>
        <w:t>比较器械进行比较</w:t>
      </w:r>
      <w:bookmarkEnd w:id="79"/>
      <w:bookmarkEnd w:id="80"/>
      <w:r>
        <w:rPr>
          <w:rFonts w:ascii="Arial" w:hAnsi="Arial" w:eastAsia="宋体" w:cs="Arial"/>
        </w:rPr>
        <w:t>，贵公司应在提交资料中包含一个表格，利用该表格概括比较器械与贵公司器械间的相同点和不同点。</w:t>
      </w:r>
    </w:p>
    <w:bookmarkEnd w:id="77"/>
    <w:bookmarkEnd w:id="78"/>
    <w:p w14:paraId="618FC190">
      <w:pPr>
        <w:snapToGrid w:val="0"/>
        <w:spacing w:line="300" w:lineRule="auto"/>
        <w:ind w:right="-8" w:rightChars="-4"/>
        <w:rPr>
          <w:rFonts w:ascii="Arial" w:hAnsi="Arial" w:eastAsia="宋体" w:cs="Arial"/>
        </w:rPr>
      </w:pPr>
    </w:p>
    <w:p w14:paraId="06322AA8">
      <w:pPr>
        <w:snapToGrid w:val="0"/>
        <w:spacing w:line="300" w:lineRule="auto"/>
        <w:ind w:right="-8" w:rightChars="-4"/>
        <w:rPr>
          <w:rFonts w:ascii="Arial" w:hAnsi="Arial" w:eastAsia="宋体" w:cs="Arial"/>
        </w:rPr>
      </w:pPr>
      <w:bookmarkStart w:id="81" w:name="OLE_LINK127"/>
      <w:r>
        <w:rPr>
          <w:rFonts w:ascii="Arial" w:hAnsi="Arial" w:eastAsia="宋体" w:cs="Arial"/>
        </w:rPr>
        <w:t>对新器械审查的关键问题是具体预期用途、被测试样类型和所用技术。除了足以描述新仪器配置的描述性信息外，贵公司还可提交与该器械所用技术相关且经过同行审查的相应参考文献。贵公司应在提交资料中包含下列可适当描述RNA分析前系统特征的描述性信息。</w:t>
      </w:r>
    </w:p>
    <w:p w14:paraId="0034A483">
      <w:pPr>
        <w:snapToGrid w:val="0"/>
        <w:spacing w:line="300" w:lineRule="auto"/>
        <w:ind w:right="-8" w:rightChars="-4"/>
        <w:rPr>
          <w:rFonts w:ascii="Arial" w:hAnsi="Arial" w:eastAsia="宋体" w:cs="Arial"/>
        </w:rPr>
      </w:pPr>
    </w:p>
    <w:bookmarkEnd w:id="81"/>
    <w:p w14:paraId="36F43C89">
      <w:pPr>
        <w:widowControl/>
        <w:jc w:val="left"/>
        <w:rPr>
          <w:rFonts w:ascii="Arial" w:hAnsi="Arial" w:eastAsia="宋体" w:cs="Arial"/>
          <w:b/>
        </w:rPr>
      </w:pPr>
      <w:r>
        <w:rPr>
          <w:rFonts w:ascii="Arial" w:hAnsi="Arial" w:eastAsia="宋体" w:cs="Arial"/>
          <w:b/>
        </w:rPr>
        <w:br w:type="page"/>
      </w:r>
    </w:p>
    <w:p w14:paraId="2B2EE4A4">
      <w:pPr>
        <w:snapToGrid w:val="0"/>
        <w:spacing w:line="300" w:lineRule="auto"/>
        <w:ind w:right="-8" w:rightChars="-4"/>
        <w:rPr>
          <w:rFonts w:ascii="Arial" w:hAnsi="Arial" w:eastAsia="宋体" w:cs="Arial"/>
          <w:b/>
        </w:rPr>
      </w:pPr>
      <w:r>
        <w:rPr>
          <w:rFonts w:ascii="Arial" w:hAnsi="Arial" w:eastAsia="宋体" w:cs="Arial"/>
          <w:b/>
        </w:rPr>
        <w:t>预期用途</w:t>
      </w:r>
    </w:p>
    <w:p w14:paraId="322FC643">
      <w:pPr>
        <w:snapToGrid w:val="0"/>
        <w:spacing w:line="300" w:lineRule="auto"/>
        <w:ind w:right="-8" w:rightChars="-4"/>
        <w:rPr>
          <w:rFonts w:ascii="Arial" w:hAnsi="Arial" w:eastAsia="宋体" w:cs="Arial"/>
        </w:rPr>
      </w:pPr>
    </w:p>
    <w:p w14:paraId="0B8742EE">
      <w:pPr>
        <w:snapToGrid w:val="0"/>
        <w:spacing w:line="300" w:lineRule="auto"/>
        <w:ind w:right="-8" w:rightChars="-4"/>
        <w:rPr>
          <w:rFonts w:ascii="Arial" w:hAnsi="Arial" w:eastAsia="宋体" w:cs="Arial"/>
        </w:rPr>
      </w:pPr>
      <w:bookmarkStart w:id="82" w:name="OLE_LINK130"/>
      <w:r>
        <w:rPr>
          <w:rFonts w:ascii="Arial" w:hAnsi="Arial" w:eastAsia="宋体" w:cs="Arial"/>
        </w:rPr>
        <w:t>贵公司应对器械的预期用途做出清晰描述。描述预期用途时应详细说明器械组件（如试管、纯化试剂）、器械要处理的试样类型、预期用途（如采集、储存、运输、稳定）和待处理被测物（如细胞内RNA或病毒RNA）。贵公司还应列出与器械结合使用的分子诊断测试（RT-PCR、分支DNA测定）类型。</w:t>
      </w:r>
    </w:p>
    <w:bookmarkEnd w:id="82"/>
    <w:p w14:paraId="178E9F34">
      <w:pPr>
        <w:snapToGrid w:val="0"/>
        <w:spacing w:line="300" w:lineRule="auto"/>
        <w:ind w:right="-8" w:rightChars="-4"/>
        <w:rPr>
          <w:rFonts w:ascii="Arial" w:hAnsi="Arial" w:eastAsia="宋体" w:cs="Arial"/>
        </w:rPr>
      </w:pPr>
    </w:p>
    <w:p w14:paraId="33002254">
      <w:pPr>
        <w:snapToGrid w:val="0"/>
        <w:spacing w:line="300" w:lineRule="auto"/>
        <w:ind w:right="-8" w:rightChars="-4"/>
        <w:rPr>
          <w:rFonts w:ascii="Arial" w:hAnsi="Arial" w:eastAsia="宋体" w:cs="Arial"/>
          <w:b/>
        </w:rPr>
      </w:pPr>
      <w:r>
        <w:rPr>
          <w:rFonts w:ascii="Arial" w:hAnsi="Arial" w:eastAsia="宋体" w:cs="Arial"/>
          <w:b/>
        </w:rPr>
        <w:t>方法学描述</w:t>
      </w:r>
    </w:p>
    <w:p w14:paraId="0B077C7F">
      <w:pPr>
        <w:snapToGrid w:val="0"/>
        <w:spacing w:line="300" w:lineRule="auto"/>
        <w:ind w:right="-8" w:rightChars="-4"/>
        <w:rPr>
          <w:rFonts w:ascii="Arial" w:hAnsi="Arial" w:eastAsia="宋体" w:cs="Arial"/>
        </w:rPr>
      </w:pPr>
    </w:p>
    <w:p w14:paraId="3CABF6D4">
      <w:pPr>
        <w:snapToGrid w:val="0"/>
        <w:spacing w:line="300" w:lineRule="auto"/>
        <w:ind w:right="-8" w:rightChars="-4"/>
        <w:rPr>
          <w:rFonts w:ascii="Arial" w:hAnsi="Arial" w:eastAsia="宋体" w:cs="Arial"/>
        </w:rPr>
      </w:pPr>
      <w:r>
        <w:rPr>
          <w:rFonts w:ascii="Arial" w:hAnsi="Arial" w:eastAsia="宋体" w:cs="Arial"/>
        </w:rPr>
        <w:t>我们建议贵公司对该系统方法学的所有方面提供全面说明。在说明中可包括但不限于下列内容：</w:t>
      </w:r>
    </w:p>
    <w:p w14:paraId="1B790579">
      <w:pPr>
        <w:snapToGrid w:val="0"/>
        <w:spacing w:line="300" w:lineRule="auto"/>
        <w:ind w:right="-8" w:rightChars="-4"/>
        <w:rPr>
          <w:rFonts w:ascii="Arial" w:hAnsi="Arial" w:eastAsia="宋体" w:cs="Arial"/>
        </w:rPr>
      </w:pPr>
    </w:p>
    <w:p w14:paraId="49771E75">
      <w:pPr>
        <w:pStyle w:val="9"/>
        <w:numPr>
          <w:ilvl w:val="0"/>
          <w:numId w:val="2"/>
        </w:numPr>
        <w:snapToGrid w:val="0"/>
        <w:spacing w:line="300" w:lineRule="auto"/>
        <w:ind w:right="-8" w:rightChars="-4" w:firstLineChars="0"/>
        <w:rPr>
          <w:rFonts w:ascii="Arial" w:hAnsi="Arial" w:eastAsia="宋体" w:cs="Arial"/>
        </w:rPr>
      </w:pPr>
      <w:r>
        <w:rPr>
          <w:rFonts w:ascii="Arial" w:hAnsi="Arial" w:eastAsia="宋体" w:cs="Arial"/>
        </w:rPr>
        <w:t>该系统如何设计执行采集、稳定或纯化相关功能。</w:t>
      </w:r>
    </w:p>
    <w:p w14:paraId="40B148AC">
      <w:pPr>
        <w:pStyle w:val="9"/>
        <w:numPr>
          <w:ilvl w:val="0"/>
          <w:numId w:val="2"/>
        </w:numPr>
        <w:snapToGrid w:val="0"/>
        <w:spacing w:line="300" w:lineRule="auto"/>
        <w:ind w:right="-8" w:rightChars="-4" w:firstLineChars="0"/>
        <w:rPr>
          <w:rFonts w:ascii="Arial" w:hAnsi="Arial" w:eastAsia="宋体" w:cs="Arial"/>
        </w:rPr>
      </w:pPr>
      <w:r>
        <w:rPr>
          <w:rFonts w:ascii="Arial" w:hAnsi="Arial" w:eastAsia="宋体" w:cs="Arial"/>
        </w:rPr>
        <w:t>该系统可能使用的试样类型。</w:t>
      </w:r>
    </w:p>
    <w:p w14:paraId="6A8CA7FA">
      <w:pPr>
        <w:pStyle w:val="9"/>
        <w:numPr>
          <w:ilvl w:val="0"/>
          <w:numId w:val="2"/>
        </w:numPr>
        <w:snapToGrid w:val="0"/>
        <w:spacing w:line="300" w:lineRule="auto"/>
        <w:ind w:right="-8" w:rightChars="-4" w:firstLineChars="0"/>
        <w:rPr>
          <w:rFonts w:ascii="Arial" w:hAnsi="Arial" w:eastAsia="宋体" w:cs="Arial"/>
        </w:rPr>
      </w:pPr>
      <w:r>
        <w:rPr>
          <w:rFonts w:ascii="Arial" w:hAnsi="Arial" w:eastAsia="宋体" w:cs="Arial"/>
        </w:rPr>
        <w:t>提供或推荐的所有仪器组件及其在系统中的功能。</w:t>
      </w:r>
    </w:p>
    <w:p w14:paraId="49933B20">
      <w:pPr>
        <w:snapToGrid w:val="0"/>
        <w:spacing w:line="300" w:lineRule="auto"/>
        <w:ind w:right="-8" w:rightChars="-4"/>
        <w:rPr>
          <w:rFonts w:ascii="Arial" w:hAnsi="Arial" w:eastAsia="宋体" w:cs="Arial"/>
        </w:rPr>
      </w:pPr>
    </w:p>
    <w:p w14:paraId="4C041A30">
      <w:pPr>
        <w:snapToGrid w:val="0"/>
        <w:spacing w:line="300" w:lineRule="auto"/>
        <w:ind w:right="-8" w:rightChars="-4"/>
        <w:rPr>
          <w:rFonts w:ascii="Arial" w:hAnsi="Arial" w:eastAsia="宋体" w:cs="Arial"/>
          <w:b/>
        </w:rPr>
      </w:pPr>
      <w:r>
        <w:rPr>
          <w:rFonts w:hint="eastAsia" w:ascii="微软雅黑" w:hAnsi="微软雅黑" w:eastAsia="微软雅黑" w:cs="微软雅黑"/>
          <w:b/>
        </w:rPr>
        <w:t>⒎</w:t>
      </w:r>
      <w:r>
        <w:rPr>
          <w:rFonts w:ascii="Arial" w:hAnsi="Arial" w:eastAsia="宋体" w:cs="Arial"/>
          <w:b/>
        </w:rPr>
        <w:t xml:space="preserve"> 性能特征</w:t>
      </w:r>
    </w:p>
    <w:p w14:paraId="48B49221">
      <w:pPr>
        <w:snapToGrid w:val="0"/>
        <w:spacing w:line="300" w:lineRule="auto"/>
        <w:ind w:right="-8" w:rightChars="-4"/>
        <w:rPr>
          <w:rFonts w:ascii="Arial" w:hAnsi="Arial" w:eastAsia="宋体" w:cs="Arial"/>
        </w:rPr>
      </w:pPr>
    </w:p>
    <w:p w14:paraId="6902360F">
      <w:pPr>
        <w:snapToGrid w:val="0"/>
        <w:spacing w:line="300" w:lineRule="auto"/>
        <w:ind w:right="-8" w:rightChars="-4"/>
        <w:rPr>
          <w:rFonts w:ascii="Arial" w:hAnsi="Arial" w:eastAsia="宋体" w:cs="Arial"/>
        </w:rPr>
      </w:pPr>
      <w:r>
        <w:rPr>
          <w:rFonts w:ascii="Arial" w:hAnsi="Arial" w:eastAsia="宋体" w:cs="Arial"/>
        </w:rPr>
        <w:t>提得RNA的质量对高质量RT-PCR诊断测试是必不可少的。贵公司应根据产品标签中描述的要求采用临床样品进行基于统计学的研究，证明提得RNA用于RT-PCR测试的稳定性、纯度、完整性、产量、可重复性、重现性和适用性。</w:t>
      </w:r>
    </w:p>
    <w:p w14:paraId="20E3999E">
      <w:pPr>
        <w:snapToGrid w:val="0"/>
        <w:spacing w:line="300" w:lineRule="auto"/>
        <w:ind w:right="-8" w:rightChars="-4"/>
        <w:rPr>
          <w:rFonts w:ascii="Arial" w:hAnsi="Arial" w:eastAsia="宋体" w:cs="Arial"/>
        </w:rPr>
      </w:pPr>
    </w:p>
    <w:p w14:paraId="1D1190A3">
      <w:pPr>
        <w:snapToGrid w:val="0"/>
        <w:spacing w:line="300" w:lineRule="auto"/>
        <w:ind w:right="-8" w:rightChars="-4"/>
        <w:rPr>
          <w:rFonts w:ascii="Arial" w:hAnsi="Arial" w:eastAsia="宋体" w:cs="Arial"/>
        </w:rPr>
      </w:pPr>
      <w:r>
        <w:rPr>
          <w:rFonts w:ascii="Arial" w:hAnsi="Arial" w:eastAsia="宋体" w:cs="Arial"/>
          <w:b/>
        </w:rPr>
        <w:t>具体研究建议</w:t>
      </w:r>
    </w:p>
    <w:p w14:paraId="44A22E4F">
      <w:pPr>
        <w:snapToGrid w:val="0"/>
        <w:spacing w:line="300" w:lineRule="auto"/>
        <w:ind w:right="-8" w:rightChars="-4"/>
        <w:rPr>
          <w:rFonts w:ascii="Arial" w:hAnsi="Arial" w:eastAsia="宋体" w:cs="Arial"/>
          <w:b/>
        </w:rPr>
      </w:pPr>
      <w:r>
        <w:rPr>
          <w:rFonts w:ascii="Arial" w:hAnsi="Arial" w:eastAsia="宋体" w:cs="Arial"/>
          <w:b/>
        </w:rPr>
        <w:t>采集参数：</w:t>
      </w:r>
    </w:p>
    <w:p w14:paraId="5DB8E6D2">
      <w:pPr>
        <w:snapToGrid w:val="0"/>
        <w:spacing w:line="300" w:lineRule="auto"/>
        <w:ind w:right="-8" w:rightChars="-4"/>
        <w:rPr>
          <w:rFonts w:ascii="Arial" w:hAnsi="Arial" w:eastAsia="宋体" w:cs="Arial"/>
        </w:rPr>
      </w:pPr>
    </w:p>
    <w:p w14:paraId="5C7802F2">
      <w:pPr>
        <w:snapToGrid w:val="0"/>
        <w:spacing w:line="300" w:lineRule="auto"/>
        <w:ind w:right="-8" w:rightChars="-4"/>
        <w:rPr>
          <w:rFonts w:ascii="Arial" w:hAnsi="Arial" w:eastAsia="宋体" w:cs="Arial"/>
        </w:rPr>
      </w:pPr>
      <w:r>
        <w:rPr>
          <w:rFonts w:ascii="Arial" w:hAnsi="Arial" w:eastAsia="宋体" w:cs="Arial"/>
        </w:rPr>
        <w:t>血样采集量</w:t>
      </w:r>
    </w:p>
    <w:p w14:paraId="53DDAEBA">
      <w:pPr>
        <w:snapToGrid w:val="0"/>
        <w:spacing w:line="300" w:lineRule="auto"/>
        <w:ind w:right="-8" w:rightChars="-4"/>
        <w:rPr>
          <w:rFonts w:ascii="Arial" w:hAnsi="Arial" w:eastAsia="宋体" w:cs="Arial"/>
        </w:rPr>
      </w:pPr>
    </w:p>
    <w:p w14:paraId="1355F6F5">
      <w:pPr>
        <w:snapToGrid w:val="0"/>
        <w:spacing w:line="300" w:lineRule="auto"/>
        <w:ind w:right="-8" w:rightChars="-4"/>
        <w:rPr>
          <w:rFonts w:ascii="Arial" w:hAnsi="Arial" w:eastAsia="宋体" w:cs="Arial"/>
        </w:rPr>
      </w:pPr>
      <w:r>
        <w:rPr>
          <w:rFonts w:ascii="Arial" w:hAnsi="Arial" w:eastAsia="宋体" w:cs="Arial"/>
        </w:rPr>
        <w:t>贵公司应对采血器械在标签描述的保质期内是否能维持标称采血量的90％-110％进行评定，证实贵公司在标签中描述的采血量。临床和实验室标准研究所（CLSI）文件H1-H5“</w:t>
      </w:r>
      <w:bookmarkStart w:id="83" w:name="OLE_LINK5"/>
      <w:r>
        <w:rPr>
          <w:rFonts w:ascii="Arial" w:hAnsi="Arial" w:eastAsia="宋体" w:cs="Arial"/>
        </w:rPr>
        <w:t>采集</w:t>
      </w:r>
      <w:bookmarkEnd w:id="83"/>
      <w:r>
        <w:rPr>
          <w:rFonts w:ascii="Arial" w:hAnsi="Arial" w:eastAsia="宋体" w:cs="Arial"/>
        </w:rPr>
        <w:t>静脉血样用试管和添加剂；批准标准-第5版”（2003年）对研究设计和采血量参数的实例进行了详细描述。</w:t>
      </w:r>
    </w:p>
    <w:p w14:paraId="50A6B8D9">
      <w:pPr>
        <w:snapToGrid w:val="0"/>
        <w:spacing w:line="300" w:lineRule="auto"/>
        <w:ind w:right="-8" w:rightChars="-4"/>
        <w:rPr>
          <w:rFonts w:ascii="Arial" w:hAnsi="Arial" w:eastAsia="宋体" w:cs="Arial"/>
        </w:rPr>
      </w:pPr>
    </w:p>
    <w:p w14:paraId="7D109F3D">
      <w:pPr>
        <w:snapToGrid w:val="0"/>
        <w:spacing w:line="300" w:lineRule="auto"/>
        <w:ind w:right="-8" w:rightChars="-4"/>
        <w:rPr>
          <w:rFonts w:ascii="Arial" w:hAnsi="Arial" w:eastAsia="宋体" w:cs="Arial"/>
        </w:rPr>
      </w:pPr>
      <w:r>
        <w:rPr>
          <w:rFonts w:ascii="Arial" w:hAnsi="Arial" w:eastAsia="宋体" w:cs="Arial"/>
        </w:rPr>
        <w:t>其它试样来源（细胞、组织）</w:t>
      </w:r>
    </w:p>
    <w:p w14:paraId="07D98606">
      <w:pPr>
        <w:snapToGrid w:val="0"/>
        <w:spacing w:line="300" w:lineRule="auto"/>
        <w:ind w:right="-8" w:rightChars="-4"/>
        <w:rPr>
          <w:rFonts w:ascii="Arial" w:hAnsi="Arial" w:eastAsia="宋体" w:cs="Arial"/>
        </w:rPr>
      </w:pPr>
    </w:p>
    <w:p w14:paraId="6A73EEBD">
      <w:pPr>
        <w:snapToGrid w:val="0"/>
        <w:spacing w:line="300" w:lineRule="auto"/>
        <w:ind w:right="-8" w:rightChars="-4"/>
        <w:rPr>
          <w:rFonts w:ascii="Arial" w:hAnsi="Arial" w:eastAsia="宋体" w:cs="Arial"/>
        </w:rPr>
      </w:pPr>
      <w:r>
        <w:rPr>
          <w:rFonts w:ascii="Arial" w:hAnsi="Arial" w:eastAsia="宋体" w:cs="Arial"/>
        </w:rPr>
        <w:t>我们建议贵公司记录所选择的试样采集和储存方法并对如此选择的理由做出合理说明。对于试样采集方面的问题，贵公司应与体外诊断器械评估和安全办公室的相应部门联系。</w:t>
      </w:r>
    </w:p>
    <w:p w14:paraId="0D81B8B9">
      <w:pPr>
        <w:snapToGrid w:val="0"/>
        <w:spacing w:line="300" w:lineRule="auto"/>
        <w:ind w:right="-8" w:rightChars="-4"/>
        <w:rPr>
          <w:rFonts w:ascii="Arial" w:hAnsi="Arial" w:eastAsia="宋体" w:cs="Arial"/>
        </w:rPr>
      </w:pPr>
    </w:p>
    <w:p w14:paraId="6296DE20">
      <w:pPr>
        <w:snapToGrid w:val="0"/>
        <w:spacing w:line="300" w:lineRule="auto"/>
        <w:ind w:right="-8" w:rightChars="-4"/>
        <w:rPr>
          <w:rFonts w:ascii="Arial" w:hAnsi="Arial" w:eastAsia="宋体" w:cs="Arial"/>
          <w:b/>
        </w:rPr>
      </w:pPr>
      <w:r>
        <w:rPr>
          <w:rFonts w:ascii="Arial" w:hAnsi="Arial" w:eastAsia="宋体" w:cs="Arial"/>
          <w:b/>
        </w:rPr>
        <w:t>RNA质量评估：</w:t>
      </w:r>
    </w:p>
    <w:p w14:paraId="62B9F080">
      <w:pPr>
        <w:snapToGrid w:val="0"/>
        <w:spacing w:line="300" w:lineRule="auto"/>
        <w:ind w:right="-8" w:rightChars="-4"/>
        <w:rPr>
          <w:rFonts w:ascii="Arial" w:hAnsi="Arial" w:eastAsia="宋体" w:cs="Arial"/>
        </w:rPr>
      </w:pPr>
    </w:p>
    <w:p w14:paraId="27D2B621">
      <w:pPr>
        <w:snapToGrid w:val="0"/>
        <w:spacing w:line="300" w:lineRule="auto"/>
        <w:ind w:right="-8" w:rightChars="-4"/>
        <w:rPr>
          <w:rFonts w:ascii="Arial" w:hAnsi="Arial" w:eastAsia="宋体" w:cs="Arial"/>
          <w:i/>
        </w:rPr>
      </w:pPr>
      <w:r>
        <w:rPr>
          <w:rFonts w:ascii="Arial" w:hAnsi="Arial" w:eastAsia="宋体" w:cs="Arial"/>
          <w:i/>
        </w:rPr>
        <w:t>RNA提取量</w:t>
      </w:r>
    </w:p>
    <w:p w14:paraId="6F6CE3C6">
      <w:pPr>
        <w:snapToGrid w:val="0"/>
        <w:spacing w:line="300" w:lineRule="auto"/>
        <w:ind w:right="-8" w:rightChars="-4"/>
        <w:rPr>
          <w:rFonts w:ascii="Arial" w:hAnsi="Arial" w:eastAsia="宋体" w:cs="Arial"/>
        </w:rPr>
      </w:pPr>
    </w:p>
    <w:p w14:paraId="705A3169">
      <w:pPr>
        <w:widowControl/>
        <w:jc w:val="left"/>
        <w:rPr>
          <w:rFonts w:ascii="Arial" w:hAnsi="Arial" w:eastAsia="宋体" w:cs="Arial"/>
        </w:rPr>
      </w:pPr>
      <w:r>
        <w:rPr>
          <w:rFonts w:ascii="Arial" w:hAnsi="Arial" w:eastAsia="宋体" w:cs="Arial"/>
        </w:rPr>
        <w:br w:type="page"/>
      </w:r>
    </w:p>
    <w:p w14:paraId="3980C6BB">
      <w:pPr>
        <w:snapToGrid w:val="0"/>
        <w:spacing w:line="300" w:lineRule="auto"/>
        <w:ind w:right="-8" w:rightChars="-4"/>
        <w:rPr>
          <w:rFonts w:ascii="Arial" w:hAnsi="Arial" w:eastAsia="宋体" w:cs="Arial"/>
        </w:rPr>
      </w:pPr>
      <w:r>
        <w:rPr>
          <w:rFonts w:ascii="Arial" w:hAnsi="Arial" w:eastAsia="宋体" w:cs="Arial"/>
        </w:rPr>
        <w:t>贵公司应确定该系统的</w:t>
      </w:r>
      <w:bookmarkStart w:id="84" w:name="OLE_LINK9"/>
      <w:bookmarkStart w:id="85" w:name="OLE_LINK10"/>
      <w:bookmarkStart w:id="86" w:name="OLE_LINK11"/>
      <w:r>
        <w:rPr>
          <w:rFonts w:ascii="Arial" w:hAnsi="Arial" w:eastAsia="宋体" w:cs="Arial"/>
        </w:rPr>
        <w:t>最低可</w:t>
      </w:r>
      <w:bookmarkEnd w:id="84"/>
      <w:bookmarkEnd w:id="85"/>
      <w:bookmarkEnd w:id="86"/>
      <w:r>
        <w:rPr>
          <w:rFonts w:ascii="Arial" w:hAnsi="Arial" w:eastAsia="宋体" w:cs="Arial"/>
        </w:rPr>
        <w:t>接受RNA提取量并提供数据证明可始终维持该提取量。RNA提取量通常定义为经Tris Cl缓冲液（pH 7.5）稀释的</w:t>
      </w:r>
      <w:bookmarkStart w:id="87" w:name="OLE_LINK12"/>
      <w:bookmarkStart w:id="88" w:name="OLE_LINK13"/>
      <w:r>
        <w:rPr>
          <w:rFonts w:ascii="Arial" w:hAnsi="Arial" w:eastAsia="宋体" w:cs="Arial"/>
        </w:rPr>
        <w:t>试样采用分光光度计测定时</w:t>
      </w:r>
      <w:bookmarkEnd w:id="87"/>
      <w:bookmarkEnd w:id="88"/>
      <w:r>
        <w:rPr>
          <w:rFonts w:ascii="Arial" w:hAnsi="Arial" w:eastAsia="宋体" w:cs="Arial"/>
        </w:rPr>
        <w:t>在260纳米（A260）处的吸光度。</w:t>
      </w:r>
    </w:p>
    <w:p w14:paraId="4AEBC6E3">
      <w:pPr>
        <w:snapToGrid w:val="0"/>
        <w:spacing w:line="300" w:lineRule="auto"/>
        <w:ind w:right="-8" w:rightChars="-4"/>
        <w:rPr>
          <w:rFonts w:ascii="Arial" w:hAnsi="Arial" w:eastAsia="宋体" w:cs="Arial"/>
        </w:rPr>
      </w:pPr>
    </w:p>
    <w:p w14:paraId="7234A897">
      <w:pPr>
        <w:snapToGrid w:val="0"/>
        <w:spacing w:line="300" w:lineRule="auto"/>
        <w:ind w:right="-8" w:rightChars="-4"/>
        <w:rPr>
          <w:rFonts w:ascii="Arial" w:hAnsi="Arial" w:eastAsia="宋体" w:cs="Arial"/>
          <w:i/>
        </w:rPr>
      </w:pPr>
      <w:r>
        <w:rPr>
          <w:rFonts w:ascii="Arial" w:hAnsi="Arial" w:eastAsia="宋体" w:cs="Arial"/>
          <w:i/>
        </w:rPr>
        <w:t>RNA稳定性</w:t>
      </w:r>
    </w:p>
    <w:p w14:paraId="6B5B6550">
      <w:pPr>
        <w:snapToGrid w:val="0"/>
        <w:spacing w:line="300" w:lineRule="auto"/>
        <w:ind w:right="-8" w:rightChars="-4"/>
        <w:rPr>
          <w:rFonts w:ascii="Arial" w:hAnsi="Arial" w:eastAsia="宋体" w:cs="Arial"/>
        </w:rPr>
      </w:pPr>
    </w:p>
    <w:p w14:paraId="2060EF89">
      <w:pPr>
        <w:snapToGrid w:val="0"/>
        <w:spacing w:line="300" w:lineRule="auto"/>
        <w:ind w:right="-8" w:rightChars="-4"/>
        <w:rPr>
          <w:rFonts w:ascii="Arial" w:hAnsi="Arial" w:eastAsia="宋体" w:cs="Arial"/>
        </w:rPr>
      </w:pPr>
      <w:r>
        <w:rPr>
          <w:rFonts w:ascii="Arial" w:hAnsi="Arial" w:eastAsia="宋体" w:cs="Arial"/>
        </w:rPr>
        <w:t>贵公司应对该系统在贵公司建议的试样储存期和温度条件下能否维持可接受的性能（如RNA提取量、纯度、完整性和基因转录状况的最小变化）进行评估，以证实贵公司在标签中的描述。适当的研究应包括对在贵公司向该系统的用户推荐的时间、温度或冻融周期数条件下从血样中分离所得RNA的分析。贵公司应对RT-PCR具体诊断测试方法对RNA提取量、纯度、完整性和性能可接受范围的标准做出说明。</w:t>
      </w:r>
    </w:p>
    <w:p w14:paraId="76B29B21">
      <w:pPr>
        <w:snapToGrid w:val="0"/>
        <w:spacing w:line="300" w:lineRule="auto"/>
        <w:ind w:right="-8" w:rightChars="-4"/>
        <w:rPr>
          <w:rFonts w:ascii="Arial" w:hAnsi="Arial" w:eastAsia="宋体" w:cs="Arial"/>
        </w:rPr>
      </w:pPr>
    </w:p>
    <w:p w14:paraId="0D0CBC05">
      <w:pPr>
        <w:snapToGrid w:val="0"/>
        <w:spacing w:line="300" w:lineRule="auto"/>
        <w:ind w:right="-8" w:rightChars="-4"/>
        <w:rPr>
          <w:rFonts w:ascii="Arial" w:hAnsi="Arial" w:eastAsia="宋体" w:cs="Arial"/>
          <w:i/>
        </w:rPr>
      </w:pPr>
      <w:r>
        <w:rPr>
          <w:rFonts w:ascii="Arial" w:hAnsi="Arial" w:eastAsia="宋体" w:cs="Arial"/>
          <w:i/>
        </w:rPr>
        <w:t>RNA纯度和完整性</w:t>
      </w:r>
    </w:p>
    <w:p w14:paraId="2F34A9D1">
      <w:pPr>
        <w:snapToGrid w:val="0"/>
        <w:spacing w:line="300" w:lineRule="auto"/>
        <w:ind w:right="-8" w:rightChars="-4"/>
        <w:rPr>
          <w:rFonts w:ascii="Arial" w:hAnsi="Arial" w:eastAsia="宋体" w:cs="Arial"/>
        </w:rPr>
      </w:pPr>
    </w:p>
    <w:p w14:paraId="2CA8DE83">
      <w:pPr>
        <w:snapToGrid w:val="0"/>
        <w:spacing w:line="300" w:lineRule="auto"/>
        <w:ind w:right="-8" w:rightChars="-4"/>
        <w:rPr>
          <w:rFonts w:ascii="Arial" w:hAnsi="Arial" w:eastAsia="宋体" w:cs="Arial"/>
        </w:rPr>
      </w:pPr>
      <w:r>
        <w:rPr>
          <w:rFonts w:ascii="Arial" w:hAnsi="Arial" w:eastAsia="宋体" w:cs="Arial"/>
        </w:rPr>
        <w:t>贵公司应确定RNA纯度的可接受范围。RNA纯度通常定义为pH 7.5条件下的A260/A280比值。贵公司应提供数据证明分离所得RNA的综合完整性。贵公司还应确定纯化RNA样品中基因组DNA（gDNA）的可接受水平并提供数据予以支持。</w:t>
      </w:r>
    </w:p>
    <w:p w14:paraId="721E1C05">
      <w:pPr>
        <w:snapToGrid w:val="0"/>
        <w:spacing w:line="300" w:lineRule="auto"/>
        <w:ind w:right="-8" w:rightChars="-4"/>
        <w:rPr>
          <w:rFonts w:ascii="Arial" w:hAnsi="Arial" w:eastAsia="宋体" w:cs="Arial"/>
        </w:rPr>
      </w:pPr>
    </w:p>
    <w:p w14:paraId="3743B1CE">
      <w:pPr>
        <w:snapToGrid w:val="0"/>
        <w:spacing w:line="300" w:lineRule="auto"/>
        <w:ind w:right="-8" w:rightChars="-4"/>
        <w:rPr>
          <w:rFonts w:ascii="Arial" w:hAnsi="Arial" w:eastAsia="宋体" w:cs="Arial"/>
          <w:i/>
        </w:rPr>
      </w:pPr>
      <w:r>
        <w:rPr>
          <w:rFonts w:ascii="Arial" w:hAnsi="Arial" w:eastAsia="宋体" w:cs="Arial"/>
          <w:i/>
        </w:rPr>
        <w:t>对RT-PCR的适用性和测试确认</w:t>
      </w:r>
    </w:p>
    <w:p w14:paraId="1C5CA6AB">
      <w:pPr>
        <w:snapToGrid w:val="0"/>
        <w:spacing w:line="300" w:lineRule="auto"/>
        <w:ind w:right="-8" w:rightChars="-4"/>
        <w:rPr>
          <w:rFonts w:ascii="Arial" w:hAnsi="Arial" w:eastAsia="宋体" w:cs="Arial"/>
        </w:rPr>
      </w:pPr>
    </w:p>
    <w:p w14:paraId="10BB0E42">
      <w:pPr>
        <w:snapToGrid w:val="0"/>
        <w:spacing w:line="300" w:lineRule="auto"/>
        <w:ind w:right="-8" w:rightChars="-4"/>
        <w:rPr>
          <w:rFonts w:ascii="Arial" w:hAnsi="Arial" w:eastAsia="宋体" w:cs="Arial"/>
        </w:rPr>
      </w:pPr>
      <w:r>
        <w:rPr>
          <w:rFonts w:ascii="Arial" w:hAnsi="Arial" w:eastAsia="宋体" w:cs="Arial"/>
        </w:rPr>
        <w:t>为证明该系统可用于分子诊断测试中使用的RT-PCR，贵公司应在提交资料中包含将该系统用于RT-PCR测试器械进行检验的内容。如果在市场上可买到，我们建议贵公司使用经FDA许可或批准的测试器械。如果测试器械未经FDA许可或批准，贵公司应在510（k）提交资料中包括对测试器械进行确认的内容。贵公司应提交所有数据支持该测试器械的分析性能特征，如果贵公司考虑使用一台未经许可的测试器械对贵公司的器械进行确认，贵公司应向</w:t>
      </w:r>
      <w:bookmarkStart w:id="89" w:name="OLE_LINK135"/>
      <w:bookmarkStart w:id="90" w:name="OLE_LINK133"/>
      <w:r>
        <w:rPr>
          <w:rFonts w:ascii="Arial" w:hAnsi="Arial" w:eastAsia="宋体" w:cs="Arial"/>
        </w:rPr>
        <w:t>体外诊断器械评估和安全办公室咨询，征求他们的意见。</w:t>
      </w:r>
      <w:bookmarkEnd w:id="89"/>
      <w:bookmarkEnd w:id="90"/>
    </w:p>
    <w:p w14:paraId="31E6F796">
      <w:pPr>
        <w:snapToGrid w:val="0"/>
        <w:spacing w:line="300" w:lineRule="auto"/>
        <w:ind w:right="-8" w:rightChars="-4"/>
        <w:rPr>
          <w:rFonts w:ascii="Arial" w:hAnsi="Arial" w:eastAsia="宋体" w:cs="Arial"/>
        </w:rPr>
      </w:pPr>
    </w:p>
    <w:p w14:paraId="65F38B30">
      <w:pPr>
        <w:snapToGrid w:val="0"/>
        <w:spacing w:line="300" w:lineRule="auto"/>
        <w:ind w:right="-8" w:rightChars="-4"/>
        <w:rPr>
          <w:rFonts w:ascii="Arial" w:hAnsi="Arial" w:eastAsia="宋体" w:cs="Arial"/>
        </w:rPr>
      </w:pPr>
      <w:r>
        <w:rPr>
          <w:rFonts w:ascii="Arial" w:hAnsi="Arial" w:eastAsia="宋体" w:cs="Arial"/>
        </w:rPr>
        <w:t>在适用性研究中应包括旨在证明RNA分析前系统中无试剂干扰核酸扩增。</w:t>
      </w:r>
    </w:p>
    <w:p w14:paraId="19902302">
      <w:pPr>
        <w:snapToGrid w:val="0"/>
        <w:spacing w:line="300" w:lineRule="auto"/>
        <w:ind w:right="-8" w:rightChars="-4"/>
        <w:rPr>
          <w:rFonts w:ascii="Arial" w:hAnsi="Arial" w:eastAsia="宋体" w:cs="Arial"/>
        </w:rPr>
      </w:pPr>
    </w:p>
    <w:p w14:paraId="5223541D">
      <w:pPr>
        <w:snapToGrid w:val="0"/>
        <w:spacing w:line="300" w:lineRule="auto"/>
        <w:ind w:right="-8" w:rightChars="-4"/>
        <w:rPr>
          <w:rFonts w:ascii="Arial" w:hAnsi="Arial" w:eastAsia="宋体" w:cs="Arial"/>
        </w:rPr>
      </w:pPr>
    </w:p>
    <w:p w14:paraId="54726690">
      <w:pPr>
        <w:snapToGrid w:val="0"/>
        <w:spacing w:line="300" w:lineRule="auto"/>
        <w:ind w:right="-8" w:rightChars="-4"/>
        <w:rPr>
          <w:rFonts w:ascii="Arial" w:hAnsi="Arial" w:eastAsia="宋体" w:cs="Arial"/>
          <w:b/>
        </w:rPr>
      </w:pPr>
      <w:r>
        <w:rPr>
          <w:rFonts w:ascii="Arial" w:hAnsi="Arial" w:eastAsia="宋体" w:cs="Arial"/>
          <w:b/>
        </w:rPr>
        <w:t>器械稳定性：</w:t>
      </w:r>
    </w:p>
    <w:p w14:paraId="55A8B88E">
      <w:pPr>
        <w:snapToGrid w:val="0"/>
        <w:spacing w:line="300" w:lineRule="auto"/>
        <w:ind w:right="-8" w:rightChars="-4"/>
        <w:rPr>
          <w:rFonts w:ascii="Arial" w:hAnsi="Arial" w:eastAsia="宋体" w:cs="Arial"/>
        </w:rPr>
      </w:pPr>
    </w:p>
    <w:p w14:paraId="6CB2104A">
      <w:pPr>
        <w:snapToGrid w:val="0"/>
        <w:spacing w:line="300" w:lineRule="auto"/>
        <w:ind w:right="-8" w:rightChars="-4"/>
        <w:rPr>
          <w:rFonts w:ascii="Arial" w:hAnsi="Arial" w:eastAsia="宋体" w:cs="Arial"/>
        </w:rPr>
      </w:pPr>
      <w:r>
        <w:rPr>
          <w:rFonts w:ascii="Arial" w:hAnsi="Arial" w:eastAsia="宋体" w:cs="Arial"/>
        </w:rPr>
        <w:t>我们建议贵公司在提交资料中包括器械稳定性测试，以支持声明的保质期（如试剂和其它成分）[见：EN 13640-2002 体外诊断试剂的稳定性测试]。</w:t>
      </w:r>
    </w:p>
    <w:p w14:paraId="46EA93F3">
      <w:pPr>
        <w:snapToGrid w:val="0"/>
        <w:spacing w:line="300" w:lineRule="auto"/>
        <w:ind w:right="-8" w:rightChars="-4"/>
        <w:rPr>
          <w:rFonts w:ascii="Arial" w:hAnsi="Arial" w:eastAsia="宋体" w:cs="Arial"/>
        </w:rPr>
      </w:pPr>
    </w:p>
    <w:p w14:paraId="52C4F3EE">
      <w:pPr>
        <w:snapToGrid w:val="0"/>
        <w:spacing w:line="300" w:lineRule="auto"/>
        <w:ind w:right="-8" w:rightChars="-4"/>
        <w:rPr>
          <w:rFonts w:ascii="Arial" w:hAnsi="Arial" w:eastAsia="宋体" w:cs="Arial"/>
          <w:b/>
        </w:rPr>
      </w:pPr>
      <w:r>
        <w:rPr>
          <w:rFonts w:ascii="Arial" w:hAnsi="Arial" w:eastAsia="宋体" w:cs="Arial"/>
          <w:b/>
        </w:rPr>
        <w:t>精密度（可重复性/重现性）：</w:t>
      </w:r>
    </w:p>
    <w:p w14:paraId="13B53E29">
      <w:pPr>
        <w:snapToGrid w:val="0"/>
        <w:spacing w:line="300" w:lineRule="auto"/>
        <w:ind w:right="-8" w:rightChars="-4"/>
        <w:rPr>
          <w:rFonts w:ascii="Arial" w:hAnsi="Arial" w:eastAsia="宋体" w:cs="Arial"/>
        </w:rPr>
      </w:pPr>
    </w:p>
    <w:p w14:paraId="06B1D5F9">
      <w:pPr>
        <w:snapToGrid w:val="0"/>
        <w:spacing w:line="300" w:lineRule="auto"/>
        <w:ind w:right="-8" w:rightChars="-4"/>
        <w:rPr>
          <w:rFonts w:ascii="Arial" w:hAnsi="Arial" w:eastAsia="宋体" w:cs="Arial"/>
          <w:spacing w:val="-4"/>
        </w:rPr>
      </w:pPr>
      <w:r>
        <w:rPr>
          <w:rFonts w:ascii="Arial" w:hAnsi="Arial" w:eastAsia="宋体" w:cs="Arial"/>
          <w:spacing w:val="-4"/>
        </w:rPr>
        <w:t>贵公司应彻底检查贵公司的RNA采集、稳定和纯化系统的重现性。在</w:t>
      </w:r>
      <w:bookmarkStart w:id="91" w:name="OLE_LINK14"/>
      <w:r>
        <w:rPr>
          <w:rFonts w:ascii="Arial" w:hAnsi="Arial" w:eastAsia="宋体" w:cs="Arial"/>
          <w:spacing w:val="-4"/>
        </w:rPr>
        <w:t>临床和实验室标准研究所</w:t>
      </w:r>
      <w:bookmarkEnd w:id="91"/>
      <w:r>
        <w:rPr>
          <w:rFonts w:ascii="Arial" w:hAnsi="Arial" w:eastAsia="宋体" w:cs="Arial"/>
          <w:spacing w:val="-4"/>
        </w:rPr>
        <w:t>文件EP5-A2“对定量测定方法精密度性能的评估；获批操作指南”（2004年）、</w:t>
      </w:r>
      <w:bookmarkStart w:id="92" w:name="OLE_LINK19"/>
      <w:bookmarkStart w:id="93" w:name="OLE_LINK20"/>
      <w:bookmarkStart w:id="94" w:name="OLE_LINK21"/>
      <w:r>
        <w:rPr>
          <w:rFonts w:ascii="Arial" w:hAnsi="Arial" w:eastAsia="宋体" w:cs="Arial"/>
          <w:spacing w:val="-4"/>
        </w:rPr>
        <w:t>临床和实验室标准研究所文件</w:t>
      </w:r>
      <w:bookmarkEnd w:id="92"/>
      <w:bookmarkEnd w:id="93"/>
      <w:bookmarkEnd w:id="94"/>
      <w:r>
        <w:rPr>
          <w:rFonts w:ascii="Arial" w:hAnsi="Arial" w:eastAsia="宋体" w:cs="Arial"/>
          <w:spacing w:val="-4"/>
        </w:rPr>
        <w:t>EP12-A“用于定性实验性能评估的用户方案；获批操作指南”（2002年）和临床和实验室标准研究所文件EP17-A“定量测试极限判定方案；获批操作指南”中包含了实验设计、计算和性能主张描述格式的操作指南。在贵公司的研究设计中应包括下列内容：</w:t>
      </w:r>
    </w:p>
    <w:p w14:paraId="55AD51C5">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对研究进行设计，以便贵公司能对批内重现性、批间重现性和总测定重现性的特征进行描述。</w:t>
      </w:r>
    </w:p>
    <w:p w14:paraId="4590C455">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使用适当的测试试样。试样中应包含不同的RNA浓度且与贵公司为器械推荐的浓度相近。我们建议贵公司至少包含10份试样。贵公司应测试可在该器械上使用的所有类型的样品（如全血、口腔拭子、组织或预期用途基质）。</w:t>
      </w:r>
    </w:p>
    <w:p w14:paraId="1166342D">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确保重现性测试使用的样品是在测试场所利用实际患者样品处理的。无患者样品可用时可使用模拟样品。处理应模仿贵公司在器械标签中推荐的程序。</w:t>
      </w:r>
    </w:p>
    <w:p w14:paraId="5BF78857">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包含3个或更多研究场所，每个场所均有多个操作人员。在教育和经验方面，操作人员应反映该测试器械潜在用户的实际情况。如果该器械一旦上市销售，培训对从事测试的用户来说是必不可少的，贵公司应提供操作人员培训方面的信息。如果用户不希望提供此类培训，贵公司不应在测试场所提供额外培训（包装说明书除外）。</w:t>
      </w:r>
    </w:p>
    <w:p w14:paraId="22A8DCC7">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对贵公司系统的RNA提取量重现性和可重复性特征加以描述。研究应至少由3名合格操作人员予以实施。应采用分光光度法测定每台器械的RNA提取量。贵公司应报告</w:t>
      </w:r>
      <w:bookmarkStart w:id="95" w:name="OLE_LINK24"/>
      <w:bookmarkStart w:id="96" w:name="OLE_LINK25"/>
      <w:r>
        <w:rPr>
          <w:rFonts w:ascii="Arial" w:hAnsi="Arial" w:eastAsia="宋体" w:cs="Arial"/>
        </w:rPr>
        <w:t>每份试样和每个操作人员</w:t>
      </w:r>
      <w:bookmarkEnd w:id="95"/>
      <w:bookmarkEnd w:id="96"/>
      <w:r>
        <w:rPr>
          <w:rFonts w:ascii="Arial" w:hAnsi="Arial" w:eastAsia="宋体" w:cs="Arial"/>
        </w:rPr>
        <w:t>以及所有操作人员和场所的平均值、标准差和变异系数。对每份试样和每个操作人员计算的这些指标用于测量可重复性，对所有操作人员和场所计算的这些指标用于测量重现性。</w:t>
      </w:r>
    </w:p>
    <w:p w14:paraId="663455C2">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确定RNA纯度和完整性的重现性与可重复性。进行该研究时，至少应有3名操作人员使用3套实验室器械进行测试。应采用分光光度法测定每台器械的RNA提取量。贵公司应证明结果在贵公司标签描述的RNA纯度的确定范围内。</w:t>
      </w:r>
    </w:p>
    <w:p w14:paraId="6F6C723B">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确定不管器械操作人员、试剂批次、日期和实验室等因素如何变化均能获得可再现的RNA转录产物信号水平。</w:t>
      </w:r>
    </w:p>
    <w:p w14:paraId="07BE51A5">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确保重现性研究所用规程与贵公司在包装说明书中向用户推荐的规程相同。</w:t>
      </w:r>
    </w:p>
    <w:p w14:paraId="026DD58D">
      <w:pPr>
        <w:pStyle w:val="9"/>
        <w:numPr>
          <w:ilvl w:val="0"/>
          <w:numId w:val="3"/>
        </w:numPr>
        <w:snapToGrid w:val="0"/>
        <w:spacing w:line="300" w:lineRule="auto"/>
        <w:ind w:right="-8" w:rightChars="-4" w:firstLineChars="0"/>
        <w:rPr>
          <w:rFonts w:ascii="Arial" w:hAnsi="Arial" w:eastAsia="宋体" w:cs="Arial"/>
        </w:rPr>
      </w:pPr>
      <w:r>
        <w:rPr>
          <w:rFonts w:ascii="Arial" w:hAnsi="Arial" w:eastAsia="宋体" w:cs="Arial"/>
        </w:rPr>
        <w:t>包含多个产品批次和多台仪器（如果仪器属于测试系统的组成部分的话），以便对该系统的预期性能进行充分测试。</w:t>
      </w:r>
    </w:p>
    <w:p w14:paraId="433B3FDD">
      <w:pPr>
        <w:snapToGrid w:val="0"/>
        <w:spacing w:line="300" w:lineRule="auto"/>
        <w:ind w:right="-8" w:rightChars="-4"/>
        <w:rPr>
          <w:rFonts w:ascii="Arial" w:hAnsi="Arial" w:eastAsia="宋体" w:cs="Arial"/>
        </w:rPr>
      </w:pPr>
    </w:p>
    <w:p w14:paraId="50D1CA60">
      <w:pPr>
        <w:snapToGrid w:val="0"/>
        <w:spacing w:line="300" w:lineRule="auto"/>
        <w:ind w:right="-8" w:rightChars="-4"/>
        <w:rPr>
          <w:rFonts w:ascii="Arial" w:hAnsi="Arial" w:eastAsia="宋体" w:cs="Arial"/>
        </w:rPr>
      </w:pPr>
      <w:r>
        <w:rPr>
          <w:rFonts w:ascii="Arial" w:hAnsi="Arial" w:eastAsia="宋体" w:cs="Arial"/>
        </w:rPr>
        <w:t>在贵公司的510（k）提交资料的研究设计描述部分，贵公司应确认评估期间哪些因素（如试剂批次、操作人员）保持不变，哪些因素会有所变动，并对评估数据所用计算方法和统计分析方法加以描述。</w:t>
      </w:r>
    </w:p>
    <w:p w14:paraId="23D42926">
      <w:pPr>
        <w:snapToGrid w:val="0"/>
        <w:spacing w:line="300" w:lineRule="auto"/>
        <w:ind w:right="-8" w:rightChars="-4"/>
        <w:rPr>
          <w:rFonts w:ascii="Arial" w:hAnsi="Arial" w:eastAsia="宋体" w:cs="Arial"/>
        </w:rPr>
      </w:pPr>
    </w:p>
    <w:p w14:paraId="7D4FC379">
      <w:pPr>
        <w:snapToGrid w:val="0"/>
        <w:spacing w:line="300" w:lineRule="auto"/>
        <w:ind w:right="-8" w:rightChars="-4"/>
        <w:rPr>
          <w:rFonts w:ascii="Arial" w:hAnsi="Arial" w:eastAsia="宋体" w:cs="Arial"/>
          <w:b/>
        </w:rPr>
      </w:pPr>
      <w:r>
        <w:rPr>
          <w:rFonts w:ascii="Arial" w:hAnsi="Arial" w:eastAsia="宋体" w:cs="Arial"/>
          <w:b/>
        </w:rPr>
        <w:t>仪器配置和软件（如果适用）</w:t>
      </w:r>
    </w:p>
    <w:p w14:paraId="770A0AB1">
      <w:pPr>
        <w:snapToGrid w:val="0"/>
        <w:spacing w:line="300" w:lineRule="auto"/>
        <w:ind w:right="-8" w:rightChars="-4"/>
        <w:rPr>
          <w:rFonts w:ascii="Arial" w:hAnsi="Arial" w:eastAsia="宋体" w:cs="Arial"/>
        </w:rPr>
      </w:pPr>
    </w:p>
    <w:p w14:paraId="5A0FB6EA">
      <w:pPr>
        <w:snapToGrid w:val="0"/>
        <w:spacing w:line="300" w:lineRule="auto"/>
        <w:ind w:right="-8" w:rightChars="-4"/>
        <w:rPr>
          <w:rFonts w:ascii="Arial" w:hAnsi="Arial" w:eastAsia="宋体" w:cs="Arial"/>
        </w:rPr>
      </w:pPr>
      <w:r>
        <w:rPr>
          <w:rFonts w:ascii="Arial" w:hAnsi="Arial" w:eastAsia="宋体" w:cs="Arial"/>
        </w:rPr>
        <w:t>如果该系统中包含用于实现RNA分离和纯化步骤自动化的仪器，提交提交资料时应包含FDA/器械和放射健康中心“</w:t>
      </w:r>
      <w:r>
        <w:rPr>
          <w:rFonts w:ascii="Arial" w:hAnsi="Arial" w:eastAsia="宋体" w:cs="Arial"/>
          <w:color w:val="800080"/>
          <w:u w:val="single"/>
        </w:rPr>
        <w:t>FDA评审人员和行业用指导性文件：软件上市前审查需提交的内容指南</w:t>
      </w:r>
      <w:r>
        <w:rPr>
          <w:rFonts w:ascii="Arial" w:hAnsi="Arial" w:eastAsia="宋体" w:cs="Arial"/>
        </w:rPr>
        <w:t>”文件中详细描述的所有必要信息。贵公司在提交资料中应包含一个用于规定仪器配置的仪器手册副本。所有性能分析数据（包括可重复性和重现性数据）均应采用自动化系统生成。</w:t>
      </w:r>
    </w:p>
    <w:p w14:paraId="1143EF45">
      <w:pPr>
        <w:snapToGrid w:val="0"/>
        <w:spacing w:line="300" w:lineRule="auto"/>
        <w:ind w:right="-8" w:rightChars="-4"/>
        <w:rPr>
          <w:rFonts w:ascii="Arial" w:hAnsi="Arial" w:eastAsia="宋体" w:cs="Arial"/>
        </w:rPr>
      </w:pPr>
    </w:p>
    <w:p w14:paraId="554CFFAA">
      <w:pPr>
        <w:snapToGrid w:val="0"/>
        <w:spacing w:line="300" w:lineRule="auto"/>
        <w:ind w:right="-8" w:rightChars="-4"/>
        <w:rPr>
          <w:rFonts w:ascii="Arial" w:hAnsi="Arial" w:eastAsia="宋体" w:cs="Arial"/>
          <w:b/>
        </w:rPr>
      </w:pPr>
      <w:r>
        <w:rPr>
          <w:rFonts w:hint="eastAsia" w:ascii="微软雅黑" w:hAnsi="微软雅黑" w:eastAsia="微软雅黑" w:cs="微软雅黑"/>
          <w:b/>
        </w:rPr>
        <w:t>⒏</w:t>
      </w:r>
      <w:r>
        <w:rPr>
          <w:rFonts w:ascii="Arial" w:hAnsi="Arial" w:eastAsia="宋体" w:cs="Arial"/>
          <w:b/>
        </w:rPr>
        <w:t xml:space="preserve"> 标签</w:t>
      </w:r>
    </w:p>
    <w:p w14:paraId="7A2EBDE5">
      <w:pPr>
        <w:snapToGrid w:val="0"/>
        <w:spacing w:line="300" w:lineRule="auto"/>
        <w:ind w:right="-8" w:rightChars="-4"/>
        <w:rPr>
          <w:rFonts w:ascii="Arial" w:hAnsi="Arial" w:eastAsia="宋体" w:cs="Arial"/>
        </w:rPr>
      </w:pPr>
    </w:p>
    <w:p w14:paraId="0AF93EDB">
      <w:pPr>
        <w:snapToGrid w:val="0"/>
        <w:spacing w:line="300" w:lineRule="auto"/>
        <w:ind w:right="-8" w:rightChars="-4"/>
        <w:rPr>
          <w:rFonts w:ascii="Arial" w:hAnsi="Arial" w:eastAsia="宋体" w:cs="Arial"/>
        </w:rPr>
      </w:pPr>
      <w:r>
        <w:rPr>
          <w:rFonts w:ascii="Arial" w:hAnsi="Arial" w:eastAsia="宋体" w:cs="Arial"/>
        </w:rPr>
        <w:t>上市前通告中应包含符合</w:t>
      </w:r>
      <w:bookmarkStart w:id="97" w:name="OLE_LINK33"/>
      <w:bookmarkStart w:id="98" w:name="OLE_LINK32"/>
      <w:r>
        <w:rPr>
          <w:rFonts w:ascii="Arial" w:hAnsi="Arial" w:eastAsia="宋体" w:cs="Arial"/>
        </w:rPr>
        <w:t>21 CFR 807.87(e)要求</w:t>
      </w:r>
      <w:bookmarkEnd w:id="97"/>
      <w:bookmarkEnd w:id="98"/>
      <w:r>
        <w:rPr>
          <w:rFonts w:ascii="Arial" w:hAnsi="Arial" w:eastAsia="宋体" w:cs="Arial"/>
        </w:rPr>
        <w:t>、有足够细节的标签。下列建议的目的是帮助贵公司准备符合21 CFR 807.87(e)要求的标签。尽管批准510（k）提交资料不需要最终标签，但将医疗器械引入州际贸易前，其最终标签必须符合21 CFR 809.10部分的要求。</w:t>
      </w:r>
    </w:p>
    <w:p w14:paraId="7CB5EA37">
      <w:pPr>
        <w:snapToGrid w:val="0"/>
        <w:spacing w:line="300" w:lineRule="auto"/>
        <w:ind w:right="-8" w:rightChars="-4"/>
        <w:rPr>
          <w:rFonts w:ascii="Arial" w:hAnsi="Arial" w:eastAsia="宋体" w:cs="Arial"/>
          <w:b/>
        </w:rPr>
      </w:pPr>
      <w:r>
        <w:rPr>
          <w:rFonts w:ascii="Arial" w:hAnsi="Arial" w:eastAsia="宋体" w:cs="Arial"/>
          <w:b/>
        </w:rPr>
        <w:t>使用说明</w:t>
      </w:r>
    </w:p>
    <w:p w14:paraId="5B37A0F3">
      <w:pPr>
        <w:snapToGrid w:val="0"/>
        <w:spacing w:line="300" w:lineRule="auto"/>
        <w:ind w:right="-8" w:rightChars="-4"/>
        <w:rPr>
          <w:rFonts w:ascii="Arial" w:hAnsi="Arial" w:eastAsia="宋体" w:cs="Arial"/>
        </w:rPr>
      </w:pPr>
    </w:p>
    <w:p w14:paraId="64C1E99E">
      <w:pPr>
        <w:snapToGrid w:val="0"/>
        <w:spacing w:line="300" w:lineRule="auto"/>
        <w:ind w:right="-8" w:rightChars="-4"/>
        <w:rPr>
          <w:rFonts w:ascii="Arial" w:hAnsi="Arial" w:eastAsia="宋体" w:cs="Arial"/>
        </w:rPr>
      </w:pPr>
      <w:r>
        <w:rPr>
          <w:rFonts w:ascii="Arial" w:hAnsi="Arial" w:eastAsia="宋体" w:cs="Arial"/>
        </w:rPr>
        <w:t>贵公司应提供清晰、简洁的系统使用说明，描述从采集试样（如血液）到RNA分离和纯化的各个步骤。贵公司应在提交资料中包含RNA分离和纯化步骤的工作流程推荐规范。在适当的地方，贵公司应包含图形符号和流程图。</w:t>
      </w:r>
    </w:p>
    <w:p w14:paraId="37DBA0F6">
      <w:pPr>
        <w:snapToGrid w:val="0"/>
        <w:spacing w:line="300" w:lineRule="auto"/>
        <w:ind w:right="-8" w:rightChars="-4"/>
        <w:rPr>
          <w:rFonts w:ascii="Arial" w:hAnsi="Arial" w:eastAsia="宋体" w:cs="Arial"/>
        </w:rPr>
      </w:pPr>
    </w:p>
    <w:p w14:paraId="58B71886">
      <w:pPr>
        <w:snapToGrid w:val="0"/>
        <w:spacing w:line="300" w:lineRule="auto"/>
        <w:ind w:right="-8" w:rightChars="-4"/>
        <w:rPr>
          <w:rFonts w:ascii="Arial" w:hAnsi="Arial" w:eastAsia="宋体" w:cs="Arial"/>
          <w:b/>
        </w:rPr>
      </w:pPr>
      <w:r>
        <w:rPr>
          <w:rFonts w:ascii="Arial" w:hAnsi="Arial" w:eastAsia="宋体" w:cs="Arial"/>
          <w:b/>
        </w:rPr>
        <w:t>局限性</w:t>
      </w:r>
    </w:p>
    <w:p w14:paraId="05633C1E">
      <w:pPr>
        <w:snapToGrid w:val="0"/>
        <w:spacing w:line="300" w:lineRule="auto"/>
        <w:ind w:right="-8" w:rightChars="-4"/>
        <w:rPr>
          <w:rFonts w:ascii="Arial" w:hAnsi="Arial" w:eastAsia="宋体" w:cs="Arial"/>
        </w:rPr>
      </w:pPr>
    </w:p>
    <w:p w14:paraId="2B4D0885">
      <w:pPr>
        <w:snapToGrid w:val="0"/>
        <w:spacing w:line="300" w:lineRule="auto"/>
        <w:ind w:right="-8" w:rightChars="-4"/>
        <w:rPr>
          <w:rFonts w:ascii="Arial" w:hAnsi="Arial" w:eastAsia="宋体" w:cs="Arial"/>
        </w:rPr>
      </w:pPr>
      <w:r>
        <w:rPr>
          <w:rFonts w:ascii="Arial" w:hAnsi="Arial" w:eastAsia="宋体" w:cs="Arial"/>
        </w:rPr>
        <w:t>我们建议贵公司在标签中提供有关贵公司系统局限性的如下信息：</w:t>
      </w:r>
    </w:p>
    <w:p w14:paraId="02065826">
      <w:pPr>
        <w:snapToGrid w:val="0"/>
        <w:spacing w:line="300" w:lineRule="auto"/>
        <w:ind w:right="-8" w:rightChars="-4"/>
        <w:rPr>
          <w:rFonts w:ascii="Arial" w:hAnsi="Arial" w:eastAsia="宋体" w:cs="Arial"/>
        </w:rPr>
      </w:pPr>
    </w:p>
    <w:p w14:paraId="4F6C9365">
      <w:pPr>
        <w:pStyle w:val="9"/>
        <w:numPr>
          <w:ilvl w:val="0"/>
          <w:numId w:val="4"/>
        </w:numPr>
        <w:snapToGrid w:val="0"/>
        <w:spacing w:line="300" w:lineRule="auto"/>
        <w:ind w:right="-8" w:rightChars="-4" w:firstLineChars="0"/>
        <w:rPr>
          <w:rFonts w:ascii="Arial" w:hAnsi="Arial" w:eastAsia="宋体" w:cs="Arial"/>
        </w:rPr>
      </w:pPr>
      <w:r>
        <w:rPr>
          <w:rFonts w:ascii="Arial" w:hAnsi="Arial" w:eastAsia="宋体" w:cs="Arial"/>
        </w:rPr>
        <w:t>尚未确定适用于所有转录产物的性能特征。用户有责任适当确定适用于其它目标转录产物的系统性能特征。</w:t>
      </w:r>
    </w:p>
    <w:p w14:paraId="602D0007">
      <w:pPr>
        <w:pStyle w:val="9"/>
        <w:numPr>
          <w:ilvl w:val="0"/>
          <w:numId w:val="4"/>
        </w:numPr>
        <w:snapToGrid w:val="0"/>
        <w:spacing w:line="300" w:lineRule="auto"/>
        <w:ind w:right="-8" w:rightChars="-4" w:firstLineChars="0"/>
        <w:rPr>
          <w:rFonts w:ascii="Arial" w:hAnsi="Arial" w:eastAsia="宋体" w:cs="Arial"/>
          <w:spacing w:val="-4"/>
        </w:rPr>
      </w:pPr>
      <w:bookmarkStart w:id="99" w:name="OLE_LINK61"/>
      <w:bookmarkStart w:id="100" w:name="OLE_LINK62"/>
      <w:r>
        <w:rPr>
          <w:rFonts w:ascii="Arial" w:hAnsi="Arial" w:eastAsia="宋体" w:cs="Arial"/>
          <w:spacing w:val="-4"/>
        </w:rPr>
        <w:t>该系统的预期用途是人全血细胞内RNA的纯化</w:t>
      </w:r>
      <w:bookmarkEnd w:id="99"/>
      <w:bookmarkEnd w:id="100"/>
      <w:r>
        <w:rPr>
          <w:rFonts w:ascii="Arial" w:hAnsi="Arial" w:eastAsia="宋体" w:cs="Arial"/>
          <w:spacing w:val="-4"/>
        </w:rPr>
        <w:t>，不可用于基因组DNA或病毒核酸的纯化。</w:t>
      </w:r>
    </w:p>
    <w:p w14:paraId="0337C179">
      <w:pPr>
        <w:pStyle w:val="9"/>
        <w:numPr>
          <w:ilvl w:val="0"/>
          <w:numId w:val="4"/>
        </w:numPr>
        <w:snapToGrid w:val="0"/>
        <w:spacing w:line="300" w:lineRule="auto"/>
        <w:ind w:right="-8" w:rightChars="-4" w:firstLineChars="0"/>
        <w:rPr>
          <w:rFonts w:ascii="Arial" w:hAnsi="Arial" w:eastAsia="宋体" w:cs="Arial"/>
        </w:rPr>
      </w:pPr>
      <w:r>
        <w:rPr>
          <w:rFonts w:ascii="Arial" w:hAnsi="Arial" w:eastAsia="宋体" w:cs="Arial"/>
        </w:rPr>
        <w:t>该系统用于人全血细胞内RNA纯化时要求白细胞计数在4.8×10</w:t>
      </w:r>
      <w:r>
        <w:rPr>
          <w:rFonts w:ascii="Arial" w:hAnsi="Arial" w:eastAsia="宋体" w:cs="Arial"/>
          <w:vertAlign w:val="superscript"/>
        </w:rPr>
        <w:t>6</w:t>
      </w:r>
      <w:r>
        <w:rPr>
          <w:rFonts w:ascii="Arial" w:hAnsi="Arial" w:eastAsia="宋体" w:cs="Arial"/>
        </w:rPr>
        <w:t xml:space="preserve"> – 1.1×10</w:t>
      </w:r>
      <w:r>
        <w:rPr>
          <w:rFonts w:ascii="Arial" w:hAnsi="Arial" w:eastAsia="宋体" w:cs="Arial"/>
          <w:vertAlign w:val="superscript"/>
        </w:rPr>
        <w:t>7</w:t>
      </w:r>
      <w:r>
        <w:rPr>
          <w:rFonts w:ascii="Arial" w:hAnsi="Arial" w:eastAsia="宋体" w:cs="Arial"/>
        </w:rPr>
        <w:t>/毫升之间。</w:t>
      </w:r>
    </w:p>
    <w:p w14:paraId="29F48FA9">
      <w:pPr>
        <w:snapToGrid w:val="0"/>
        <w:spacing w:line="300" w:lineRule="auto"/>
        <w:ind w:right="-8" w:rightChars="-4"/>
        <w:rPr>
          <w:rFonts w:ascii="Arial" w:hAnsi="Arial" w:eastAsia="宋体" w:cs="Arial"/>
        </w:rPr>
      </w:pPr>
    </w:p>
    <w:p w14:paraId="7A670651">
      <w:pPr>
        <w:snapToGrid w:val="0"/>
        <w:spacing w:line="300" w:lineRule="auto"/>
        <w:ind w:right="-8" w:rightChars="-4"/>
        <w:rPr>
          <w:rFonts w:ascii="Arial" w:hAnsi="Arial" w:eastAsia="宋体" w:cs="Arial"/>
          <w:b/>
        </w:rPr>
      </w:pPr>
      <w:r>
        <w:rPr>
          <w:rFonts w:ascii="Arial" w:hAnsi="Arial" w:eastAsia="宋体" w:cs="Arial"/>
          <w:b/>
        </w:rPr>
        <w:t>稳定性</w:t>
      </w:r>
    </w:p>
    <w:p w14:paraId="3F3CC445">
      <w:pPr>
        <w:snapToGrid w:val="0"/>
        <w:spacing w:line="300" w:lineRule="auto"/>
        <w:ind w:right="-8" w:rightChars="-4"/>
        <w:rPr>
          <w:rFonts w:ascii="Arial" w:hAnsi="Arial" w:eastAsia="宋体" w:cs="Arial"/>
        </w:rPr>
      </w:pPr>
    </w:p>
    <w:p w14:paraId="6822AE13">
      <w:pPr>
        <w:snapToGrid w:val="0"/>
        <w:spacing w:line="300" w:lineRule="auto"/>
        <w:ind w:right="-8" w:rightChars="-4"/>
        <w:rPr>
          <w:rFonts w:ascii="Arial" w:hAnsi="Arial" w:eastAsia="宋体" w:cs="Arial"/>
        </w:rPr>
      </w:pPr>
      <w:r>
        <w:rPr>
          <w:rFonts w:ascii="Arial" w:hAnsi="Arial" w:eastAsia="宋体" w:cs="Arial"/>
        </w:rPr>
        <w:t>我们建议贵公司在标签中包含产品储存条件和样品稳定性方面的信息。</w:t>
      </w:r>
    </w:p>
    <w:p w14:paraId="3C642E8C">
      <w:pPr>
        <w:snapToGrid w:val="0"/>
        <w:spacing w:line="300" w:lineRule="auto"/>
        <w:ind w:right="-8" w:rightChars="-4"/>
        <w:rPr>
          <w:rFonts w:ascii="Arial" w:hAnsi="Arial" w:eastAsia="宋体" w:cs="Arial"/>
        </w:rPr>
      </w:pPr>
    </w:p>
    <w:p w14:paraId="5C9610FC">
      <w:pPr>
        <w:snapToGrid w:val="0"/>
        <w:spacing w:line="300" w:lineRule="auto"/>
        <w:ind w:right="-8" w:rightChars="-4"/>
        <w:rPr>
          <w:rFonts w:ascii="Arial" w:hAnsi="Arial" w:eastAsia="宋体" w:cs="Arial"/>
          <w:b/>
        </w:rPr>
      </w:pPr>
      <w:r>
        <w:rPr>
          <w:rFonts w:ascii="Arial" w:hAnsi="Arial" w:eastAsia="宋体" w:cs="Arial"/>
          <w:b/>
        </w:rPr>
        <w:t>性能特征</w:t>
      </w:r>
    </w:p>
    <w:p w14:paraId="24E3184F">
      <w:pPr>
        <w:snapToGrid w:val="0"/>
        <w:spacing w:line="300" w:lineRule="auto"/>
        <w:ind w:right="-8" w:rightChars="-4"/>
        <w:rPr>
          <w:rFonts w:ascii="Arial" w:hAnsi="Arial" w:eastAsia="宋体" w:cs="Arial"/>
        </w:rPr>
      </w:pPr>
    </w:p>
    <w:p w14:paraId="18CAF1CD">
      <w:pPr>
        <w:snapToGrid w:val="0"/>
        <w:spacing w:line="300" w:lineRule="auto"/>
        <w:ind w:right="-8" w:rightChars="-4"/>
        <w:rPr>
          <w:rFonts w:ascii="Arial" w:hAnsi="Arial" w:eastAsia="宋体" w:cs="Arial"/>
        </w:rPr>
      </w:pPr>
      <w:r>
        <w:rPr>
          <w:rFonts w:ascii="Arial" w:hAnsi="Arial" w:eastAsia="宋体" w:cs="Arial"/>
        </w:rPr>
        <w:t>我们建议贵公司在标签中包含产品性能方面的信息，如RNA纯度、提取量、可重复性、重现性和基因转录产物水平的稳定性。贵公司在确定贵公司器械的性能特征时会有自己的研究方案。我们建议贵公司对研究方案的所有相关方面做出描述，包括所用材料和结果。我们还建议贵公司采用图形方式描述结果。</w:t>
      </w:r>
    </w:p>
    <w:p w14:paraId="17AADEF7">
      <w:pPr>
        <w:snapToGrid w:val="0"/>
        <w:spacing w:line="300" w:lineRule="auto"/>
        <w:ind w:right="-8" w:rightChars="-4"/>
        <w:rPr>
          <w:rFonts w:ascii="Arial" w:hAnsi="Arial" w:eastAsia="宋体" w:cs="Arial"/>
        </w:rPr>
      </w:pPr>
    </w:p>
    <w:p w14:paraId="11730112">
      <w:pPr>
        <w:snapToGrid w:val="0"/>
        <w:spacing w:line="300" w:lineRule="auto"/>
        <w:ind w:right="-8" w:rightChars="-4"/>
        <w:rPr>
          <w:rFonts w:ascii="Arial" w:hAnsi="Arial" w:eastAsia="宋体" w:cs="Arial"/>
          <w:b/>
        </w:rPr>
      </w:pPr>
      <w:r>
        <w:rPr>
          <w:rFonts w:ascii="Arial" w:hAnsi="Arial" w:eastAsia="宋体" w:cs="Arial"/>
          <w:b/>
        </w:rPr>
        <w:t>用户手册</w:t>
      </w:r>
    </w:p>
    <w:p w14:paraId="466555B8">
      <w:pPr>
        <w:snapToGrid w:val="0"/>
        <w:spacing w:line="300" w:lineRule="auto"/>
        <w:ind w:right="-8" w:rightChars="-4"/>
        <w:rPr>
          <w:rFonts w:ascii="Arial" w:hAnsi="Arial" w:eastAsia="宋体" w:cs="Arial"/>
        </w:rPr>
      </w:pPr>
    </w:p>
    <w:p w14:paraId="7A8F61A9">
      <w:pPr>
        <w:snapToGrid w:val="0"/>
        <w:spacing w:line="300" w:lineRule="auto"/>
        <w:ind w:right="-8" w:rightChars="-4"/>
        <w:rPr>
          <w:rFonts w:ascii="Arial" w:hAnsi="Arial" w:eastAsia="宋体" w:cs="Arial"/>
        </w:rPr>
      </w:pPr>
      <w:r>
        <w:rPr>
          <w:rFonts w:ascii="Arial" w:hAnsi="Arial" w:eastAsia="宋体" w:cs="Arial"/>
        </w:rPr>
        <w:t>如果软件是贵公司器械的一个组件，我们建议贵公司提供一个用户手册，对RNA分析前系统仪器配置的所有组件做出说明。在贵公司的用户手册中应对软件的作用、软件的用户界面和性能测试结果提供详细描述，证明软件能发挥设计功能。我们建议贵公司提供计算机屏幕图示表达、图形用户界面（GUI）和有助于用户正确使用软件的其它元素。</w:t>
      </w:r>
    </w:p>
    <w:p w14:paraId="7E0A291B">
      <w:pPr>
        <w:snapToGrid w:val="0"/>
        <w:spacing w:line="300" w:lineRule="auto"/>
        <w:ind w:right="-8" w:rightChars="-4"/>
        <w:rPr>
          <w:rFonts w:ascii="Arial" w:hAnsi="Arial" w:eastAsia="宋体" w:cs="Arial"/>
        </w:rPr>
      </w:pPr>
    </w:p>
    <w:p w14:paraId="1EA2A8A5">
      <w:pPr>
        <w:snapToGrid w:val="0"/>
        <w:spacing w:line="300" w:lineRule="auto"/>
        <w:ind w:right="-8" w:rightChars="-4"/>
        <w:rPr>
          <w:rFonts w:ascii="Arial" w:hAnsi="Arial" w:eastAsia="宋体" w:cs="Arial"/>
        </w:rPr>
      </w:pPr>
      <w:r>
        <w:rPr>
          <w:rFonts w:ascii="Arial" w:hAnsi="Arial" w:eastAsia="宋体" w:cs="Arial"/>
        </w:rPr>
        <w:t>在可能情况下，用户手册还应包含用户怎样才能识别错误操作或仪器配置失败的描述以及故障排除指南。</w:t>
      </w:r>
    </w:p>
    <w:p w14:paraId="56B927F0">
      <w:pPr>
        <w:snapToGrid w:val="0"/>
        <w:spacing w:line="300" w:lineRule="auto"/>
        <w:ind w:right="-8" w:rightChars="-4"/>
        <w:rPr>
          <w:rFonts w:ascii="Arial" w:hAnsi="Arial" w:eastAsia="宋体" w:cs="Arial"/>
        </w:rPr>
      </w:pPr>
      <w:r>
        <w:rPr>
          <w:rFonts w:ascii="Arial" w:hAnsi="Arial" w:eastAsia="宋体" w:cs="Arial"/>
        </w:rPr>
        <w:t>________________________________________</w:t>
      </w:r>
    </w:p>
    <w:p w14:paraId="32041927">
      <w:pPr>
        <w:snapToGrid w:val="0"/>
        <w:spacing w:line="300" w:lineRule="auto"/>
        <w:ind w:right="-8" w:rightChars="-4"/>
        <w:rPr>
          <w:rFonts w:ascii="Arial" w:hAnsi="Arial" w:eastAsia="宋体" w:cs="Arial"/>
        </w:rPr>
      </w:pPr>
      <w:r>
        <w:rPr>
          <w:rFonts w:ascii="Arial" w:hAnsi="Arial" w:eastAsia="宋体" w:cs="Arial"/>
          <w:vertAlign w:val="superscript"/>
        </w:rPr>
        <w:t>1</w:t>
      </w:r>
      <w:r>
        <w:rPr>
          <w:rFonts w:ascii="Arial" w:hAnsi="Arial" w:eastAsia="宋体" w:cs="Arial"/>
          <w:color w:val="800080"/>
          <w:u w:val="single"/>
        </w:rPr>
        <w:t>510（k）范本</w:t>
      </w:r>
    </w:p>
    <w:p w14:paraId="02D93A29">
      <w:pPr>
        <w:snapToGrid w:val="0"/>
        <w:spacing w:line="300" w:lineRule="auto"/>
        <w:ind w:right="-8" w:rightChars="-4"/>
        <w:rPr>
          <w:rFonts w:ascii="Arial" w:hAnsi="Arial" w:eastAsia="宋体" w:cs="Arial"/>
        </w:rPr>
      </w:pPr>
      <w:r>
        <w:rPr>
          <w:rFonts w:ascii="Arial" w:hAnsi="Arial" w:eastAsia="宋体" w:cs="Arial"/>
          <w:vertAlign w:val="superscript"/>
        </w:rPr>
        <w:t>2</w:t>
      </w:r>
      <w:r>
        <w:rPr>
          <w:rFonts w:ascii="Arial" w:hAnsi="Arial" w:eastAsia="宋体" w:cs="Arial"/>
        </w:rPr>
        <w:t>推荐</w:t>
      </w:r>
      <w:r>
        <w:rPr>
          <w:rFonts w:ascii="Arial" w:hAnsi="Arial" w:eastAsia="宋体" w:cs="Arial"/>
          <w:color w:val="800080"/>
          <w:u w:val="single"/>
        </w:rPr>
        <w:t>格式见使用说明格式</w:t>
      </w:r>
      <w:r>
        <w:rPr>
          <w:rFonts w:ascii="Arial" w:hAnsi="Arial" w:eastAsia="宋体" w:cs="Arial"/>
        </w:rPr>
        <w:t>（PDF文件大小：1.03M）</w:t>
      </w:r>
    </w:p>
    <w:p w14:paraId="08822D1F">
      <w:pPr>
        <w:snapToGrid w:val="0"/>
        <w:spacing w:line="300" w:lineRule="auto"/>
        <w:ind w:right="-8" w:rightChars="-4"/>
        <w:rPr>
          <w:rFonts w:ascii="Arial" w:hAnsi="Arial" w:eastAsia="宋体" w:cs="Arial"/>
        </w:rPr>
      </w:pPr>
      <w:r>
        <w:rPr>
          <w:rFonts w:ascii="Arial" w:hAnsi="Arial" w:eastAsia="宋体" w:cs="Arial"/>
          <w:vertAlign w:val="superscript"/>
        </w:rPr>
        <w:t>3</w:t>
      </w:r>
      <w:r>
        <w:rPr>
          <w:rFonts w:ascii="Arial" w:hAnsi="Arial" w:eastAsia="宋体" w:cs="Arial"/>
        </w:rPr>
        <w:t>如果FDA根据验收标准做出了实质等同认定，在将目标器械引入州际贸易前应对其进行测试并表明其符合这些验收标准。</w:t>
      </w:r>
    </w:p>
    <w:p w14:paraId="77631E8A">
      <w:pPr>
        <w:snapToGrid w:val="0"/>
        <w:spacing w:line="300" w:lineRule="auto"/>
        <w:ind w:right="-8" w:rightChars="-4"/>
        <w:rPr>
          <w:rFonts w:ascii="Arial" w:hAnsi="Arial" w:eastAsia="宋体" w:cs="Arial"/>
        </w:rPr>
      </w:pPr>
      <w:r>
        <w:rPr>
          <w:rFonts w:ascii="Arial" w:hAnsi="Arial" w:eastAsia="宋体" w:cs="Arial"/>
          <w:vertAlign w:val="superscript"/>
        </w:rPr>
        <w:t>4</w:t>
      </w:r>
      <w:r>
        <w:rPr>
          <w:rFonts w:ascii="Arial" w:hAnsi="Arial" w:eastAsia="宋体" w:cs="Arial"/>
        </w:rPr>
        <w:t>见</w:t>
      </w:r>
      <w:r>
        <w:rPr>
          <w:rFonts w:ascii="Arial" w:hAnsi="Arial" w:eastAsia="宋体" w:cs="Arial"/>
          <w:color w:val="800080"/>
          <w:u w:val="single"/>
        </w:rPr>
        <w:t>符合公认标准声明的必要元素</w:t>
      </w:r>
      <w:r>
        <w:rPr>
          <w:rFonts w:ascii="Arial" w:hAnsi="Arial" w:eastAsia="宋体" w:cs="Arial"/>
        </w:rPr>
        <w:t>（适用于所有上市前通告510（k）提交资料的清单）</w:t>
      </w:r>
    </w:p>
    <w:p w14:paraId="2A391A42">
      <w:pPr>
        <w:snapToGrid w:val="0"/>
        <w:spacing w:line="300" w:lineRule="auto"/>
        <w:ind w:right="-8" w:rightChars="-4"/>
        <w:rPr>
          <w:rFonts w:hint="eastAsia" w:eastAsia="宋体"/>
          <w:lang w:eastAsia="zh-CN"/>
        </w:rPr>
      </w:pPr>
    </w:p>
    <w:p w14:paraId="30762DA6">
      <w:pPr>
        <w:snapToGrid w:val="0"/>
        <w:spacing w:line="300" w:lineRule="auto"/>
        <w:ind w:right="-8" w:rightChars="-4"/>
        <w:jc w:val="center"/>
        <w:rPr>
          <w:rFonts w:hint="eastAsia" w:eastAsia="宋体"/>
          <w:lang w:eastAsia="zh-CN"/>
        </w:rPr>
      </w:pPr>
    </w:p>
    <w:p w14:paraId="4EF5E747">
      <w:pPr>
        <w:snapToGrid w:val="0"/>
        <w:spacing w:line="300" w:lineRule="auto"/>
        <w:ind w:right="-8" w:rightChars="-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D34F8"/>
    <w:multiLevelType w:val="multilevel"/>
    <w:tmpl w:val="052D34F8"/>
    <w:lvl w:ilvl="0" w:tentative="0">
      <w:start w:val="1"/>
      <w:numFmt w:val="bullet"/>
      <w:lvlText w:val=""/>
      <w:lvlJc w:val="left"/>
      <w:pPr>
        <w:ind w:left="420" w:hanging="420"/>
      </w:pPr>
      <w:rPr>
        <w:rFonts w:hint="default" w:ascii="Wingdings 2" w:hAnsi="Wingdings 2"/>
        <w:vertAlign w:val="baseli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7B1742"/>
    <w:multiLevelType w:val="multilevel"/>
    <w:tmpl w:val="0B7B174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EE00E1"/>
    <w:multiLevelType w:val="multilevel"/>
    <w:tmpl w:val="15EE00E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0712609"/>
    <w:multiLevelType w:val="multilevel"/>
    <w:tmpl w:val="3071260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DA"/>
    <w:rsid w:val="00000663"/>
    <w:rsid w:val="00010C0A"/>
    <w:rsid w:val="00023E35"/>
    <w:rsid w:val="0002536B"/>
    <w:rsid w:val="0003244F"/>
    <w:rsid w:val="00035551"/>
    <w:rsid w:val="00036E25"/>
    <w:rsid w:val="00043E83"/>
    <w:rsid w:val="0004698B"/>
    <w:rsid w:val="00047C7A"/>
    <w:rsid w:val="0008010E"/>
    <w:rsid w:val="00092712"/>
    <w:rsid w:val="000A1309"/>
    <w:rsid w:val="000A6AE7"/>
    <w:rsid w:val="000B2A96"/>
    <w:rsid w:val="000B2E58"/>
    <w:rsid w:val="000B7123"/>
    <w:rsid w:val="000C2E8F"/>
    <w:rsid w:val="000C602A"/>
    <w:rsid w:val="000D0EB2"/>
    <w:rsid w:val="000F51C7"/>
    <w:rsid w:val="00100988"/>
    <w:rsid w:val="00112C2D"/>
    <w:rsid w:val="001168E2"/>
    <w:rsid w:val="00123C83"/>
    <w:rsid w:val="00134456"/>
    <w:rsid w:val="0014541E"/>
    <w:rsid w:val="00166AC3"/>
    <w:rsid w:val="0016766F"/>
    <w:rsid w:val="001721AA"/>
    <w:rsid w:val="001758D1"/>
    <w:rsid w:val="00190CAC"/>
    <w:rsid w:val="001C1873"/>
    <w:rsid w:val="001C45FE"/>
    <w:rsid w:val="001C67F3"/>
    <w:rsid w:val="001D444B"/>
    <w:rsid w:val="001E4742"/>
    <w:rsid w:val="001F273B"/>
    <w:rsid w:val="00210990"/>
    <w:rsid w:val="00217142"/>
    <w:rsid w:val="00221A6D"/>
    <w:rsid w:val="002302D2"/>
    <w:rsid w:val="00231864"/>
    <w:rsid w:val="00231A1E"/>
    <w:rsid w:val="00233AB5"/>
    <w:rsid w:val="0025431C"/>
    <w:rsid w:val="00260FAF"/>
    <w:rsid w:val="00272032"/>
    <w:rsid w:val="002729DA"/>
    <w:rsid w:val="00276047"/>
    <w:rsid w:val="00287C47"/>
    <w:rsid w:val="00294C2F"/>
    <w:rsid w:val="002B6546"/>
    <w:rsid w:val="002D3BDE"/>
    <w:rsid w:val="002D3D3A"/>
    <w:rsid w:val="002F02C8"/>
    <w:rsid w:val="002F4FB6"/>
    <w:rsid w:val="00300018"/>
    <w:rsid w:val="00334B51"/>
    <w:rsid w:val="003411DF"/>
    <w:rsid w:val="00341730"/>
    <w:rsid w:val="00352E17"/>
    <w:rsid w:val="00354603"/>
    <w:rsid w:val="00371496"/>
    <w:rsid w:val="00372BCE"/>
    <w:rsid w:val="00375163"/>
    <w:rsid w:val="00381528"/>
    <w:rsid w:val="003B2CD2"/>
    <w:rsid w:val="003C224F"/>
    <w:rsid w:val="003C35C2"/>
    <w:rsid w:val="003C520E"/>
    <w:rsid w:val="003C720B"/>
    <w:rsid w:val="003E3C3F"/>
    <w:rsid w:val="003E3EFD"/>
    <w:rsid w:val="003E40B7"/>
    <w:rsid w:val="003F563B"/>
    <w:rsid w:val="003F571D"/>
    <w:rsid w:val="00401A57"/>
    <w:rsid w:val="00403BCD"/>
    <w:rsid w:val="004049B3"/>
    <w:rsid w:val="00421452"/>
    <w:rsid w:val="00435670"/>
    <w:rsid w:val="00443A20"/>
    <w:rsid w:val="00444C95"/>
    <w:rsid w:val="00454B0C"/>
    <w:rsid w:val="00464C15"/>
    <w:rsid w:val="00471850"/>
    <w:rsid w:val="00485AF6"/>
    <w:rsid w:val="00487FBB"/>
    <w:rsid w:val="0049642F"/>
    <w:rsid w:val="004B3F89"/>
    <w:rsid w:val="004C798A"/>
    <w:rsid w:val="004D3826"/>
    <w:rsid w:val="00517BE0"/>
    <w:rsid w:val="00520C7F"/>
    <w:rsid w:val="00523A58"/>
    <w:rsid w:val="005242F4"/>
    <w:rsid w:val="00525ADF"/>
    <w:rsid w:val="00531C17"/>
    <w:rsid w:val="00554170"/>
    <w:rsid w:val="00560578"/>
    <w:rsid w:val="00570066"/>
    <w:rsid w:val="005C1F07"/>
    <w:rsid w:val="005C46BD"/>
    <w:rsid w:val="005D7D8C"/>
    <w:rsid w:val="005E4615"/>
    <w:rsid w:val="005E5DAD"/>
    <w:rsid w:val="005E7819"/>
    <w:rsid w:val="006060CC"/>
    <w:rsid w:val="00606849"/>
    <w:rsid w:val="00606E9C"/>
    <w:rsid w:val="00622EB3"/>
    <w:rsid w:val="0062585C"/>
    <w:rsid w:val="00645DD7"/>
    <w:rsid w:val="00661AD0"/>
    <w:rsid w:val="00695FBF"/>
    <w:rsid w:val="006B0BD8"/>
    <w:rsid w:val="006D25BF"/>
    <w:rsid w:val="006D6F83"/>
    <w:rsid w:val="006F1DC3"/>
    <w:rsid w:val="00703BBC"/>
    <w:rsid w:val="00707A44"/>
    <w:rsid w:val="00712A68"/>
    <w:rsid w:val="007131D8"/>
    <w:rsid w:val="0071440E"/>
    <w:rsid w:val="007215A9"/>
    <w:rsid w:val="00727E0B"/>
    <w:rsid w:val="00751486"/>
    <w:rsid w:val="00752375"/>
    <w:rsid w:val="007604F2"/>
    <w:rsid w:val="007820D7"/>
    <w:rsid w:val="007B168B"/>
    <w:rsid w:val="007C2BAB"/>
    <w:rsid w:val="007D3AC1"/>
    <w:rsid w:val="007D4DC9"/>
    <w:rsid w:val="007E61E2"/>
    <w:rsid w:val="007F092A"/>
    <w:rsid w:val="007F4100"/>
    <w:rsid w:val="00800DD1"/>
    <w:rsid w:val="00805614"/>
    <w:rsid w:val="0086258B"/>
    <w:rsid w:val="00865214"/>
    <w:rsid w:val="008666F5"/>
    <w:rsid w:val="008723B2"/>
    <w:rsid w:val="00877DE0"/>
    <w:rsid w:val="00882CAE"/>
    <w:rsid w:val="00883606"/>
    <w:rsid w:val="00885107"/>
    <w:rsid w:val="00890DE2"/>
    <w:rsid w:val="008A56E7"/>
    <w:rsid w:val="008B00BA"/>
    <w:rsid w:val="008B29AA"/>
    <w:rsid w:val="008C5616"/>
    <w:rsid w:val="008D45CE"/>
    <w:rsid w:val="008E42AF"/>
    <w:rsid w:val="008E69AD"/>
    <w:rsid w:val="008F0540"/>
    <w:rsid w:val="00907E28"/>
    <w:rsid w:val="0091552D"/>
    <w:rsid w:val="00923CF2"/>
    <w:rsid w:val="009261BD"/>
    <w:rsid w:val="00941C95"/>
    <w:rsid w:val="00946F3D"/>
    <w:rsid w:val="00947389"/>
    <w:rsid w:val="00963122"/>
    <w:rsid w:val="009744B9"/>
    <w:rsid w:val="00992A10"/>
    <w:rsid w:val="009B16E9"/>
    <w:rsid w:val="009B4A7C"/>
    <w:rsid w:val="009C480F"/>
    <w:rsid w:val="009D11AD"/>
    <w:rsid w:val="009E0D53"/>
    <w:rsid w:val="009E151D"/>
    <w:rsid w:val="00A13660"/>
    <w:rsid w:val="00A22C61"/>
    <w:rsid w:val="00A27AF0"/>
    <w:rsid w:val="00A27E53"/>
    <w:rsid w:val="00A32094"/>
    <w:rsid w:val="00A33651"/>
    <w:rsid w:val="00A47EA5"/>
    <w:rsid w:val="00A653E6"/>
    <w:rsid w:val="00A70043"/>
    <w:rsid w:val="00A85BD3"/>
    <w:rsid w:val="00A86E96"/>
    <w:rsid w:val="00A93BAC"/>
    <w:rsid w:val="00AB138A"/>
    <w:rsid w:val="00AB1E3C"/>
    <w:rsid w:val="00AB5A96"/>
    <w:rsid w:val="00AD30CB"/>
    <w:rsid w:val="00AE097C"/>
    <w:rsid w:val="00AE1175"/>
    <w:rsid w:val="00AE2843"/>
    <w:rsid w:val="00AE5434"/>
    <w:rsid w:val="00B148DC"/>
    <w:rsid w:val="00B33CFA"/>
    <w:rsid w:val="00B4286D"/>
    <w:rsid w:val="00B61B31"/>
    <w:rsid w:val="00B62883"/>
    <w:rsid w:val="00B62C30"/>
    <w:rsid w:val="00B71AED"/>
    <w:rsid w:val="00B73A76"/>
    <w:rsid w:val="00B776CD"/>
    <w:rsid w:val="00B80EBF"/>
    <w:rsid w:val="00B948A2"/>
    <w:rsid w:val="00BA55E9"/>
    <w:rsid w:val="00BB2FB8"/>
    <w:rsid w:val="00BC482D"/>
    <w:rsid w:val="00BC69D7"/>
    <w:rsid w:val="00BD357C"/>
    <w:rsid w:val="00BE6F54"/>
    <w:rsid w:val="00BF083C"/>
    <w:rsid w:val="00C10085"/>
    <w:rsid w:val="00C135F9"/>
    <w:rsid w:val="00C347E4"/>
    <w:rsid w:val="00C40F9F"/>
    <w:rsid w:val="00C439B2"/>
    <w:rsid w:val="00C47908"/>
    <w:rsid w:val="00C51FAE"/>
    <w:rsid w:val="00C64D42"/>
    <w:rsid w:val="00C7415F"/>
    <w:rsid w:val="00C975A0"/>
    <w:rsid w:val="00CA7218"/>
    <w:rsid w:val="00CB3576"/>
    <w:rsid w:val="00CD3EC0"/>
    <w:rsid w:val="00CF1D5D"/>
    <w:rsid w:val="00CF6EE6"/>
    <w:rsid w:val="00D00B40"/>
    <w:rsid w:val="00D112E5"/>
    <w:rsid w:val="00D12049"/>
    <w:rsid w:val="00D234B1"/>
    <w:rsid w:val="00D23C65"/>
    <w:rsid w:val="00D3195C"/>
    <w:rsid w:val="00D51DEB"/>
    <w:rsid w:val="00D526DB"/>
    <w:rsid w:val="00D606C0"/>
    <w:rsid w:val="00D80B37"/>
    <w:rsid w:val="00D94721"/>
    <w:rsid w:val="00DA3E87"/>
    <w:rsid w:val="00DB4C5C"/>
    <w:rsid w:val="00DC309B"/>
    <w:rsid w:val="00DC6C4E"/>
    <w:rsid w:val="00DC6CB1"/>
    <w:rsid w:val="00DD231F"/>
    <w:rsid w:val="00DD2A87"/>
    <w:rsid w:val="00DE7EAB"/>
    <w:rsid w:val="00E10C72"/>
    <w:rsid w:val="00E15EC3"/>
    <w:rsid w:val="00E23F28"/>
    <w:rsid w:val="00E47176"/>
    <w:rsid w:val="00E50D06"/>
    <w:rsid w:val="00E53703"/>
    <w:rsid w:val="00E5486F"/>
    <w:rsid w:val="00E557AC"/>
    <w:rsid w:val="00E61509"/>
    <w:rsid w:val="00E6471A"/>
    <w:rsid w:val="00E650F6"/>
    <w:rsid w:val="00E8036B"/>
    <w:rsid w:val="00EB52DA"/>
    <w:rsid w:val="00EE087F"/>
    <w:rsid w:val="00EE1289"/>
    <w:rsid w:val="00EE5DC4"/>
    <w:rsid w:val="00EF1F14"/>
    <w:rsid w:val="00F06C28"/>
    <w:rsid w:val="00F12017"/>
    <w:rsid w:val="00F168E2"/>
    <w:rsid w:val="00F310F0"/>
    <w:rsid w:val="00F3596F"/>
    <w:rsid w:val="00F46E5B"/>
    <w:rsid w:val="00F56DCC"/>
    <w:rsid w:val="00F60E96"/>
    <w:rsid w:val="00F77137"/>
    <w:rsid w:val="00F801E8"/>
    <w:rsid w:val="00F864CC"/>
    <w:rsid w:val="00F91E9D"/>
    <w:rsid w:val="00FA78FE"/>
    <w:rsid w:val="00FB2E62"/>
    <w:rsid w:val="00FB40B1"/>
    <w:rsid w:val="00FB48BF"/>
    <w:rsid w:val="00FE1289"/>
    <w:rsid w:val="00FF22DB"/>
    <w:rsid w:val="00FF3992"/>
    <w:rsid w:val="00FF4015"/>
    <w:rsid w:val="20CB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7129</Words>
  <Characters>7860</Characters>
  <Lines>57</Lines>
  <Paragraphs>16</Paragraphs>
  <TotalTime>1</TotalTime>
  <ScaleCrop>false</ScaleCrop>
  <LinksUpToDate>false</LinksUpToDate>
  <CharactersWithSpaces>7911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2017-04-10T01:34:00Z</dcterms:created>
  <dc:creator>BH</dc:creator>
  <cp:lastModifiedBy>太极箫客</cp:lastModifiedBy>
  <dcterms:modified xsi:type="dcterms:W3CDTF">2025-08-14T06:17:49Z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9C3627EF35EB45D9B94684AE99D84EC0_12</vt:lpwstr>
  </property>
</Properties>
</file>