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CFE03">
      <w:pPr>
        <w:snapToGrid w:val="0"/>
        <w:spacing w:line="300" w:lineRule="auto"/>
        <w:rPr>
          <w:rFonts w:ascii="Arial" w:hAnsi="Arial" w:eastAsia="宋体" w:cs="Arial"/>
          <w:b/>
        </w:rPr>
      </w:pPr>
      <w:bookmarkStart w:id="0" w:name="OLE_LINK32"/>
      <w:bookmarkStart w:id="1" w:name="OLE_LINK31"/>
      <w:bookmarkStart w:id="2" w:name="OLE_LINK52"/>
      <w:bookmarkStart w:id="3" w:name="OLE_LINK51"/>
      <w:bookmarkStart w:id="4" w:name="OLE_LINK56"/>
      <w:bookmarkStart w:id="5" w:name="OLE_LINK55"/>
      <w:bookmarkStart w:id="49" w:name="_GoBack"/>
      <w:bookmarkEnd w:id="49"/>
      <w:r>
        <w:rPr>
          <w:rFonts w:ascii="Arial" w:hAnsi="Arial" w:eastAsia="宋体" w:cs="Arial"/>
          <w:b/>
        </w:rPr>
        <w:t>II类特殊控制</w:t>
      </w:r>
      <w:r>
        <w:rPr>
          <w:rFonts w:hint="eastAsia" w:ascii="Arial" w:hAnsi="Arial" w:eastAsia="宋体" w:cs="Arial"/>
          <w:b/>
        </w:rPr>
        <w:t>指导性文件</w:t>
      </w:r>
      <w:r>
        <w:rPr>
          <w:rFonts w:ascii="Arial" w:hAnsi="Arial" w:eastAsia="宋体" w:cs="Arial"/>
          <w:b/>
        </w:rPr>
        <w:t>：疟原虫抗原检测试剂盒</w:t>
      </w:r>
    </w:p>
    <w:bookmarkEnd w:id="0"/>
    <w:bookmarkEnd w:id="1"/>
    <w:p w14:paraId="27B5B50C">
      <w:pPr>
        <w:snapToGrid w:val="0"/>
        <w:spacing w:line="300" w:lineRule="auto"/>
        <w:rPr>
          <w:rFonts w:ascii="Arial" w:hAnsi="Arial" w:eastAsia="宋体" w:cs="Arial"/>
        </w:rPr>
      </w:pPr>
    </w:p>
    <w:p w14:paraId="70EA6028">
      <w:pPr>
        <w:snapToGrid w:val="0"/>
        <w:spacing w:line="300" w:lineRule="auto"/>
        <w:rPr>
          <w:rFonts w:ascii="Arial" w:hAnsi="Arial" w:eastAsia="宋体" w:cs="Arial"/>
        </w:rPr>
      </w:pPr>
      <w:r>
        <w:rPr>
          <w:rFonts w:ascii="Arial" w:hAnsi="Arial" w:eastAsia="宋体" w:cs="Arial"/>
        </w:rPr>
        <w:t>发布日期：2008年5月20日</w:t>
      </w:r>
    </w:p>
    <w:p w14:paraId="7877B42A">
      <w:pPr>
        <w:snapToGrid w:val="0"/>
        <w:spacing w:line="300" w:lineRule="auto"/>
        <w:rPr>
          <w:rFonts w:ascii="Arial" w:hAnsi="Arial" w:eastAsia="宋体" w:cs="Arial"/>
        </w:rPr>
      </w:pPr>
    </w:p>
    <w:p w14:paraId="17F8BD9C">
      <w:pPr>
        <w:snapToGrid w:val="0"/>
        <w:spacing w:line="300" w:lineRule="auto"/>
        <w:rPr>
          <w:rFonts w:ascii="Arial" w:hAnsi="Arial" w:eastAsia="宋体" w:cs="Arial"/>
        </w:rPr>
      </w:pPr>
      <w:bookmarkStart w:id="6" w:name="OLE_LINK27"/>
      <w:bookmarkStart w:id="7" w:name="OLE_LINK28"/>
      <w:r>
        <w:rPr>
          <w:rFonts w:ascii="Arial" w:hAnsi="Arial" w:eastAsia="宋体" w:cs="Arial"/>
        </w:rPr>
        <w:t>若对本文件有疑问，请与Freddie Poole联系。联系电话：301-796-5457，电子信箱：</w:t>
      </w:r>
      <w:r>
        <w:fldChar w:fldCharType="begin"/>
      </w:r>
      <w:r>
        <w:instrText xml:space="preserve"> HYPERLINK "mailto:%20freddie.poole@fda.hhs.gov" </w:instrText>
      </w:r>
      <w:r>
        <w:fldChar w:fldCharType="separate"/>
      </w:r>
      <w:r>
        <w:rPr>
          <w:rStyle w:val="8"/>
          <w:rFonts w:ascii="Arial" w:hAnsi="Arial" w:eastAsia="宋体" w:cs="Arial"/>
        </w:rPr>
        <w:t xml:space="preserve"> freddie.poole@fda.hhs.gov</w:t>
      </w:r>
      <w:r>
        <w:rPr>
          <w:rStyle w:val="8"/>
          <w:rFonts w:ascii="Arial" w:hAnsi="Arial" w:eastAsia="宋体" w:cs="Arial"/>
        </w:rPr>
        <w:fldChar w:fldCharType="end"/>
      </w:r>
      <w:r>
        <w:rPr>
          <w:rFonts w:ascii="Arial" w:hAnsi="Arial" w:eastAsia="宋体" w:cs="Arial"/>
        </w:rPr>
        <w:t>。</w:t>
      </w:r>
    </w:p>
    <w:bookmarkEnd w:id="6"/>
    <w:bookmarkEnd w:id="7"/>
    <w:p w14:paraId="773235FF">
      <w:pPr>
        <w:snapToGrid w:val="0"/>
        <w:spacing w:line="300" w:lineRule="auto"/>
        <w:rPr>
          <w:rFonts w:ascii="Arial" w:hAnsi="Arial" w:eastAsia="宋体" w:cs="Arial"/>
        </w:rPr>
      </w:pPr>
    </w:p>
    <w:p w14:paraId="0A9FB5AD">
      <w:pPr>
        <w:snapToGrid w:val="0"/>
        <w:spacing w:line="300" w:lineRule="auto"/>
        <w:ind w:firstLine="2237" w:firstLineChars="1061"/>
        <w:rPr>
          <w:rFonts w:ascii="Arial" w:hAnsi="Arial" w:eastAsia="宋体" w:cs="Arial"/>
          <w:b/>
        </w:rPr>
      </w:pPr>
      <w:r>
        <w:rPr>
          <w:rFonts w:ascii="Arial" w:hAnsi="Arial" w:eastAsia="宋体" w:cs="Arial"/>
          <w:b/>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24765</wp:posOffset>
                </wp:positionV>
                <wp:extent cx="1331595" cy="12071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1651" cy="1207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1133E">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1.95pt;height:95.05pt;width:104.85pt;z-index:251659264;mso-width-relative:page;mso-height-relative:page;" filled="f" stroked="f" coordsize="21600,21600" o:gfxdata="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0VKq3XAAAABgEAAA8AAAAAAAAAAQAgAAAAIgAA&#10;AGRycy9kb3ducmV2LnhtbFBLAQIUABQAAAAIAIdO4kDIJMN8QgIAAHUEAAAOAAAAAAAAAAEAIAAA&#10;ACYBAABkcnMvZTJvRG9jLnhtbFBLBQYAAAAABgAGAFkBAADaBQAAAAA=&#10;">
                <v:fill on="f" focussize="0,0"/>
                <v:stroke on="f" weight="0.5pt"/>
                <v:imagedata o:title=""/>
                <o:lock v:ext="edit" aspectratio="f"/>
                <v:textbox>
                  <w:txbxContent>
                    <w:p w14:paraId="68A1133E">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r>
        <w:rPr>
          <w:rFonts w:hint="eastAsia" w:ascii="Arial" w:hAnsi="Arial" w:eastAsia="宋体" w:cs="Arial"/>
          <w:b/>
        </w:rPr>
        <w:t>美国卫生与公众服务部</w:t>
      </w:r>
    </w:p>
    <w:p w14:paraId="2B2C6AE7">
      <w:pPr>
        <w:snapToGrid w:val="0"/>
        <w:spacing w:line="300" w:lineRule="auto"/>
        <w:ind w:firstLine="2237" w:firstLineChars="1061"/>
        <w:rPr>
          <w:rFonts w:ascii="Arial" w:hAnsi="Arial" w:eastAsia="宋体" w:cs="Arial"/>
          <w:b/>
        </w:rPr>
      </w:pPr>
      <w:r>
        <w:rPr>
          <w:rFonts w:ascii="Arial" w:hAnsi="Arial" w:eastAsia="宋体" w:cs="Arial"/>
          <w:b/>
        </w:rPr>
        <w:t>食品药品监督管理局</w:t>
      </w:r>
    </w:p>
    <w:p w14:paraId="11C16E1A">
      <w:pPr>
        <w:snapToGrid w:val="0"/>
        <w:spacing w:line="300" w:lineRule="auto"/>
        <w:ind w:firstLine="2237" w:firstLineChars="1061"/>
        <w:rPr>
          <w:rFonts w:ascii="Arial" w:hAnsi="Arial" w:eastAsia="宋体" w:cs="Arial"/>
          <w:b/>
        </w:rPr>
      </w:pPr>
      <w:r>
        <w:rPr>
          <w:rFonts w:ascii="Arial" w:hAnsi="Arial" w:eastAsia="宋体" w:cs="Arial"/>
          <w:b/>
        </w:rPr>
        <w:t>器械</w:t>
      </w:r>
      <w:r>
        <w:rPr>
          <w:rFonts w:hint="eastAsia" w:ascii="Arial" w:hAnsi="Arial" w:eastAsia="宋体" w:cs="Arial"/>
          <w:b/>
        </w:rPr>
        <w:t>与</w:t>
      </w:r>
      <w:r>
        <w:rPr>
          <w:rFonts w:ascii="Arial" w:hAnsi="Arial" w:eastAsia="宋体" w:cs="Arial"/>
          <w:b/>
        </w:rPr>
        <w:t>放射</w:t>
      </w:r>
      <w:r>
        <w:rPr>
          <w:rFonts w:hint="eastAsia" w:ascii="Arial" w:hAnsi="Arial" w:eastAsia="宋体" w:cs="Arial"/>
          <w:b/>
        </w:rPr>
        <w:t>健康</w:t>
      </w:r>
      <w:r>
        <w:rPr>
          <w:rFonts w:ascii="Arial" w:hAnsi="Arial" w:eastAsia="宋体" w:cs="Arial"/>
          <w:b/>
        </w:rPr>
        <w:t>中心</w:t>
      </w:r>
    </w:p>
    <w:p w14:paraId="7E07E048">
      <w:pPr>
        <w:snapToGrid w:val="0"/>
        <w:spacing w:line="300" w:lineRule="auto"/>
        <w:ind w:firstLine="2237" w:firstLineChars="1061"/>
        <w:rPr>
          <w:rFonts w:ascii="Arial" w:hAnsi="Arial" w:eastAsia="宋体" w:cs="Arial"/>
          <w:b/>
        </w:rPr>
      </w:pPr>
      <w:r>
        <w:rPr>
          <w:rFonts w:ascii="Arial" w:hAnsi="Arial" w:eastAsia="宋体" w:cs="Arial"/>
          <w:b/>
        </w:rPr>
        <w:t>体外诊断器械</w:t>
      </w:r>
      <w:r>
        <w:rPr>
          <w:rFonts w:hint="eastAsia" w:ascii="Arial" w:hAnsi="Arial" w:eastAsia="宋体" w:cs="Arial"/>
          <w:b/>
        </w:rPr>
        <w:t>评估</w:t>
      </w:r>
      <w:r>
        <w:rPr>
          <w:rFonts w:ascii="Arial" w:hAnsi="Arial" w:eastAsia="宋体" w:cs="Arial"/>
          <w:b/>
        </w:rPr>
        <w:t>和安全办公室</w:t>
      </w:r>
    </w:p>
    <w:p w14:paraId="6A4001AE">
      <w:pPr>
        <w:snapToGrid w:val="0"/>
        <w:spacing w:line="300" w:lineRule="auto"/>
        <w:ind w:firstLine="2237" w:firstLineChars="1061"/>
        <w:rPr>
          <w:rFonts w:ascii="Arial" w:hAnsi="Arial" w:eastAsia="宋体" w:cs="Arial"/>
          <w:b/>
        </w:rPr>
      </w:pPr>
      <w:r>
        <w:rPr>
          <w:rFonts w:ascii="Arial" w:hAnsi="Arial" w:eastAsia="宋体" w:cs="Arial"/>
          <w:b/>
        </w:rPr>
        <w:t>微生物学检测器械</w:t>
      </w:r>
      <w:r>
        <w:rPr>
          <w:rFonts w:hint="eastAsia" w:ascii="Arial" w:hAnsi="Arial" w:eastAsia="宋体" w:cs="Arial"/>
          <w:b/>
        </w:rPr>
        <w:t>部</w:t>
      </w:r>
    </w:p>
    <w:p w14:paraId="0B6D8F1B">
      <w:pPr>
        <w:snapToGrid w:val="0"/>
        <w:spacing w:line="300" w:lineRule="auto"/>
        <w:rPr>
          <w:rFonts w:ascii="Arial" w:hAnsi="Arial" w:eastAsia="宋体" w:cs="Arial"/>
        </w:rPr>
      </w:pPr>
    </w:p>
    <w:p w14:paraId="59075CBE">
      <w:pPr>
        <w:snapToGrid w:val="0"/>
        <w:spacing w:line="300" w:lineRule="auto"/>
        <w:rPr>
          <w:rFonts w:ascii="Arial" w:hAnsi="Arial" w:eastAsia="宋体" w:cs="Arial"/>
          <w:b/>
        </w:rPr>
      </w:pPr>
      <w:r>
        <w:rPr>
          <w:rFonts w:ascii="Arial" w:hAnsi="Arial" w:eastAsia="宋体" w:cs="Arial"/>
          <w:b/>
        </w:rPr>
        <w:t>前言</w:t>
      </w:r>
    </w:p>
    <w:p w14:paraId="03424AAE">
      <w:pPr>
        <w:snapToGrid w:val="0"/>
        <w:spacing w:line="300" w:lineRule="auto"/>
        <w:rPr>
          <w:rFonts w:ascii="Arial" w:hAnsi="Arial" w:eastAsia="宋体" w:cs="Arial"/>
          <w:b/>
        </w:rPr>
      </w:pPr>
      <w:r>
        <w:rPr>
          <w:rFonts w:ascii="Arial" w:hAnsi="Arial" w:eastAsia="宋体" w:cs="Arial"/>
          <w:b/>
        </w:rPr>
        <w:t>公众评论</w:t>
      </w:r>
    </w:p>
    <w:p w14:paraId="748E6C82">
      <w:pPr>
        <w:snapToGrid w:val="0"/>
        <w:spacing w:line="300" w:lineRule="auto"/>
        <w:rPr>
          <w:rFonts w:ascii="Arial" w:hAnsi="Arial" w:eastAsia="宋体" w:cs="Arial"/>
        </w:rPr>
      </w:pPr>
    </w:p>
    <w:p w14:paraId="65E0C2C9">
      <w:pPr>
        <w:snapToGrid w:val="0"/>
        <w:spacing w:line="300" w:lineRule="auto"/>
        <w:rPr>
          <w:rFonts w:ascii="Arial" w:hAnsi="Arial" w:eastAsia="宋体" w:cs="Arial"/>
        </w:rPr>
      </w:pPr>
      <w:r>
        <w:rPr>
          <w:rFonts w:ascii="Arial" w:hAnsi="Arial" w:eastAsia="宋体" w:cs="Arial"/>
        </w:rPr>
        <w:t>若有书面评论和建议可随时提交至食品药品监督管理局</w:t>
      </w:r>
      <w:r>
        <w:rPr>
          <w:rFonts w:hint="eastAsia" w:ascii="Arial" w:hAnsi="Arial" w:eastAsia="宋体" w:cs="Arial"/>
        </w:rPr>
        <w:t>文档管理部，</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20852。若为电子评论可提交至http://www.regulations.gov网站。提交评论时，请注明</w:t>
      </w:r>
      <w:r>
        <w:rPr>
          <w:rFonts w:hint="eastAsia" w:ascii="Arial" w:hAnsi="Arial" w:eastAsia="宋体" w:cs="Arial"/>
        </w:rPr>
        <w:t>文档</w:t>
      </w:r>
      <w:r>
        <w:rPr>
          <w:rFonts w:ascii="Arial" w:hAnsi="Arial" w:eastAsia="宋体" w:cs="Arial"/>
        </w:rPr>
        <w:t>编号FDA-2008-D-0230。</w:t>
      </w:r>
      <w:r>
        <w:rPr>
          <w:rFonts w:hint="eastAsia" w:ascii="Arial" w:hAnsi="Arial" w:eastAsia="宋体" w:cs="Arial"/>
        </w:rPr>
        <w:t>可能直到文件下次修订或更新时，评论才会被机构受理。</w:t>
      </w:r>
    </w:p>
    <w:p w14:paraId="45828AD4">
      <w:pPr>
        <w:snapToGrid w:val="0"/>
        <w:spacing w:line="300" w:lineRule="auto"/>
        <w:rPr>
          <w:rFonts w:ascii="Arial" w:hAnsi="Arial" w:eastAsia="宋体" w:cs="Arial"/>
        </w:rPr>
      </w:pPr>
    </w:p>
    <w:p w14:paraId="1ED10E94">
      <w:pPr>
        <w:snapToGrid w:val="0"/>
        <w:spacing w:line="300" w:lineRule="auto"/>
        <w:rPr>
          <w:rFonts w:ascii="Arial" w:hAnsi="Arial" w:eastAsia="宋体" w:cs="Arial"/>
          <w:b/>
        </w:rPr>
      </w:pPr>
      <w:bookmarkStart w:id="8" w:name="OLE_LINK147"/>
      <w:bookmarkStart w:id="9" w:name="OLE_LINK146"/>
      <w:r>
        <w:rPr>
          <w:rFonts w:ascii="Arial" w:hAnsi="Arial" w:eastAsia="宋体" w:cs="Arial"/>
          <w:b/>
        </w:rPr>
        <w:t>其他副本</w:t>
      </w:r>
    </w:p>
    <w:p w14:paraId="2EF1F4C8">
      <w:pPr>
        <w:snapToGrid w:val="0"/>
        <w:spacing w:line="300" w:lineRule="auto"/>
        <w:rPr>
          <w:rFonts w:ascii="Arial" w:hAnsi="Arial" w:eastAsia="宋体" w:cs="Arial"/>
        </w:rPr>
      </w:pPr>
    </w:p>
    <w:p w14:paraId="3A90D8DB">
      <w:pPr>
        <w:snapToGrid w:val="0"/>
        <w:spacing w:line="300" w:lineRule="auto"/>
        <w:rPr>
          <w:rFonts w:ascii="Arial" w:hAnsi="Arial" w:eastAsia="宋体" w:cs="Arial"/>
        </w:rPr>
      </w:pPr>
      <w:r>
        <w:rPr>
          <w:rFonts w:ascii="Arial" w:hAnsi="Arial" w:eastAsia="宋体" w:cs="Arial"/>
        </w:rPr>
        <w:t>其他副本可从网上下载。贵公司还可发送电邮申请至dsmica@fda.hhs.gov获取本指南的电子副本或发送传真申请至301-847-8149获取复印件。请用文件编号1646确认贵公司索取的指南。</w:t>
      </w:r>
      <w:bookmarkEnd w:id="8"/>
      <w:bookmarkEnd w:id="9"/>
      <w:r>
        <w:rPr>
          <w:rFonts w:ascii="Arial" w:hAnsi="Arial" w:eastAsia="宋体" w:cs="Arial"/>
        </w:rPr>
        <w:t>对本指南的使用或解释若有疑问，请致电或发送电子邮件与我们联系。联系电话：301-796-5457，电子信箱：</w:t>
      </w:r>
      <w:r>
        <w:fldChar w:fldCharType="begin"/>
      </w:r>
      <w:r>
        <w:instrText xml:space="preserve"> HYPERLINK "mailto:freddie.poole@fda.hhs.gov" </w:instrText>
      </w:r>
      <w:r>
        <w:fldChar w:fldCharType="separate"/>
      </w:r>
      <w:r>
        <w:rPr>
          <w:rStyle w:val="8"/>
          <w:rFonts w:ascii="Arial" w:hAnsi="Arial" w:eastAsia="宋体" w:cs="Arial"/>
        </w:rPr>
        <w:t>freddie.poole@fda.hhs.gov</w:t>
      </w:r>
      <w:r>
        <w:rPr>
          <w:rStyle w:val="8"/>
          <w:rFonts w:ascii="Arial" w:hAnsi="Arial" w:eastAsia="宋体" w:cs="Arial"/>
        </w:rPr>
        <w:fldChar w:fldCharType="end"/>
      </w:r>
      <w:r>
        <w:rPr>
          <w:rFonts w:ascii="Arial" w:hAnsi="Arial" w:eastAsia="宋体" w:cs="Arial"/>
        </w:rPr>
        <w:t>。</w:t>
      </w:r>
    </w:p>
    <w:p w14:paraId="6B22FB89">
      <w:pPr>
        <w:snapToGrid w:val="0"/>
        <w:spacing w:line="300" w:lineRule="auto"/>
        <w:rPr>
          <w:rFonts w:ascii="Arial" w:hAnsi="Arial" w:eastAsia="宋体" w:cs="Arial"/>
        </w:rPr>
      </w:pPr>
    </w:p>
    <w:p w14:paraId="749C18FF">
      <w:pPr>
        <w:snapToGrid w:val="0"/>
        <w:spacing w:line="300" w:lineRule="auto"/>
        <w:rPr>
          <w:rFonts w:ascii="Arial" w:hAnsi="Arial" w:eastAsia="宋体" w:cs="Arial"/>
          <w:b/>
        </w:rPr>
      </w:pPr>
      <w:r>
        <w:rPr>
          <w:rFonts w:ascii="Arial" w:hAnsi="Arial" w:eastAsia="宋体" w:cs="Arial"/>
          <w:b/>
        </w:rPr>
        <w:t>目录</w:t>
      </w:r>
    </w:p>
    <w:p w14:paraId="2BBCFACB">
      <w:pPr>
        <w:snapToGrid w:val="0"/>
        <w:spacing w:line="300" w:lineRule="auto"/>
        <w:rPr>
          <w:rFonts w:ascii="Arial" w:hAnsi="Arial" w:eastAsia="宋体" w:cs="Arial"/>
        </w:rPr>
      </w:pPr>
    </w:p>
    <w:p w14:paraId="290B2638">
      <w:pPr>
        <w:snapToGrid w:val="0"/>
        <w:spacing w:line="300" w:lineRule="auto"/>
        <w:rPr>
          <w:rFonts w:ascii="Arial" w:hAnsi="Arial" w:eastAsia="宋体" w:cs="Arial"/>
          <w:color w:val="800080"/>
          <w:u w:val="single"/>
        </w:rPr>
      </w:pPr>
      <w:r>
        <w:rPr>
          <w:rFonts w:ascii="Arial" w:hAnsi="Arial" w:eastAsia="宋体" w:cs="Arial"/>
          <w:color w:val="800080"/>
          <w:u w:val="single"/>
        </w:rPr>
        <w:t>1. 简介</w:t>
      </w:r>
    </w:p>
    <w:p w14:paraId="0081F5F4">
      <w:pPr>
        <w:snapToGrid w:val="0"/>
        <w:spacing w:line="300" w:lineRule="auto"/>
        <w:rPr>
          <w:rFonts w:ascii="Arial" w:hAnsi="Arial" w:eastAsia="宋体" w:cs="Arial"/>
          <w:color w:val="800080"/>
          <w:u w:val="single"/>
        </w:rPr>
      </w:pPr>
      <w:r>
        <w:rPr>
          <w:rFonts w:ascii="Arial" w:hAnsi="Arial" w:eastAsia="宋体" w:cs="Arial"/>
          <w:color w:val="800080"/>
          <w:u w:val="single"/>
        </w:rPr>
        <w:t>最小负担法</w:t>
      </w:r>
    </w:p>
    <w:p w14:paraId="22F63B55">
      <w:pPr>
        <w:snapToGrid w:val="0"/>
        <w:spacing w:line="300" w:lineRule="auto"/>
        <w:rPr>
          <w:rFonts w:ascii="Arial" w:hAnsi="Arial" w:eastAsia="宋体" w:cs="Arial"/>
          <w:color w:val="800080"/>
          <w:u w:val="single"/>
        </w:rPr>
      </w:pPr>
      <w:r>
        <w:rPr>
          <w:rFonts w:ascii="Arial" w:hAnsi="Arial" w:eastAsia="宋体" w:cs="Arial"/>
          <w:color w:val="800080"/>
          <w:u w:val="single"/>
        </w:rPr>
        <w:t>2. 背景</w:t>
      </w:r>
    </w:p>
    <w:p w14:paraId="57CCF4BE">
      <w:pPr>
        <w:snapToGrid w:val="0"/>
        <w:spacing w:line="300" w:lineRule="auto"/>
        <w:rPr>
          <w:rFonts w:ascii="Arial" w:hAnsi="Arial" w:eastAsia="宋体" w:cs="Arial"/>
          <w:color w:val="800080"/>
          <w:u w:val="single"/>
        </w:rPr>
      </w:pPr>
      <w:r>
        <w:rPr>
          <w:rFonts w:ascii="Arial" w:hAnsi="Arial" w:eastAsia="宋体" w:cs="Arial"/>
          <w:color w:val="800080"/>
          <w:u w:val="single"/>
        </w:rPr>
        <w:t>3. 适用范围</w:t>
      </w:r>
    </w:p>
    <w:p w14:paraId="2B0F7A39">
      <w:pPr>
        <w:snapToGrid w:val="0"/>
        <w:spacing w:line="300" w:lineRule="auto"/>
        <w:rPr>
          <w:rFonts w:ascii="Arial" w:hAnsi="Arial" w:eastAsia="宋体" w:cs="Arial"/>
          <w:color w:val="800080"/>
          <w:u w:val="single"/>
        </w:rPr>
      </w:pPr>
      <w:r>
        <w:rPr>
          <w:rFonts w:ascii="Arial" w:hAnsi="Arial" w:eastAsia="宋体" w:cs="Arial"/>
          <w:color w:val="800080"/>
          <w:u w:val="single"/>
        </w:rPr>
        <w:t>4. 健康风险</w:t>
      </w:r>
    </w:p>
    <w:p w14:paraId="3DC35D8F">
      <w:pPr>
        <w:snapToGrid w:val="0"/>
        <w:spacing w:line="300" w:lineRule="auto"/>
        <w:rPr>
          <w:rFonts w:ascii="Arial" w:hAnsi="Arial" w:eastAsia="宋体" w:cs="Arial"/>
          <w:color w:val="800080"/>
          <w:u w:val="single"/>
        </w:rPr>
      </w:pPr>
      <w:r>
        <w:rPr>
          <w:rFonts w:ascii="Arial" w:hAnsi="Arial" w:eastAsia="宋体" w:cs="Arial"/>
          <w:color w:val="800080"/>
          <w:u w:val="single"/>
        </w:rPr>
        <w:t>5. 器械描述</w:t>
      </w:r>
    </w:p>
    <w:p w14:paraId="09571984">
      <w:pPr>
        <w:snapToGrid w:val="0"/>
        <w:spacing w:line="300" w:lineRule="auto"/>
        <w:rPr>
          <w:rFonts w:ascii="Arial" w:hAnsi="Arial" w:eastAsia="宋体" w:cs="Arial"/>
          <w:color w:val="800080"/>
          <w:u w:val="single"/>
        </w:rPr>
      </w:pPr>
      <w:r>
        <w:rPr>
          <w:rFonts w:ascii="Arial" w:hAnsi="Arial" w:eastAsia="宋体" w:cs="Arial"/>
          <w:color w:val="800080"/>
          <w:u w:val="single"/>
        </w:rPr>
        <w:t>6. 性能特征</w:t>
      </w:r>
    </w:p>
    <w:p w14:paraId="5F6E27E6">
      <w:pPr>
        <w:snapToGrid w:val="0"/>
        <w:spacing w:line="300" w:lineRule="auto"/>
        <w:rPr>
          <w:rFonts w:ascii="Arial" w:hAnsi="Arial" w:eastAsia="宋体" w:cs="Arial"/>
          <w:color w:val="800080"/>
          <w:u w:val="single"/>
        </w:rPr>
      </w:pPr>
      <w:r>
        <w:rPr>
          <w:rFonts w:ascii="Arial" w:hAnsi="Arial" w:eastAsia="宋体" w:cs="Arial"/>
          <w:color w:val="800080"/>
          <w:u w:val="single"/>
        </w:rPr>
        <w:t>通用研究推荐规范</w:t>
      </w:r>
    </w:p>
    <w:p w14:paraId="3ABBEEF7">
      <w:pPr>
        <w:snapToGrid w:val="0"/>
        <w:spacing w:line="300" w:lineRule="auto"/>
        <w:rPr>
          <w:rFonts w:ascii="Arial" w:hAnsi="Arial" w:eastAsia="宋体" w:cs="Arial"/>
          <w:color w:val="800080"/>
          <w:u w:val="single"/>
        </w:rPr>
      </w:pPr>
      <w:r>
        <w:rPr>
          <w:rFonts w:ascii="Arial" w:hAnsi="Arial" w:eastAsia="宋体" w:cs="Arial"/>
          <w:color w:val="800080"/>
          <w:u w:val="single"/>
        </w:rPr>
        <w:t>A. 标本采集和处理条件</w:t>
      </w:r>
    </w:p>
    <w:p w14:paraId="307F0C71">
      <w:pPr>
        <w:snapToGrid w:val="0"/>
        <w:spacing w:line="300" w:lineRule="auto"/>
        <w:rPr>
          <w:rFonts w:ascii="Arial" w:hAnsi="Arial" w:eastAsia="宋体" w:cs="Arial"/>
          <w:color w:val="800080"/>
          <w:u w:val="single"/>
        </w:rPr>
      </w:pPr>
      <w:r>
        <w:rPr>
          <w:rFonts w:ascii="Arial" w:hAnsi="Arial" w:eastAsia="宋体" w:cs="Arial"/>
          <w:color w:val="800080"/>
          <w:u w:val="single"/>
        </w:rPr>
        <w:t>B. 精密度测定（重复性/再现性）</w:t>
      </w:r>
    </w:p>
    <w:p w14:paraId="7728D856">
      <w:pPr>
        <w:snapToGrid w:val="0"/>
        <w:spacing w:line="300" w:lineRule="auto"/>
        <w:rPr>
          <w:rFonts w:ascii="Arial" w:hAnsi="Arial" w:eastAsia="宋体" w:cs="Arial"/>
          <w:color w:val="800080"/>
          <w:u w:val="single"/>
        </w:rPr>
      </w:pPr>
      <w:r>
        <w:rPr>
          <w:rFonts w:ascii="Arial" w:hAnsi="Arial" w:eastAsia="宋体" w:cs="Arial"/>
          <w:color w:val="800080"/>
          <w:u w:val="single"/>
        </w:rPr>
        <w:t>C. 干扰情况</w:t>
      </w:r>
    </w:p>
    <w:p w14:paraId="704BF4D7">
      <w:pPr>
        <w:snapToGrid w:val="0"/>
        <w:spacing w:line="300" w:lineRule="auto"/>
        <w:rPr>
          <w:rFonts w:ascii="Arial" w:hAnsi="Arial" w:eastAsia="宋体" w:cs="Arial"/>
          <w:color w:val="800080"/>
          <w:u w:val="single"/>
        </w:rPr>
      </w:pPr>
      <w:r>
        <w:rPr>
          <w:rFonts w:ascii="Arial" w:hAnsi="Arial" w:eastAsia="宋体" w:cs="Arial"/>
          <w:color w:val="800080"/>
          <w:u w:val="single"/>
        </w:rPr>
        <w:t>D. 分析特异度（交叉反应性）</w:t>
      </w:r>
    </w:p>
    <w:p w14:paraId="4F91A417">
      <w:pPr>
        <w:snapToGrid w:val="0"/>
        <w:spacing w:line="300" w:lineRule="auto"/>
        <w:rPr>
          <w:rFonts w:ascii="Arial" w:hAnsi="Arial" w:eastAsia="宋体" w:cs="Arial"/>
          <w:color w:val="800080"/>
          <w:u w:val="single"/>
        </w:rPr>
      </w:pPr>
      <w:r>
        <w:rPr>
          <w:rFonts w:ascii="Arial" w:hAnsi="Arial" w:eastAsia="宋体" w:cs="Arial"/>
          <w:color w:val="800080"/>
          <w:u w:val="single"/>
        </w:rPr>
        <w:t>E. 检测极限（分析灵敏度）</w:t>
      </w:r>
    </w:p>
    <w:p w14:paraId="67D0B53B">
      <w:pPr>
        <w:snapToGrid w:val="0"/>
        <w:spacing w:line="300" w:lineRule="auto"/>
        <w:rPr>
          <w:rFonts w:ascii="Arial" w:hAnsi="Arial" w:eastAsia="宋体" w:cs="Arial"/>
          <w:color w:val="800080"/>
          <w:u w:val="single"/>
        </w:rPr>
      </w:pPr>
      <w:r>
        <w:rPr>
          <w:rFonts w:ascii="Arial" w:hAnsi="Arial" w:eastAsia="宋体" w:cs="Arial"/>
          <w:color w:val="800080"/>
          <w:u w:val="single"/>
        </w:rPr>
        <w:t>F. 分析反应性</w:t>
      </w:r>
    </w:p>
    <w:p w14:paraId="44CCF4C2">
      <w:pPr>
        <w:snapToGrid w:val="0"/>
        <w:spacing w:line="300" w:lineRule="auto"/>
        <w:rPr>
          <w:rFonts w:ascii="Arial" w:hAnsi="Arial" w:eastAsia="宋体" w:cs="Arial"/>
          <w:color w:val="800080"/>
          <w:u w:val="single"/>
        </w:rPr>
      </w:pPr>
      <w:r>
        <w:rPr>
          <w:rFonts w:ascii="Arial" w:hAnsi="Arial" w:eastAsia="宋体" w:cs="Arial"/>
          <w:color w:val="800080"/>
          <w:u w:val="single"/>
        </w:rPr>
        <w:t>G. 患病率（期望值）</w:t>
      </w:r>
    </w:p>
    <w:p w14:paraId="3FEC5384">
      <w:pPr>
        <w:snapToGrid w:val="0"/>
        <w:spacing w:line="300" w:lineRule="auto"/>
        <w:rPr>
          <w:rFonts w:ascii="Arial" w:hAnsi="Arial" w:eastAsia="宋体" w:cs="Arial"/>
          <w:color w:val="800080"/>
          <w:u w:val="single"/>
        </w:rPr>
      </w:pPr>
      <w:r>
        <w:rPr>
          <w:rFonts w:ascii="Arial" w:hAnsi="Arial" w:eastAsia="宋体" w:cs="Arial"/>
          <w:color w:val="800080"/>
          <w:u w:val="single"/>
        </w:rPr>
        <w:t>H. 方法比较</w:t>
      </w:r>
    </w:p>
    <w:p w14:paraId="42FF829C">
      <w:pPr>
        <w:snapToGrid w:val="0"/>
        <w:spacing w:line="300" w:lineRule="auto"/>
        <w:rPr>
          <w:rFonts w:ascii="Arial" w:hAnsi="Arial" w:eastAsia="宋体" w:cs="Arial"/>
          <w:color w:val="800080"/>
          <w:u w:val="single"/>
        </w:rPr>
      </w:pPr>
      <w:r>
        <w:rPr>
          <w:rFonts w:ascii="Arial" w:hAnsi="Arial" w:eastAsia="宋体" w:cs="Arial"/>
          <w:color w:val="800080"/>
          <w:u w:val="single"/>
        </w:rPr>
        <w:t>I.  结果报告</w:t>
      </w:r>
    </w:p>
    <w:p w14:paraId="57E0EB27">
      <w:pPr>
        <w:snapToGrid w:val="0"/>
        <w:spacing w:line="300" w:lineRule="auto"/>
        <w:rPr>
          <w:rFonts w:ascii="Arial" w:hAnsi="Arial" w:eastAsia="宋体" w:cs="Arial"/>
          <w:color w:val="800080"/>
          <w:u w:val="single"/>
        </w:rPr>
      </w:pPr>
      <w:r>
        <w:rPr>
          <w:rFonts w:ascii="Arial" w:hAnsi="Arial" w:eastAsia="宋体" w:cs="Arial"/>
          <w:color w:val="800080"/>
          <w:u w:val="single"/>
        </w:rPr>
        <w:t>7. 贴标</w:t>
      </w:r>
    </w:p>
    <w:p w14:paraId="6B6481E9">
      <w:pPr>
        <w:snapToGrid w:val="0"/>
        <w:spacing w:line="300" w:lineRule="auto"/>
        <w:rPr>
          <w:rFonts w:ascii="Arial" w:hAnsi="Arial" w:eastAsia="宋体" w:cs="Arial"/>
          <w:color w:val="800080"/>
          <w:u w:val="single"/>
        </w:rPr>
      </w:pPr>
      <w:r>
        <w:rPr>
          <w:rFonts w:ascii="Arial" w:hAnsi="Arial" w:eastAsia="宋体" w:cs="Arial"/>
          <w:color w:val="800080"/>
          <w:u w:val="single"/>
        </w:rPr>
        <w:t>A. 预期用途</w:t>
      </w:r>
    </w:p>
    <w:p w14:paraId="0DFF9673">
      <w:pPr>
        <w:snapToGrid w:val="0"/>
        <w:spacing w:line="300" w:lineRule="auto"/>
        <w:rPr>
          <w:rFonts w:ascii="Arial" w:hAnsi="Arial" w:eastAsia="宋体" w:cs="Arial"/>
          <w:color w:val="800080"/>
          <w:u w:val="single"/>
        </w:rPr>
      </w:pPr>
      <w:r>
        <w:rPr>
          <w:rFonts w:ascii="Arial" w:hAnsi="Arial" w:eastAsia="宋体" w:cs="Arial"/>
          <w:color w:val="800080"/>
          <w:u w:val="single"/>
        </w:rPr>
        <w:t>B. 器械描述</w:t>
      </w:r>
    </w:p>
    <w:p w14:paraId="5E96E418">
      <w:pPr>
        <w:snapToGrid w:val="0"/>
        <w:spacing w:line="300" w:lineRule="auto"/>
        <w:rPr>
          <w:rFonts w:ascii="Arial" w:hAnsi="Arial" w:eastAsia="宋体" w:cs="Arial"/>
          <w:color w:val="800080"/>
          <w:u w:val="single"/>
        </w:rPr>
      </w:pPr>
      <w:r>
        <w:rPr>
          <w:rFonts w:ascii="Arial" w:hAnsi="Arial" w:eastAsia="宋体" w:cs="Arial"/>
          <w:color w:val="800080"/>
          <w:u w:val="single"/>
        </w:rPr>
        <w:t>C. 使用说明</w:t>
      </w:r>
    </w:p>
    <w:p w14:paraId="333D997B">
      <w:pPr>
        <w:snapToGrid w:val="0"/>
        <w:spacing w:line="300" w:lineRule="auto"/>
        <w:rPr>
          <w:rFonts w:ascii="Arial" w:hAnsi="Arial" w:eastAsia="宋体" w:cs="Arial"/>
          <w:color w:val="800080"/>
          <w:u w:val="single"/>
        </w:rPr>
      </w:pPr>
      <w:r>
        <w:rPr>
          <w:rFonts w:ascii="Arial" w:hAnsi="Arial" w:eastAsia="宋体" w:cs="Arial"/>
          <w:color w:val="800080"/>
          <w:u w:val="single"/>
        </w:rPr>
        <w:t>D. 质量控制</w:t>
      </w:r>
    </w:p>
    <w:p w14:paraId="67972A90">
      <w:pPr>
        <w:snapToGrid w:val="0"/>
        <w:spacing w:line="300" w:lineRule="auto"/>
        <w:rPr>
          <w:rFonts w:ascii="Arial" w:hAnsi="Arial" w:eastAsia="宋体" w:cs="Arial"/>
          <w:color w:val="800080"/>
          <w:u w:val="single"/>
        </w:rPr>
      </w:pPr>
      <w:r>
        <w:rPr>
          <w:rFonts w:ascii="Arial" w:hAnsi="Arial" w:eastAsia="宋体" w:cs="Arial"/>
          <w:color w:val="800080"/>
          <w:u w:val="single"/>
        </w:rPr>
        <w:t>E. 注意事项、警告信息和局限性</w:t>
      </w:r>
    </w:p>
    <w:p w14:paraId="1FACF5E9">
      <w:pPr>
        <w:snapToGrid w:val="0"/>
        <w:spacing w:line="300" w:lineRule="auto"/>
        <w:rPr>
          <w:rFonts w:ascii="Arial" w:hAnsi="Arial" w:eastAsia="宋体" w:cs="Arial"/>
          <w:color w:val="800080"/>
          <w:u w:val="single"/>
        </w:rPr>
      </w:pPr>
      <w:r>
        <w:rPr>
          <w:rFonts w:ascii="Arial" w:hAnsi="Arial" w:eastAsia="宋体" w:cs="Arial"/>
          <w:color w:val="800080"/>
          <w:u w:val="single"/>
        </w:rPr>
        <w:t>F. 结果解释</w:t>
      </w:r>
    </w:p>
    <w:p w14:paraId="05AE6CD9">
      <w:pPr>
        <w:snapToGrid w:val="0"/>
        <w:spacing w:line="300" w:lineRule="auto"/>
        <w:rPr>
          <w:rFonts w:ascii="Arial" w:hAnsi="Arial" w:eastAsia="宋体" w:cs="Arial"/>
          <w:color w:val="800080"/>
          <w:u w:val="single"/>
        </w:rPr>
      </w:pPr>
      <w:r>
        <w:rPr>
          <w:rFonts w:ascii="Arial" w:hAnsi="Arial" w:eastAsia="宋体" w:cs="Arial"/>
          <w:color w:val="800080"/>
          <w:u w:val="single"/>
        </w:rPr>
        <w:t>G. 患病率</w:t>
      </w:r>
    </w:p>
    <w:p w14:paraId="71A8171C">
      <w:pPr>
        <w:snapToGrid w:val="0"/>
        <w:spacing w:line="300" w:lineRule="auto"/>
        <w:rPr>
          <w:rFonts w:ascii="Arial" w:hAnsi="Arial" w:eastAsia="宋体" w:cs="Arial"/>
          <w:color w:val="800080"/>
          <w:u w:val="single"/>
        </w:rPr>
      </w:pPr>
      <w:r>
        <w:rPr>
          <w:rFonts w:ascii="Arial" w:hAnsi="Arial" w:eastAsia="宋体" w:cs="Arial"/>
          <w:color w:val="800080"/>
          <w:u w:val="single"/>
        </w:rPr>
        <w:t>H. 性能特征</w:t>
      </w:r>
    </w:p>
    <w:p w14:paraId="6B8A27D0">
      <w:pPr>
        <w:snapToGrid w:val="0"/>
        <w:spacing w:line="300" w:lineRule="auto"/>
        <w:rPr>
          <w:rFonts w:ascii="Arial" w:hAnsi="Arial" w:eastAsia="宋体" w:cs="Arial"/>
        </w:rPr>
      </w:pPr>
    </w:p>
    <w:p w14:paraId="0AD5F6EC">
      <w:pPr>
        <w:snapToGrid w:val="0"/>
        <w:spacing w:line="300" w:lineRule="auto"/>
        <w:rPr>
          <w:rFonts w:ascii="Arial" w:hAnsi="Arial" w:eastAsia="宋体" w:cs="Arial"/>
          <w:b/>
        </w:rPr>
      </w:pPr>
      <w:r>
        <w:rPr>
          <w:rFonts w:ascii="Arial" w:hAnsi="Arial" w:eastAsia="宋体" w:cs="Arial"/>
          <w:b/>
        </w:rPr>
        <w:t>行业和食品药品监督管理局工作人员指南</w:t>
      </w:r>
    </w:p>
    <w:p w14:paraId="52FB57DA">
      <w:pPr>
        <w:snapToGrid w:val="0"/>
        <w:spacing w:line="300" w:lineRule="auto"/>
        <w:rPr>
          <w:rFonts w:ascii="Arial" w:hAnsi="Arial" w:eastAsia="宋体" w:cs="Arial"/>
        </w:rPr>
      </w:pPr>
    </w:p>
    <w:p w14:paraId="4FF8B981">
      <w:pPr>
        <w:snapToGrid w:val="0"/>
        <w:spacing w:line="300" w:lineRule="auto"/>
        <w:rPr>
          <w:rFonts w:ascii="Arial" w:hAnsi="Arial" w:eastAsia="宋体" w:cs="Arial"/>
          <w:b/>
        </w:rPr>
      </w:pPr>
      <w:bookmarkStart w:id="10" w:name="OLE_LINK68"/>
      <w:bookmarkStart w:id="11" w:name="OLE_LINK67"/>
      <w:r>
        <w:rPr>
          <w:rFonts w:ascii="Arial" w:hAnsi="Arial" w:eastAsia="宋体" w:cs="Arial"/>
          <w:b/>
        </w:rPr>
        <w:t>II类特殊控制</w:t>
      </w:r>
      <w:r>
        <w:rPr>
          <w:rFonts w:hint="eastAsia" w:ascii="Arial" w:hAnsi="Arial" w:eastAsia="宋体" w:cs="Arial"/>
          <w:b/>
        </w:rPr>
        <w:t>指导性文件</w:t>
      </w:r>
      <w:r>
        <w:rPr>
          <w:rFonts w:ascii="Arial" w:hAnsi="Arial" w:eastAsia="宋体" w:cs="Arial"/>
          <w:b/>
        </w:rPr>
        <w:t>：</w:t>
      </w:r>
      <w:bookmarkStart w:id="12" w:name="OLE_LINK58"/>
      <w:bookmarkStart w:id="13" w:name="OLE_LINK1"/>
      <w:bookmarkStart w:id="14" w:name="OLE_LINK59"/>
      <w:r>
        <w:rPr>
          <w:rFonts w:ascii="Arial" w:hAnsi="Arial" w:eastAsia="宋体" w:cs="Arial"/>
          <w:b/>
        </w:rPr>
        <w:t>疟原虫抗原检测试剂盒</w:t>
      </w:r>
      <w:bookmarkEnd w:id="12"/>
      <w:bookmarkEnd w:id="13"/>
      <w:bookmarkEnd w:id="14"/>
    </w:p>
    <w:bookmarkEnd w:id="10"/>
    <w:bookmarkEnd w:id="11"/>
    <w:p w14:paraId="5D930B06">
      <w:pPr>
        <w:snapToGrid w:val="0"/>
        <w:spacing w:line="300" w:lineRule="auto"/>
        <w:rPr>
          <w:rFonts w:ascii="Arial" w:hAnsi="Arial" w:eastAsia="宋体" w:cs="Arial"/>
        </w:rPr>
      </w:pPr>
    </w:p>
    <w:p w14:paraId="6C4763D8">
      <w:pPr>
        <w:snapToGrid w:val="0"/>
        <w:spacing w:line="300" w:lineRule="auto"/>
        <w:rPr>
          <w:rFonts w:ascii="Arial" w:hAnsi="Arial" w:eastAsia="宋体" w:cs="Arial"/>
          <w:b/>
        </w:rPr>
      </w:pPr>
      <w:r>
        <w:rPr>
          <w:rFonts w:ascii="Arial" w:hAnsi="Arial" w:eastAsia="宋体" w:cs="Arial"/>
          <w:b/>
        </w:rPr>
        <w:t>1. 简介</w:t>
      </w:r>
    </w:p>
    <w:p w14:paraId="5B026620">
      <w:pPr>
        <w:snapToGrid w:val="0"/>
        <w:spacing w:line="300" w:lineRule="auto"/>
        <w:rPr>
          <w:rFonts w:ascii="Arial" w:hAnsi="Arial" w:eastAsia="宋体" w:cs="Arial"/>
        </w:rPr>
      </w:pPr>
    </w:p>
    <w:p w14:paraId="54F5F916">
      <w:pPr>
        <w:snapToGrid w:val="0"/>
        <w:spacing w:line="300" w:lineRule="auto"/>
        <w:rPr>
          <w:rFonts w:ascii="Arial" w:hAnsi="Arial" w:eastAsia="宋体" w:cs="Arial"/>
        </w:rPr>
      </w:pPr>
      <w:r>
        <w:rPr>
          <w:rFonts w:ascii="Arial" w:hAnsi="Arial" w:eastAsia="宋体" w:cs="Arial"/>
        </w:rPr>
        <w:t>编制本特殊控制指南的目的是支持将疟原虫抗原检测试剂盒归入II类器械（特殊控制）。</w:t>
      </w:r>
      <w:bookmarkStart w:id="15" w:name="OLE_LINK66"/>
      <w:bookmarkStart w:id="16" w:name="OLE_LINK65"/>
      <w:r>
        <w:rPr>
          <w:rFonts w:ascii="Arial" w:hAnsi="Arial" w:eastAsia="宋体" w:cs="Arial"/>
        </w:rPr>
        <w:t>疟原虫抗原检测试剂盒是一种利用抗体检测人全血中疟原虫特异性抗原（包括富组氨酸蛋白-2（histidine-rich protein-2，HRP2）特异性抗原）和疟原虫全抗原的器械。对症状和体征符合疟疾感染的个体，可采集他们的标本，然后用这些器械进行检测。能感染人类导致疟疾的疟原虫有4种，分别是恶性疟原虫、间日疟原虫、卵形疟原虫和三日疟原虫。检测上述抗原有助于疟疾的临床实验室诊断与恶性疟原虫感染与其它毒力较弱疟原虫感染的鉴别诊断。该器械的检验结果应与其它临床实验室检验结果结合使用。</w:t>
      </w:r>
    </w:p>
    <w:bookmarkEnd w:id="15"/>
    <w:bookmarkEnd w:id="16"/>
    <w:p w14:paraId="5F388254">
      <w:pPr>
        <w:snapToGrid w:val="0"/>
        <w:spacing w:line="300" w:lineRule="auto"/>
        <w:rPr>
          <w:rFonts w:ascii="Arial" w:hAnsi="Arial" w:eastAsia="宋体" w:cs="Arial"/>
        </w:rPr>
      </w:pPr>
    </w:p>
    <w:p w14:paraId="3B2DC4E1">
      <w:pPr>
        <w:snapToGrid w:val="0"/>
        <w:spacing w:line="300" w:lineRule="auto"/>
        <w:rPr>
          <w:rFonts w:ascii="Arial" w:hAnsi="Arial" w:eastAsia="宋体" w:cs="Arial"/>
        </w:rPr>
      </w:pPr>
      <w:r>
        <w:rPr>
          <w:rFonts w:ascii="Arial" w:hAnsi="Arial" w:eastAsia="宋体" w:cs="Arial"/>
        </w:rPr>
        <w:t>本指南为制造商提供了准备</w:t>
      </w:r>
      <w:bookmarkStart w:id="17" w:name="OLE_LINK4"/>
      <w:bookmarkStart w:id="18" w:name="OLE_LINK5"/>
      <w:bookmarkStart w:id="19" w:name="OLE_LINK8"/>
      <w:bookmarkStart w:id="20" w:name="OLE_LINK35"/>
      <w:r>
        <w:rPr>
          <w:rFonts w:ascii="Arial" w:hAnsi="Arial" w:eastAsia="宋体" w:cs="Arial"/>
        </w:rPr>
        <w:t>疟原虫抗原检测试剂盒</w:t>
      </w:r>
      <w:bookmarkEnd w:id="17"/>
      <w:bookmarkEnd w:id="18"/>
      <w:bookmarkEnd w:id="19"/>
      <w:bookmarkEnd w:id="20"/>
      <w:r>
        <w:rPr>
          <w:rFonts w:ascii="Arial" w:hAnsi="Arial" w:eastAsia="宋体" w:cs="Arial"/>
        </w:rPr>
        <w:t>上市前通告和贴标的推荐规范。它与联邦公报的通告同时发布，籍此宣布疟原虫抗原检测试剂盒的分类</w:t>
      </w:r>
      <w:r>
        <w:rPr>
          <w:rFonts w:ascii="Arial" w:hAnsi="Arial" w:eastAsia="宋体" w:cs="Arial"/>
          <w:vertAlign w:val="superscript"/>
        </w:rPr>
        <w:t>1</w:t>
      </w:r>
      <w:r>
        <w:rPr>
          <w:rFonts w:ascii="Arial" w:hAnsi="Arial" w:eastAsia="宋体" w:cs="Arial"/>
        </w:rPr>
        <w:t>。提交疟原虫抗原检测试剂盒510（k）上市前通告提交资料的任何公司均需对本特殊控制指南所包含的问题予以妥善解决。公司必须说明其器械解决了本指南确认的安全性和有效性问题。其解决问题的方式既可遵从本指南提供的推荐规范，亦可采用能提供安全性和有效性等同保证的某些其它方法。</w:t>
      </w:r>
    </w:p>
    <w:p w14:paraId="0C04E05C">
      <w:pPr>
        <w:snapToGrid w:val="0"/>
        <w:spacing w:line="300" w:lineRule="auto"/>
        <w:rPr>
          <w:rFonts w:ascii="Arial" w:hAnsi="Arial" w:eastAsia="宋体" w:cs="Arial"/>
        </w:rPr>
      </w:pPr>
    </w:p>
    <w:p w14:paraId="0CEB9F22">
      <w:pPr>
        <w:widowControl/>
        <w:jc w:val="left"/>
        <w:rPr>
          <w:rFonts w:ascii="Arial" w:hAnsi="Arial" w:eastAsia="宋体" w:cs="Arial"/>
          <w:b/>
        </w:rPr>
      </w:pPr>
      <w:r>
        <w:rPr>
          <w:rFonts w:ascii="Arial" w:hAnsi="Arial" w:eastAsia="宋体" w:cs="Arial"/>
          <w:b/>
        </w:rPr>
        <w:br w:type="page"/>
      </w:r>
    </w:p>
    <w:p w14:paraId="5846175E">
      <w:pPr>
        <w:snapToGrid w:val="0"/>
        <w:spacing w:line="300" w:lineRule="auto"/>
        <w:rPr>
          <w:rFonts w:ascii="Arial" w:hAnsi="Arial" w:eastAsia="宋体" w:cs="Arial"/>
          <w:b/>
        </w:rPr>
      </w:pPr>
      <w:r>
        <w:rPr>
          <w:rFonts w:ascii="Arial" w:hAnsi="Arial" w:eastAsia="宋体" w:cs="Arial"/>
          <w:b/>
        </w:rPr>
        <w:t>最小负担法</w:t>
      </w:r>
    </w:p>
    <w:p w14:paraId="1FA911C2">
      <w:pPr>
        <w:snapToGrid w:val="0"/>
        <w:spacing w:line="300" w:lineRule="auto"/>
        <w:rPr>
          <w:rFonts w:ascii="Arial" w:hAnsi="Arial" w:eastAsia="宋体" w:cs="Arial"/>
        </w:rPr>
      </w:pPr>
    </w:p>
    <w:p w14:paraId="2AA8EF29">
      <w:pPr>
        <w:snapToGrid w:val="0"/>
        <w:spacing w:line="300" w:lineRule="auto"/>
        <w:rPr>
          <w:rFonts w:ascii="Arial" w:hAnsi="Arial" w:eastAsia="宋体" w:cs="Arial"/>
        </w:rPr>
      </w:pPr>
      <w:r>
        <w:rPr>
          <w:rFonts w:ascii="Arial" w:hAnsi="Arial" w:eastAsia="宋体" w:cs="Arial"/>
        </w:rPr>
        <w:t>本指南确认的问题是我们认为贵公司的器械能够上市前需解决的问题。在编制本指南的过程中，我们仔细斟酌了本局决策采用的相关法定标准。另外，我们还斟酌了贵公司采用本指南建议的方式努力遵从法定监管标准并努力解决我们所确认问题的过程中可能产生的负担。我们认为我们已考虑采用最小负担法解决本指南呈现的问题。然而，如果贵公司认为有负担更小的方法可用于解决这些问题，应遵守“</w:t>
      </w:r>
      <w:r>
        <w:rPr>
          <w:rFonts w:ascii="Arial" w:hAnsi="Arial" w:eastAsia="宋体" w:cs="Arial"/>
          <w:b/>
          <w:color w:val="800080"/>
        </w:rPr>
        <w:t>解决最小负担问题的一个建议方法</w:t>
      </w:r>
      <w:r>
        <w:rPr>
          <w:rFonts w:ascii="Arial" w:hAnsi="Arial" w:eastAsia="宋体" w:cs="Arial"/>
        </w:rPr>
        <w:t>”文件中描述的规程予以实施。</w:t>
      </w:r>
    </w:p>
    <w:p w14:paraId="55BEC009">
      <w:pPr>
        <w:snapToGrid w:val="0"/>
        <w:spacing w:line="300" w:lineRule="auto"/>
        <w:rPr>
          <w:rFonts w:ascii="Arial" w:hAnsi="Arial" w:eastAsia="宋体" w:cs="Arial"/>
        </w:rPr>
      </w:pPr>
    </w:p>
    <w:p w14:paraId="413B0E86">
      <w:pPr>
        <w:snapToGrid w:val="0"/>
        <w:spacing w:line="300" w:lineRule="auto"/>
        <w:rPr>
          <w:rFonts w:ascii="Arial" w:hAnsi="Arial" w:eastAsia="宋体" w:cs="Arial"/>
          <w:b/>
        </w:rPr>
      </w:pPr>
      <w:r>
        <w:rPr>
          <w:rFonts w:ascii="Arial" w:hAnsi="Arial" w:eastAsia="宋体" w:cs="Arial"/>
          <w:b/>
        </w:rPr>
        <w:t>2. 背景</w:t>
      </w:r>
    </w:p>
    <w:p w14:paraId="195B3388">
      <w:pPr>
        <w:snapToGrid w:val="0"/>
        <w:spacing w:line="300" w:lineRule="auto"/>
        <w:rPr>
          <w:rFonts w:ascii="Arial" w:hAnsi="Arial" w:eastAsia="宋体" w:cs="Arial"/>
        </w:rPr>
      </w:pPr>
    </w:p>
    <w:p w14:paraId="709122F7">
      <w:pPr>
        <w:snapToGrid w:val="0"/>
        <w:spacing w:line="300" w:lineRule="auto"/>
        <w:rPr>
          <w:rFonts w:ascii="Arial" w:hAnsi="Arial" w:eastAsia="宋体" w:cs="Arial"/>
        </w:rPr>
      </w:pPr>
      <w:r>
        <w:rPr>
          <w:rFonts w:ascii="Arial" w:hAnsi="Arial" w:eastAsia="宋体" w:cs="Arial"/>
        </w:rPr>
        <w:t>食品药品监督管理局认为，特殊控制措施与通用控制措施相结合足以为疟原虫抗原检测试剂盒的安全性和有效性提供合理保证。拟销售该属性类型器械的制造商应（1）遵从联邦食品、药品和化妆品法案（简称法案）规定的通用控制措施，包括</w:t>
      </w:r>
      <w:r>
        <w:rPr>
          <w:rFonts w:ascii="Arial" w:hAnsi="Arial" w:eastAsia="宋体" w:cs="Arial"/>
          <w:color w:val="800080"/>
          <w:u w:val="single"/>
        </w:rPr>
        <w:t>21 CFR 第807</w:t>
      </w:r>
      <w:r>
        <w:rPr>
          <w:rFonts w:ascii="Arial" w:hAnsi="Arial" w:eastAsia="宋体" w:cs="Arial"/>
        </w:rPr>
        <w:t>部E亚部份描述的上市前通告要求，（2）应对本指南确认的与</w:t>
      </w:r>
      <w:bookmarkStart w:id="21" w:name="OLE_LINK40"/>
      <w:bookmarkStart w:id="22" w:name="OLE_LINK41"/>
      <w:r>
        <w:rPr>
          <w:rFonts w:ascii="Arial" w:hAnsi="Arial" w:eastAsia="宋体" w:cs="Arial"/>
        </w:rPr>
        <w:t>疟原虫抗原检测试剂盒</w:t>
      </w:r>
      <w:bookmarkEnd w:id="21"/>
      <w:bookmarkEnd w:id="22"/>
      <w:r>
        <w:rPr>
          <w:rFonts w:ascii="Arial" w:hAnsi="Arial" w:eastAsia="宋体" w:cs="Arial"/>
        </w:rPr>
        <w:t>有关的特定健康风险，（3）于销售该器械前获得食品药品监督管理局做出的实质等同认定。</w:t>
      </w:r>
    </w:p>
    <w:p w14:paraId="171C49EF">
      <w:pPr>
        <w:snapToGrid w:val="0"/>
        <w:spacing w:line="300" w:lineRule="auto"/>
        <w:rPr>
          <w:rFonts w:ascii="Arial" w:hAnsi="Arial" w:eastAsia="宋体" w:cs="Arial"/>
        </w:rPr>
      </w:pPr>
    </w:p>
    <w:p w14:paraId="3B84DDA8">
      <w:pPr>
        <w:snapToGrid w:val="0"/>
        <w:spacing w:line="300" w:lineRule="auto"/>
        <w:rPr>
          <w:rFonts w:ascii="Arial" w:hAnsi="Arial" w:eastAsia="宋体" w:cs="Arial"/>
        </w:rPr>
      </w:pPr>
      <w:r>
        <w:rPr>
          <w:rFonts w:ascii="Arial" w:hAnsi="Arial" w:eastAsia="宋体" w:cs="Arial"/>
        </w:rPr>
        <w:t>本指南确认了疟原虫抗原检测试剂盒的分类规则和产品代码（见第3节－</w:t>
      </w:r>
      <w:r>
        <w:rPr>
          <w:rFonts w:ascii="Arial" w:hAnsi="Arial" w:eastAsia="宋体" w:cs="Arial"/>
          <w:color w:val="800080"/>
          <w:u w:val="single"/>
        </w:rPr>
        <w:t>适用范围</w:t>
      </w:r>
      <w:r>
        <w:rPr>
          <w:rFonts w:ascii="Arial" w:hAnsi="Arial" w:eastAsia="宋体" w:cs="Arial"/>
        </w:rPr>
        <w:t>）。另外在本指南的其它部分确认了健康风险并描述了相应的控制措施。制造商若遵从这些措施并与通用控制措施相结合，通常可应对与这些试剂盒有关的健康风险并可使上市前通告（</w:t>
      </w:r>
      <w:bookmarkStart w:id="23" w:name="OLE_LINK42"/>
      <w:bookmarkStart w:id="24" w:name="OLE_LINK43"/>
      <w:r>
        <w:rPr>
          <w:rFonts w:ascii="Arial" w:hAnsi="Arial" w:eastAsia="宋体" w:cs="Arial"/>
        </w:rPr>
        <w:t>510（k）</w:t>
      </w:r>
      <w:bookmarkEnd w:id="23"/>
      <w:bookmarkEnd w:id="24"/>
      <w:r>
        <w:rPr>
          <w:rFonts w:ascii="Arial" w:hAnsi="Arial" w:eastAsia="宋体" w:cs="Arial"/>
        </w:rPr>
        <w:t>）提交资料及时获得审查和许可。本指南在510（k）提交资料具体内容方面弥补了食品药品监督管理局其它文件的不足之处。贵公司还应参考21 CFR 807.87和食品药品监督管理局关于该主题的其它文件，如</w:t>
      </w:r>
      <w:r>
        <w:rPr>
          <w:rFonts w:ascii="Arial" w:hAnsi="Arial" w:eastAsia="宋体" w:cs="Arial"/>
          <w:b/>
          <w:color w:val="800080"/>
        </w:rPr>
        <w:t>上市前通告：510（k）</w:t>
      </w:r>
      <w:r>
        <w:rPr>
          <w:rFonts w:ascii="Arial" w:hAnsi="Arial" w:eastAsia="宋体" w:cs="Arial"/>
        </w:rPr>
        <w:t>。</w:t>
      </w:r>
    </w:p>
    <w:p w14:paraId="1EA4E99E">
      <w:pPr>
        <w:snapToGrid w:val="0"/>
        <w:spacing w:line="300" w:lineRule="auto"/>
        <w:rPr>
          <w:rFonts w:ascii="Arial" w:hAnsi="Arial" w:eastAsia="宋体" w:cs="Arial"/>
        </w:rPr>
      </w:pPr>
    </w:p>
    <w:p w14:paraId="1D9084DF">
      <w:pPr>
        <w:snapToGrid w:val="0"/>
        <w:spacing w:line="300" w:lineRule="auto"/>
        <w:rPr>
          <w:rFonts w:ascii="Arial" w:hAnsi="Arial" w:eastAsia="宋体" w:cs="Arial"/>
        </w:rPr>
      </w:pPr>
      <w:r>
        <w:rPr>
          <w:rFonts w:ascii="Arial" w:hAnsi="Arial" w:eastAsia="宋体" w:cs="Arial"/>
        </w:rPr>
        <w:t>如“510（k）新范本－在上市前通告中证明实质等同的备选方法；最终指南”所述，制造商可提交传统510（k）提交资料或简化510（k）提交资料。食品药品监督管理局认为，简化510（k）提交资料提供了证明新器械实质等同的最小负担法，食品药品监督管理局发布指南对在器械提交资料中应解决什么问题提供了推荐规范后尤其如此。关于简化和传统510（k）提交资料内容与格式的指导原则可从“</w:t>
      </w:r>
      <w:r>
        <w:rPr>
          <w:rFonts w:ascii="Arial" w:hAnsi="Arial" w:eastAsia="宋体" w:cs="Arial"/>
          <w:color w:val="800080"/>
          <w:u w:val="single"/>
        </w:rPr>
        <w:t>传统和简化510（k）提交资料格式</w:t>
      </w:r>
      <w:r>
        <w:rPr>
          <w:rFonts w:ascii="Arial" w:hAnsi="Arial" w:eastAsia="宋体" w:cs="Arial"/>
        </w:rPr>
        <w:t>”中查到。其它信息亦见法案第514（c）（1）（B）部分和食品药品监督管理局指南“标准在实质等同认定中的应用”。考虑对他们自己已获许可的器械进行改进的制造商可提交特别版510（k）提交资料。关于如何准备特殊510（k）提交资料的信息见“</w:t>
      </w:r>
      <w:r>
        <w:rPr>
          <w:rFonts w:ascii="Arial" w:hAnsi="Arial" w:eastAsia="宋体" w:cs="Arial"/>
          <w:color w:val="800080"/>
          <w:u w:val="single"/>
        </w:rPr>
        <w:t>如何准备特殊510（k）提交资料</w:t>
      </w:r>
      <w:r>
        <w:rPr>
          <w:rFonts w:ascii="Arial" w:hAnsi="Arial" w:eastAsia="宋体" w:cs="Arial"/>
        </w:rPr>
        <w:t>”。</w:t>
      </w:r>
    </w:p>
    <w:p w14:paraId="6DD79D2D">
      <w:pPr>
        <w:snapToGrid w:val="0"/>
        <w:spacing w:line="300" w:lineRule="auto"/>
        <w:rPr>
          <w:rFonts w:ascii="Arial" w:hAnsi="Arial" w:eastAsia="宋体" w:cs="Arial"/>
        </w:rPr>
      </w:pPr>
    </w:p>
    <w:p w14:paraId="5B552A99">
      <w:pPr>
        <w:widowControl/>
        <w:jc w:val="left"/>
        <w:rPr>
          <w:rFonts w:ascii="Arial" w:hAnsi="Arial" w:eastAsia="宋体" w:cs="Arial"/>
          <w:b/>
        </w:rPr>
      </w:pPr>
      <w:r>
        <w:rPr>
          <w:rFonts w:ascii="Arial" w:hAnsi="Arial" w:eastAsia="宋体" w:cs="Arial"/>
          <w:b/>
        </w:rPr>
        <w:br w:type="page"/>
      </w:r>
    </w:p>
    <w:p w14:paraId="126D6C91">
      <w:pPr>
        <w:snapToGrid w:val="0"/>
        <w:spacing w:line="300" w:lineRule="auto"/>
        <w:rPr>
          <w:rFonts w:ascii="Arial" w:hAnsi="Arial" w:eastAsia="宋体" w:cs="Arial"/>
          <w:b/>
        </w:rPr>
      </w:pPr>
      <w:r>
        <w:rPr>
          <w:rFonts w:ascii="Arial" w:hAnsi="Arial" w:eastAsia="宋体" w:cs="Arial"/>
          <w:b/>
        </w:rPr>
        <w:t>3. 适用范围</w:t>
      </w:r>
    </w:p>
    <w:p w14:paraId="233D408B">
      <w:pPr>
        <w:snapToGrid w:val="0"/>
        <w:spacing w:line="300" w:lineRule="auto"/>
        <w:rPr>
          <w:rFonts w:ascii="Arial" w:hAnsi="Arial" w:eastAsia="宋体" w:cs="Arial"/>
        </w:rPr>
      </w:pPr>
    </w:p>
    <w:p w14:paraId="6AA396FF">
      <w:pPr>
        <w:snapToGrid w:val="0"/>
        <w:spacing w:line="300" w:lineRule="auto"/>
        <w:rPr>
          <w:rFonts w:ascii="Arial" w:hAnsi="Arial" w:eastAsia="宋体" w:cs="Arial"/>
        </w:rPr>
      </w:pPr>
      <w:r>
        <w:rPr>
          <w:rFonts w:ascii="Arial" w:hAnsi="Arial" w:eastAsia="宋体" w:cs="Arial"/>
        </w:rPr>
        <w:t>本文件的适用范围限于在21 CFR 866.3402部分描述的下列器械（产品代码：OAX）：</w:t>
      </w:r>
    </w:p>
    <w:p w14:paraId="3383507D">
      <w:pPr>
        <w:snapToGrid w:val="0"/>
        <w:spacing w:line="300" w:lineRule="auto"/>
        <w:rPr>
          <w:rFonts w:ascii="Arial" w:hAnsi="Arial" w:eastAsia="宋体" w:cs="Arial"/>
        </w:rPr>
      </w:pPr>
    </w:p>
    <w:p w14:paraId="1B23CF58">
      <w:pPr>
        <w:snapToGrid w:val="0"/>
        <w:spacing w:line="300" w:lineRule="auto"/>
        <w:rPr>
          <w:rFonts w:ascii="Arial" w:hAnsi="Arial" w:eastAsia="宋体" w:cs="Arial"/>
        </w:rPr>
      </w:pPr>
      <w:r>
        <w:rPr>
          <w:rFonts w:ascii="Arial" w:hAnsi="Arial" w:eastAsia="宋体" w:cs="Arial"/>
          <w:b/>
        </w:rPr>
        <w:t>鉴定：</w:t>
      </w:r>
      <w:r>
        <w:rPr>
          <w:rFonts w:ascii="Arial" w:hAnsi="Arial" w:eastAsia="宋体" w:cs="Arial"/>
        </w:rPr>
        <w:t>疟原虫抗原检测试剂盒是一种利用抗体检测人全血中疟原虫特异性抗原（包括富组氨酸蛋白-2（histidine-rich protein-2，HRP2）特异性抗原）和疟原虫全抗原的器械。对症状和体征符合疟疾感染的个体，可采集他们的标本，然后用这些器械进行检测。能感染人类导致疟疾的疟原虫有4种，分别是恶性疟原虫、间日疟原虫、卵形疟原虫和三日疟原虫。检测上述抗原有助于疟疾的临床实验室诊断与恶性疟原虫感染与其它毒力较弱疟原虫感染的鉴别诊断。该器械的检验结果应与其它临床实验室检验结果结合使用。</w:t>
      </w:r>
    </w:p>
    <w:p w14:paraId="47647F1C">
      <w:pPr>
        <w:snapToGrid w:val="0"/>
        <w:spacing w:line="300" w:lineRule="auto"/>
        <w:rPr>
          <w:rFonts w:ascii="Arial" w:hAnsi="Arial" w:eastAsia="宋体" w:cs="Arial"/>
        </w:rPr>
      </w:pPr>
    </w:p>
    <w:p w14:paraId="5D30D61C">
      <w:pPr>
        <w:snapToGrid w:val="0"/>
        <w:spacing w:line="300" w:lineRule="auto"/>
        <w:rPr>
          <w:rFonts w:ascii="Arial" w:hAnsi="Arial" w:eastAsia="宋体" w:cs="Arial"/>
        </w:rPr>
      </w:pPr>
      <w:r>
        <w:rPr>
          <w:rFonts w:ascii="Arial" w:hAnsi="Arial" w:eastAsia="宋体" w:cs="Arial"/>
          <w:b/>
        </w:rPr>
        <w:t>分类。</w:t>
      </w:r>
      <w:r>
        <w:rPr>
          <w:rFonts w:ascii="Arial" w:hAnsi="Arial" w:eastAsia="宋体" w:cs="Arial"/>
        </w:rPr>
        <w:t>II类（特殊控制）。特殊控制文件是题为“II类特殊控制指南：疟原虫抗原检测试剂盒”的食品药品监督管理局指南。关于该指南的可用性见§ 866.1（e）。</w:t>
      </w:r>
    </w:p>
    <w:p w14:paraId="58A46B5C">
      <w:pPr>
        <w:snapToGrid w:val="0"/>
        <w:spacing w:line="300" w:lineRule="auto"/>
        <w:rPr>
          <w:rFonts w:ascii="Arial" w:hAnsi="Arial" w:eastAsia="宋体" w:cs="Arial"/>
        </w:rPr>
      </w:pPr>
    </w:p>
    <w:p w14:paraId="2653ECF5">
      <w:pPr>
        <w:snapToGrid w:val="0"/>
        <w:spacing w:line="300" w:lineRule="auto"/>
        <w:rPr>
          <w:rFonts w:ascii="Arial" w:hAnsi="Arial" w:eastAsia="宋体" w:cs="Arial"/>
        </w:rPr>
      </w:pPr>
      <w:r>
        <w:rPr>
          <w:rFonts w:ascii="Arial" w:hAnsi="Arial" w:eastAsia="宋体" w:cs="Arial"/>
        </w:rPr>
        <w:t>本指南不讨论拟用于检测无症状个体的器械（如筛检）。不同类型的研究设计可适用于包含筛检的预期用途。</w:t>
      </w:r>
    </w:p>
    <w:p w14:paraId="2DA0538F">
      <w:pPr>
        <w:snapToGrid w:val="0"/>
        <w:spacing w:line="300" w:lineRule="auto"/>
        <w:rPr>
          <w:rFonts w:ascii="Arial" w:hAnsi="Arial" w:eastAsia="宋体" w:cs="Arial"/>
        </w:rPr>
      </w:pPr>
    </w:p>
    <w:p w14:paraId="393ADEFF">
      <w:pPr>
        <w:snapToGrid w:val="0"/>
        <w:spacing w:line="300" w:lineRule="auto"/>
        <w:rPr>
          <w:rFonts w:ascii="Arial" w:hAnsi="Arial" w:eastAsia="宋体" w:cs="Arial"/>
          <w:b/>
        </w:rPr>
      </w:pPr>
      <w:r>
        <w:rPr>
          <w:rFonts w:ascii="Arial" w:hAnsi="Arial" w:eastAsia="宋体" w:cs="Arial"/>
          <w:b/>
        </w:rPr>
        <w:t>4. 健康风险</w:t>
      </w:r>
    </w:p>
    <w:p w14:paraId="366AD1B8">
      <w:pPr>
        <w:snapToGrid w:val="0"/>
        <w:spacing w:line="300" w:lineRule="auto"/>
        <w:rPr>
          <w:rFonts w:ascii="Arial" w:hAnsi="Arial" w:eastAsia="宋体" w:cs="Arial"/>
        </w:rPr>
      </w:pPr>
    </w:p>
    <w:p w14:paraId="5DE83050">
      <w:pPr>
        <w:snapToGrid w:val="0"/>
        <w:spacing w:line="300" w:lineRule="auto"/>
        <w:rPr>
          <w:rFonts w:ascii="Arial" w:hAnsi="Arial" w:eastAsia="宋体" w:cs="Arial"/>
          <w:b/>
          <w:i/>
        </w:rPr>
      </w:pPr>
      <w:r>
        <w:rPr>
          <w:rFonts w:ascii="Arial" w:hAnsi="Arial" w:eastAsia="宋体" w:cs="Arial"/>
          <w:b/>
          <w:i/>
        </w:rPr>
        <w:t>临床背景</w:t>
      </w:r>
    </w:p>
    <w:p w14:paraId="3DBB4022">
      <w:pPr>
        <w:snapToGrid w:val="0"/>
        <w:spacing w:line="300" w:lineRule="auto"/>
        <w:rPr>
          <w:rFonts w:ascii="Arial" w:hAnsi="Arial" w:eastAsia="宋体" w:cs="Arial"/>
        </w:rPr>
      </w:pPr>
    </w:p>
    <w:p w14:paraId="1ECCFF59">
      <w:pPr>
        <w:snapToGrid w:val="0"/>
        <w:spacing w:line="300" w:lineRule="auto"/>
        <w:rPr>
          <w:rFonts w:ascii="Arial" w:hAnsi="Arial" w:eastAsia="宋体" w:cs="Arial"/>
        </w:rPr>
      </w:pPr>
      <w:r>
        <w:rPr>
          <w:rFonts w:ascii="Arial" w:hAnsi="Arial" w:eastAsia="宋体" w:cs="Arial"/>
        </w:rPr>
        <w:t>疟疾（尤其是由恶性疟原虫所致者）是一种拥有高发病率和高死亡率的急性感染，在年幼者、年老者、孕妇和无免疫力者中尤其如此。对发生在无免疫力者中的恶性疟原虫感染如果不加治疗常常是致命的。因此，对在疟疾呈地方性流行的地区停留期间或之后出现发热的患者应进行检测以排除疟疾。</w:t>
      </w:r>
    </w:p>
    <w:p w14:paraId="30B743BA">
      <w:pPr>
        <w:snapToGrid w:val="0"/>
        <w:spacing w:line="300" w:lineRule="auto"/>
        <w:rPr>
          <w:rFonts w:ascii="Arial" w:hAnsi="Arial" w:eastAsia="宋体" w:cs="Arial"/>
        </w:rPr>
      </w:pPr>
    </w:p>
    <w:p w14:paraId="14F1284A">
      <w:pPr>
        <w:snapToGrid w:val="0"/>
        <w:spacing w:line="300" w:lineRule="auto"/>
        <w:rPr>
          <w:rFonts w:ascii="Arial" w:hAnsi="Arial" w:eastAsia="宋体" w:cs="Arial"/>
          <w:b/>
          <w:i/>
        </w:rPr>
      </w:pPr>
      <w:r>
        <w:rPr>
          <w:rFonts w:ascii="Arial" w:hAnsi="Arial" w:eastAsia="宋体" w:cs="Arial"/>
          <w:b/>
          <w:i/>
        </w:rPr>
        <w:t>检验性能不当的风险</w:t>
      </w:r>
    </w:p>
    <w:p w14:paraId="40006139">
      <w:pPr>
        <w:snapToGrid w:val="0"/>
        <w:spacing w:line="300" w:lineRule="auto"/>
        <w:rPr>
          <w:rFonts w:ascii="Arial" w:hAnsi="Arial" w:eastAsia="宋体" w:cs="Arial"/>
        </w:rPr>
      </w:pPr>
    </w:p>
    <w:p w14:paraId="79881CC5">
      <w:pPr>
        <w:snapToGrid w:val="0"/>
        <w:spacing w:line="300" w:lineRule="auto"/>
        <w:rPr>
          <w:rFonts w:ascii="Arial" w:hAnsi="Arial" w:eastAsia="宋体" w:cs="Arial"/>
        </w:rPr>
      </w:pPr>
      <w:r>
        <w:rPr>
          <w:rFonts w:ascii="Arial" w:hAnsi="Arial" w:eastAsia="宋体" w:cs="Arial"/>
        </w:rPr>
        <w:t>按标示进行检测失败可导致患者管理不当和/或不恰当的公共卫生响应。例如，假阴性结果可导致延迟提供甚至无法提供明确诊断和恰当治疗。如此可使患者尤其感染恶性疟原虫的患者不能接受恰当治疗，从而将他们置于危险境地。另外，没有临床特征可将恶性疟原虫感染与毒力较弱的其它疟原虫（间日疟原虫、卵形疟原虫和三日疟原虫）感染鉴别开来。采用本检验法有助于恶性疟原虫与其它疟原虫的鉴别。因此，虚假检验结果可导致对其它地方性寄生虫病的误治。在孕妇和新生儿或其它独特人群中出现虚假结果可因治疗机会受限（如防止出现先天性感染结局）而涉及其它风险。</w:t>
      </w:r>
    </w:p>
    <w:p w14:paraId="3C5BCFFB">
      <w:pPr>
        <w:snapToGrid w:val="0"/>
        <w:spacing w:line="300" w:lineRule="auto"/>
        <w:rPr>
          <w:rFonts w:ascii="Arial" w:hAnsi="Arial" w:eastAsia="宋体" w:cs="Arial"/>
        </w:rPr>
      </w:pPr>
    </w:p>
    <w:p w14:paraId="6221F62D">
      <w:pPr>
        <w:widowControl/>
        <w:jc w:val="left"/>
        <w:rPr>
          <w:rFonts w:ascii="Arial" w:hAnsi="Arial" w:eastAsia="宋体" w:cs="Arial"/>
        </w:rPr>
      </w:pPr>
      <w:r>
        <w:rPr>
          <w:rFonts w:ascii="Arial" w:hAnsi="Arial" w:eastAsia="宋体" w:cs="Arial"/>
        </w:rPr>
        <w:br w:type="page"/>
      </w:r>
    </w:p>
    <w:p w14:paraId="3933703F">
      <w:pPr>
        <w:snapToGrid w:val="0"/>
        <w:spacing w:line="300" w:lineRule="auto"/>
        <w:rPr>
          <w:rFonts w:ascii="Arial" w:hAnsi="Arial" w:eastAsia="宋体" w:cs="Arial"/>
        </w:rPr>
      </w:pPr>
      <w:r>
        <w:rPr>
          <w:rFonts w:ascii="Arial" w:hAnsi="Arial" w:eastAsia="宋体" w:cs="Arial"/>
        </w:rPr>
        <w:t>假阳性检验结果可使个体接受不必要和/或不恰当的疟疾治疗，同时又不能对实际疾病进行恰当诊断和治疗。通常在美国之外的高耐药地区使用的备选药物（如奎宁、甲氟喹、青蒿素）的安全性低于一线和二线药物，不必要地使用这些备选药物可能会带来问题。</w:t>
      </w:r>
    </w:p>
    <w:p w14:paraId="0B61AD85">
      <w:pPr>
        <w:snapToGrid w:val="0"/>
        <w:spacing w:line="300" w:lineRule="auto"/>
        <w:rPr>
          <w:rFonts w:ascii="Arial" w:hAnsi="Arial" w:eastAsia="宋体" w:cs="Arial"/>
        </w:rPr>
      </w:pPr>
    </w:p>
    <w:p w14:paraId="73EFEEF0">
      <w:pPr>
        <w:snapToGrid w:val="0"/>
        <w:spacing w:line="300" w:lineRule="auto"/>
        <w:rPr>
          <w:rFonts w:ascii="Arial" w:hAnsi="Arial" w:eastAsia="宋体" w:cs="Arial"/>
        </w:rPr>
      </w:pPr>
      <w:r>
        <w:rPr>
          <w:rFonts w:ascii="Arial" w:hAnsi="Arial" w:eastAsia="宋体" w:cs="Arial"/>
        </w:rPr>
        <w:t>疟疾是一个重大公共卫生问题。地方和州卫生行政机关接到疟疾感染报告时将进行病案调查。假阳性检验结果会给地方和州卫生行政机关的资源带来不当负担并可导致不必要的公共卫生行动（如对社区中的其他人进行不必要或不适当的治疗和管理）。另一方面，寄生虫感染传播增加时，假阴性结果可导致疫情识别延迟。</w:t>
      </w:r>
    </w:p>
    <w:p w14:paraId="176856DE">
      <w:pPr>
        <w:snapToGrid w:val="0"/>
        <w:spacing w:line="300" w:lineRule="auto"/>
        <w:rPr>
          <w:rFonts w:ascii="Arial" w:hAnsi="Arial" w:eastAsia="宋体" w:cs="Arial"/>
        </w:rPr>
      </w:pPr>
    </w:p>
    <w:p w14:paraId="307C2CB3">
      <w:pPr>
        <w:snapToGrid w:val="0"/>
        <w:spacing w:line="300" w:lineRule="auto"/>
        <w:rPr>
          <w:rFonts w:ascii="Arial" w:hAnsi="Arial" w:eastAsia="宋体" w:cs="Arial"/>
          <w:b/>
          <w:i/>
        </w:rPr>
      </w:pPr>
      <w:r>
        <w:rPr>
          <w:rFonts w:ascii="Arial" w:hAnsi="Arial" w:eastAsia="宋体" w:cs="Arial"/>
          <w:b/>
          <w:i/>
        </w:rPr>
        <w:t>结果解释不当的风险</w:t>
      </w:r>
    </w:p>
    <w:p w14:paraId="2FF0902E">
      <w:pPr>
        <w:snapToGrid w:val="0"/>
        <w:spacing w:line="300" w:lineRule="auto"/>
        <w:rPr>
          <w:rFonts w:ascii="Arial" w:hAnsi="Arial" w:eastAsia="宋体" w:cs="Arial"/>
        </w:rPr>
      </w:pPr>
    </w:p>
    <w:p w14:paraId="449B1D56">
      <w:pPr>
        <w:snapToGrid w:val="0"/>
        <w:spacing w:line="300" w:lineRule="auto"/>
        <w:rPr>
          <w:rFonts w:ascii="Arial" w:hAnsi="Arial" w:eastAsia="宋体" w:cs="Arial"/>
        </w:rPr>
      </w:pPr>
      <w:r>
        <w:rPr>
          <w:rFonts w:ascii="Arial" w:hAnsi="Arial" w:eastAsia="宋体" w:cs="Arial"/>
        </w:rPr>
        <w:t>结果解释错误可带来风险。未用显微镜对阴性结果加以确认就做出治疗决策时尤其如此（用显微镜诊断比用抗原检测试剂盒检测血中疟原虫更为灵敏）。</w:t>
      </w:r>
    </w:p>
    <w:p w14:paraId="7E472EB6">
      <w:pPr>
        <w:snapToGrid w:val="0"/>
        <w:spacing w:line="300" w:lineRule="auto"/>
        <w:rPr>
          <w:rFonts w:ascii="Arial" w:hAnsi="Arial" w:eastAsia="宋体" w:cs="Arial"/>
        </w:rPr>
      </w:pPr>
    </w:p>
    <w:p w14:paraId="65F519F6">
      <w:pPr>
        <w:snapToGrid w:val="0"/>
        <w:spacing w:line="300" w:lineRule="auto"/>
        <w:rPr>
          <w:rFonts w:ascii="Arial" w:hAnsi="Arial" w:eastAsia="宋体" w:cs="Arial"/>
        </w:rPr>
      </w:pPr>
      <w:r>
        <w:rPr>
          <w:rFonts w:ascii="Arial" w:hAnsi="Arial" w:eastAsia="宋体" w:cs="Arial"/>
        </w:rPr>
        <w:t>食品药品监督管理局在下表中确认了通常与使用本器械有关的健康风险。如下表所示，本指南给出了为减轻确认风险而推荐的控制措施。贵公司在提交上市前通告前应做一次风险分析，针对贵公司的器械确认任何其它风险。在上市前通告中应对风险分析方法做出描述，包括贵公司确认的任何其它风险与贵公司用来处理风险的方法。如果贵公司选择使用备选方法应对本文件确认的风险或确认了本文件所述风险的附加风险，应提供足够细节支持贵公司应对风险所采用的方法。</w:t>
      </w:r>
    </w:p>
    <w:p w14:paraId="6B3A7D98">
      <w:pPr>
        <w:snapToGrid w:val="0"/>
        <w:spacing w:line="300" w:lineRule="auto"/>
        <w:rPr>
          <w:rFonts w:ascii="Arial" w:hAnsi="Arial" w:eastAsia="宋体" w:cs="Arial"/>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219"/>
      </w:tblGrid>
      <w:tr w14:paraId="304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shd w:val="clear" w:color="auto" w:fill="F1F1F1" w:themeFill="background1" w:themeFillShade="F2"/>
          </w:tcPr>
          <w:p w14:paraId="276EC7DA">
            <w:pPr>
              <w:snapToGrid w:val="0"/>
              <w:spacing w:line="300" w:lineRule="auto"/>
              <w:rPr>
                <w:rFonts w:ascii="Arial" w:hAnsi="Arial" w:eastAsia="宋体" w:cs="Arial"/>
              </w:rPr>
            </w:pPr>
            <w:r>
              <w:rPr>
                <w:rFonts w:ascii="Arial" w:hAnsi="Arial" w:eastAsia="宋体" w:cs="Arial"/>
              </w:rPr>
              <w:t>确认风险</w:t>
            </w:r>
          </w:p>
        </w:tc>
        <w:tc>
          <w:tcPr>
            <w:tcW w:w="2219" w:type="dxa"/>
            <w:shd w:val="clear" w:color="auto" w:fill="F1F1F1" w:themeFill="background1" w:themeFillShade="F2"/>
          </w:tcPr>
          <w:p w14:paraId="6A39C5F4">
            <w:pPr>
              <w:snapToGrid w:val="0"/>
              <w:spacing w:line="300" w:lineRule="auto"/>
              <w:rPr>
                <w:rFonts w:ascii="Arial" w:hAnsi="Arial" w:eastAsia="宋体" w:cs="Arial"/>
              </w:rPr>
            </w:pPr>
            <w:r>
              <w:rPr>
                <w:rFonts w:ascii="Arial" w:hAnsi="Arial" w:eastAsia="宋体" w:cs="Arial"/>
              </w:rPr>
              <w:t>减轻措施</w:t>
            </w:r>
          </w:p>
        </w:tc>
      </w:tr>
      <w:tr w14:paraId="03E8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2E3FB673">
            <w:pPr>
              <w:snapToGrid w:val="0"/>
              <w:spacing w:line="300" w:lineRule="auto"/>
              <w:rPr>
                <w:rFonts w:ascii="Arial" w:hAnsi="Arial" w:eastAsia="宋体" w:cs="Arial"/>
              </w:rPr>
            </w:pPr>
            <w:r>
              <w:rPr>
                <w:rFonts w:ascii="Arial" w:hAnsi="Arial" w:eastAsia="宋体" w:cs="Arial"/>
              </w:rPr>
              <w:t>未能正确检测，即可导致患者管理不当和/或公共卫生响应不当的假阴性或假阳性结果</w:t>
            </w:r>
          </w:p>
        </w:tc>
        <w:tc>
          <w:tcPr>
            <w:tcW w:w="2219" w:type="dxa"/>
          </w:tcPr>
          <w:p w14:paraId="3ABCB884">
            <w:pPr>
              <w:snapToGrid w:val="0"/>
              <w:spacing w:line="300" w:lineRule="auto"/>
              <w:rPr>
                <w:rFonts w:ascii="Arial" w:hAnsi="Arial" w:eastAsia="宋体" w:cs="Arial"/>
              </w:rPr>
            </w:pPr>
            <w:bookmarkStart w:id="25" w:name="OLE_LINK33"/>
            <w:bookmarkStart w:id="26" w:name="OLE_LINK34"/>
            <w:r>
              <w:rPr>
                <w:rFonts w:ascii="Arial" w:hAnsi="Arial" w:eastAsia="宋体" w:cs="Arial"/>
              </w:rPr>
              <w:t>第6节. 性能特征</w:t>
            </w:r>
          </w:p>
          <w:p w14:paraId="4EB2C434">
            <w:pPr>
              <w:snapToGrid w:val="0"/>
              <w:spacing w:line="300" w:lineRule="auto"/>
              <w:rPr>
                <w:rFonts w:ascii="Arial" w:hAnsi="Arial" w:eastAsia="宋体" w:cs="Arial"/>
              </w:rPr>
            </w:pPr>
            <w:r>
              <w:rPr>
                <w:rFonts w:ascii="Arial" w:hAnsi="Arial" w:eastAsia="宋体" w:cs="Arial"/>
              </w:rPr>
              <w:t>第7节. 贴标</w:t>
            </w:r>
            <w:bookmarkEnd w:id="25"/>
            <w:bookmarkEnd w:id="26"/>
          </w:p>
        </w:tc>
      </w:tr>
      <w:tr w14:paraId="261C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tcPr>
          <w:p w14:paraId="73D67BBA">
            <w:pPr>
              <w:snapToGrid w:val="0"/>
              <w:spacing w:line="300" w:lineRule="auto"/>
              <w:rPr>
                <w:rFonts w:ascii="Arial" w:hAnsi="Arial" w:eastAsia="宋体" w:cs="Arial"/>
              </w:rPr>
            </w:pPr>
            <w:r>
              <w:rPr>
                <w:rFonts w:ascii="Arial" w:hAnsi="Arial" w:eastAsia="宋体" w:cs="Arial"/>
              </w:rPr>
              <w:t>未正确解释检验结果</w:t>
            </w:r>
          </w:p>
        </w:tc>
        <w:tc>
          <w:tcPr>
            <w:tcW w:w="2219" w:type="dxa"/>
          </w:tcPr>
          <w:p w14:paraId="2978443D">
            <w:pPr>
              <w:snapToGrid w:val="0"/>
              <w:spacing w:line="300" w:lineRule="auto"/>
              <w:rPr>
                <w:rFonts w:ascii="Arial" w:hAnsi="Arial" w:eastAsia="宋体" w:cs="Arial"/>
              </w:rPr>
            </w:pPr>
            <w:r>
              <w:rPr>
                <w:rFonts w:ascii="Arial" w:hAnsi="Arial" w:eastAsia="宋体" w:cs="Arial"/>
              </w:rPr>
              <w:t>第6节. 性能特征</w:t>
            </w:r>
          </w:p>
          <w:p w14:paraId="03AC1D6B">
            <w:pPr>
              <w:snapToGrid w:val="0"/>
              <w:spacing w:line="300" w:lineRule="auto"/>
              <w:rPr>
                <w:rFonts w:ascii="Arial" w:hAnsi="Arial" w:eastAsia="宋体" w:cs="Arial"/>
              </w:rPr>
            </w:pPr>
            <w:r>
              <w:rPr>
                <w:rFonts w:ascii="Arial" w:hAnsi="Arial" w:eastAsia="宋体" w:cs="Arial"/>
              </w:rPr>
              <w:t>第7节. 贴标</w:t>
            </w:r>
          </w:p>
        </w:tc>
      </w:tr>
    </w:tbl>
    <w:p w14:paraId="260CBC50">
      <w:pPr>
        <w:snapToGrid w:val="0"/>
        <w:spacing w:line="300" w:lineRule="auto"/>
        <w:rPr>
          <w:rFonts w:ascii="Arial" w:hAnsi="Arial" w:eastAsia="宋体" w:cs="Arial"/>
        </w:rPr>
      </w:pPr>
    </w:p>
    <w:p w14:paraId="216D5CCC">
      <w:pPr>
        <w:snapToGrid w:val="0"/>
        <w:spacing w:line="300" w:lineRule="auto"/>
        <w:rPr>
          <w:rFonts w:ascii="Arial" w:hAnsi="Arial" w:eastAsia="宋体" w:cs="Arial"/>
          <w:b/>
        </w:rPr>
      </w:pPr>
      <w:r>
        <w:rPr>
          <w:rFonts w:hint="eastAsia" w:ascii="宋体" w:hAnsi="宋体" w:eastAsia="宋体" w:cs="宋体"/>
          <w:b/>
        </w:rPr>
        <w:t>⒌</w:t>
      </w:r>
      <w:r>
        <w:rPr>
          <w:rFonts w:ascii="Arial" w:hAnsi="Arial" w:eastAsia="宋体" w:cs="Arial"/>
          <w:b/>
        </w:rPr>
        <w:t xml:space="preserve"> 器械描述</w:t>
      </w:r>
    </w:p>
    <w:p w14:paraId="137857EE">
      <w:pPr>
        <w:snapToGrid w:val="0"/>
        <w:spacing w:line="300" w:lineRule="auto"/>
        <w:rPr>
          <w:rFonts w:ascii="Arial" w:hAnsi="Arial" w:eastAsia="宋体" w:cs="Arial"/>
        </w:rPr>
      </w:pPr>
    </w:p>
    <w:p w14:paraId="1A71EE28">
      <w:pPr>
        <w:snapToGrid w:val="0"/>
        <w:spacing w:line="300" w:lineRule="auto"/>
        <w:rPr>
          <w:rFonts w:ascii="Arial" w:hAnsi="Arial" w:eastAsia="宋体" w:cs="Arial"/>
        </w:rPr>
      </w:pPr>
      <w:r>
        <w:rPr>
          <w:rFonts w:ascii="Arial" w:hAnsi="Arial" w:eastAsia="宋体" w:cs="Arial"/>
        </w:rPr>
        <w:t>贵公司应在510（k）提交资料中对贵公司声明与其实质等同的合法销售比较器械的分类规则和产品代码做出确认。为帮助食品药品监督管理局通过与比较器械相比较高效审查贵公司器械的所有方面，贵公司应在提交资料中包含一个表格，通过表格简要描述比较器械与贵公司器械间的相似点和相异点。</w:t>
      </w:r>
    </w:p>
    <w:p w14:paraId="0B43C45E">
      <w:pPr>
        <w:snapToGrid w:val="0"/>
        <w:spacing w:line="300" w:lineRule="auto"/>
        <w:rPr>
          <w:rFonts w:ascii="Arial" w:hAnsi="Arial" w:eastAsia="宋体" w:cs="Arial"/>
        </w:rPr>
      </w:pPr>
    </w:p>
    <w:p w14:paraId="5E044857">
      <w:pPr>
        <w:snapToGrid w:val="0"/>
        <w:spacing w:line="300" w:lineRule="auto"/>
        <w:rPr>
          <w:rFonts w:ascii="Arial" w:hAnsi="Arial" w:eastAsia="宋体" w:cs="Arial"/>
        </w:rPr>
      </w:pPr>
      <w:r>
        <w:rPr>
          <w:rFonts w:ascii="Arial" w:hAnsi="Arial" w:eastAsia="宋体" w:cs="Arial"/>
        </w:rPr>
        <w:t>器械审查的关键问题是具体预期用途和所用技术。</w:t>
      </w:r>
    </w:p>
    <w:p w14:paraId="1FFA9778">
      <w:pPr>
        <w:snapToGrid w:val="0"/>
        <w:spacing w:line="300" w:lineRule="auto"/>
        <w:rPr>
          <w:rFonts w:ascii="Arial" w:hAnsi="Arial" w:eastAsia="宋体" w:cs="Arial"/>
        </w:rPr>
      </w:pPr>
    </w:p>
    <w:p w14:paraId="4E48DBB1">
      <w:pPr>
        <w:widowControl/>
        <w:jc w:val="left"/>
        <w:rPr>
          <w:rFonts w:ascii="Arial" w:hAnsi="Arial" w:eastAsia="宋体" w:cs="Arial"/>
          <w:b/>
        </w:rPr>
      </w:pPr>
      <w:r>
        <w:rPr>
          <w:rFonts w:ascii="Arial" w:hAnsi="Arial" w:eastAsia="宋体" w:cs="Arial"/>
          <w:b/>
        </w:rPr>
        <w:br w:type="page"/>
      </w:r>
    </w:p>
    <w:p w14:paraId="2E9AC65A">
      <w:pPr>
        <w:snapToGrid w:val="0"/>
        <w:spacing w:line="300" w:lineRule="auto"/>
        <w:rPr>
          <w:rFonts w:ascii="Arial" w:hAnsi="Arial" w:eastAsia="宋体" w:cs="Arial"/>
          <w:b/>
          <w:i/>
        </w:rPr>
      </w:pPr>
      <w:r>
        <w:rPr>
          <w:rFonts w:ascii="Arial" w:hAnsi="Arial" w:eastAsia="宋体" w:cs="Arial"/>
          <w:b/>
          <w:i/>
        </w:rPr>
        <w:t>所用技术</w:t>
      </w:r>
    </w:p>
    <w:p w14:paraId="0A801DAC">
      <w:pPr>
        <w:snapToGrid w:val="0"/>
        <w:spacing w:line="300" w:lineRule="auto"/>
        <w:rPr>
          <w:rFonts w:ascii="Arial" w:hAnsi="Arial" w:eastAsia="宋体" w:cs="Arial"/>
        </w:rPr>
      </w:pPr>
    </w:p>
    <w:p w14:paraId="7C7A901E">
      <w:pPr>
        <w:snapToGrid w:val="0"/>
        <w:spacing w:line="300" w:lineRule="auto"/>
        <w:rPr>
          <w:rFonts w:ascii="Arial" w:hAnsi="Arial" w:eastAsia="宋体" w:cs="Arial"/>
        </w:rPr>
      </w:pPr>
      <w:r>
        <w:rPr>
          <w:rFonts w:ascii="Arial" w:hAnsi="Arial" w:eastAsia="宋体" w:cs="Arial"/>
        </w:rPr>
        <w:t>在贵公司的510（k）提交资料中应包含</w:t>
      </w:r>
      <w:bookmarkStart w:id="27" w:name="OLE_LINK14"/>
      <w:bookmarkStart w:id="28" w:name="OLE_LINK13"/>
      <w:r>
        <w:rPr>
          <w:rFonts w:ascii="Arial" w:hAnsi="Arial" w:eastAsia="宋体" w:cs="Arial"/>
        </w:rPr>
        <w:t>试剂</w:t>
      </w:r>
      <w:bookmarkEnd w:id="27"/>
      <w:bookmarkEnd w:id="28"/>
      <w:r>
        <w:rPr>
          <w:rFonts w:ascii="Arial" w:hAnsi="Arial" w:eastAsia="宋体" w:cs="Arial"/>
        </w:rPr>
        <w:t>盒的下列技术信息：</w:t>
      </w:r>
    </w:p>
    <w:p w14:paraId="0E086B0D">
      <w:pPr>
        <w:pStyle w:val="12"/>
        <w:numPr>
          <w:ilvl w:val="0"/>
          <w:numId w:val="1"/>
        </w:numPr>
        <w:snapToGrid w:val="0"/>
        <w:spacing w:line="300" w:lineRule="auto"/>
        <w:ind w:firstLineChars="0"/>
        <w:rPr>
          <w:rFonts w:ascii="Arial" w:hAnsi="Arial" w:eastAsia="宋体" w:cs="Arial"/>
        </w:rPr>
      </w:pPr>
      <w:r>
        <w:rPr>
          <w:rFonts w:ascii="Arial" w:hAnsi="Arial" w:eastAsia="宋体" w:cs="Arial"/>
        </w:rPr>
        <w:t>对贵公司的器械中使用的疟原虫特异性抗原和/或疟原虫全抗原检测方法（如免疫层析测定）的描述。</w:t>
      </w:r>
    </w:p>
    <w:p w14:paraId="3C8D534A">
      <w:pPr>
        <w:pStyle w:val="12"/>
        <w:numPr>
          <w:ilvl w:val="0"/>
          <w:numId w:val="1"/>
        </w:numPr>
        <w:snapToGrid w:val="0"/>
        <w:spacing w:line="300" w:lineRule="auto"/>
        <w:ind w:firstLineChars="0"/>
        <w:rPr>
          <w:rFonts w:ascii="Arial" w:hAnsi="Arial" w:eastAsia="宋体" w:cs="Arial"/>
        </w:rPr>
      </w:pPr>
      <w:r>
        <w:rPr>
          <w:rFonts w:ascii="Arial" w:hAnsi="Arial" w:eastAsia="宋体" w:cs="Arial"/>
        </w:rPr>
        <w:t>对试剂盒所含试剂成分（包括抗体来源）的描述。</w:t>
      </w:r>
    </w:p>
    <w:p w14:paraId="7C08F766">
      <w:pPr>
        <w:pStyle w:val="12"/>
        <w:numPr>
          <w:ilvl w:val="0"/>
          <w:numId w:val="1"/>
        </w:numPr>
        <w:snapToGrid w:val="0"/>
        <w:spacing w:line="300" w:lineRule="auto"/>
        <w:ind w:firstLineChars="0"/>
        <w:rPr>
          <w:rFonts w:ascii="Arial" w:hAnsi="Arial" w:eastAsia="宋体" w:cs="Arial"/>
        </w:rPr>
      </w:pPr>
      <w:r>
        <w:rPr>
          <w:rFonts w:ascii="Arial" w:hAnsi="Arial" w:eastAsia="宋体" w:cs="Arial"/>
        </w:rPr>
        <w:t>被测抗原信息</w:t>
      </w:r>
    </w:p>
    <w:p w14:paraId="3E763190">
      <w:pPr>
        <w:pStyle w:val="12"/>
        <w:numPr>
          <w:ilvl w:val="0"/>
          <w:numId w:val="1"/>
        </w:numPr>
        <w:snapToGrid w:val="0"/>
        <w:spacing w:line="300" w:lineRule="auto"/>
        <w:ind w:firstLineChars="0"/>
        <w:rPr>
          <w:rFonts w:ascii="Arial" w:hAnsi="Arial" w:eastAsia="宋体" w:cs="Arial"/>
        </w:rPr>
      </w:pPr>
      <w:r>
        <w:rPr>
          <w:rFonts w:ascii="Arial" w:hAnsi="Arial" w:eastAsia="宋体" w:cs="Arial"/>
        </w:rPr>
        <w:t>内部对照及对它们在试剂盒中具体功能的描述。</w:t>
      </w:r>
    </w:p>
    <w:p w14:paraId="53A7FC2E">
      <w:pPr>
        <w:pStyle w:val="12"/>
        <w:numPr>
          <w:ilvl w:val="0"/>
          <w:numId w:val="1"/>
        </w:numPr>
        <w:snapToGrid w:val="0"/>
        <w:spacing w:line="300" w:lineRule="auto"/>
        <w:ind w:firstLineChars="0"/>
        <w:rPr>
          <w:rFonts w:ascii="Arial" w:hAnsi="Arial" w:eastAsia="宋体" w:cs="Arial"/>
        </w:rPr>
      </w:pPr>
      <w:r>
        <w:rPr>
          <w:rFonts w:ascii="Arial" w:hAnsi="Arial" w:eastAsia="宋体" w:cs="Arial"/>
        </w:rPr>
        <w:t>贵公司为用户提供或推荐使用的外部对照。</w:t>
      </w:r>
    </w:p>
    <w:p w14:paraId="2E7DB7A7">
      <w:pPr>
        <w:pStyle w:val="12"/>
        <w:numPr>
          <w:ilvl w:val="0"/>
          <w:numId w:val="1"/>
        </w:numPr>
        <w:snapToGrid w:val="0"/>
        <w:spacing w:line="300" w:lineRule="auto"/>
        <w:ind w:firstLineChars="0"/>
        <w:rPr>
          <w:rFonts w:ascii="Arial" w:hAnsi="Arial" w:eastAsia="宋体" w:cs="Arial"/>
        </w:rPr>
      </w:pPr>
      <w:r>
        <w:rPr>
          <w:rFonts w:ascii="Arial" w:hAnsi="Arial" w:eastAsia="宋体" w:cs="Arial"/>
        </w:rPr>
        <w:t>经同行评议的、描述检验方法的相关文献参考书目</w:t>
      </w:r>
      <w:bookmarkStart w:id="29" w:name="OLE_LINK39"/>
      <w:r>
        <w:rPr>
          <w:rFonts w:ascii="Arial" w:hAnsi="Arial" w:eastAsia="宋体" w:cs="Arial"/>
        </w:rPr>
        <w:t>（如果适用的话）。</w:t>
      </w:r>
      <w:bookmarkEnd w:id="29"/>
    </w:p>
    <w:p w14:paraId="03911C87">
      <w:pPr>
        <w:pStyle w:val="12"/>
        <w:numPr>
          <w:ilvl w:val="0"/>
          <w:numId w:val="1"/>
        </w:numPr>
        <w:snapToGrid w:val="0"/>
        <w:spacing w:line="300" w:lineRule="auto"/>
        <w:ind w:firstLineChars="0"/>
        <w:rPr>
          <w:rFonts w:ascii="Arial" w:hAnsi="Arial" w:eastAsia="宋体" w:cs="Arial"/>
        </w:rPr>
      </w:pPr>
      <w:r>
        <w:rPr>
          <w:rFonts w:ascii="Arial" w:hAnsi="Arial" w:eastAsia="宋体" w:cs="Arial"/>
        </w:rPr>
        <w:t>任何非标准设备或方法的插图或照片（如果适用的话）。</w:t>
      </w:r>
    </w:p>
    <w:p w14:paraId="15F745D5">
      <w:pPr>
        <w:snapToGrid w:val="0"/>
        <w:spacing w:line="300" w:lineRule="auto"/>
        <w:rPr>
          <w:rFonts w:ascii="Arial" w:hAnsi="Arial" w:eastAsia="宋体" w:cs="Arial"/>
          <w:spacing w:val="-4"/>
        </w:rPr>
      </w:pPr>
      <w:r>
        <w:rPr>
          <w:rFonts w:ascii="Arial" w:hAnsi="Arial" w:eastAsia="宋体" w:cs="Arial"/>
          <w:spacing w:val="-4"/>
        </w:rPr>
        <w:t>除描述性信息外，贵公司还可适当提交经过同行评议的与该器械所用技术有关的文献参考书目。</w:t>
      </w:r>
    </w:p>
    <w:p w14:paraId="10FBB3E1">
      <w:pPr>
        <w:snapToGrid w:val="0"/>
        <w:spacing w:line="300" w:lineRule="auto"/>
        <w:rPr>
          <w:rFonts w:ascii="Arial" w:hAnsi="Arial" w:eastAsia="宋体" w:cs="Arial"/>
        </w:rPr>
      </w:pPr>
    </w:p>
    <w:p w14:paraId="53D3A016">
      <w:pPr>
        <w:snapToGrid w:val="0"/>
        <w:spacing w:line="300" w:lineRule="auto"/>
        <w:rPr>
          <w:rFonts w:ascii="Arial" w:hAnsi="Arial" w:eastAsia="宋体" w:cs="Arial"/>
          <w:b/>
        </w:rPr>
      </w:pPr>
      <w:r>
        <w:rPr>
          <w:rFonts w:ascii="Arial" w:hAnsi="Arial" w:eastAsia="宋体" w:cs="Arial"/>
          <w:b/>
        </w:rPr>
        <w:t>预期用途</w:t>
      </w:r>
    </w:p>
    <w:p w14:paraId="0A4806C6">
      <w:pPr>
        <w:snapToGrid w:val="0"/>
        <w:spacing w:line="300" w:lineRule="auto"/>
        <w:rPr>
          <w:rFonts w:ascii="Arial" w:hAnsi="Arial" w:eastAsia="宋体" w:cs="Arial"/>
        </w:rPr>
      </w:pPr>
    </w:p>
    <w:p w14:paraId="3389E6D2">
      <w:pPr>
        <w:snapToGrid w:val="0"/>
        <w:spacing w:line="300" w:lineRule="auto"/>
        <w:rPr>
          <w:rFonts w:ascii="Arial" w:hAnsi="Arial" w:eastAsia="宋体" w:cs="Arial"/>
        </w:rPr>
      </w:pPr>
      <w:bookmarkStart w:id="30" w:name="OLE_LINK23"/>
      <w:bookmarkStart w:id="31" w:name="OLE_LINK22"/>
      <w:bookmarkStart w:id="32" w:name="OLE_LINK24"/>
      <w:r>
        <w:rPr>
          <w:rFonts w:ascii="Arial" w:hAnsi="Arial" w:eastAsia="宋体" w:cs="Arial"/>
        </w:rPr>
        <w:t>在贵公司的510（k）提交资料中应对试剂盒的检测对象、使用本检验法的临床指征和拟使用本检验法的具体人群做出详细描述。贵公司应在提交资料中包含患者的临床和人口统计描述（如性别、年龄、症状）。器械的临床性能就是从他们身上得以证实的。在预期用途部分应对本检验法是定性或定量做出详细描述。在本部分还应对拟使用本检验法的场所类型做出详细描述，如临床实验室、设在医生办公室的实验室（POL）、即时检验（point of care，POC）场所。</w:t>
      </w:r>
    </w:p>
    <w:bookmarkEnd w:id="30"/>
    <w:bookmarkEnd w:id="31"/>
    <w:bookmarkEnd w:id="32"/>
    <w:p w14:paraId="66EA6C77">
      <w:pPr>
        <w:snapToGrid w:val="0"/>
        <w:spacing w:line="300" w:lineRule="auto"/>
        <w:rPr>
          <w:rFonts w:ascii="Arial" w:hAnsi="Arial" w:eastAsia="宋体" w:cs="Arial"/>
        </w:rPr>
      </w:pPr>
    </w:p>
    <w:p w14:paraId="43C175D8">
      <w:pPr>
        <w:snapToGrid w:val="0"/>
        <w:spacing w:line="300" w:lineRule="auto"/>
        <w:rPr>
          <w:rFonts w:ascii="Arial" w:hAnsi="Arial" w:eastAsia="宋体" w:cs="Arial"/>
          <w:b/>
        </w:rPr>
      </w:pPr>
      <w:r>
        <w:rPr>
          <w:rFonts w:ascii="Arial" w:hAnsi="Arial" w:eastAsia="宋体" w:cs="Arial"/>
          <w:b/>
        </w:rPr>
        <w:t>6. 性能特征</w:t>
      </w:r>
    </w:p>
    <w:p w14:paraId="74A19477">
      <w:pPr>
        <w:snapToGrid w:val="0"/>
        <w:spacing w:line="300" w:lineRule="auto"/>
        <w:rPr>
          <w:rFonts w:ascii="Arial" w:hAnsi="Arial" w:eastAsia="宋体" w:cs="Arial"/>
          <w:b/>
        </w:rPr>
      </w:pPr>
      <w:r>
        <w:rPr>
          <w:rFonts w:ascii="Arial" w:hAnsi="Arial" w:eastAsia="宋体" w:cs="Arial"/>
          <w:b/>
        </w:rPr>
        <w:t>通用研究推荐规范</w:t>
      </w:r>
    </w:p>
    <w:p w14:paraId="53DF010C">
      <w:pPr>
        <w:snapToGrid w:val="0"/>
        <w:spacing w:line="300" w:lineRule="auto"/>
        <w:rPr>
          <w:rFonts w:ascii="Arial" w:hAnsi="Arial" w:eastAsia="宋体" w:cs="Arial"/>
        </w:rPr>
      </w:pPr>
    </w:p>
    <w:p w14:paraId="199B019D">
      <w:pPr>
        <w:snapToGrid w:val="0"/>
        <w:spacing w:line="300" w:lineRule="auto"/>
        <w:rPr>
          <w:rFonts w:ascii="Arial" w:hAnsi="Arial" w:eastAsia="宋体" w:cs="Arial"/>
        </w:rPr>
      </w:pPr>
      <w:r>
        <w:rPr>
          <w:rFonts w:ascii="Arial" w:hAnsi="Arial" w:eastAsia="宋体" w:cs="Arial"/>
        </w:rPr>
        <w:t>贵公司应在</w:t>
      </w:r>
      <w:bookmarkStart w:id="33" w:name="OLE_LINK53"/>
      <w:bookmarkStart w:id="34" w:name="OLE_LINK54"/>
      <w:r>
        <w:rPr>
          <w:rFonts w:ascii="Arial" w:hAnsi="Arial" w:eastAsia="宋体" w:cs="Arial"/>
        </w:rPr>
        <w:t>510（k）提交资料中</w:t>
      </w:r>
      <w:bookmarkEnd w:id="33"/>
      <w:bookmarkEnd w:id="34"/>
      <w:r>
        <w:rPr>
          <w:rFonts w:ascii="Arial" w:hAnsi="Arial" w:eastAsia="宋体" w:cs="Arial"/>
        </w:rPr>
        <w:t>对贵公司用来评价下述每种性能特征的研究设计做出详细描述。一般来说，对临床研究和精密度研究，我们建议贵公司在3个场所进行检测。这些场所应能代表贵公司打算将器械销往的地方，如临床实验室或即时检验场所。</w:t>
      </w:r>
    </w:p>
    <w:p w14:paraId="0BCF0063">
      <w:pPr>
        <w:snapToGrid w:val="0"/>
        <w:spacing w:line="300" w:lineRule="auto"/>
        <w:rPr>
          <w:rFonts w:ascii="Arial" w:hAnsi="Arial" w:eastAsia="宋体" w:cs="Arial"/>
        </w:rPr>
      </w:pPr>
    </w:p>
    <w:p w14:paraId="09176845">
      <w:pPr>
        <w:snapToGrid w:val="0"/>
        <w:spacing w:line="300" w:lineRule="auto"/>
        <w:rPr>
          <w:rFonts w:ascii="Arial" w:hAnsi="Arial" w:eastAsia="宋体" w:cs="Arial"/>
        </w:rPr>
      </w:pPr>
      <w:r>
        <w:rPr>
          <w:rFonts w:ascii="Arial" w:hAnsi="Arial" w:eastAsia="宋体" w:cs="Arial"/>
        </w:rPr>
        <w:t>贵公司应对贵公司的试剂盒用于贵公司推荐的所有标本类型（如静脉血、指尖血）的性能做出评价。</w:t>
      </w:r>
    </w:p>
    <w:bookmarkEnd w:id="2"/>
    <w:bookmarkEnd w:id="3"/>
    <w:p w14:paraId="7064018D">
      <w:pPr>
        <w:snapToGrid w:val="0"/>
        <w:spacing w:line="300" w:lineRule="auto"/>
        <w:rPr>
          <w:rFonts w:ascii="Arial" w:hAnsi="Arial" w:eastAsia="宋体" w:cs="Arial"/>
        </w:rPr>
      </w:pPr>
    </w:p>
    <w:p w14:paraId="07A7BB59">
      <w:pPr>
        <w:snapToGrid w:val="0"/>
        <w:spacing w:line="300" w:lineRule="auto"/>
        <w:rPr>
          <w:rFonts w:ascii="Arial" w:hAnsi="Arial" w:eastAsia="宋体" w:cs="Arial"/>
          <w:spacing w:val="-4"/>
        </w:rPr>
      </w:pPr>
      <w:r>
        <w:rPr>
          <w:rFonts w:ascii="Arial" w:hAnsi="Arial" w:eastAsia="宋体" w:cs="Arial"/>
          <w:spacing w:val="-4"/>
        </w:rPr>
        <w:t>为便于审查期间准确理解判定标准和汇总数据，我们建议贵公司在510（k）提交资料中适当提供研究方案的具体信息。这些信息对帮助用户理解贵公司在贴标上提供的信息亦是重要的。例如，在提及临床实验室标准研究所的</w:t>
      </w:r>
      <w:bookmarkStart w:id="35" w:name="OLE_LINK60"/>
      <w:bookmarkStart w:id="36" w:name="OLE_LINK57"/>
      <w:r>
        <w:rPr>
          <w:rFonts w:ascii="Arial" w:hAnsi="Arial" w:eastAsia="宋体" w:cs="Arial"/>
          <w:spacing w:val="-4"/>
        </w:rPr>
        <w:t>研究方案或操作指南</w:t>
      </w:r>
      <w:bookmarkEnd w:id="35"/>
      <w:bookmarkEnd w:id="36"/>
      <w:r>
        <w:rPr>
          <w:rFonts w:ascii="Arial" w:hAnsi="Arial" w:eastAsia="宋体" w:cs="Arial"/>
          <w:spacing w:val="-4"/>
        </w:rPr>
        <w:t>时，我们建议贵公司指出贵公司遵从了该研究方案或操作指南的哪些具体方面。这种类型的信息对帮助用户解释结果亦是重要的，在贴标中亦应提供。</w:t>
      </w:r>
    </w:p>
    <w:p w14:paraId="2B9EADC8">
      <w:pPr>
        <w:snapToGrid w:val="0"/>
        <w:spacing w:line="300" w:lineRule="auto"/>
        <w:rPr>
          <w:rFonts w:ascii="Arial" w:hAnsi="Arial" w:eastAsia="宋体" w:cs="Arial"/>
        </w:rPr>
      </w:pPr>
    </w:p>
    <w:p w14:paraId="41882C4C">
      <w:pPr>
        <w:snapToGrid w:val="0"/>
        <w:spacing w:line="300" w:lineRule="auto"/>
        <w:rPr>
          <w:rFonts w:ascii="Arial" w:hAnsi="Arial" w:eastAsia="宋体" w:cs="Arial"/>
        </w:rPr>
      </w:pPr>
      <w:r>
        <w:rPr>
          <w:rFonts w:ascii="Arial" w:hAnsi="Arial" w:eastAsia="宋体" w:cs="Arial"/>
        </w:rPr>
        <w:t>我们建议贵公司与体外诊断器械评价和安全办公室微生物学检测器械处联系，获得对贵公司的研究计划和贵公司拟支持的临床主张的反馈。食品药品监督管理局设置的一个称之为研究性器械豁免前审查的流程为获得这种类型的信息提供了机会。</w:t>
      </w:r>
    </w:p>
    <w:p w14:paraId="4192EEB8">
      <w:pPr>
        <w:snapToGrid w:val="0"/>
        <w:spacing w:line="300" w:lineRule="auto"/>
        <w:rPr>
          <w:rFonts w:ascii="Arial" w:hAnsi="Arial" w:eastAsia="宋体" w:cs="Arial"/>
        </w:rPr>
      </w:pPr>
      <w:r>
        <w:rPr>
          <w:rFonts w:ascii="Arial" w:hAnsi="Arial" w:eastAsia="宋体" w:cs="Arial"/>
        </w:rPr>
        <w:t>我们建议贵公司在510（k）提交资料中对下列性能特征进行讨论：</w:t>
      </w:r>
    </w:p>
    <w:p w14:paraId="7D559C5A">
      <w:pPr>
        <w:snapToGrid w:val="0"/>
        <w:spacing w:line="300" w:lineRule="auto"/>
        <w:rPr>
          <w:rFonts w:ascii="Arial" w:hAnsi="Arial" w:eastAsia="宋体" w:cs="Arial"/>
          <w:b/>
        </w:rPr>
      </w:pPr>
      <w:r>
        <w:rPr>
          <w:rFonts w:ascii="Arial" w:hAnsi="Arial" w:eastAsia="宋体" w:cs="Arial"/>
          <w:b/>
        </w:rPr>
        <w:t>A. 标本采集和处理条件</w:t>
      </w:r>
    </w:p>
    <w:p w14:paraId="76EE2C7C">
      <w:pPr>
        <w:snapToGrid w:val="0"/>
        <w:spacing w:line="300" w:lineRule="auto"/>
        <w:rPr>
          <w:rFonts w:ascii="Arial" w:hAnsi="Arial" w:eastAsia="宋体" w:cs="Arial"/>
        </w:rPr>
      </w:pPr>
    </w:p>
    <w:p w14:paraId="4981977B">
      <w:pPr>
        <w:snapToGrid w:val="0"/>
        <w:spacing w:line="300" w:lineRule="auto"/>
        <w:rPr>
          <w:rFonts w:ascii="Arial" w:hAnsi="Arial" w:eastAsia="宋体" w:cs="Arial"/>
        </w:rPr>
      </w:pPr>
      <w:r>
        <w:rPr>
          <w:rFonts w:ascii="Arial" w:hAnsi="Arial" w:eastAsia="宋体" w:cs="Arial"/>
        </w:rPr>
        <w:t>贵公司应在贵公司的贴标中对涉及标本采集、运输和储存选项的所有推荐规范做出评价。贵公司应确保采用按器械包装说明书所荐方式处理过的标本对本检验法进行评价。贵公司应判定在向用户推荐的储存期和储存温度条件下器械能否保持可接受的性能（如准确度、再现性）。例如，一项合适的研究可包括对等分试样的分析。这些等分试样应储存在贵公司向器械用户推荐的时间、湿度和温度条件下。</w:t>
      </w:r>
    </w:p>
    <w:p w14:paraId="6498C055">
      <w:pPr>
        <w:snapToGrid w:val="0"/>
        <w:spacing w:line="300" w:lineRule="auto"/>
        <w:rPr>
          <w:rFonts w:ascii="Arial" w:hAnsi="Arial" w:eastAsia="宋体" w:cs="Arial"/>
        </w:rPr>
      </w:pPr>
    </w:p>
    <w:p w14:paraId="459D4B15">
      <w:pPr>
        <w:snapToGrid w:val="0"/>
        <w:spacing w:line="300" w:lineRule="auto"/>
        <w:rPr>
          <w:rFonts w:ascii="Arial" w:hAnsi="Arial" w:eastAsia="宋体" w:cs="Arial"/>
          <w:b/>
        </w:rPr>
      </w:pPr>
      <w:r>
        <w:rPr>
          <w:rFonts w:ascii="Arial" w:hAnsi="Arial" w:eastAsia="宋体" w:cs="Arial"/>
          <w:b/>
        </w:rPr>
        <w:t>B. 精密度测定（重复性/再现性）</w:t>
      </w:r>
    </w:p>
    <w:p w14:paraId="08682F80">
      <w:pPr>
        <w:snapToGrid w:val="0"/>
        <w:spacing w:line="300" w:lineRule="auto"/>
        <w:rPr>
          <w:rFonts w:ascii="Arial" w:hAnsi="Arial" w:eastAsia="宋体" w:cs="Arial"/>
        </w:rPr>
      </w:pPr>
    </w:p>
    <w:p w14:paraId="48E3A001">
      <w:pPr>
        <w:snapToGrid w:val="0"/>
        <w:spacing w:line="300" w:lineRule="auto"/>
        <w:rPr>
          <w:rFonts w:ascii="Arial" w:hAnsi="Arial" w:eastAsia="宋体" w:cs="Arial"/>
        </w:rPr>
      </w:pPr>
      <w:r>
        <w:rPr>
          <w:rFonts w:ascii="Arial" w:hAnsi="Arial" w:eastAsia="宋体" w:cs="Arial"/>
        </w:rPr>
        <w:t>贵公司应提供可证实贵公司器械精密度（即重复性和再现性）的数据。</w:t>
      </w:r>
      <w:bookmarkStart w:id="37" w:name="OLE_LINK6"/>
      <w:bookmarkStart w:id="38" w:name="OLE_LINK7"/>
      <w:r>
        <w:rPr>
          <w:rFonts w:ascii="Arial" w:hAnsi="Arial" w:eastAsia="宋体" w:cs="Arial"/>
        </w:rPr>
        <w:t>在临床实验室标准研究所</w:t>
      </w:r>
      <w:bookmarkEnd w:id="37"/>
      <w:bookmarkEnd w:id="38"/>
      <w:r>
        <w:rPr>
          <w:rFonts w:ascii="Arial" w:hAnsi="Arial" w:eastAsia="宋体" w:cs="Arial"/>
        </w:rPr>
        <w:t>文件“精密度和准确度的用户验证”（</w:t>
      </w:r>
      <w:bookmarkStart w:id="39" w:name="OLE_LINK9"/>
      <w:bookmarkStart w:id="40" w:name="OLE_LINK10"/>
      <w:r>
        <w:rPr>
          <w:rFonts w:ascii="Arial" w:hAnsi="Arial" w:eastAsia="宋体" w:cs="Arial"/>
        </w:rPr>
        <w:t>临床实验室标准研究所操作指南EP15-A2</w:t>
      </w:r>
      <w:bookmarkEnd w:id="39"/>
      <w:bookmarkEnd w:id="40"/>
      <w:r>
        <w:rPr>
          <w:rFonts w:ascii="Arial" w:hAnsi="Arial" w:eastAsia="宋体" w:cs="Arial"/>
        </w:rPr>
        <w:t>）和“定性检验性能评价用户方案”（临床实验室标准研究所操作指南EP12-A）中包含了制定实验设计、计算方法和供确立性能主张用格式的指导原则。我们建议贵公司遵从这些指导原则。理论上，贵公司应设计一个评价方案，用于确认测定变异的所有来源。</w:t>
      </w:r>
    </w:p>
    <w:p w14:paraId="61487831">
      <w:pPr>
        <w:snapToGrid w:val="0"/>
        <w:spacing w:line="300" w:lineRule="auto"/>
        <w:rPr>
          <w:rFonts w:ascii="Arial" w:hAnsi="Arial" w:eastAsia="宋体" w:cs="Arial"/>
        </w:rPr>
      </w:pPr>
    </w:p>
    <w:p w14:paraId="636C9EA7">
      <w:pPr>
        <w:snapToGrid w:val="0"/>
        <w:spacing w:line="300" w:lineRule="auto"/>
        <w:rPr>
          <w:rFonts w:ascii="Arial" w:hAnsi="Arial" w:eastAsia="宋体" w:cs="Arial"/>
        </w:rPr>
      </w:pPr>
      <w:r>
        <w:rPr>
          <w:rFonts w:ascii="Arial" w:hAnsi="Arial" w:eastAsia="宋体" w:cs="Arial"/>
        </w:rPr>
        <w:t>我们建议贵公司对实验室可能遇到的各种疟原虫水平的精密度做出评价并建议贵公司包含检测极限附近（上下）的疟原虫水平。在进行精密度评价时，贵公司应使用患者标本以及贵公司随器械提供或建议使用的质控材料。</w:t>
      </w:r>
    </w:p>
    <w:p w14:paraId="034B512A">
      <w:pPr>
        <w:snapToGrid w:val="0"/>
        <w:spacing w:line="300" w:lineRule="auto"/>
        <w:rPr>
          <w:rFonts w:ascii="Arial" w:hAnsi="Arial" w:eastAsia="宋体" w:cs="Arial"/>
        </w:rPr>
      </w:pPr>
    </w:p>
    <w:p w14:paraId="6C2E4CF3">
      <w:pPr>
        <w:snapToGrid w:val="0"/>
        <w:spacing w:line="300" w:lineRule="auto"/>
        <w:rPr>
          <w:rFonts w:ascii="Arial" w:hAnsi="Arial" w:eastAsia="宋体" w:cs="Arial"/>
        </w:rPr>
      </w:pPr>
      <w:r>
        <w:rPr>
          <w:rFonts w:ascii="Arial" w:hAnsi="Arial" w:eastAsia="宋体" w:cs="Arial"/>
        </w:rPr>
        <w:t>我们建议贵公司在510（k）提交资料中包含下列内容：</w:t>
      </w:r>
    </w:p>
    <w:p w14:paraId="3344B778">
      <w:pPr>
        <w:pStyle w:val="12"/>
        <w:numPr>
          <w:ilvl w:val="0"/>
          <w:numId w:val="2"/>
        </w:numPr>
        <w:snapToGrid w:val="0"/>
        <w:spacing w:line="300" w:lineRule="auto"/>
        <w:ind w:firstLineChars="0"/>
        <w:rPr>
          <w:rFonts w:ascii="Arial" w:hAnsi="Arial" w:eastAsia="宋体" w:cs="Arial"/>
        </w:rPr>
      </w:pPr>
      <w:r>
        <w:rPr>
          <w:rFonts w:ascii="Arial" w:hAnsi="Arial" w:eastAsia="宋体" w:cs="Arial"/>
        </w:rPr>
        <w:t>所用疟原虫水平的浓度估计值。</w:t>
      </w:r>
    </w:p>
    <w:p w14:paraId="6A376C12">
      <w:pPr>
        <w:pStyle w:val="12"/>
        <w:numPr>
          <w:ilvl w:val="0"/>
          <w:numId w:val="2"/>
        </w:numPr>
        <w:snapToGrid w:val="0"/>
        <w:spacing w:line="300" w:lineRule="auto"/>
        <w:ind w:firstLineChars="0"/>
        <w:rPr>
          <w:rFonts w:ascii="Arial" w:hAnsi="Arial" w:eastAsia="宋体" w:cs="Arial"/>
        </w:rPr>
      </w:pPr>
      <w:r>
        <w:rPr>
          <w:rFonts w:ascii="Arial" w:hAnsi="Arial" w:eastAsia="宋体" w:cs="Arial"/>
        </w:rPr>
        <w:t>精密度测定方案的实施场所。</w:t>
      </w:r>
    </w:p>
    <w:p w14:paraId="31460F75">
      <w:pPr>
        <w:pStyle w:val="12"/>
        <w:numPr>
          <w:ilvl w:val="0"/>
          <w:numId w:val="2"/>
        </w:numPr>
        <w:snapToGrid w:val="0"/>
        <w:spacing w:line="300" w:lineRule="auto"/>
        <w:ind w:firstLineChars="0"/>
        <w:rPr>
          <w:rFonts w:ascii="Arial" w:hAnsi="Arial" w:eastAsia="宋体" w:cs="Arial"/>
        </w:rPr>
      </w:pPr>
      <w:r>
        <w:rPr>
          <w:rFonts w:ascii="Arial" w:hAnsi="Arial" w:eastAsia="宋体" w:cs="Arial"/>
        </w:rPr>
        <w:t>天数、运行次数和观察结果数。</w:t>
      </w:r>
    </w:p>
    <w:p w14:paraId="57A89FCC">
      <w:pPr>
        <w:pStyle w:val="12"/>
        <w:numPr>
          <w:ilvl w:val="0"/>
          <w:numId w:val="2"/>
        </w:numPr>
        <w:snapToGrid w:val="0"/>
        <w:spacing w:line="300" w:lineRule="auto"/>
        <w:ind w:firstLineChars="0"/>
        <w:rPr>
          <w:rFonts w:ascii="Arial" w:hAnsi="Arial" w:eastAsia="宋体" w:cs="Arial"/>
        </w:rPr>
      </w:pPr>
      <w:r>
        <w:rPr>
          <w:rFonts w:ascii="Arial" w:hAnsi="Arial" w:eastAsia="宋体" w:cs="Arial"/>
        </w:rPr>
        <w:t>实施场所和/或操作人员数。</w:t>
      </w:r>
    </w:p>
    <w:p w14:paraId="1FE56442">
      <w:pPr>
        <w:pStyle w:val="12"/>
        <w:numPr>
          <w:ilvl w:val="0"/>
          <w:numId w:val="2"/>
        </w:numPr>
        <w:snapToGrid w:val="0"/>
        <w:spacing w:line="300" w:lineRule="auto"/>
        <w:ind w:firstLineChars="0"/>
        <w:rPr>
          <w:rFonts w:ascii="Arial" w:hAnsi="Arial" w:eastAsia="宋体" w:cs="Arial"/>
        </w:rPr>
      </w:pPr>
      <w:r>
        <w:rPr>
          <w:rFonts w:ascii="Arial" w:hAnsi="Arial" w:eastAsia="宋体" w:cs="Arial"/>
        </w:rPr>
        <w:t>对评价期间保持不变和有所变化诸因素的描述（如试剂批次和操作人员）。</w:t>
      </w:r>
    </w:p>
    <w:p w14:paraId="1A1F00DA">
      <w:pPr>
        <w:pStyle w:val="12"/>
        <w:numPr>
          <w:ilvl w:val="0"/>
          <w:numId w:val="2"/>
        </w:numPr>
        <w:snapToGrid w:val="0"/>
        <w:spacing w:line="300" w:lineRule="auto"/>
        <w:ind w:firstLineChars="0"/>
        <w:rPr>
          <w:rFonts w:ascii="Arial" w:hAnsi="Arial" w:eastAsia="宋体" w:cs="Arial"/>
        </w:rPr>
      </w:pPr>
      <w:r>
        <w:rPr>
          <w:rFonts w:ascii="Arial" w:hAnsi="Arial" w:eastAsia="宋体" w:cs="Arial"/>
        </w:rPr>
        <w:t>场所内和场所间一致率（％）。</w:t>
      </w:r>
    </w:p>
    <w:p w14:paraId="1133278C">
      <w:pPr>
        <w:snapToGrid w:val="0"/>
        <w:spacing w:line="300" w:lineRule="auto"/>
        <w:rPr>
          <w:rFonts w:ascii="Arial" w:hAnsi="Arial" w:eastAsia="宋体" w:cs="Arial"/>
        </w:rPr>
      </w:pPr>
    </w:p>
    <w:p w14:paraId="0974B4B1">
      <w:pPr>
        <w:snapToGrid w:val="0"/>
        <w:spacing w:line="300" w:lineRule="auto"/>
        <w:rPr>
          <w:rFonts w:ascii="Arial" w:hAnsi="Arial" w:eastAsia="宋体" w:cs="Arial"/>
        </w:rPr>
      </w:pPr>
      <w:r>
        <w:rPr>
          <w:rFonts w:ascii="Arial" w:hAnsi="Arial" w:eastAsia="宋体" w:cs="Arial"/>
        </w:rPr>
        <w:t>如果贵公司的计算方法与临床实验室标准研究所文件EP15-A2和EP12-A所述方法有所不同，应对其做出描述。</w:t>
      </w:r>
    </w:p>
    <w:p w14:paraId="0CBEC354">
      <w:pPr>
        <w:snapToGrid w:val="0"/>
        <w:spacing w:line="300" w:lineRule="auto"/>
        <w:rPr>
          <w:rFonts w:ascii="Arial" w:hAnsi="Arial" w:eastAsia="宋体" w:cs="Arial"/>
        </w:rPr>
      </w:pPr>
    </w:p>
    <w:p w14:paraId="079F1410">
      <w:pPr>
        <w:snapToGrid w:val="0"/>
        <w:spacing w:line="300" w:lineRule="auto"/>
        <w:rPr>
          <w:rFonts w:ascii="Arial" w:hAnsi="Arial" w:eastAsia="宋体" w:cs="Arial"/>
          <w:b/>
        </w:rPr>
      </w:pPr>
      <w:r>
        <w:rPr>
          <w:rFonts w:ascii="Arial" w:hAnsi="Arial" w:eastAsia="宋体" w:cs="Arial"/>
          <w:b/>
        </w:rPr>
        <w:t>C. 干扰情况</w:t>
      </w:r>
    </w:p>
    <w:p w14:paraId="1C4394E1">
      <w:pPr>
        <w:snapToGrid w:val="0"/>
        <w:spacing w:line="300" w:lineRule="auto"/>
        <w:rPr>
          <w:rFonts w:ascii="Arial" w:hAnsi="Arial" w:eastAsia="宋体" w:cs="Arial"/>
        </w:rPr>
      </w:pPr>
    </w:p>
    <w:p w14:paraId="4EDB012B">
      <w:pPr>
        <w:snapToGrid w:val="0"/>
        <w:spacing w:line="300" w:lineRule="auto"/>
        <w:rPr>
          <w:rFonts w:ascii="Arial" w:hAnsi="Arial" w:eastAsia="宋体" w:cs="Arial"/>
        </w:rPr>
      </w:pPr>
      <w:r>
        <w:rPr>
          <w:rFonts w:ascii="Arial" w:hAnsi="Arial" w:eastAsia="宋体" w:cs="Arial"/>
        </w:rPr>
        <w:t>贵公司应对潜在干扰物质影响检验性能的特征做出描述。在临床实验室标准研究所文件EP7-A2“临床化学干扰检测”中对制定实验设计和选择干扰物质用于检测的指导原则进行了详细描述。贵公司应检测的干扰的潜在来源包括可在预期人群内引入个体全血中的非处方药或处方药（即抗疟药、抗生素和抗炎药）。其它应检测的潜在干扰来源包括通常在临床标本中发现的化合物，如三油精（甘油三酯）、血红蛋白、胆红素和血清蛋白。这些类型的干扰研究通常涉及将潜在干扰物质加入全血标本中并与对照标本（不加干扰物质）相比较确定检验结果的任何偏差。</w:t>
      </w:r>
    </w:p>
    <w:p w14:paraId="542E56DF">
      <w:pPr>
        <w:snapToGrid w:val="0"/>
        <w:spacing w:line="300" w:lineRule="auto"/>
        <w:rPr>
          <w:rFonts w:ascii="Arial" w:hAnsi="Arial" w:eastAsia="宋体" w:cs="Arial"/>
        </w:rPr>
      </w:pPr>
    </w:p>
    <w:p w14:paraId="1A6BAB77">
      <w:pPr>
        <w:snapToGrid w:val="0"/>
        <w:spacing w:line="300" w:lineRule="auto"/>
        <w:rPr>
          <w:rFonts w:ascii="Arial" w:hAnsi="Arial" w:eastAsia="宋体" w:cs="Arial"/>
        </w:rPr>
      </w:pPr>
      <w:r>
        <w:rPr>
          <w:rFonts w:ascii="Arial" w:hAnsi="Arial" w:eastAsia="宋体" w:cs="Arial"/>
        </w:rPr>
        <w:t>贵公司还应对包含下列情况的全血标本进行检测：</w:t>
      </w:r>
    </w:p>
    <w:p w14:paraId="1EDCC0C4">
      <w:pPr>
        <w:pStyle w:val="12"/>
        <w:numPr>
          <w:ilvl w:val="0"/>
          <w:numId w:val="3"/>
        </w:numPr>
        <w:snapToGrid w:val="0"/>
        <w:spacing w:line="300" w:lineRule="auto"/>
        <w:ind w:firstLineChars="0"/>
        <w:rPr>
          <w:rFonts w:ascii="Arial" w:hAnsi="Arial" w:eastAsia="宋体" w:cs="Arial"/>
        </w:rPr>
      </w:pPr>
      <w:r>
        <w:rPr>
          <w:rFonts w:ascii="Arial" w:hAnsi="Arial" w:eastAsia="宋体" w:cs="Arial"/>
        </w:rPr>
        <w:t>白细胞水平异常升高（可能存在于发热患者）。</w:t>
      </w:r>
    </w:p>
    <w:p w14:paraId="2EF41864">
      <w:pPr>
        <w:pStyle w:val="12"/>
        <w:numPr>
          <w:ilvl w:val="0"/>
          <w:numId w:val="3"/>
        </w:numPr>
        <w:snapToGrid w:val="0"/>
        <w:spacing w:line="300" w:lineRule="auto"/>
        <w:ind w:firstLineChars="0"/>
        <w:rPr>
          <w:rFonts w:ascii="Arial" w:hAnsi="Arial" w:eastAsia="宋体" w:cs="Arial"/>
        </w:rPr>
      </w:pPr>
      <w:r>
        <w:rPr>
          <w:rFonts w:ascii="Arial" w:hAnsi="Arial" w:eastAsia="宋体" w:cs="Arial"/>
        </w:rPr>
        <w:t>配子体水平异常升高</w:t>
      </w:r>
    </w:p>
    <w:p w14:paraId="3B395C68">
      <w:pPr>
        <w:pStyle w:val="12"/>
        <w:numPr>
          <w:ilvl w:val="0"/>
          <w:numId w:val="3"/>
        </w:numPr>
        <w:snapToGrid w:val="0"/>
        <w:spacing w:line="300" w:lineRule="auto"/>
        <w:ind w:firstLineChars="0"/>
        <w:rPr>
          <w:rFonts w:ascii="Arial" w:hAnsi="Arial" w:eastAsia="宋体" w:cs="Arial"/>
        </w:rPr>
      </w:pPr>
      <w:r>
        <w:rPr>
          <w:rFonts w:ascii="Arial" w:hAnsi="Arial" w:eastAsia="宋体" w:cs="Arial"/>
        </w:rPr>
        <w:t>红细胞压积水平升高</w:t>
      </w:r>
    </w:p>
    <w:p w14:paraId="70FA4B90">
      <w:pPr>
        <w:pStyle w:val="12"/>
        <w:numPr>
          <w:ilvl w:val="0"/>
          <w:numId w:val="3"/>
        </w:numPr>
        <w:snapToGrid w:val="0"/>
        <w:spacing w:line="300" w:lineRule="auto"/>
        <w:ind w:firstLineChars="0"/>
        <w:rPr>
          <w:rFonts w:ascii="Arial" w:hAnsi="Arial" w:eastAsia="宋体" w:cs="Arial"/>
        </w:rPr>
      </w:pPr>
      <w:r>
        <w:rPr>
          <w:rFonts w:ascii="Arial" w:hAnsi="Arial" w:eastAsia="宋体" w:cs="Arial"/>
        </w:rPr>
        <w:t>类风湿因子呈阳性滴度（已知在这些类型的试剂盒中可导致假阳性结果）。</w:t>
      </w:r>
    </w:p>
    <w:p w14:paraId="4C0D263A">
      <w:pPr>
        <w:pStyle w:val="12"/>
        <w:numPr>
          <w:ilvl w:val="0"/>
          <w:numId w:val="3"/>
        </w:numPr>
        <w:snapToGrid w:val="0"/>
        <w:spacing w:line="300" w:lineRule="auto"/>
        <w:ind w:firstLineChars="0"/>
        <w:rPr>
          <w:rFonts w:ascii="Arial" w:hAnsi="Arial" w:eastAsia="宋体" w:cs="Arial"/>
        </w:rPr>
      </w:pPr>
      <w:r>
        <w:rPr>
          <w:rFonts w:ascii="Arial" w:hAnsi="Arial" w:eastAsia="宋体" w:cs="Arial"/>
        </w:rPr>
        <w:t>其它自身免疫抗体（如系统性红斑狼疮）、抗核抗体和人抗小鼠抗体呈阳性滴度。</w:t>
      </w:r>
    </w:p>
    <w:p w14:paraId="350F7D5A">
      <w:pPr>
        <w:snapToGrid w:val="0"/>
        <w:spacing w:line="300" w:lineRule="auto"/>
        <w:rPr>
          <w:rFonts w:ascii="Arial" w:hAnsi="Arial" w:eastAsia="宋体" w:cs="Arial"/>
        </w:rPr>
      </w:pPr>
    </w:p>
    <w:p w14:paraId="07E26917">
      <w:pPr>
        <w:snapToGrid w:val="0"/>
        <w:spacing w:line="300" w:lineRule="auto"/>
        <w:rPr>
          <w:rFonts w:ascii="Arial" w:hAnsi="Arial" w:eastAsia="宋体" w:cs="Arial"/>
        </w:rPr>
      </w:pPr>
      <w:r>
        <w:rPr>
          <w:rFonts w:ascii="Arial" w:hAnsi="Arial" w:eastAsia="宋体" w:cs="Arial"/>
        </w:rPr>
        <w:t>贵公司应在贵公司的510（k）提交资料中对下列信息做出描述：</w:t>
      </w:r>
    </w:p>
    <w:p w14:paraId="140E9455">
      <w:pPr>
        <w:snapToGrid w:val="0"/>
        <w:spacing w:line="300" w:lineRule="auto"/>
        <w:rPr>
          <w:rFonts w:ascii="Arial" w:hAnsi="Arial" w:eastAsia="宋体" w:cs="Arial"/>
        </w:rPr>
      </w:pPr>
    </w:p>
    <w:p w14:paraId="40D767D8">
      <w:pPr>
        <w:pStyle w:val="12"/>
        <w:numPr>
          <w:ilvl w:val="0"/>
          <w:numId w:val="3"/>
        </w:numPr>
        <w:snapToGrid w:val="0"/>
        <w:spacing w:line="300" w:lineRule="auto"/>
        <w:ind w:firstLineChars="0"/>
        <w:rPr>
          <w:rFonts w:ascii="Arial" w:hAnsi="Arial" w:eastAsia="宋体" w:cs="Arial"/>
        </w:rPr>
      </w:pPr>
      <w:r>
        <w:rPr>
          <w:rFonts w:ascii="Arial" w:hAnsi="Arial" w:eastAsia="宋体" w:cs="Arial"/>
        </w:rPr>
        <w:t>被测干扰物质的类型和水平。</w:t>
      </w:r>
    </w:p>
    <w:p w14:paraId="246A8325">
      <w:pPr>
        <w:pStyle w:val="12"/>
        <w:numPr>
          <w:ilvl w:val="0"/>
          <w:numId w:val="3"/>
        </w:numPr>
        <w:snapToGrid w:val="0"/>
        <w:spacing w:line="300" w:lineRule="auto"/>
        <w:ind w:firstLineChars="0"/>
        <w:rPr>
          <w:rFonts w:ascii="Arial" w:hAnsi="Arial" w:eastAsia="宋体" w:cs="Arial"/>
        </w:rPr>
      </w:pPr>
      <w:r>
        <w:rPr>
          <w:rFonts w:ascii="Arial" w:hAnsi="Arial" w:eastAsia="宋体" w:cs="Arial"/>
        </w:rPr>
        <w:t>标本中疟疾抗原的水平，包括对如何确定疟疾抗原水平的描述。</w:t>
      </w:r>
    </w:p>
    <w:p w14:paraId="48787B30">
      <w:pPr>
        <w:pStyle w:val="12"/>
        <w:numPr>
          <w:ilvl w:val="0"/>
          <w:numId w:val="3"/>
        </w:numPr>
        <w:snapToGrid w:val="0"/>
        <w:spacing w:line="300" w:lineRule="auto"/>
        <w:ind w:firstLineChars="0"/>
        <w:rPr>
          <w:rFonts w:ascii="Arial" w:hAnsi="Arial" w:eastAsia="宋体" w:cs="Arial"/>
        </w:rPr>
      </w:pPr>
      <w:r>
        <w:rPr>
          <w:rFonts w:ascii="Arial" w:hAnsi="Arial" w:eastAsia="宋体" w:cs="Arial"/>
        </w:rPr>
        <w:t>被测复制品数。</w:t>
      </w:r>
    </w:p>
    <w:p w14:paraId="69435E45">
      <w:pPr>
        <w:pStyle w:val="12"/>
        <w:numPr>
          <w:ilvl w:val="0"/>
          <w:numId w:val="3"/>
        </w:numPr>
        <w:snapToGrid w:val="0"/>
        <w:spacing w:line="300" w:lineRule="auto"/>
        <w:ind w:firstLineChars="0"/>
        <w:rPr>
          <w:rFonts w:ascii="Arial" w:hAnsi="Arial" w:eastAsia="宋体" w:cs="Arial"/>
        </w:rPr>
      </w:pPr>
      <w:r>
        <w:rPr>
          <w:rFonts w:ascii="Arial" w:hAnsi="Arial" w:eastAsia="宋体" w:cs="Arial"/>
        </w:rPr>
        <w:t>干扰评价的定义或方法。</w:t>
      </w:r>
    </w:p>
    <w:p w14:paraId="3E687653">
      <w:pPr>
        <w:pStyle w:val="12"/>
        <w:numPr>
          <w:ilvl w:val="0"/>
          <w:numId w:val="3"/>
        </w:numPr>
        <w:snapToGrid w:val="0"/>
        <w:spacing w:line="300" w:lineRule="auto"/>
        <w:ind w:firstLineChars="0"/>
        <w:rPr>
          <w:rFonts w:ascii="Arial" w:hAnsi="Arial" w:eastAsia="宋体" w:cs="Arial"/>
        </w:rPr>
      </w:pPr>
      <w:r>
        <w:rPr>
          <w:rFonts w:ascii="Arial" w:hAnsi="Arial" w:eastAsia="宋体" w:cs="Arial"/>
        </w:rPr>
        <w:t>检验结果，包括干扰所致的所有观察偏差（阴性或阳性）以及贵公司判定无干扰的标准。</w:t>
      </w:r>
    </w:p>
    <w:p w14:paraId="2146C699">
      <w:pPr>
        <w:snapToGrid w:val="0"/>
        <w:spacing w:after="156" w:afterLines="50" w:line="300" w:lineRule="auto"/>
        <w:rPr>
          <w:rFonts w:ascii="Arial" w:hAnsi="Arial" w:eastAsia="宋体" w:cs="Arial"/>
          <w:b/>
        </w:rPr>
      </w:pPr>
      <w:r>
        <w:rPr>
          <w:rFonts w:ascii="Arial" w:hAnsi="Arial" w:eastAsia="宋体" w:cs="Arial"/>
          <w:b/>
        </w:rPr>
        <w:t>D. 分析特异度（交叉反应性）</w:t>
      </w:r>
    </w:p>
    <w:p w14:paraId="72320145">
      <w:pPr>
        <w:snapToGrid w:val="0"/>
        <w:spacing w:after="156" w:afterLines="50" w:line="300" w:lineRule="auto"/>
        <w:rPr>
          <w:rFonts w:ascii="Arial" w:hAnsi="Arial" w:eastAsia="宋体" w:cs="Arial"/>
        </w:rPr>
      </w:pPr>
      <w:r>
        <w:rPr>
          <w:rFonts w:ascii="Arial" w:hAnsi="Arial" w:eastAsia="宋体" w:cs="Arial"/>
        </w:rPr>
        <w:t>贵公司应通过测定贵公司的器械与其它相关微生物（包括细菌、病毒和寄生虫）的交叉反应性而提供数据证明本检验法的特异度。特别是贵公司应对存在某些微生物时本检验法的性能特征做出描述。这些微生物引起的症状与疟疾感染相似，二者可产生混淆。这些微生物有伯氏疏螺旋体、微小巴贝虫、克氏锥虫、让氏锥虫、钩端螺旋体、巨细胞病毒（CMV）、登革热病毒和埃-巴二氏病毒（Epstein-Barr virus，EBV）。如果贵公司的抗原和/或抗血清是重组产品，我们建议贵公司提供针对重组载体的交叉反应性研究结果。</w:t>
      </w:r>
    </w:p>
    <w:p w14:paraId="148289E4">
      <w:pPr>
        <w:snapToGrid w:val="0"/>
        <w:spacing w:after="156" w:afterLines="50" w:line="300" w:lineRule="auto"/>
        <w:rPr>
          <w:rFonts w:ascii="Arial" w:hAnsi="Arial" w:eastAsia="宋体" w:cs="Arial"/>
          <w:b/>
        </w:rPr>
      </w:pPr>
      <w:r>
        <w:rPr>
          <w:rFonts w:ascii="Arial" w:hAnsi="Arial" w:eastAsia="宋体" w:cs="Arial"/>
          <w:b/>
        </w:rPr>
        <w:t>E. 检测极限（分析灵敏度）</w:t>
      </w:r>
    </w:p>
    <w:p w14:paraId="2F838213">
      <w:pPr>
        <w:snapToGrid w:val="0"/>
        <w:spacing w:after="156" w:afterLines="50" w:line="300" w:lineRule="auto"/>
        <w:rPr>
          <w:rFonts w:ascii="Arial" w:hAnsi="Arial" w:eastAsia="宋体" w:cs="Arial"/>
        </w:rPr>
      </w:pPr>
      <w:r>
        <w:rPr>
          <w:rFonts w:ascii="Arial" w:hAnsi="Arial" w:eastAsia="宋体" w:cs="Arial"/>
        </w:rPr>
        <w:t>贵公司应确定贵公司的试剂盒对已知可感染人类的4种疟原虫的检测极限。我们将检测极限定义为本检验法能以一定概率可靠检出的</w:t>
      </w:r>
      <w:bookmarkStart w:id="41" w:name="OLE_LINK12"/>
      <w:bookmarkStart w:id="42" w:name="OLE_LINK11"/>
      <w:r>
        <w:rPr>
          <w:rFonts w:ascii="Arial" w:hAnsi="Arial" w:eastAsia="宋体" w:cs="Arial"/>
        </w:rPr>
        <w:t>疟原虫、寄</w:t>
      </w:r>
      <w:bookmarkEnd w:id="41"/>
      <w:bookmarkEnd w:id="42"/>
      <w:r>
        <w:rPr>
          <w:rFonts w:ascii="Arial" w:hAnsi="Arial" w:eastAsia="宋体" w:cs="Arial"/>
        </w:rPr>
        <w:t>生虫或抗原的最低水平</w:t>
      </w:r>
      <w:bookmarkStart w:id="43" w:name="OLE_LINK3"/>
      <w:bookmarkStart w:id="44" w:name="OLE_LINK2"/>
      <w:r>
        <w:rPr>
          <w:rFonts w:ascii="Arial" w:hAnsi="Arial" w:eastAsia="宋体" w:cs="Arial"/>
        </w:rPr>
        <w:t>。我们建议贵公司对标本类型做出描述并根据显微镜检出的寄生虫数/微升规定贵公司对灵敏度的测定方法。关于确定贵公司试剂盒检测极限的指导原则，我们建议贵公司参考临床实验室标准研究所文件“检测极限和定量极限确定方案”EP17-A。</w:t>
      </w:r>
    </w:p>
    <w:bookmarkEnd w:id="43"/>
    <w:bookmarkEnd w:id="44"/>
    <w:p w14:paraId="64092552">
      <w:pPr>
        <w:snapToGrid w:val="0"/>
        <w:spacing w:after="156" w:afterLines="50" w:line="300" w:lineRule="auto"/>
        <w:rPr>
          <w:rFonts w:ascii="Arial" w:hAnsi="Arial" w:eastAsia="宋体" w:cs="Arial"/>
          <w:b/>
        </w:rPr>
      </w:pPr>
      <w:r>
        <w:rPr>
          <w:rFonts w:ascii="Arial" w:hAnsi="Arial" w:eastAsia="宋体" w:cs="Arial"/>
          <w:b/>
        </w:rPr>
        <w:t>F. 分析反应性</w:t>
      </w:r>
    </w:p>
    <w:p w14:paraId="0D851D12">
      <w:pPr>
        <w:snapToGrid w:val="0"/>
        <w:spacing w:after="156" w:afterLines="50" w:line="300" w:lineRule="auto"/>
        <w:rPr>
          <w:rFonts w:ascii="Arial" w:hAnsi="Arial" w:eastAsia="宋体" w:cs="Arial"/>
        </w:rPr>
      </w:pPr>
      <w:r>
        <w:rPr>
          <w:rFonts w:ascii="Arial" w:hAnsi="Arial" w:eastAsia="宋体" w:cs="Arial"/>
        </w:rPr>
        <w:t>贵公司应提供数据支持贵公司的试剂盒检测种间变异尤其是识别靶抗原多样性的能力。本试剂盒的反应性可随寄生虫在外周血中的循环阶段而有所变化。如果与贵公司的器械有关，贵公司应提供在显微镜评价过程中记录的寄生虫发育阶段作为反应性的支持数据。</w:t>
      </w:r>
    </w:p>
    <w:p w14:paraId="507352D3">
      <w:pPr>
        <w:snapToGrid w:val="0"/>
        <w:spacing w:after="156" w:afterLines="50" w:line="300" w:lineRule="auto"/>
        <w:rPr>
          <w:rFonts w:ascii="Arial" w:hAnsi="Arial" w:eastAsia="宋体" w:cs="Arial"/>
          <w:b/>
        </w:rPr>
      </w:pPr>
      <w:r>
        <w:rPr>
          <w:rFonts w:ascii="Arial" w:hAnsi="Arial" w:eastAsia="宋体" w:cs="Arial"/>
          <w:b/>
        </w:rPr>
        <w:t>G. 患病率（期望值）</w:t>
      </w:r>
    </w:p>
    <w:p w14:paraId="7DA68AC6">
      <w:pPr>
        <w:snapToGrid w:val="0"/>
        <w:spacing w:after="156" w:afterLines="50" w:line="300" w:lineRule="auto"/>
        <w:rPr>
          <w:rFonts w:ascii="Arial" w:hAnsi="Arial" w:eastAsia="宋体" w:cs="Arial"/>
        </w:rPr>
      </w:pPr>
      <w:r>
        <w:rPr>
          <w:rFonts w:ascii="Arial" w:hAnsi="Arial" w:eastAsia="宋体" w:cs="Arial"/>
        </w:rPr>
        <w:t>贵公司应在某个具有符合疟疾感染症状的地方性流行人群中或在采用本新器械进行疟疾检测的个体中确定疟疾患病率。贵公司检测的标本数应具有统计学显著性并对预期用途（包括规定基质）具有代表性。与参比方法（厚薄膜显微法）比较时，贵公司应根据贵公司新器械的性能提供这些数据。我们建议贵公司按年龄组（儿童＜18岁，成人＞18岁）、性别和地理区域描述人群分布并指出阳性和阴性结果数。不打算使用本器械对血液或组织捐赠者进行筛检，因此，本研究不应使用血液捐赠者。</w:t>
      </w:r>
    </w:p>
    <w:p w14:paraId="422D5877">
      <w:pPr>
        <w:snapToGrid w:val="0"/>
        <w:spacing w:after="156" w:afterLines="50" w:line="300" w:lineRule="auto"/>
        <w:rPr>
          <w:rFonts w:ascii="Arial" w:hAnsi="Arial" w:eastAsia="宋体" w:cs="Arial"/>
          <w:b/>
        </w:rPr>
      </w:pPr>
      <w:r>
        <w:rPr>
          <w:rFonts w:ascii="Arial" w:hAnsi="Arial" w:eastAsia="宋体" w:cs="Arial"/>
          <w:b/>
        </w:rPr>
        <w:t>H. 方法比较</w:t>
      </w:r>
    </w:p>
    <w:p w14:paraId="378478A5">
      <w:pPr>
        <w:snapToGrid w:val="0"/>
        <w:spacing w:after="156" w:afterLines="50" w:line="300" w:lineRule="auto"/>
        <w:rPr>
          <w:rFonts w:ascii="Arial" w:hAnsi="Arial" w:eastAsia="宋体" w:cs="Arial"/>
        </w:rPr>
      </w:pPr>
      <w:r>
        <w:rPr>
          <w:rFonts w:ascii="Arial" w:hAnsi="Arial" w:eastAsia="宋体" w:cs="Arial"/>
        </w:rPr>
        <w:t>贵公司应对在贵公司的器械与厚薄膜显微法之间进行的方法比较做出描述。后者是疟疾实验室诊断的“黄金标准”。该评价中应包含贵公司在贴标中指出的所有标本类型（即静脉血、指尖血、使用不同抗凝剂的血液等）。</w:t>
      </w:r>
    </w:p>
    <w:p w14:paraId="1BF6845F">
      <w:pPr>
        <w:snapToGrid w:val="0"/>
        <w:spacing w:line="300" w:lineRule="auto"/>
        <w:rPr>
          <w:rFonts w:ascii="Arial" w:hAnsi="Arial" w:eastAsia="宋体" w:cs="Arial"/>
        </w:rPr>
      </w:pPr>
    </w:p>
    <w:p w14:paraId="77DEDC9B">
      <w:pPr>
        <w:snapToGrid w:val="0"/>
        <w:spacing w:line="300" w:lineRule="auto"/>
        <w:rPr>
          <w:rFonts w:ascii="Arial" w:hAnsi="Arial" w:eastAsia="宋体" w:cs="Arial"/>
        </w:rPr>
      </w:pPr>
      <w:r>
        <w:rPr>
          <w:rFonts w:ascii="Arial" w:hAnsi="Arial" w:eastAsia="宋体" w:cs="Arial"/>
        </w:rPr>
        <w:t>贵公司应在3个不同的地理场所对贵公司的试剂盒进行评价。这些场所应能代表本器械最终要在那里由将在临床实践中使用本检验法的人员使用的检测环境（如临床实验室、即时检验场所）。</w:t>
      </w:r>
    </w:p>
    <w:p w14:paraId="7281BA3A">
      <w:pPr>
        <w:snapToGrid w:val="0"/>
        <w:spacing w:line="300" w:lineRule="auto"/>
        <w:rPr>
          <w:rFonts w:ascii="Arial" w:hAnsi="Arial" w:eastAsia="宋体" w:cs="Arial"/>
        </w:rPr>
      </w:pPr>
    </w:p>
    <w:p w14:paraId="5F72BA78">
      <w:pPr>
        <w:snapToGrid w:val="0"/>
        <w:spacing w:line="300" w:lineRule="auto"/>
        <w:rPr>
          <w:rFonts w:ascii="Arial" w:hAnsi="Arial" w:eastAsia="宋体" w:cs="Arial"/>
        </w:rPr>
      </w:pPr>
      <w:r>
        <w:rPr>
          <w:rFonts w:ascii="Arial" w:hAnsi="Arial" w:eastAsia="宋体" w:cs="Arial"/>
        </w:rPr>
        <w:t>我们建议从代表预期用途人群的个体（即具有符合疟疾感染的症状和体征者）中前瞻性采集标本。由于美国的疟疾患病率相对较低，可在非美国场所进行前瞻性检测。贵公司可用从标本库获得的特征描述良好的标本补充这些研究。在标本特征描述中应包含支持标本完整性的信息、支持预期用途的适当选择和临床实验室检验结果（厚薄膜显微法）。对标本应加以遮蔽，以避免检测偏差。贵公司提供的关于非美国标本特征描述的信息应与美国标本相同。</w:t>
      </w:r>
    </w:p>
    <w:p w14:paraId="052F95A0">
      <w:pPr>
        <w:snapToGrid w:val="0"/>
        <w:spacing w:line="300" w:lineRule="auto"/>
        <w:rPr>
          <w:rFonts w:ascii="Arial" w:hAnsi="Arial" w:eastAsia="宋体" w:cs="Arial"/>
        </w:rPr>
      </w:pPr>
    </w:p>
    <w:p w14:paraId="184E17D4">
      <w:pPr>
        <w:snapToGrid w:val="0"/>
        <w:spacing w:line="300" w:lineRule="auto"/>
        <w:rPr>
          <w:rFonts w:ascii="Arial" w:hAnsi="Arial" w:eastAsia="宋体" w:cs="Arial"/>
        </w:rPr>
      </w:pPr>
      <w:r>
        <w:rPr>
          <w:rFonts w:ascii="Arial" w:hAnsi="Arial" w:eastAsia="宋体" w:cs="Arial"/>
        </w:rPr>
        <w:t>为了对贵公司器械的临床特异性进行评价，我们建议贵公司包含来自地方性流行区正常人群和非地方性流行人群的标本。贵公司应包含罹患发热性疾病的个体，确保正确挑战检验性能。</w:t>
      </w:r>
    </w:p>
    <w:p w14:paraId="49BD7AAF">
      <w:pPr>
        <w:snapToGrid w:val="0"/>
        <w:spacing w:line="300" w:lineRule="auto"/>
        <w:rPr>
          <w:rFonts w:ascii="Arial" w:hAnsi="Arial" w:eastAsia="宋体" w:cs="Arial"/>
        </w:rPr>
      </w:pPr>
    </w:p>
    <w:p w14:paraId="17329A92">
      <w:pPr>
        <w:snapToGrid w:val="0"/>
        <w:spacing w:line="300" w:lineRule="auto"/>
        <w:rPr>
          <w:rFonts w:ascii="Arial" w:hAnsi="Arial" w:eastAsia="宋体" w:cs="Arial"/>
        </w:rPr>
      </w:pPr>
      <w:r>
        <w:rPr>
          <w:rFonts w:ascii="Arial" w:hAnsi="Arial" w:eastAsia="宋体" w:cs="Arial"/>
        </w:rPr>
        <w:t>适用人群的适当样本含量取决于每种疟原虫感染在研究地点的估计发病率、本检验法的精密度、干扰情况和本检验法的其它性能特征。贵公司应在510（k）提交资料中提供用来确定样本含量的统计学依据和统计模型。</w:t>
      </w:r>
    </w:p>
    <w:p w14:paraId="122E39FA">
      <w:pPr>
        <w:snapToGrid w:val="0"/>
        <w:spacing w:line="300" w:lineRule="auto"/>
        <w:rPr>
          <w:rFonts w:ascii="Arial" w:hAnsi="Arial" w:eastAsia="宋体" w:cs="Arial"/>
        </w:rPr>
      </w:pPr>
    </w:p>
    <w:p w14:paraId="56B61233">
      <w:pPr>
        <w:snapToGrid w:val="0"/>
        <w:spacing w:line="300" w:lineRule="auto"/>
        <w:rPr>
          <w:rFonts w:ascii="Arial" w:hAnsi="Arial" w:eastAsia="宋体" w:cs="Arial"/>
        </w:rPr>
      </w:pPr>
      <w:r>
        <w:rPr>
          <w:rFonts w:ascii="Arial" w:hAnsi="Arial" w:eastAsia="宋体" w:cs="Arial"/>
        </w:rPr>
        <w:t>我们建议贵公司在开始研究前与微生物学检测器械处联系，征求他们对贵公司研究设计的反馈。</w:t>
      </w:r>
    </w:p>
    <w:p w14:paraId="1191BA33">
      <w:pPr>
        <w:snapToGrid w:val="0"/>
        <w:spacing w:line="300" w:lineRule="auto"/>
        <w:rPr>
          <w:rFonts w:ascii="Arial" w:hAnsi="Arial" w:eastAsia="宋体" w:cs="Arial"/>
        </w:rPr>
      </w:pPr>
    </w:p>
    <w:p w14:paraId="5F0F30AC">
      <w:pPr>
        <w:snapToGrid w:val="0"/>
        <w:spacing w:line="300" w:lineRule="auto"/>
        <w:rPr>
          <w:rFonts w:ascii="Arial" w:hAnsi="Arial" w:eastAsia="宋体" w:cs="Arial"/>
          <w:b/>
        </w:rPr>
      </w:pPr>
      <w:r>
        <w:rPr>
          <w:rFonts w:ascii="Arial" w:hAnsi="Arial" w:eastAsia="宋体" w:cs="Arial"/>
          <w:b/>
        </w:rPr>
        <w:t>I. 结果报告</w:t>
      </w:r>
    </w:p>
    <w:p w14:paraId="30605DBF">
      <w:pPr>
        <w:snapToGrid w:val="0"/>
        <w:spacing w:line="300" w:lineRule="auto"/>
        <w:rPr>
          <w:rFonts w:ascii="Arial" w:hAnsi="Arial" w:eastAsia="宋体" w:cs="Arial"/>
        </w:rPr>
      </w:pPr>
    </w:p>
    <w:p w14:paraId="3951D471">
      <w:pPr>
        <w:snapToGrid w:val="0"/>
        <w:spacing w:line="300" w:lineRule="auto"/>
        <w:rPr>
          <w:rFonts w:ascii="Arial" w:hAnsi="Arial" w:eastAsia="宋体" w:cs="Arial"/>
        </w:rPr>
      </w:pPr>
      <w:r>
        <w:rPr>
          <w:rFonts w:ascii="Arial" w:hAnsi="Arial" w:eastAsia="宋体" w:cs="Arial"/>
        </w:rPr>
        <w:t>贵公司应在510（k）提交资料中对标本是如何采集的以及排除标本的所有理由做出描述。</w:t>
      </w:r>
    </w:p>
    <w:p w14:paraId="18DC29A0">
      <w:pPr>
        <w:snapToGrid w:val="0"/>
        <w:spacing w:line="300" w:lineRule="auto"/>
        <w:rPr>
          <w:rFonts w:ascii="Arial" w:hAnsi="Arial" w:eastAsia="宋体" w:cs="Arial"/>
        </w:rPr>
      </w:pPr>
    </w:p>
    <w:p w14:paraId="4FA5516B">
      <w:pPr>
        <w:snapToGrid w:val="0"/>
        <w:spacing w:line="300" w:lineRule="auto"/>
        <w:rPr>
          <w:rFonts w:ascii="Arial" w:hAnsi="Arial" w:eastAsia="宋体" w:cs="Arial"/>
        </w:rPr>
      </w:pPr>
      <w:r>
        <w:rPr>
          <w:rFonts w:ascii="Arial" w:hAnsi="Arial" w:eastAsia="宋体" w:cs="Arial"/>
        </w:rPr>
        <w:t>我们建议贵公司首先对来自每个研究场所的数据分别进行分析和报告，对任何场所间变异做出评价，并将分析结果包含在510（k）提交资料中。如果贵公司能证明各场所间的结果或人群构成不存在明显的统计学或临床差异，在包装说明书中可将各个场所的临床研究结果予以合并。我们还建议贵公司基于各种寄生虫血症水平、其它人口统计变量（如年龄、性别、是否接受抗疟治疗）和红细胞压积值对器械的性能分别进行分析。</w:t>
      </w:r>
    </w:p>
    <w:p w14:paraId="358E1995">
      <w:pPr>
        <w:snapToGrid w:val="0"/>
        <w:spacing w:line="300" w:lineRule="auto"/>
        <w:rPr>
          <w:rFonts w:ascii="Arial" w:hAnsi="Arial" w:eastAsia="宋体" w:cs="Arial"/>
        </w:rPr>
      </w:pPr>
    </w:p>
    <w:p w14:paraId="5A8002E1">
      <w:pPr>
        <w:snapToGrid w:val="0"/>
        <w:spacing w:line="300" w:lineRule="auto"/>
        <w:rPr>
          <w:rFonts w:ascii="Arial" w:hAnsi="Arial" w:eastAsia="宋体" w:cs="Arial"/>
        </w:rPr>
      </w:pPr>
      <w:r>
        <w:rPr>
          <w:rFonts w:ascii="Arial" w:hAnsi="Arial" w:eastAsia="宋体" w:cs="Arial"/>
        </w:rPr>
        <w:t>我们建议贵公司提供所有研究的系列数据。贵公司可使用微软电子表格、分隔符文本文件或SAS文件以电子方式提供该信息。</w:t>
      </w:r>
    </w:p>
    <w:p w14:paraId="4B19E14C">
      <w:pPr>
        <w:snapToGrid w:val="0"/>
        <w:spacing w:line="300" w:lineRule="auto"/>
        <w:rPr>
          <w:rFonts w:ascii="Arial" w:hAnsi="Arial" w:eastAsia="宋体" w:cs="Arial"/>
        </w:rPr>
      </w:pPr>
    </w:p>
    <w:p w14:paraId="21738FFE">
      <w:pPr>
        <w:snapToGrid w:val="0"/>
        <w:spacing w:line="300" w:lineRule="auto"/>
        <w:rPr>
          <w:rFonts w:ascii="Arial" w:hAnsi="Arial" w:eastAsia="宋体" w:cs="Arial"/>
          <w:b/>
        </w:rPr>
      </w:pPr>
      <w:r>
        <w:rPr>
          <w:rFonts w:ascii="Arial" w:hAnsi="Arial" w:eastAsia="宋体" w:cs="Arial"/>
          <w:b/>
        </w:rPr>
        <w:t>7. 贴标</w:t>
      </w:r>
    </w:p>
    <w:p w14:paraId="1D514E08">
      <w:pPr>
        <w:snapToGrid w:val="0"/>
        <w:spacing w:line="300" w:lineRule="auto"/>
        <w:rPr>
          <w:rFonts w:ascii="Arial" w:hAnsi="Arial" w:eastAsia="宋体" w:cs="Arial"/>
        </w:rPr>
      </w:pPr>
    </w:p>
    <w:p w14:paraId="5EAB02FF">
      <w:pPr>
        <w:widowControl/>
        <w:jc w:val="left"/>
        <w:rPr>
          <w:rFonts w:ascii="Arial" w:hAnsi="Arial" w:eastAsia="宋体" w:cs="Arial"/>
        </w:rPr>
      </w:pPr>
      <w:r>
        <w:rPr>
          <w:rFonts w:ascii="Arial" w:hAnsi="Arial" w:eastAsia="宋体" w:cs="Arial"/>
        </w:rPr>
        <w:br w:type="page"/>
      </w:r>
    </w:p>
    <w:p w14:paraId="4DBD8BCD">
      <w:pPr>
        <w:snapToGrid w:val="0"/>
        <w:spacing w:line="300" w:lineRule="auto"/>
        <w:rPr>
          <w:rFonts w:ascii="Arial" w:hAnsi="Arial" w:eastAsia="宋体" w:cs="Arial"/>
          <w:spacing w:val="-4"/>
        </w:rPr>
      </w:pPr>
      <w:r>
        <w:rPr>
          <w:rFonts w:ascii="Arial" w:hAnsi="Arial" w:eastAsia="宋体" w:cs="Arial"/>
          <w:spacing w:val="-4"/>
        </w:rPr>
        <w:t>在上市前通告中必须提供足够详细且符合21 CFR 807.87（e）要求的贴标。将医疗器械引入州际贸易前，待售器械的贴标必须遵从21 CFR第801部和21 CFR 809.10的要求。</w:t>
      </w:r>
    </w:p>
    <w:p w14:paraId="2C16E70D">
      <w:pPr>
        <w:snapToGrid w:val="0"/>
        <w:spacing w:line="300" w:lineRule="auto"/>
        <w:rPr>
          <w:rFonts w:ascii="Arial" w:hAnsi="Arial" w:eastAsia="宋体" w:cs="Arial"/>
        </w:rPr>
      </w:pPr>
    </w:p>
    <w:p w14:paraId="604A6655">
      <w:pPr>
        <w:snapToGrid w:val="0"/>
        <w:spacing w:line="300" w:lineRule="auto"/>
        <w:rPr>
          <w:rFonts w:ascii="Arial" w:hAnsi="Arial" w:eastAsia="宋体" w:cs="Arial"/>
        </w:rPr>
      </w:pPr>
      <w:r>
        <w:rPr>
          <w:rFonts w:ascii="Arial" w:hAnsi="Arial" w:eastAsia="宋体" w:cs="Arial"/>
        </w:rPr>
        <w:t>提出下列建议的目的是帮助贵公司提交符合这些要求的贴标并准备最终贴标。</w:t>
      </w:r>
    </w:p>
    <w:p w14:paraId="7C5D5B92">
      <w:pPr>
        <w:snapToGrid w:val="0"/>
        <w:spacing w:line="300" w:lineRule="auto"/>
        <w:rPr>
          <w:rFonts w:ascii="Arial" w:hAnsi="Arial" w:eastAsia="宋体" w:cs="Arial"/>
        </w:rPr>
      </w:pPr>
    </w:p>
    <w:p w14:paraId="31B8823E">
      <w:pPr>
        <w:snapToGrid w:val="0"/>
        <w:spacing w:line="300" w:lineRule="auto"/>
        <w:rPr>
          <w:rFonts w:ascii="Arial" w:hAnsi="Arial" w:eastAsia="宋体" w:cs="Arial"/>
          <w:b/>
        </w:rPr>
      </w:pPr>
      <w:r>
        <w:rPr>
          <w:rFonts w:ascii="Arial" w:hAnsi="Arial" w:eastAsia="宋体" w:cs="Arial"/>
          <w:b/>
        </w:rPr>
        <w:t>A. 预期用途</w:t>
      </w:r>
    </w:p>
    <w:p w14:paraId="08754E52">
      <w:pPr>
        <w:snapToGrid w:val="0"/>
        <w:spacing w:line="300" w:lineRule="auto"/>
        <w:rPr>
          <w:rFonts w:ascii="Arial" w:hAnsi="Arial" w:eastAsia="宋体" w:cs="Arial"/>
        </w:rPr>
      </w:pPr>
    </w:p>
    <w:p w14:paraId="17D816C6">
      <w:pPr>
        <w:snapToGrid w:val="0"/>
        <w:spacing w:line="300" w:lineRule="auto"/>
        <w:rPr>
          <w:rFonts w:ascii="Arial" w:hAnsi="Arial" w:eastAsia="宋体" w:cs="Arial"/>
        </w:rPr>
      </w:pPr>
      <w:r>
        <w:rPr>
          <w:rFonts w:ascii="Arial" w:hAnsi="Arial" w:eastAsia="宋体" w:cs="Arial"/>
        </w:rPr>
        <w:t>在预期用途部分应对本检验法的检测对象、使用本检验法的临床指征和拟使用本检验法的具体人群做出详细描述。在本部分应对用来证实器械临床性能的患者做出描述，内容应包括性别、年龄、症状、到访国家或居住国家。在本部分应对本检验法是定性或定量做出详细描述。另外，在本部分还应对检测环境做出详细描述（如临床实验室、即时检验场所）。</w:t>
      </w:r>
    </w:p>
    <w:p w14:paraId="5126452E">
      <w:pPr>
        <w:snapToGrid w:val="0"/>
        <w:spacing w:line="300" w:lineRule="auto"/>
        <w:rPr>
          <w:rFonts w:ascii="Arial" w:hAnsi="Arial" w:eastAsia="宋体" w:cs="Arial"/>
        </w:rPr>
      </w:pPr>
    </w:p>
    <w:p w14:paraId="3565ED5E">
      <w:pPr>
        <w:snapToGrid w:val="0"/>
        <w:spacing w:line="300" w:lineRule="auto"/>
        <w:rPr>
          <w:rFonts w:ascii="Arial" w:hAnsi="Arial" w:eastAsia="宋体" w:cs="Arial"/>
          <w:b/>
        </w:rPr>
      </w:pPr>
      <w:r>
        <w:rPr>
          <w:rFonts w:ascii="Arial" w:hAnsi="Arial" w:eastAsia="宋体" w:cs="Arial"/>
          <w:b/>
        </w:rPr>
        <w:t>B. 器械描述</w:t>
      </w:r>
    </w:p>
    <w:p w14:paraId="79C76ED9">
      <w:pPr>
        <w:snapToGrid w:val="0"/>
        <w:spacing w:line="300" w:lineRule="auto"/>
        <w:rPr>
          <w:rFonts w:ascii="Arial" w:hAnsi="Arial" w:eastAsia="宋体" w:cs="Arial"/>
        </w:rPr>
      </w:pPr>
    </w:p>
    <w:p w14:paraId="3B2C05FA">
      <w:pPr>
        <w:snapToGrid w:val="0"/>
        <w:spacing w:line="300" w:lineRule="auto"/>
        <w:rPr>
          <w:rFonts w:ascii="Arial" w:hAnsi="Arial" w:eastAsia="宋体" w:cs="Arial"/>
        </w:rPr>
      </w:pPr>
      <w:r>
        <w:rPr>
          <w:rFonts w:ascii="Arial" w:hAnsi="Arial" w:eastAsia="宋体" w:cs="Arial"/>
        </w:rPr>
        <w:t>贵公司应对贵公司的器械所使用的检验法做出描述。</w:t>
      </w:r>
    </w:p>
    <w:p w14:paraId="4257AB6E">
      <w:pPr>
        <w:snapToGrid w:val="0"/>
        <w:spacing w:line="300" w:lineRule="auto"/>
        <w:rPr>
          <w:rFonts w:ascii="Arial" w:hAnsi="Arial" w:eastAsia="宋体" w:cs="Arial"/>
        </w:rPr>
      </w:pPr>
    </w:p>
    <w:p w14:paraId="5414ECF1">
      <w:pPr>
        <w:snapToGrid w:val="0"/>
        <w:spacing w:line="300" w:lineRule="auto"/>
        <w:rPr>
          <w:rFonts w:ascii="Arial" w:hAnsi="Arial" w:eastAsia="宋体" w:cs="Arial"/>
          <w:b/>
        </w:rPr>
      </w:pPr>
      <w:r>
        <w:rPr>
          <w:rFonts w:ascii="Arial" w:hAnsi="Arial" w:eastAsia="宋体" w:cs="Arial"/>
          <w:b/>
        </w:rPr>
        <w:t>C. 使用说明</w:t>
      </w:r>
    </w:p>
    <w:p w14:paraId="651FD3C3">
      <w:pPr>
        <w:snapToGrid w:val="0"/>
        <w:spacing w:line="300" w:lineRule="auto"/>
        <w:rPr>
          <w:rFonts w:ascii="Arial" w:hAnsi="Arial" w:eastAsia="宋体" w:cs="Arial"/>
        </w:rPr>
      </w:pPr>
    </w:p>
    <w:p w14:paraId="2FE47FEB">
      <w:pPr>
        <w:snapToGrid w:val="0"/>
        <w:spacing w:line="300" w:lineRule="auto"/>
        <w:rPr>
          <w:rFonts w:ascii="Arial" w:hAnsi="Arial" w:eastAsia="宋体" w:cs="Arial"/>
        </w:rPr>
      </w:pPr>
      <w:r>
        <w:rPr>
          <w:rFonts w:ascii="Arial" w:hAnsi="Arial" w:eastAsia="宋体" w:cs="Arial"/>
        </w:rPr>
        <w:t>贵公司应提供清晰的使用说明。在使用说明中应对具体器械的技术特色以及如何将本器械用于患者做出描述。贵公司应在本部分包含对分析规程的综合描述，从标本采集、分析过程到结果报告一应俱全。在使用说明中应鼓励用户熟悉本器械特色并掌握安全、有效的使用方法。</w:t>
      </w:r>
    </w:p>
    <w:p w14:paraId="5ACA5970">
      <w:pPr>
        <w:snapToGrid w:val="0"/>
        <w:spacing w:line="300" w:lineRule="auto"/>
        <w:rPr>
          <w:rFonts w:ascii="Arial" w:hAnsi="Arial" w:eastAsia="宋体" w:cs="Arial"/>
        </w:rPr>
      </w:pPr>
    </w:p>
    <w:p w14:paraId="5D33D1BF">
      <w:pPr>
        <w:snapToGrid w:val="0"/>
        <w:spacing w:line="300" w:lineRule="auto"/>
        <w:rPr>
          <w:rFonts w:ascii="Arial" w:hAnsi="Arial" w:eastAsia="宋体" w:cs="Arial"/>
        </w:rPr>
      </w:pPr>
      <w:r>
        <w:rPr>
          <w:rFonts w:ascii="Arial" w:hAnsi="Arial" w:eastAsia="宋体" w:cs="Arial"/>
        </w:rPr>
        <w:t>贵公司应在使用说明中包含处理和储存说明。贵公司应对在贵公司向用户推荐的打开和密闭储存条件下器械的稳定性（即保质期测定）做出描述。</w:t>
      </w:r>
    </w:p>
    <w:p w14:paraId="3218BFDD">
      <w:pPr>
        <w:snapToGrid w:val="0"/>
        <w:spacing w:line="300" w:lineRule="auto"/>
        <w:rPr>
          <w:rFonts w:ascii="Arial" w:hAnsi="Arial" w:eastAsia="宋体" w:cs="Arial"/>
        </w:rPr>
      </w:pPr>
    </w:p>
    <w:p w14:paraId="63598122">
      <w:pPr>
        <w:snapToGrid w:val="0"/>
        <w:spacing w:line="300" w:lineRule="auto"/>
        <w:rPr>
          <w:rFonts w:ascii="Arial" w:hAnsi="Arial" w:eastAsia="宋体" w:cs="Arial"/>
          <w:b/>
        </w:rPr>
      </w:pPr>
      <w:r>
        <w:rPr>
          <w:rFonts w:ascii="Arial" w:hAnsi="Arial" w:eastAsia="宋体" w:cs="Arial"/>
          <w:b/>
        </w:rPr>
        <w:t>D. 质量控制</w:t>
      </w:r>
    </w:p>
    <w:p w14:paraId="4FE46FCA">
      <w:pPr>
        <w:snapToGrid w:val="0"/>
        <w:spacing w:line="300" w:lineRule="auto"/>
        <w:rPr>
          <w:rFonts w:ascii="Arial" w:hAnsi="Arial" w:eastAsia="宋体" w:cs="Arial"/>
        </w:rPr>
      </w:pPr>
    </w:p>
    <w:p w14:paraId="7F688E1B">
      <w:pPr>
        <w:snapToGrid w:val="0"/>
        <w:spacing w:line="300" w:lineRule="auto"/>
        <w:rPr>
          <w:rFonts w:ascii="Arial" w:hAnsi="Arial" w:eastAsia="宋体" w:cs="Arial"/>
        </w:rPr>
      </w:pPr>
      <w:r>
        <w:rPr>
          <w:rFonts w:ascii="Arial" w:hAnsi="Arial" w:eastAsia="宋体" w:cs="Arial"/>
        </w:rPr>
        <w:t>贵公司应在贴标中提供质控推荐规范。其中应包含对本试剂盒使用哪种质控材料的清晰说明和使用该质控材料的预期结果。贵公司还应对贵公司的质控材料将评估规程的哪种功能做出详细描述。</w:t>
      </w:r>
    </w:p>
    <w:p w14:paraId="373A68D1">
      <w:pPr>
        <w:snapToGrid w:val="0"/>
        <w:spacing w:line="300" w:lineRule="auto"/>
        <w:rPr>
          <w:rFonts w:ascii="Arial" w:hAnsi="Arial" w:eastAsia="宋体" w:cs="Arial"/>
        </w:rPr>
      </w:pPr>
    </w:p>
    <w:p w14:paraId="1C725A40">
      <w:pPr>
        <w:snapToGrid w:val="0"/>
        <w:spacing w:line="300" w:lineRule="auto"/>
        <w:rPr>
          <w:rFonts w:ascii="Arial" w:hAnsi="Arial" w:eastAsia="宋体" w:cs="Arial"/>
        </w:rPr>
      </w:pPr>
      <w:r>
        <w:rPr>
          <w:rFonts w:ascii="Arial" w:hAnsi="Arial" w:eastAsia="宋体" w:cs="Arial"/>
        </w:rPr>
        <w:t>贵公司阳性对照的被测物水平应能挑战贵公司的测定临界值。</w:t>
      </w:r>
    </w:p>
    <w:p w14:paraId="59EFD039">
      <w:pPr>
        <w:snapToGrid w:val="0"/>
        <w:spacing w:line="300" w:lineRule="auto"/>
        <w:rPr>
          <w:rFonts w:ascii="Arial" w:hAnsi="Arial" w:eastAsia="宋体" w:cs="Arial"/>
        </w:rPr>
      </w:pPr>
    </w:p>
    <w:p w14:paraId="09908762">
      <w:pPr>
        <w:snapToGrid w:val="0"/>
        <w:spacing w:line="300" w:lineRule="auto"/>
        <w:rPr>
          <w:rFonts w:ascii="Arial" w:hAnsi="Arial" w:eastAsia="宋体" w:cs="Arial"/>
        </w:rPr>
      </w:pPr>
      <w:r>
        <w:rPr>
          <w:rFonts w:ascii="Arial" w:hAnsi="Arial" w:eastAsia="宋体" w:cs="Arial"/>
        </w:rPr>
        <w:t>如果质控材料未随试剂盒提供给终端用户，贵公司应在预期用途项下和试剂盒外包装盒的标签上设置加黑框的警告信息。该警告信息应传递下列信息：</w:t>
      </w:r>
    </w:p>
    <w:p w14:paraId="1030C29F">
      <w:pPr>
        <w:snapToGrid w:val="0"/>
        <w:spacing w:line="300" w:lineRule="auto"/>
        <w:rPr>
          <w:rFonts w:ascii="Arial" w:hAnsi="Arial" w:eastAsia="宋体" w:cs="Arial"/>
        </w:rPr>
      </w:pPr>
    </w:p>
    <w:p w14:paraId="1796D388">
      <w:pPr>
        <w:snapToGrid w:val="0"/>
        <w:spacing w:line="300" w:lineRule="auto"/>
        <w:rPr>
          <w:rFonts w:ascii="Arial" w:hAnsi="Arial" w:eastAsia="宋体" w:cs="Arial"/>
          <w:b/>
        </w:rPr>
      </w:pPr>
      <w:r>
        <w:rPr>
          <w:rFonts w:ascii="Arial" w:hAnsi="Arial" w:eastAsia="宋体" w:cs="Arial"/>
          <w:b/>
        </w:rPr>
        <w:t>警告：本检验产品仅供拥有或能获得含恶性疟原虫血液作为阳性对照材料的实验室使用。建议所用阳性对照的水平应能挑战测定临界值。</w:t>
      </w:r>
    </w:p>
    <w:p w14:paraId="63389AD5">
      <w:pPr>
        <w:snapToGrid w:val="0"/>
        <w:spacing w:line="300" w:lineRule="auto"/>
        <w:rPr>
          <w:rFonts w:ascii="Arial" w:hAnsi="Arial" w:eastAsia="宋体" w:cs="Arial"/>
        </w:rPr>
      </w:pPr>
    </w:p>
    <w:p w14:paraId="1027F6E8">
      <w:pPr>
        <w:widowControl/>
        <w:jc w:val="left"/>
        <w:rPr>
          <w:rFonts w:ascii="Arial" w:hAnsi="Arial" w:eastAsia="宋体" w:cs="Arial"/>
          <w:b/>
        </w:rPr>
      </w:pPr>
      <w:r>
        <w:rPr>
          <w:rFonts w:ascii="Arial" w:hAnsi="Arial" w:eastAsia="宋体" w:cs="Arial"/>
          <w:b/>
        </w:rPr>
        <w:br w:type="page"/>
      </w:r>
    </w:p>
    <w:p w14:paraId="6F6F6BE2">
      <w:pPr>
        <w:snapToGrid w:val="0"/>
        <w:spacing w:line="300" w:lineRule="auto"/>
        <w:rPr>
          <w:rFonts w:ascii="Arial" w:hAnsi="Arial" w:eastAsia="宋体" w:cs="Arial"/>
          <w:b/>
        </w:rPr>
      </w:pPr>
      <w:r>
        <w:rPr>
          <w:rFonts w:ascii="Arial" w:hAnsi="Arial" w:eastAsia="宋体" w:cs="Arial"/>
          <w:b/>
        </w:rPr>
        <w:t>E. 注意事项、警告信息和局限性</w:t>
      </w:r>
    </w:p>
    <w:p w14:paraId="0DA4E808">
      <w:pPr>
        <w:snapToGrid w:val="0"/>
        <w:spacing w:line="300" w:lineRule="auto"/>
        <w:rPr>
          <w:rFonts w:ascii="Arial" w:hAnsi="Arial" w:eastAsia="宋体" w:cs="Arial"/>
        </w:rPr>
      </w:pPr>
    </w:p>
    <w:p w14:paraId="485F70EF">
      <w:pPr>
        <w:snapToGrid w:val="0"/>
        <w:spacing w:line="300" w:lineRule="auto"/>
        <w:rPr>
          <w:rFonts w:ascii="Arial" w:hAnsi="Arial" w:eastAsia="宋体" w:cs="Arial"/>
        </w:rPr>
      </w:pPr>
      <w:r>
        <w:rPr>
          <w:rFonts w:ascii="Arial" w:hAnsi="Arial" w:eastAsia="宋体" w:cs="Arial"/>
        </w:rPr>
        <w:t>贵公司应对与贵公司的检验法有关的所有检测局限性、警告信息和注意事项做出清晰描述，其中包括医疗保健提供者在订购本检验产品前需要知道的信息。</w:t>
      </w:r>
    </w:p>
    <w:p w14:paraId="32707E46">
      <w:pPr>
        <w:snapToGrid w:val="0"/>
        <w:spacing w:line="300" w:lineRule="auto"/>
        <w:rPr>
          <w:rFonts w:ascii="Arial" w:hAnsi="Arial" w:eastAsia="宋体" w:cs="Arial"/>
        </w:rPr>
      </w:pPr>
    </w:p>
    <w:p w14:paraId="38B9F5ED">
      <w:pPr>
        <w:snapToGrid w:val="0"/>
        <w:spacing w:line="300" w:lineRule="auto"/>
        <w:rPr>
          <w:rFonts w:ascii="Arial" w:hAnsi="Arial" w:eastAsia="宋体" w:cs="Arial"/>
        </w:rPr>
      </w:pPr>
      <w:bookmarkStart w:id="45" w:name="OLE_LINK75"/>
      <w:bookmarkStart w:id="46" w:name="OLE_LINK76"/>
      <w:r>
        <w:rPr>
          <w:rFonts w:ascii="Arial" w:hAnsi="Arial" w:eastAsia="宋体" w:cs="Arial"/>
        </w:rPr>
        <w:t>我们建议贵公司在贴标上用相关陈述应对贵公司试剂盒的安全使用问题。举例如下：</w:t>
      </w:r>
    </w:p>
    <w:bookmarkEnd w:id="45"/>
    <w:bookmarkEnd w:id="46"/>
    <w:p w14:paraId="2037B975">
      <w:pPr>
        <w:snapToGrid w:val="0"/>
        <w:spacing w:line="300" w:lineRule="auto"/>
        <w:rPr>
          <w:rFonts w:ascii="Arial" w:hAnsi="Arial" w:eastAsia="宋体" w:cs="Arial"/>
        </w:rPr>
      </w:pPr>
    </w:p>
    <w:bookmarkEnd w:id="4"/>
    <w:bookmarkEnd w:id="5"/>
    <w:p w14:paraId="36FF56A6">
      <w:pPr>
        <w:snapToGrid w:val="0"/>
        <w:spacing w:line="300" w:lineRule="auto"/>
        <w:rPr>
          <w:rFonts w:ascii="Arial" w:hAnsi="Arial" w:eastAsia="宋体" w:cs="Arial"/>
        </w:rPr>
      </w:pPr>
      <w:r>
        <w:rPr>
          <w:rFonts w:ascii="Arial" w:hAnsi="Arial" w:eastAsia="宋体" w:cs="Arial"/>
        </w:rPr>
        <w:t>人体标本和血制品可采用所述规程以风险最小方式进行常规处理。由于没有检验法能提供实验室标本不含艾滋病病毒、乙肝病毒或其它传染因子的完全保证，因此应在疾病预防控制中心和国立卫生研究院编撰的手册《微生物学和生物医学实验室的生物安全》（第3版，1993年）和临床实验室标准研究所的获批操作指南M29-A《实验室工作人员防护：仪器生物危害与血液、体液和组织传播传染病》为任何具有潜在传染性的人血清或血液标本推荐的生物安全2级（Biosafety Level 2，BL2）条件下对标本进行处理。</w:t>
      </w:r>
    </w:p>
    <w:p w14:paraId="0F6CF26D">
      <w:pPr>
        <w:snapToGrid w:val="0"/>
        <w:spacing w:line="300" w:lineRule="auto"/>
        <w:rPr>
          <w:rFonts w:ascii="Arial" w:hAnsi="Arial" w:eastAsia="宋体" w:cs="Arial"/>
        </w:rPr>
      </w:pPr>
    </w:p>
    <w:p w14:paraId="5DC4BC1B">
      <w:pPr>
        <w:snapToGrid w:val="0"/>
        <w:spacing w:line="300" w:lineRule="auto"/>
        <w:rPr>
          <w:rFonts w:ascii="Arial" w:hAnsi="Arial" w:eastAsia="宋体" w:cs="Arial"/>
        </w:rPr>
      </w:pPr>
      <w:r>
        <w:rPr>
          <w:rFonts w:ascii="Arial" w:hAnsi="Arial" w:eastAsia="宋体" w:cs="Arial"/>
        </w:rPr>
        <w:t>如果适用的话，应包含下列局限性：</w:t>
      </w:r>
    </w:p>
    <w:p w14:paraId="36EDA10D">
      <w:pPr>
        <w:snapToGrid w:val="0"/>
        <w:spacing w:line="300" w:lineRule="auto"/>
        <w:rPr>
          <w:rFonts w:ascii="Arial" w:hAnsi="Arial" w:eastAsia="宋体" w:cs="Arial"/>
        </w:rPr>
      </w:pPr>
    </w:p>
    <w:p w14:paraId="675ECD44">
      <w:pPr>
        <w:pStyle w:val="12"/>
        <w:numPr>
          <w:ilvl w:val="0"/>
          <w:numId w:val="4"/>
        </w:numPr>
        <w:snapToGrid w:val="0"/>
        <w:spacing w:line="300" w:lineRule="auto"/>
        <w:ind w:firstLineChars="0"/>
        <w:rPr>
          <w:rFonts w:ascii="Arial" w:hAnsi="Arial" w:eastAsia="宋体" w:cs="Arial"/>
        </w:rPr>
      </w:pPr>
      <w:bookmarkStart w:id="47" w:name="OLE_LINK77"/>
      <w:bookmarkStart w:id="48" w:name="OLE_LINK78"/>
      <w:r>
        <w:rPr>
          <w:rFonts w:ascii="Arial" w:hAnsi="Arial" w:eastAsia="宋体" w:cs="Arial"/>
        </w:rPr>
        <w:t>本检验法可检出有活力和无活力疟原虫抗原，包括配子体和休眠状态恶性疟原虫。检验性能取决于标本中的抗原荷载且可能与在同一标本上所做显微镜检查的结果无直接相关。</w:t>
      </w:r>
    </w:p>
    <w:bookmarkEnd w:id="47"/>
    <w:bookmarkEnd w:id="48"/>
    <w:p w14:paraId="65148F3E">
      <w:pPr>
        <w:pStyle w:val="12"/>
        <w:numPr>
          <w:ilvl w:val="0"/>
          <w:numId w:val="4"/>
        </w:numPr>
        <w:snapToGrid w:val="0"/>
        <w:spacing w:line="300" w:lineRule="auto"/>
        <w:ind w:firstLineChars="0"/>
        <w:rPr>
          <w:rFonts w:ascii="Arial" w:hAnsi="Arial" w:eastAsia="宋体" w:cs="Arial"/>
        </w:rPr>
      </w:pPr>
      <w:r>
        <w:rPr>
          <w:rFonts w:ascii="Arial" w:hAnsi="Arial" w:eastAsia="宋体" w:cs="Arial"/>
        </w:rPr>
        <w:t>本检验法用于监测疟疾治疗的性能尚未明确。通过抗疟治疗消除寄生虫后数天可检出残留疟原虫抗原。</w:t>
      </w:r>
    </w:p>
    <w:p w14:paraId="557E91D5">
      <w:pPr>
        <w:pStyle w:val="12"/>
        <w:numPr>
          <w:ilvl w:val="0"/>
          <w:numId w:val="4"/>
        </w:numPr>
        <w:snapToGrid w:val="0"/>
        <w:spacing w:line="300" w:lineRule="auto"/>
        <w:ind w:firstLineChars="0"/>
        <w:rPr>
          <w:rFonts w:ascii="Arial" w:hAnsi="Arial" w:eastAsia="宋体" w:cs="Arial"/>
        </w:rPr>
      </w:pPr>
      <w:r>
        <w:rPr>
          <w:rFonts w:ascii="Arial" w:hAnsi="Arial" w:eastAsia="宋体" w:cs="Arial"/>
        </w:rPr>
        <w:t>类风湿因子（RF）滴度呈阳性的标本采用本检验法可产生假阳性结果。</w:t>
      </w:r>
    </w:p>
    <w:p w14:paraId="721E8BF8">
      <w:pPr>
        <w:pStyle w:val="12"/>
        <w:numPr>
          <w:ilvl w:val="0"/>
          <w:numId w:val="4"/>
        </w:numPr>
        <w:snapToGrid w:val="0"/>
        <w:spacing w:line="300" w:lineRule="auto"/>
        <w:ind w:firstLineChars="0"/>
        <w:rPr>
          <w:rFonts w:ascii="Arial" w:hAnsi="Arial" w:eastAsia="宋体" w:cs="Arial"/>
        </w:rPr>
      </w:pPr>
      <w:r>
        <w:rPr>
          <w:rFonts w:ascii="Arial" w:hAnsi="Arial" w:eastAsia="宋体" w:cs="Arial"/>
        </w:rPr>
        <w:t>本检验法应仅用于有疟疾临床症状的患者。</w:t>
      </w:r>
    </w:p>
    <w:p w14:paraId="2B87190B">
      <w:pPr>
        <w:pStyle w:val="12"/>
        <w:numPr>
          <w:ilvl w:val="0"/>
          <w:numId w:val="4"/>
        </w:numPr>
        <w:snapToGrid w:val="0"/>
        <w:spacing w:line="300" w:lineRule="auto"/>
        <w:ind w:firstLineChars="0"/>
        <w:rPr>
          <w:rFonts w:ascii="Arial" w:hAnsi="Arial" w:eastAsia="宋体" w:cs="Arial"/>
        </w:rPr>
      </w:pPr>
      <w:r>
        <w:rPr>
          <w:rFonts w:ascii="Arial" w:hAnsi="Arial" w:eastAsia="宋体" w:cs="Arial"/>
        </w:rPr>
        <w:t>本检验法不用于无症状个体的筛检。</w:t>
      </w:r>
    </w:p>
    <w:p w14:paraId="73695788">
      <w:pPr>
        <w:snapToGrid w:val="0"/>
        <w:spacing w:line="300" w:lineRule="auto"/>
        <w:rPr>
          <w:rFonts w:ascii="Arial" w:hAnsi="Arial" w:eastAsia="宋体" w:cs="Arial"/>
        </w:rPr>
      </w:pPr>
    </w:p>
    <w:p w14:paraId="2D2D415A">
      <w:pPr>
        <w:snapToGrid w:val="0"/>
        <w:spacing w:line="300" w:lineRule="auto"/>
        <w:rPr>
          <w:rFonts w:ascii="Arial" w:hAnsi="Arial" w:eastAsia="宋体" w:cs="Arial"/>
          <w:b/>
        </w:rPr>
      </w:pPr>
      <w:r>
        <w:rPr>
          <w:rFonts w:ascii="Arial" w:hAnsi="Arial" w:eastAsia="宋体" w:cs="Arial"/>
          <w:b/>
        </w:rPr>
        <w:t>F. 结果解释</w:t>
      </w:r>
    </w:p>
    <w:p w14:paraId="5081860C">
      <w:pPr>
        <w:snapToGrid w:val="0"/>
        <w:spacing w:line="300" w:lineRule="auto"/>
        <w:rPr>
          <w:rFonts w:ascii="Arial" w:hAnsi="Arial" w:eastAsia="宋体" w:cs="Arial"/>
        </w:rPr>
      </w:pPr>
    </w:p>
    <w:p w14:paraId="7A90A565">
      <w:pPr>
        <w:snapToGrid w:val="0"/>
        <w:spacing w:line="300" w:lineRule="auto"/>
        <w:rPr>
          <w:rFonts w:ascii="Arial" w:hAnsi="Arial" w:eastAsia="宋体" w:cs="Arial"/>
        </w:rPr>
      </w:pPr>
      <w:r>
        <w:rPr>
          <w:rFonts w:ascii="Arial" w:hAnsi="Arial" w:eastAsia="宋体" w:cs="Arial"/>
        </w:rPr>
        <w:t>贵公司应在贴标上用相关陈述应对有关患者安全和检验结果意义的问题。举例如下：</w:t>
      </w:r>
    </w:p>
    <w:p w14:paraId="45F52CAA">
      <w:pPr>
        <w:snapToGrid w:val="0"/>
        <w:spacing w:line="300" w:lineRule="auto"/>
        <w:rPr>
          <w:rFonts w:ascii="Arial" w:hAnsi="Arial" w:eastAsia="宋体" w:cs="Arial"/>
        </w:rPr>
      </w:pPr>
    </w:p>
    <w:p w14:paraId="47C8B2D0">
      <w:pPr>
        <w:pStyle w:val="12"/>
        <w:numPr>
          <w:ilvl w:val="0"/>
          <w:numId w:val="4"/>
        </w:numPr>
        <w:snapToGrid w:val="0"/>
        <w:spacing w:line="300" w:lineRule="auto"/>
        <w:ind w:firstLineChars="0"/>
        <w:rPr>
          <w:rFonts w:ascii="Arial" w:hAnsi="Arial" w:eastAsia="宋体" w:cs="Arial"/>
        </w:rPr>
      </w:pPr>
      <w:r>
        <w:rPr>
          <w:rFonts w:ascii="Arial" w:hAnsi="Arial" w:eastAsia="宋体" w:cs="Arial"/>
        </w:rPr>
        <w:t>如果出现疟原虫抗原的推定阴性结果，不能排除存在疟原虫引起的感染。标本中的疟原虫抗原可能低于本检验法的检测极限。阴性结果必须采用厚薄膜显微法予以确认。</w:t>
      </w:r>
    </w:p>
    <w:p w14:paraId="2260564E">
      <w:pPr>
        <w:pStyle w:val="12"/>
        <w:numPr>
          <w:ilvl w:val="0"/>
          <w:numId w:val="4"/>
        </w:numPr>
        <w:snapToGrid w:val="0"/>
        <w:spacing w:line="300" w:lineRule="auto"/>
        <w:ind w:firstLineChars="0"/>
        <w:rPr>
          <w:rFonts w:ascii="Arial" w:hAnsi="Arial" w:eastAsia="宋体" w:cs="Arial"/>
        </w:rPr>
      </w:pPr>
      <w:r>
        <w:rPr>
          <w:rFonts w:ascii="Arial" w:hAnsi="Arial" w:eastAsia="宋体" w:cs="Arial"/>
        </w:rPr>
        <w:t>阴性检验结果不能排除疟疾感染，如果存在疟原虫，但血中寄生虫计数较低时尤其如此。因此，使用本检验法获得的结果应与其它实验室和临床结果结合使用才能做出准确诊断。正如在显微镜系列检查中所做的那样，可另外采集标本进行重复检测。</w:t>
      </w:r>
    </w:p>
    <w:p w14:paraId="0B36171D">
      <w:pPr>
        <w:pStyle w:val="12"/>
        <w:numPr>
          <w:ilvl w:val="0"/>
          <w:numId w:val="4"/>
        </w:numPr>
        <w:snapToGrid w:val="0"/>
        <w:spacing w:line="300" w:lineRule="auto"/>
        <w:ind w:firstLineChars="0"/>
        <w:rPr>
          <w:rFonts w:ascii="Arial" w:hAnsi="Arial" w:eastAsia="宋体" w:cs="Arial"/>
        </w:rPr>
      </w:pPr>
      <w:r>
        <w:rPr>
          <w:rFonts w:ascii="Arial" w:hAnsi="Arial" w:eastAsia="宋体" w:cs="Arial"/>
        </w:rPr>
        <w:t>本检验法可检测有活力和无活力疟原虫抗原，包括配子体和休眠状态恶性疟原虫。检验性能取决于标本中的抗原荷载且可能与在同一标本上所做显微镜检查的结果无直接相关。</w:t>
      </w:r>
    </w:p>
    <w:p w14:paraId="229C6C0A">
      <w:pPr>
        <w:snapToGrid w:val="0"/>
        <w:spacing w:line="300" w:lineRule="auto"/>
        <w:rPr>
          <w:rFonts w:ascii="Arial" w:hAnsi="Arial" w:eastAsia="宋体" w:cs="Arial"/>
        </w:rPr>
      </w:pPr>
    </w:p>
    <w:p w14:paraId="162D0A9D">
      <w:pPr>
        <w:snapToGrid w:val="0"/>
        <w:spacing w:line="300" w:lineRule="auto"/>
        <w:rPr>
          <w:rFonts w:ascii="Arial" w:hAnsi="Arial" w:eastAsia="宋体" w:cs="Arial"/>
          <w:b/>
        </w:rPr>
      </w:pPr>
      <w:r>
        <w:rPr>
          <w:rFonts w:ascii="Arial" w:hAnsi="Arial" w:eastAsia="宋体" w:cs="Arial"/>
          <w:b/>
        </w:rPr>
        <w:t>G. 患病率</w:t>
      </w:r>
    </w:p>
    <w:p w14:paraId="603C632C">
      <w:pPr>
        <w:snapToGrid w:val="0"/>
        <w:spacing w:line="300" w:lineRule="auto"/>
        <w:rPr>
          <w:rFonts w:ascii="Arial" w:hAnsi="Arial" w:eastAsia="宋体" w:cs="Arial"/>
        </w:rPr>
      </w:pPr>
    </w:p>
    <w:p w14:paraId="6F40C6A2">
      <w:pPr>
        <w:snapToGrid w:val="0"/>
        <w:spacing w:line="300" w:lineRule="auto"/>
        <w:rPr>
          <w:rFonts w:ascii="Arial" w:hAnsi="Arial" w:eastAsia="宋体" w:cs="Arial"/>
        </w:rPr>
      </w:pPr>
      <w:r>
        <w:rPr>
          <w:rFonts w:ascii="Arial" w:hAnsi="Arial" w:eastAsia="宋体" w:cs="Arial"/>
        </w:rPr>
        <w:t>贵公司应在贴标中包含采用本检验法得到的患病率和对结果的解释。贵公司还应对用来确定患病率的研究做出概要介绍，其中包括人群的标本数、年龄、性别和人口统计信息。</w:t>
      </w:r>
    </w:p>
    <w:p w14:paraId="25699594">
      <w:pPr>
        <w:snapToGrid w:val="0"/>
        <w:spacing w:line="300" w:lineRule="auto"/>
        <w:rPr>
          <w:rFonts w:ascii="Arial" w:hAnsi="Arial" w:eastAsia="宋体" w:cs="Arial"/>
          <w:b/>
        </w:rPr>
      </w:pPr>
      <w:r>
        <w:rPr>
          <w:rFonts w:ascii="Arial" w:hAnsi="Arial" w:eastAsia="宋体" w:cs="Arial"/>
          <w:b/>
        </w:rPr>
        <w:t>H. 性能特征</w:t>
      </w:r>
    </w:p>
    <w:p w14:paraId="02110B2A">
      <w:pPr>
        <w:snapToGrid w:val="0"/>
        <w:spacing w:line="300" w:lineRule="auto"/>
        <w:rPr>
          <w:rFonts w:ascii="Arial" w:hAnsi="Arial" w:eastAsia="宋体" w:cs="Arial"/>
        </w:rPr>
      </w:pPr>
    </w:p>
    <w:p w14:paraId="0FD21F8A">
      <w:pPr>
        <w:snapToGrid w:val="0"/>
        <w:spacing w:line="300" w:lineRule="auto"/>
        <w:rPr>
          <w:rFonts w:ascii="Arial" w:hAnsi="Arial" w:eastAsia="宋体" w:cs="Arial"/>
        </w:rPr>
      </w:pPr>
      <w:r>
        <w:rPr>
          <w:rFonts w:ascii="Arial" w:hAnsi="Arial" w:eastAsia="宋体" w:cs="Arial"/>
        </w:rPr>
        <w:t>贵公司应在包装说明书中包含研究设计概要和第6节描述的研究结果。这些信息有助于用户理解检验结果。其中包括临床和分析性能特征。</w:t>
      </w:r>
    </w:p>
    <w:p w14:paraId="76CEE195">
      <w:pPr>
        <w:snapToGrid w:val="0"/>
        <w:spacing w:line="300" w:lineRule="auto"/>
        <w:rPr>
          <w:rFonts w:ascii="Arial" w:hAnsi="Arial" w:eastAsia="宋体" w:cs="Arial"/>
        </w:rPr>
      </w:pPr>
    </w:p>
    <w:p w14:paraId="4912B01F">
      <w:pPr>
        <w:snapToGrid w:val="0"/>
        <w:spacing w:line="300" w:lineRule="auto"/>
        <w:rPr>
          <w:rFonts w:ascii="Arial" w:hAnsi="Arial" w:eastAsia="宋体" w:cs="Arial"/>
        </w:rPr>
      </w:pPr>
      <w:r>
        <w:rPr>
          <w:rFonts w:ascii="Arial" w:hAnsi="Arial" w:eastAsia="宋体" w:cs="Arial"/>
        </w:rPr>
        <w:t>________________________________________</w:t>
      </w:r>
    </w:p>
    <w:p w14:paraId="16A70A51">
      <w:pPr>
        <w:snapToGrid w:val="0"/>
        <w:spacing w:line="300" w:lineRule="auto"/>
        <w:rPr>
          <w:rFonts w:ascii="Arial" w:hAnsi="Arial" w:eastAsia="宋体" w:cs="Arial"/>
          <w:sz w:val="18"/>
          <w:szCs w:val="18"/>
        </w:rPr>
      </w:pPr>
      <w:r>
        <w:rPr>
          <w:rFonts w:ascii="Arial" w:hAnsi="Arial" w:eastAsia="宋体" w:cs="Arial"/>
          <w:sz w:val="18"/>
          <w:szCs w:val="18"/>
          <w:vertAlign w:val="superscript"/>
        </w:rPr>
        <w:t>1</w:t>
      </w:r>
      <w:r>
        <w:rPr>
          <w:rFonts w:ascii="Arial" w:hAnsi="Arial" w:eastAsia="宋体" w:cs="Arial"/>
          <w:sz w:val="18"/>
          <w:szCs w:val="18"/>
        </w:rPr>
        <w:t>与21 CFR第866部D亚部份在标题中使用术语“试剂”的某些其它分类规则不同，食品药品监督管理局现在使用“试剂盒”指代本器械类型。该术语更准确地反映了该类型范围内的器械。</w:t>
      </w:r>
    </w:p>
    <w:p w14:paraId="530D7B37">
      <w:pPr>
        <w:snapToGrid w:val="0"/>
        <w:spacing w:line="300" w:lineRule="auto"/>
        <w:rPr>
          <w:rFonts w:ascii="Arial" w:hAnsi="Arial" w:eastAsia="宋体" w:cs="Arial"/>
        </w:rPr>
      </w:pPr>
    </w:p>
    <w:p w14:paraId="4452C3B7">
      <w:pPr>
        <w:snapToGrid w:val="0"/>
        <w:spacing w:line="300" w:lineRule="auto"/>
        <w:rPr>
          <w:rFonts w:ascii="Arial" w:hAnsi="Arial" w:eastAsia="宋体" w:cs="Arial"/>
        </w:rPr>
      </w:pPr>
    </w:p>
    <w:p w14:paraId="2B8EFD49">
      <w:pPr>
        <w:snapToGrid w:val="0"/>
        <w:spacing w:line="300" w:lineRule="auto"/>
        <w:rPr>
          <w:rFonts w:ascii="Arial" w:hAnsi="Arial" w:eastAsia="宋体" w:cs="Arial"/>
        </w:rPr>
      </w:pPr>
    </w:p>
    <w:p w14:paraId="5939D010">
      <w:pPr>
        <w:snapToGrid w:val="0"/>
        <w:spacing w:line="300" w:lineRule="auto"/>
        <w:rPr>
          <w:rFonts w:ascii="Arial" w:hAnsi="Arial" w:eastAsia="宋体" w:cs="Arial"/>
        </w:rPr>
      </w:pPr>
    </w:p>
    <w:p w14:paraId="67B73F7D">
      <w:pPr>
        <w:snapToGrid w:val="0"/>
        <w:spacing w:line="300" w:lineRule="auto"/>
        <w:rPr>
          <w:rFonts w:hint="eastAsia" w:eastAsia="宋体"/>
          <w:lang w:eastAsia="zh-CN"/>
        </w:rPr>
      </w:pPr>
    </w:p>
    <w:p w14:paraId="649DAC74">
      <w:pPr>
        <w:snapToGrid w:val="0"/>
        <w:spacing w:line="300" w:lineRule="auto"/>
        <w:jc w:val="center"/>
        <w:rPr>
          <w:rFonts w:hint="eastAsia" w:eastAsia="宋体"/>
          <w:lang w:eastAsia="zh-CN"/>
        </w:rPr>
      </w:pPr>
    </w:p>
    <w:p w14:paraId="5C99C8A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83E0B"/>
    <w:multiLevelType w:val="multilevel"/>
    <w:tmpl w:val="09483E0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7B22F41"/>
    <w:multiLevelType w:val="multilevel"/>
    <w:tmpl w:val="47B22F4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B713E10"/>
    <w:multiLevelType w:val="multilevel"/>
    <w:tmpl w:val="5B713E1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92E656B"/>
    <w:multiLevelType w:val="multilevel"/>
    <w:tmpl w:val="692E656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82"/>
    <w:rsid w:val="0000124B"/>
    <w:rsid w:val="000146E7"/>
    <w:rsid w:val="00017B6D"/>
    <w:rsid w:val="00024F5F"/>
    <w:rsid w:val="00025A07"/>
    <w:rsid w:val="00035024"/>
    <w:rsid w:val="00047C7A"/>
    <w:rsid w:val="000606BC"/>
    <w:rsid w:val="00061B75"/>
    <w:rsid w:val="0007031E"/>
    <w:rsid w:val="0007510A"/>
    <w:rsid w:val="00080CEE"/>
    <w:rsid w:val="000838B9"/>
    <w:rsid w:val="000874FA"/>
    <w:rsid w:val="000A1190"/>
    <w:rsid w:val="000B2A96"/>
    <w:rsid w:val="000B2D06"/>
    <w:rsid w:val="000B3EDE"/>
    <w:rsid w:val="000B6334"/>
    <w:rsid w:val="000B6BAD"/>
    <w:rsid w:val="000C0A00"/>
    <w:rsid w:val="000C2E8F"/>
    <w:rsid w:val="000C344E"/>
    <w:rsid w:val="000D0643"/>
    <w:rsid w:val="000D7F0D"/>
    <w:rsid w:val="000E081F"/>
    <w:rsid w:val="000E12CF"/>
    <w:rsid w:val="000F33A6"/>
    <w:rsid w:val="001006D8"/>
    <w:rsid w:val="00101CA6"/>
    <w:rsid w:val="00106BA2"/>
    <w:rsid w:val="00116FAC"/>
    <w:rsid w:val="00123725"/>
    <w:rsid w:val="001318D4"/>
    <w:rsid w:val="00133B69"/>
    <w:rsid w:val="001462A6"/>
    <w:rsid w:val="00153920"/>
    <w:rsid w:val="00161574"/>
    <w:rsid w:val="00171D5B"/>
    <w:rsid w:val="001758D1"/>
    <w:rsid w:val="00180950"/>
    <w:rsid w:val="00180A93"/>
    <w:rsid w:val="00180C0B"/>
    <w:rsid w:val="001A7E75"/>
    <w:rsid w:val="001B35C3"/>
    <w:rsid w:val="001B5D9C"/>
    <w:rsid w:val="001B7B54"/>
    <w:rsid w:val="001C0E38"/>
    <w:rsid w:val="001C1873"/>
    <w:rsid w:val="001C7297"/>
    <w:rsid w:val="001D1921"/>
    <w:rsid w:val="001D5073"/>
    <w:rsid w:val="001D5D77"/>
    <w:rsid w:val="001E102C"/>
    <w:rsid w:val="00201906"/>
    <w:rsid w:val="0021076D"/>
    <w:rsid w:val="00221177"/>
    <w:rsid w:val="00221A6D"/>
    <w:rsid w:val="00231363"/>
    <w:rsid w:val="00233AB5"/>
    <w:rsid w:val="00236204"/>
    <w:rsid w:val="00246370"/>
    <w:rsid w:val="00246456"/>
    <w:rsid w:val="00252BDD"/>
    <w:rsid w:val="002820AA"/>
    <w:rsid w:val="00295FA4"/>
    <w:rsid w:val="002A1780"/>
    <w:rsid w:val="002E73C6"/>
    <w:rsid w:val="00311DE5"/>
    <w:rsid w:val="00314005"/>
    <w:rsid w:val="003215A8"/>
    <w:rsid w:val="003227FB"/>
    <w:rsid w:val="003238DF"/>
    <w:rsid w:val="00324F2D"/>
    <w:rsid w:val="003313B2"/>
    <w:rsid w:val="00335737"/>
    <w:rsid w:val="00343968"/>
    <w:rsid w:val="003609A8"/>
    <w:rsid w:val="0036133E"/>
    <w:rsid w:val="00365C24"/>
    <w:rsid w:val="003709D0"/>
    <w:rsid w:val="00373745"/>
    <w:rsid w:val="003754B3"/>
    <w:rsid w:val="00384E53"/>
    <w:rsid w:val="003861A3"/>
    <w:rsid w:val="00387A43"/>
    <w:rsid w:val="00394607"/>
    <w:rsid w:val="00395493"/>
    <w:rsid w:val="003B0D56"/>
    <w:rsid w:val="003C147F"/>
    <w:rsid w:val="003C3D3A"/>
    <w:rsid w:val="003E0A50"/>
    <w:rsid w:val="003E3EFD"/>
    <w:rsid w:val="00403BCD"/>
    <w:rsid w:val="0042122B"/>
    <w:rsid w:val="004219DF"/>
    <w:rsid w:val="00436C63"/>
    <w:rsid w:val="004404F1"/>
    <w:rsid w:val="00444C95"/>
    <w:rsid w:val="004462C2"/>
    <w:rsid w:val="00451EA2"/>
    <w:rsid w:val="00452162"/>
    <w:rsid w:val="00452173"/>
    <w:rsid w:val="004526F7"/>
    <w:rsid w:val="00452A47"/>
    <w:rsid w:val="00454BCC"/>
    <w:rsid w:val="00460CD9"/>
    <w:rsid w:val="00476729"/>
    <w:rsid w:val="004918D9"/>
    <w:rsid w:val="00493372"/>
    <w:rsid w:val="00494198"/>
    <w:rsid w:val="004D3826"/>
    <w:rsid w:val="004E1FB1"/>
    <w:rsid w:val="004E24A1"/>
    <w:rsid w:val="004E2F50"/>
    <w:rsid w:val="004F0EA7"/>
    <w:rsid w:val="00515FA0"/>
    <w:rsid w:val="00525B58"/>
    <w:rsid w:val="005278E6"/>
    <w:rsid w:val="005402DA"/>
    <w:rsid w:val="005437B5"/>
    <w:rsid w:val="0056018B"/>
    <w:rsid w:val="00562027"/>
    <w:rsid w:val="00566A21"/>
    <w:rsid w:val="00574510"/>
    <w:rsid w:val="005A7EAE"/>
    <w:rsid w:val="005A7F2D"/>
    <w:rsid w:val="005B6631"/>
    <w:rsid w:val="005C11C7"/>
    <w:rsid w:val="005C3941"/>
    <w:rsid w:val="005C552B"/>
    <w:rsid w:val="005D0026"/>
    <w:rsid w:val="005E5DAD"/>
    <w:rsid w:val="005E7819"/>
    <w:rsid w:val="005F411C"/>
    <w:rsid w:val="005F5916"/>
    <w:rsid w:val="006043BE"/>
    <w:rsid w:val="0061526F"/>
    <w:rsid w:val="00616228"/>
    <w:rsid w:val="006176A3"/>
    <w:rsid w:val="00617A9A"/>
    <w:rsid w:val="00621499"/>
    <w:rsid w:val="00622EB3"/>
    <w:rsid w:val="0063141D"/>
    <w:rsid w:val="00635D3D"/>
    <w:rsid w:val="00642344"/>
    <w:rsid w:val="00645217"/>
    <w:rsid w:val="006517E2"/>
    <w:rsid w:val="00653E02"/>
    <w:rsid w:val="00654126"/>
    <w:rsid w:val="006667F4"/>
    <w:rsid w:val="00666B49"/>
    <w:rsid w:val="00681E77"/>
    <w:rsid w:val="00685BDB"/>
    <w:rsid w:val="006876DA"/>
    <w:rsid w:val="006A00FC"/>
    <w:rsid w:val="006A02DF"/>
    <w:rsid w:val="006D1902"/>
    <w:rsid w:val="006D4731"/>
    <w:rsid w:val="006E194E"/>
    <w:rsid w:val="00707B01"/>
    <w:rsid w:val="00725A10"/>
    <w:rsid w:val="0072795E"/>
    <w:rsid w:val="00730191"/>
    <w:rsid w:val="00731038"/>
    <w:rsid w:val="007350D6"/>
    <w:rsid w:val="00747B8D"/>
    <w:rsid w:val="00752375"/>
    <w:rsid w:val="007613AB"/>
    <w:rsid w:val="00761724"/>
    <w:rsid w:val="007630A6"/>
    <w:rsid w:val="00764D88"/>
    <w:rsid w:val="00766566"/>
    <w:rsid w:val="007665CB"/>
    <w:rsid w:val="007742DB"/>
    <w:rsid w:val="0077635A"/>
    <w:rsid w:val="007815A1"/>
    <w:rsid w:val="007974DF"/>
    <w:rsid w:val="007B0409"/>
    <w:rsid w:val="007B168B"/>
    <w:rsid w:val="007B46C1"/>
    <w:rsid w:val="007C3BB3"/>
    <w:rsid w:val="007D0B67"/>
    <w:rsid w:val="007D23E8"/>
    <w:rsid w:val="007D5FCC"/>
    <w:rsid w:val="007E4DC0"/>
    <w:rsid w:val="007E5582"/>
    <w:rsid w:val="007E7C14"/>
    <w:rsid w:val="007E7C61"/>
    <w:rsid w:val="00805614"/>
    <w:rsid w:val="00811DC3"/>
    <w:rsid w:val="00813480"/>
    <w:rsid w:val="008148E0"/>
    <w:rsid w:val="008171EC"/>
    <w:rsid w:val="00820F9B"/>
    <w:rsid w:val="008335CE"/>
    <w:rsid w:val="00833725"/>
    <w:rsid w:val="008462EB"/>
    <w:rsid w:val="00865214"/>
    <w:rsid w:val="00871D5E"/>
    <w:rsid w:val="008723B2"/>
    <w:rsid w:val="00875533"/>
    <w:rsid w:val="008900CB"/>
    <w:rsid w:val="00897A10"/>
    <w:rsid w:val="008A0254"/>
    <w:rsid w:val="008A5133"/>
    <w:rsid w:val="008A56E7"/>
    <w:rsid w:val="008A7884"/>
    <w:rsid w:val="008B3858"/>
    <w:rsid w:val="008C01F4"/>
    <w:rsid w:val="008C184D"/>
    <w:rsid w:val="008C1936"/>
    <w:rsid w:val="008C62EB"/>
    <w:rsid w:val="008E043B"/>
    <w:rsid w:val="008E371F"/>
    <w:rsid w:val="008E69AD"/>
    <w:rsid w:val="008F1DFC"/>
    <w:rsid w:val="00900DD8"/>
    <w:rsid w:val="009119AC"/>
    <w:rsid w:val="00930783"/>
    <w:rsid w:val="0093142F"/>
    <w:rsid w:val="009467E3"/>
    <w:rsid w:val="00954BB0"/>
    <w:rsid w:val="009619B2"/>
    <w:rsid w:val="0096335B"/>
    <w:rsid w:val="009744B9"/>
    <w:rsid w:val="00976CE9"/>
    <w:rsid w:val="009777D2"/>
    <w:rsid w:val="00983A6D"/>
    <w:rsid w:val="00994EB7"/>
    <w:rsid w:val="009A2370"/>
    <w:rsid w:val="009A79E6"/>
    <w:rsid w:val="009B7584"/>
    <w:rsid w:val="009C372E"/>
    <w:rsid w:val="009C65B6"/>
    <w:rsid w:val="009D2B83"/>
    <w:rsid w:val="009D58AD"/>
    <w:rsid w:val="009D6562"/>
    <w:rsid w:val="009E42C2"/>
    <w:rsid w:val="009F4D0E"/>
    <w:rsid w:val="009F650A"/>
    <w:rsid w:val="00A00BEB"/>
    <w:rsid w:val="00A0303B"/>
    <w:rsid w:val="00A07A04"/>
    <w:rsid w:val="00A1669B"/>
    <w:rsid w:val="00A27E53"/>
    <w:rsid w:val="00A36E53"/>
    <w:rsid w:val="00A47AF5"/>
    <w:rsid w:val="00A52EB8"/>
    <w:rsid w:val="00A629E0"/>
    <w:rsid w:val="00A641A9"/>
    <w:rsid w:val="00A72DF8"/>
    <w:rsid w:val="00A732F8"/>
    <w:rsid w:val="00A83769"/>
    <w:rsid w:val="00AA4B71"/>
    <w:rsid w:val="00AB09CA"/>
    <w:rsid w:val="00AB1E3C"/>
    <w:rsid w:val="00AB5659"/>
    <w:rsid w:val="00AB5FB8"/>
    <w:rsid w:val="00AC71A1"/>
    <w:rsid w:val="00AF28B4"/>
    <w:rsid w:val="00AF4904"/>
    <w:rsid w:val="00AF638A"/>
    <w:rsid w:val="00B03C47"/>
    <w:rsid w:val="00B15F53"/>
    <w:rsid w:val="00B302C7"/>
    <w:rsid w:val="00B3036C"/>
    <w:rsid w:val="00B316EA"/>
    <w:rsid w:val="00B52176"/>
    <w:rsid w:val="00B525FF"/>
    <w:rsid w:val="00B61E85"/>
    <w:rsid w:val="00B62883"/>
    <w:rsid w:val="00B71E27"/>
    <w:rsid w:val="00B80EBF"/>
    <w:rsid w:val="00B905DB"/>
    <w:rsid w:val="00B92FC8"/>
    <w:rsid w:val="00B948A2"/>
    <w:rsid w:val="00B951B5"/>
    <w:rsid w:val="00BB1395"/>
    <w:rsid w:val="00BB25C3"/>
    <w:rsid w:val="00BB6F85"/>
    <w:rsid w:val="00BC482D"/>
    <w:rsid w:val="00BC7A2D"/>
    <w:rsid w:val="00BE17A2"/>
    <w:rsid w:val="00BE6F54"/>
    <w:rsid w:val="00BF0214"/>
    <w:rsid w:val="00BF1D26"/>
    <w:rsid w:val="00BF5961"/>
    <w:rsid w:val="00BF7D7A"/>
    <w:rsid w:val="00C019EB"/>
    <w:rsid w:val="00C06F14"/>
    <w:rsid w:val="00C347E4"/>
    <w:rsid w:val="00C374CF"/>
    <w:rsid w:val="00C37A02"/>
    <w:rsid w:val="00C40F9F"/>
    <w:rsid w:val="00C44AFF"/>
    <w:rsid w:val="00C47BDE"/>
    <w:rsid w:val="00C5776D"/>
    <w:rsid w:val="00C64B2E"/>
    <w:rsid w:val="00C6616D"/>
    <w:rsid w:val="00C81022"/>
    <w:rsid w:val="00C975A0"/>
    <w:rsid w:val="00CA7218"/>
    <w:rsid w:val="00CB3576"/>
    <w:rsid w:val="00CC1859"/>
    <w:rsid w:val="00CC3414"/>
    <w:rsid w:val="00CC6D15"/>
    <w:rsid w:val="00CD372E"/>
    <w:rsid w:val="00CD38BF"/>
    <w:rsid w:val="00CD6CE1"/>
    <w:rsid w:val="00CF0626"/>
    <w:rsid w:val="00CF27D3"/>
    <w:rsid w:val="00D04A6A"/>
    <w:rsid w:val="00D0522A"/>
    <w:rsid w:val="00D07620"/>
    <w:rsid w:val="00D12049"/>
    <w:rsid w:val="00D1328C"/>
    <w:rsid w:val="00D17E3F"/>
    <w:rsid w:val="00D20114"/>
    <w:rsid w:val="00D3017C"/>
    <w:rsid w:val="00D34137"/>
    <w:rsid w:val="00D42D61"/>
    <w:rsid w:val="00D42E6A"/>
    <w:rsid w:val="00D4377C"/>
    <w:rsid w:val="00D44218"/>
    <w:rsid w:val="00D44412"/>
    <w:rsid w:val="00D536A5"/>
    <w:rsid w:val="00D65FFE"/>
    <w:rsid w:val="00D74278"/>
    <w:rsid w:val="00D80B37"/>
    <w:rsid w:val="00D85213"/>
    <w:rsid w:val="00D853A4"/>
    <w:rsid w:val="00DA5B57"/>
    <w:rsid w:val="00DB62C3"/>
    <w:rsid w:val="00DD0CDC"/>
    <w:rsid w:val="00DD231F"/>
    <w:rsid w:val="00DD3481"/>
    <w:rsid w:val="00DE7EAB"/>
    <w:rsid w:val="00DF14D7"/>
    <w:rsid w:val="00DF1CAC"/>
    <w:rsid w:val="00DF3120"/>
    <w:rsid w:val="00E0241D"/>
    <w:rsid w:val="00E03FCA"/>
    <w:rsid w:val="00E10C72"/>
    <w:rsid w:val="00E15A1C"/>
    <w:rsid w:val="00E20384"/>
    <w:rsid w:val="00E30EDB"/>
    <w:rsid w:val="00E402E8"/>
    <w:rsid w:val="00E407E6"/>
    <w:rsid w:val="00E47176"/>
    <w:rsid w:val="00E50D06"/>
    <w:rsid w:val="00E5693F"/>
    <w:rsid w:val="00E6471A"/>
    <w:rsid w:val="00E64E20"/>
    <w:rsid w:val="00E650F6"/>
    <w:rsid w:val="00E67325"/>
    <w:rsid w:val="00E77102"/>
    <w:rsid w:val="00E92576"/>
    <w:rsid w:val="00E947D7"/>
    <w:rsid w:val="00E9656E"/>
    <w:rsid w:val="00EA766B"/>
    <w:rsid w:val="00EC11D3"/>
    <w:rsid w:val="00ED303A"/>
    <w:rsid w:val="00EF64F8"/>
    <w:rsid w:val="00F111D4"/>
    <w:rsid w:val="00F124A7"/>
    <w:rsid w:val="00F17282"/>
    <w:rsid w:val="00F2060E"/>
    <w:rsid w:val="00F46E5B"/>
    <w:rsid w:val="00F5511E"/>
    <w:rsid w:val="00F87055"/>
    <w:rsid w:val="00F91E9D"/>
    <w:rsid w:val="00FB0363"/>
    <w:rsid w:val="00FB24F4"/>
    <w:rsid w:val="00FB2E38"/>
    <w:rsid w:val="00FB40B1"/>
    <w:rsid w:val="00FC7C60"/>
    <w:rsid w:val="00FD2521"/>
    <w:rsid w:val="00FE08EE"/>
    <w:rsid w:val="00FE13FF"/>
    <w:rsid w:val="00FE2BEE"/>
    <w:rsid w:val="00FF3B4E"/>
    <w:rsid w:val="1F35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9063</Words>
  <Characters>9628</Characters>
  <Lines>71</Lines>
  <Paragraphs>20</Paragraphs>
  <TotalTime>0</TotalTime>
  <ScaleCrop>false</ScaleCrop>
  <LinksUpToDate>false</LinksUpToDate>
  <CharactersWithSpaces>9711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2017-04-10T07:49:00Z</dcterms:created>
  <dc:creator>BH</dc:creator>
  <cp:lastModifiedBy>太极箫客</cp:lastModifiedBy>
  <dcterms:modified xsi:type="dcterms:W3CDTF">2025-08-14T06:18:03Z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8EB26898496E402B9FDB88579B3978F3_12</vt:lpwstr>
  </property>
</Properties>
</file>