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4446">
      <w:pPr>
        <w:snapToGrid w:val="0"/>
        <w:spacing w:line="300" w:lineRule="auto"/>
        <w:rPr>
          <w:rFonts w:ascii="Arial" w:hAnsi="Arial" w:eastAsia="宋体" w:cs="Arial"/>
          <w:b/>
          <w:sz w:val="36"/>
          <w:szCs w:val="36"/>
        </w:rPr>
      </w:pPr>
      <w:bookmarkStart w:id="0" w:name="OLE_LINK18"/>
      <w:bookmarkStart w:id="1" w:name="OLE_LINK19"/>
      <w:bookmarkStart w:id="27" w:name="_GoBack"/>
      <w:bookmarkEnd w:id="27"/>
      <w:r>
        <w:rPr>
          <w:rFonts w:ascii="Arial" w:hAnsi="Arial" w:eastAsia="宋体" w:cs="Arial"/>
          <w:b/>
          <w:sz w:val="36"/>
          <w:szCs w:val="36"/>
        </w:rPr>
        <w:t>行业和FDA工作人员指南</w:t>
      </w:r>
      <w:bookmarkEnd w:id="0"/>
      <w:bookmarkEnd w:id="1"/>
      <w:r>
        <w:rPr>
          <w:rFonts w:ascii="Arial" w:hAnsi="Arial" w:eastAsia="宋体" w:cs="Arial"/>
          <w:b/>
          <w:sz w:val="36"/>
          <w:szCs w:val="36"/>
        </w:rPr>
        <w:t>－II类特殊控制指导性文件：甲型肝炎病毒血清检测</w:t>
      </w:r>
    </w:p>
    <w:p w14:paraId="54E7740A">
      <w:pPr>
        <w:snapToGrid w:val="0"/>
        <w:spacing w:line="300" w:lineRule="auto"/>
        <w:rPr>
          <w:rFonts w:ascii="Arial" w:hAnsi="Arial" w:eastAsia="宋体" w:cs="Arial"/>
        </w:rPr>
      </w:pPr>
    </w:p>
    <w:p w14:paraId="3B7161B6">
      <w:pPr>
        <w:snapToGrid w:val="0"/>
        <w:spacing w:line="300" w:lineRule="auto"/>
        <w:rPr>
          <w:rFonts w:ascii="Arial" w:hAnsi="Arial" w:eastAsia="宋体" w:cs="Arial"/>
        </w:rPr>
      </w:pPr>
      <w:r>
        <w:rPr>
          <w:rFonts w:ascii="Arial" w:hAnsi="Arial" w:eastAsia="宋体" w:cs="Arial"/>
        </w:rPr>
        <w:t>发布日期：2006年2月9日</w:t>
      </w:r>
    </w:p>
    <w:p w14:paraId="1C1AC8A1">
      <w:pPr>
        <w:snapToGrid w:val="0"/>
        <w:spacing w:line="300" w:lineRule="auto"/>
        <w:rPr>
          <w:rFonts w:ascii="Arial" w:hAnsi="Arial" w:eastAsia="宋体" w:cs="Arial"/>
        </w:rPr>
      </w:pPr>
    </w:p>
    <w:p w14:paraId="0B355532">
      <w:pPr>
        <w:snapToGrid w:val="0"/>
        <w:spacing w:line="300" w:lineRule="auto"/>
        <w:rPr>
          <w:rFonts w:ascii="Arial" w:hAnsi="Arial" w:eastAsia="宋体" w:cs="Arial"/>
        </w:rPr>
      </w:pPr>
      <w:r>
        <w:rPr>
          <w:rFonts w:ascii="Arial" w:hAnsi="Arial" w:eastAsia="宋体" w:cs="Arial"/>
        </w:rPr>
        <w:t>若对本文件有疑问，请与微生物器械部的Sally Hojvat博士联系。联系电话：301-796-5455，电子信箱：</w:t>
      </w:r>
      <w:r>
        <w:fldChar w:fldCharType="begin"/>
      </w:r>
      <w:r>
        <w:instrText xml:space="preserve"> HYPERLINK "mailto:sally.hojvat@fda.hhs.gov" </w:instrText>
      </w:r>
      <w:r>
        <w:fldChar w:fldCharType="separate"/>
      </w:r>
      <w:r>
        <w:rPr>
          <w:rStyle w:val="8"/>
          <w:rFonts w:ascii="Arial" w:hAnsi="Arial" w:eastAsia="宋体" w:cs="Arial"/>
          <w:color w:val="800080"/>
        </w:rPr>
        <w:t>sally.hojvat@fda.hhs.gov</w:t>
      </w:r>
      <w:r>
        <w:rPr>
          <w:rStyle w:val="8"/>
          <w:rFonts w:ascii="Arial" w:hAnsi="Arial" w:eastAsia="宋体" w:cs="Arial"/>
          <w:color w:val="800080"/>
        </w:rPr>
        <w:fldChar w:fldCharType="end"/>
      </w:r>
      <w:r>
        <w:rPr>
          <w:rFonts w:ascii="Arial" w:hAnsi="Arial" w:eastAsia="宋体" w:cs="Arial"/>
        </w:rPr>
        <w:t>。</w:t>
      </w:r>
    </w:p>
    <w:p w14:paraId="674C5108">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132080</wp:posOffset>
                </wp:positionV>
                <wp:extent cx="1208405" cy="1088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8315" cy="1088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75A47">
                            <w:r>
                              <w:rPr>
                                <w:rFonts w:ascii="宋体" w:hAnsi="宋体" w:eastAsia="宋体" w:cs="宋体"/>
                                <w:kern w:val="0"/>
                                <w:sz w:val="24"/>
                                <w:szCs w:val="24"/>
                              </w:rPr>
                              <w:drawing>
                                <wp:inline distT="0" distB="0" distL="0" distR="0">
                                  <wp:extent cx="923925" cy="952500"/>
                                  <wp:effectExtent l="19050" t="0" r="9525" b="0"/>
                                  <wp:docPr id="33" name="图片 3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10.4pt;height:85.7pt;width:95.15pt;z-index:251659264;mso-width-relative:page;mso-height-relative:page;" filled="f" stroked="f" coordsize="21600,21600" o:gfxdata="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aSyKC2QAAAAkBAAAPAAAAAAAAAAEAIAAA&#10;ACIAAABkcnMvZG93bnJldi54bWxQSwECFAAUAAAACACHTuJAGjRSc0QCAAB1BAAADgAAAAAAAAAB&#10;ACAAAAAoAQAAZHJzL2Uyb0RvYy54bWxQSwUGAAAAAAYABgBZAQAA3gUAAAAA&#10;">
                <v:fill on="f" focussize="0,0"/>
                <v:stroke on="f" weight="0.5pt"/>
                <v:imagedata o:title=""/>
                <o:lock v:ext="edit" aspectratio="f"/>
                <v:textbox>
                  <w:txbxContent>
                    <w:p w14:paraId="0A775A47">
                      <w:r>
                        <w:rPr>
                          <w:rFonts w:ascii="宋体" w:hAnsi="宋体" w:eastAsia="宋体" w:cs="宋体"/>
                          <w:kern w:val="0"/>
                          <w:sz w:val="24"/>
                          <w:szCs w:val="24"/>
                        </w:rPr>
                        <w:drawing>
                          <wp:inline distT="0" distB="0" distL="0" distR="0">
                            <wp:extent cx="923925" cy="952500"/>
                            <wp:effectExtent l="19050" t="0" r="9525" b="0"/>
                            <wp:docPr id="33" name="图片 3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14:paraId="7983D240">
      <w:pPr>
        <w:snapToGrid w:val="0"/>
        <w:spacing w:line="300" w:lineRule="auto"/>
        <w:ind w:firstLine="2058" w:firstLineChars="980"/>
        <w:rPr>
          <w:rFonts w:ascii="Arial" w:hAnsi="Arial" w:eastAsia="宋体" w:cs="Arial"/>
        </w:rPr>
      </w:pPr>
      <w:r>
        <w:rPr>
          <w:rFonts w:ascii="Arial" w:hAnsi="Arial" w:eastAsia="宋体" w:cs="Arial"/>
        </w:rPr>
        <w:t>美国卫生</w:t>
      </w:r>
      <w:r>
        <w:rPr>
          <w:rFonts w:hint="eastAsia" w:ascii="Arial" w:hAnsi="Arial" w:eastAsia="宋体" w:cs="Arial"/>
        </w:rPr>
        <w:t>与</w:t>
      </w:r>
      <w:r>
        <w:rPr>
          <w:rFonts w:ascii="Arial" w:hAnsi="Arial" w:eastAsia="宋体" w:cs="Arial"/>
        </w:rPr>
        <w:t>公众服务部</w:t>
      </w:r>
    </w:p>
    <w:p w14:paraId="66732DDE">
      <w:pPr>
        <w:snapToGrid w:val="0"/>
        <w:spacing w:line="300" w:lineRule="auto"/>
        <w:ind w:firstLine="2058" w:firstLineChars="980"/>
        <w:rPr>
          <w:rFonts w:ascii="Arial" w:hAnsi="Arial" w:eastAsia="宋体" w:cs="Arial"/>
        </w:rPr>
      </w:pPr>
      <w:r>
        <w:rPr>
          <w:rFonts w:ascii="Arial" w:hAnsi="Arial" w:eastAsia="宋体" w:cs="Arial"/>
        </w:rPr>
        <w:t>食品药品监督管理局</w:t>
      </w:r>
    </w:p>
    <w:p w14:paraId="0EE908B9">
      <w:pPr>
        <w:snapToGrid w:val="0"/>
        <w:spacing w:line="300" w:lineRule="auto"/>
        <w:ind w:firstLine="2058" w:firstLineChars="980"/>
        <w:rPr>
          <w:rFonts w:ascii="Arial" w:hAnsi="Arial" w:eastAsia="宋体" w:cs="Arial"/>
        </w:rPr>
      </w:pPr>
      <w:r>
        <w:rPr>
          <w:rFonts w:hint="eastAsia" w:ascii="Arial" w:hAnsi="Arial" w:eastAsia="宋体" w:cs="Arial"/>
        </w:rPr>
        <w:t>器械与</w:t>
      </w:r>
      <w:r>
        <w:rPr>
          <w:rFonts w:ascii="Arial" w:hAnsi="Arial" w:eastAsia="宋体" w:cs="Arial"/>
        </w:rPr>
        <w:t>放射健康中心</w:t>
      </w:r>
    </w:p>
    <w:p w14:paraId="7FEF205D">
      <w:pPr>
        <w:snapToGrid w:val="0"/>
        <w:spacing w:line="300" w:lineRule="auto"/>
        <w:ind w:firstLine="2058" w:firstLineChars="980"/>
        <w:rPr>
          <w:rFonts w:ascii="Arial" w:hAnsi="Arial" w:eastAsia="宋体" w:cs="Arial"/>
        </w:rPr>
      </w:pPr>
      <w:r>
        <w:rPr>
          <w:rFonts w:ascii="Arial" w:hAnsi="Arial" w:eastAsia="宋体" w:cs="Arial"/>
        </w:rPr>
        <w:t>体外诊断器械评估和安全办公室</w:t>
      </w:r>
    </w:p>
    <w:p w14:paraId="6378B141">
      <w:pPr>
        <w:snapToGrid w:val="0"/>
        <w:spacing w:line="300" w:lineRule="auto"/>
        <w:ind w:firstLine="2058" w:firstLineChars="980"/>
        <w:rPr>
          <w:rFonts w:ascii="Arial" w:hAnsi="Arial" w:eastAsia="宋体" w:cs="Arial"/>
        </w:rPr>
      </w:pPr>
      <w:r>
        <w:rPr>
          <w:rFonts w:ascii="Arial" w:hAnsi="Arial" w:eastAsia="宋体" w:cs="Arial"/>
        </w:rPr>
        <w:t>微生物器械部</w:t>
      </w:r>
    </w:p>
    <w:p w14:paraId="1EE3C098">
      <w:pPr>
        <w:snapToGrid w:val="0"/>
        <w:spacing w:line="300" w:lineRule="auto"/>
        <w:rPr>
          <w:rFonts w:ascii="Arial" w:hAnsi="Arial" w:eastAsia="宋体" w:cs="Arial"/>
        </w:rPr>
      </w:pPr>
    </w:p>
    <w:p w14:paraId="68F3F0C3">
      <w:pPr>
        <w:snapToGrid w:val="0"/>
        <w:spacing w:line="300" w:lineRule="auto"/>
        <w:rPr>
          <w:rFonts w:ascii="Arial" w:hAnsi="Arial" w:eastAsia="宋体" w:cs="Arial"/>
        </w:rPr>
      </w:pPr>
      <w:r>
        <w:rPr>
          <w:rFonts w:ascii="Arial" w:hAnsi="Arial" w:eastAsia="宋体" w:cs="Arial"/>
          <w:b/>
        </w:rPr>
        <w:t>前言</w:t>
      </w:r>
    </w:p>
    <w:p w14:paraId="1A0F9410">
      <w:pPr>
        <w:snapToGrid w:val="0"/>
        <w:spacing w:line="300" w:lineRule="auto"/>
        <w:rPr>
          <w:rFonts w:ascii="Arial" w:hAnsi="Arial" w:eastAsia="宋体" w:cs="Arial"/>
          <w:b/>
        </w:rPr>
      </w:pPr>
      <w:r>
        <w:rPr>
          <w:rFonts w:ascii="Arial" w:hAnsi="Arial" w:eastAsia="宋体" w:cs="Arial"/>
          <w:b/>
        </w:rPr>
        <w:t>公众评论</w:t>
      </w:r>
    </w:p>
    <w:p w14:paraId="25E92DD7">
      <w:pPr>
        <w:snapToGrid w:val="0"/>
        <w:spacing w:line="300" w:lineRule="auto"/>
        <w:rPr>
          <w:rFonts w:ascii="Arial" w:hAnsi="Arial" w:eastAsia="宋体" w:cs="Arial"/>
        </w:rPr>
      </w:pPr>
    </w:p>
    <w:p w14:paraId="2C8A4FEF">
      <w:pPr>
        <w:snapToGrid w:val="0"/>
        <w:spacing w:line="300" w:lineRule="auto"/>
        <w:rPr>
          <w:rFonts w:ascii="Arial" w:hAnsi="Arial" w:eastAsia="宋体" w:cs="Arial"/>
        </w:rPr>
      </w:pPr>
      <w:r>
        <w:rPr>
          <w:rFonts w:ascii="Arial" w:hAnsi="Arial" w:eastAsia="宋体" w:cs="Arial"/>
        </w:rPr>
        <w:t>书面评论和建议可随时提交至</w:t>
      </w:r>
      <w:r>
        <w:rPr>
          <w:rFonts w:ascii="Arial" w:hAnsi="Arial" w:eastAsia="宋体" w:cs="Arial"/>
          <w:color w:val="000000"/>
          <w:kern w:val="0"/>
          <w:sz w:val="18"/>
          <w:szCs w:val="18"/>
        </w:rPr>
        <w:t>5630 Fishers Lane，Room 1061，(HFA-305)，Rockville，MD，20852，</w:t>
      </w:r>
      <w:r>
        <w:rPr>
          <w:rFonts w:ascii="Arial" w:hAnsi="Arial" w:eastAsia="宋体" w:cs="Arial"/>
        </w:rPr>
        <w:t>食品药品监督管理局文档管理部</w:t>
      </w:r>
      <w:r>
        <w:rPr>
          <w:rFonts w:hint="eastAsia" w:ascii="Arial" w:hAnsi="Arial" w:eastAsia="宋体" w:cs="Arial"/>
        </w:rPr>
        <w:t>，</w:t>
      </w:r>
      <w:r>
        <w:rPr>
          <w:rFonts w:ascii="Arial" w:hAnsi="Arial" w:eastAsia="宋体" w:cs="Arial"/>
        </w:rPr>
        <w:t>供机构审议。电子评论可提交至</w:t>
      </w:r>
      <w:r>
        <w:rPr>
          <w:rFonts w:ascii="Arial" w:hAnsi="Arial" w:eastAsia="宋体" w:cs="Arial"/>
          <w:color w:val="800080"/>
          <w:u w:val="single"/>
        </w:rPr>
        <w:t>Regulations.gov</w:t>
      </w:r>
      <w:r>
        <w:rPr>
          <w:rFonts w:ascii="Arial" w:hAnsi="Arial" w:eastAsia="宋体" w:cs="Arial"/>
        </w:rPr>
        <w:t>网站。提交评论时，请注明文档编号2004D-0385。</w:t>
      </w:r>
      <w:r>
        <w:rPr>
          <w:rFonts w:hint="eastAsia" w:ascii="Arial" w:hAnsi="Arial" w:eastAsia="宋体" w:cs="Arial"/>
        </w:rPr>
        <w:t>可能直到文件下次修订或更新时，评论才会被机构受理。</w:t>
      </w:r>
    </w:p>
    <w:p w14:paraId="7DCDF5EB">
      <w:pPr>
        <w:snapToGrid w:val="0"/>
        <w:spacing w:line="300" w:lineRule="auto"/>
        <w:rPr>
          <w:rFonts w:ascii="Arial" w:hAnsi="Arial" w:eastAsia="宋体" w:cs="Arial"/>
        </w:rPr>
      </w:pPr>
    </w:p>
    <w:p w14:paraId="3253461C">
      <w:pPr>
        <w:snapToGrid w:val="0"/>
        <w:spacing w:line="300" w:lineRule="auto"/>
        <w:rPr>
          <w:rFonts w:ascii="Arial" w:hAnsi="Arial" w:eastAsia="宋体" w:cs="Arial"/>
        </w:rPr>
      </w:pPr>
      <w:r>
        <w:rPr>
          <w:rFonts w:ascii="Arial" w:hAnsi="Arial" w:eastAsia="宋体" w:cs="Arial"/>
        </w:rPr>
        <w:t>其他副本</w:t>
      </w:r>
    </w:p>
    <w:p w14:paraId="57E626E0">
      <w:pPr>
        <w:snapToGrid w:val="0"/>
        <w:spacing w:line="300" w:lineRule="auto"/>
        <w:rPr>
          <w:rFonts w:ascii="Arial" w:hAnsi="Arial" w:eastAsia="宋体" w:cs="Arial"/>
        </w:rPr>
      </w:pPr>
    </w:p>
    <w:p w14:paraId="4B8C8E8A">
      <w:pPr>
        <w:snapToGrid w:val="0"/>
        <w:spacing w:line="300" w:lineRule="auto"/>
        <w:rPr>
          <w:rFonts w:ascii="Arial" w:hAnsi="Arial" w:eastAsia="宋体" w:cs="Arial"/>
        </w:rPr>
      </w:pPr>
      <w:r>
        <w:rPr>
          <w:rFonts w:ascii="Arial" w:hAnsi="Arial" w:eastAsia="宋体" w:cs="Arial"/>
        </w:rPr>
        <w:t>其他副本可在因特网获得。贵公司还可发送电邮申请至</w:t>
      </w:r>
      <w:r>
        <w:rPr>
          <w:rFonts w:ascii="Arial" w:hAnsi="Arial" w:eastAsia="宋体" w:cs="Arial"/>
          <w:color w:val="800080"/>
          <w:u w:val="single"/>
        </w:rPr>
        <w:t>todsmica@fda.hhs.gov</w:t>
      </w:r>
      <w:r>
        <w:rPr>
          <w:rFonts w:ascii="Arial" w:hAnsi="Arial" w:eastAsia="宋体" w:cs="Arial"/>
        </w:rPr>
        <w:t>获取本指南的电子副本或发送传真至301-827-8149申请获取复印件。请用文件编号（1536）确认贵公司索取的指南。</w:t>
      </w:r>
    </w:p>
    <w:p w14:paraId="611FEBD1">
      <w:pPr>
        <w:snapToGrid w:val="0"/>
        <w:spacing w:line="300" w:lineRule="auto"/>
        <w:rPr>
          <w:rFonts w:ascii="Arial" w:hAnsi="Arial" w:eastAsia="宋体" w:cs="Arial"/>
        </w:rPr>
      </w:pPr>
    </w:p>
    <w:p w14:paraId="199DB123">
      <w:pPr>
        <w:snapToGrid w:val="0"/>
        <w:spacing w:line="300" w:lineRule="auto"/>
        <w:rPr>
          <w:rFonts w:ascii="Arial" w:hAnsi="Arial" w:eastAsia="宋体" w:cs="Arial"/>
          <w:b/>
        </w:rPr>
      </w:pPr>
      <w:r>
        <w:rPr>
          <w:rFonts w:ascii="Arial" w:hAnsi="Arial" w:eastAsia="宋体" w:cs="Arial"/>
          <w:b/>
        </w:rPr>
        <w:t>目录</w:t>
      </w:r>
    </w:p>
    <w:p w14:paraId="2D167905">
      <w:pPr>
        <w:snapToGrid w:val="0"/>
        <w:spacing w:line="300" w:lineRule="auto"/>
        <w:rPr>
          <w:rFonts w:ascii="Arial" w:hAnsi="Arial" w:eastAsia="宋体" w:cs="Arial"/>
        </w:rPr>
      </w:pPr>
    </w:p>
    <w:p w14:paraId="4F9C66F3">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介绍</w:t>
      </w:r>
    </w:p>
    <w:p w14:paraId="1D73A9DD">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背景</w:t>
      </w:r>
    </w:p>
    <w:p w14:paraId="21BB9C11">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简化510（k）提交</w:t>
      </w:r>
      <w:r>
        <w:rPr>
          <w:rFonts w:hint="eastAsia" w:ascii="Arial" w:hAnsi="Arial" w:eastAsia="宋体" w:cs="Arial"/>
          <w:color w:val="800080"/>
          <w:kern w:val="0"/>
          <w:szCs w:val="21"/>
          <w:u w:val="single"/>
        </w:rPr>
        <w:t>资料</w:t>
      </w:r>
      <w:r>
        <w:rPr>
          <w:rFonts w:ascii="Arial" w:hAnsi="Arial" w:eastAsia="宋体" w:cs="Arial"/>
          <w:color w:val="800080"/>
          <w:kern w:val="0"/>
          <w:szCs w:val="21"/>
          <w:u w:val="single"/>
        </w:rPr>
        <w:t>的内容和格式</w:t>
      </w:r>
    </w:p>
    <w:p w14:paraId="243BA3D5">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适用范围</w:t>
      </w:r>
    </w:p>
    <w:p w14:paraId="3442535C">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健康风险</w:t>
      </w:r>
    </w:p>
    <w:p w14:paraId="133BF138">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器械描述</w:t>
      </w:r>
    </w:p>
    <w:p w14:paraId="0A60C965">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性能特征</w:t>
      </w:r>
    </w:p>
    <w:p w14:paraId="5BCE837D">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患病率（预期值）</w:t>
      </w:r>
    </w:p>
    <w:p w14:paraId="09A04FA2">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方法比较</w:t>
      </w:r>
    </w:p>
    <w:p w14:paraId="34B33B75">
      <w:pPr>
        <w:widowControl/>
        <w:tabs>
          <w:tab w:val="left" w:pos="720"/>
        </w:tabs>
        <w:jc w:val="left"/>
        <w:rPr>
          <w:rFonts w:ascii="Arial" w:hAnsi="Arial" w:eastAsia="宋体" w:cs="Arial"/>
          <w:color w:val="800080"/>
          <w:kern w:val="0"/>
          <w:szCs w:val="21"/>
          <w:u w:val="single"/>
        </w:rPr>
      </w:pPr>
      <w:r>
        <w:rPr>
          <w:rFonts w:ascii="Arial" w:hAnsi="Arial" w:eastAsia="宋体" w:cs="Arial"/>
          <w:color w:val="800080"/>
          <w:kern w:val="0"/>
          <w:szCs w:val="21"/>
          <w:u w:val="single"/>
        </w:rPr>
        <w:t>标签</w:t>
      </w:r>
    </w:p>
    <w:p w14:paraId="0EFE7A95">
      <w:pPr>
        <w:snapToGrid w:val="0"/>
        <w:spacing w:line="300" w:lineRule="auto"/>
        <w:rPr>
          <w:rFonts w:ascii="Arial" w:hAnsi="Arial" w:eastAsia="宋体" w:cs="Arial"/>
        </w:rPr>
      </w:pPr>
    </w:p>
    <w:p w14:paraId="40AF4D8B">
      <w:pPr>
        <w:snapToGrid w:val="0"/>
        <w:spacing w:line="300" w:lineRule="auto"/>
        <w:rPr>
          <w:rFonts w:ascii="Arial" w:hAnsi="Arial" w:eastAsia="宋体" w:cs="Arial"/>
          <w:b/>
        </w:rPr>
      </w:pPr>
      <w:r>
        <w:rPr>
          <w:rFonts w:ascii="Arial" w:hAnsi="Arial" w:eastAsia="宋体" w:cs="Arial"/>
          <w:b/>
        </w:rPr>
        <w:t>行业和FDA工作人员指南草案</w:t>
      </w:r>
    </w:p>
    <w:p w14:paraId="72D3E4AD">
      <w:pPr>
        <w:snapToGrid w:val="0"/>
        <w:spacing w:line="300" w:lineRule="auto"/>
        <w:rPr>
          <w:rFonts w:ascii="Arial" w:hAnsi="Arial" w:eastAsia="宋体" w:cs="Arial"/>
        </w:rPr>
      </w:pPr>
    </w:p>
    <w:p w14:paraId="567FDC38">
      <w:pPr>
        <w:snapToGrid w:val="0"/>
        <w:spacing w:line="300" w:lineRule="auto"/>
        <w:rPr>
          <w:rFonts w:ascii="Arial" w:hAnsi="Arial" w:eastAsia="宋体" w:cs="Arial"/>
          <w:b/>
        </w:rPr>
      </w:pPr>
      <w:r>
        <w:rPr>
          <w:rFonts w:ascii="Arial" w:hAnsi="Arial" w:eastAsia="宋体" w:cs="Arial"/>
          <w:b/>
        </w:rPr>
        <w:t>II类特殊控制指导性文件：甲型肝炎病毒临床实验室诊断的甲型肝炎血清检测</w:t>
      </w:r>
    </w:p>
    <w:p w14:paraId="780628AE">
      <w:pPr>
        <w:snapToGrid w:val="0"/>
        <w:spacing w:line="300" w:lineRule="auto"/>
        <w:rPr>
          <w:rFonts w:ascii="Arial" w:hAnsi="Arial" w:eastAsia="宋体" w:cs="Arial"/>
        </w:rPr>
      </w:pPr>
    </w:p>
    <w:p w14:paraId="1F1D50E4">
      <w:pPr>
        <w:snapToGrid w:val="0"/>
        <w:spacing w:line="300" w:lineRule="auto"/>
        <w:rPr>
          <w:rFonts w:ascii="Arial" w:hAnsi="Arial" w:eastAsia="宋体" w:cs="Arial"/>
          <w:b/>
        </w:rPr>
      </w:pPr>
      <w:r>
        <w:rPr>
          <w:rFonts w:ascii="Arial" w:hAnsi="Arial" w:eastAsia="宋体" w:cs="Arial"/>
          <w:b/>
        </w:rPr>
        <w:t>1. 介绍</w:t>
      </w:r>
    </w:p>
    <w:p w14:paraId="497A321B">
      <w:pPr>
        <w:snapToGrid w:val="0"/>
        <w:spacing w:line="300" w:lineRule="auto"/>
        <w:rPr>
          <w:rFonts w:ascii="Arial" w:hAnsi="Arial" w:eastAsia="宋体" w:cs="Arial"/>
        </w:rPr>
      </w:pPr>
    </w:p>
    <w:p w14:paraId="6500CDAB">
      <w:pPr>
        <w:snapToGrid w:val="0"/>
        <w:spacing w:line="300" w:lineRule="auto"/>
        <w:rPr>
          <w:rFonts w:ascii="Arial" w:hAnsi="Arial" w:eastAsia="宋体" w:cs="Arial"/>
        </w:rPr>
      </w:pPr>
      <w:r>
        <w:rPr>
          <w:rFonts w:ascii="Arial" w:hAnsi="Arial" w:eastAsia="宋体" w:cs="Arial"/>
        </w:rPr>
        <w:t>制定本特殊控制指南的目的是支持将甲型肝炎病毒血清检测[用于检测免疫球蛋白M（IgM）、免疫球蛋白G（Ig G）或总抗体（IgM和Ig G）水平]重新进行分类为II类。甲型肝炎病毒（HAV）</w:t>
      </w:r>
      <w:bookmarkStart w:id="2" w:name="OLE_LINK11"/>
      <w:bookmarkStart w:id="3" w:name="OLE_LINK12"/>
      <w:r>
        <w:rPr>
          <w:rFonts w:ascii="Arial" w:hAnsi="Arial" w:eastAsia="宋体" w:cs="Arial"/>
        </w:rPr>
        <w:t>血清检测是由抗原和抗血清组成并用于检测人血清或血浆中HAV特异性IgM、Ig G或总抗体（IgM和Ig G）的器械。</w:t>
      </w:r>
      <w:bookmarkEnd w:id="2"/>
      <w:bookmarkEnd w:id="3"/>
      <w:bookmarkStart w:id="4" w:name="OLE_LINK20"/>
      <w:bookmarkStart w:id="5" w:name="OLE_LINK17"/>
      <w:r>
        <w:rPr>
          <w:rFonts w:ascii="Arial" w:hAnsi="Arial" w:eastAsia="宋体" w:cs="Arial"/>
        </w:rPr>
        <w:t>在诊断过程中使用这些器械对采自有急性肝炎体征和症状个体的试样进行检验，确定个体先前是否感染HAV或将其作为识别HAV易感个体的辅助手段。对这些抗体进行检测并结合其它临床实验室检测结果有助于急性或既往HAV感染的临床实验室诊断。对血液、实质组织或软组织供体的筛检不是这些器械的预期用途。</w:t>
      </w:r>
    </w:p>
    <w:bookmarkEnd w:id="4"/>
    <w:bookmarkEnd w:id="5"/>
    <w:p w14:paraId="6B44ECD5">
      <w:pPr>
        <w:snapToGrid w:val="0"/>
        <w:spacing w:line="300" w:lineRule="auto"/>
        <w:rPr>
          <w:rFonts w:ascii="Arial" w:hAnsi="Arial" w:eastAsia="宋体" w:cs="Arial"/>
        </w:rPr>
      </w:pPr>
    </w:p>
    <w:p w14:paraId="55C9CB3D">
      <w:pPr>
        <w:snapToGrid w:val="0"/>
        <w:spacing w:line="300" w:lineRule="auto"/>
        <w:rPr>
          <w:rFonts w:ascii="Arial" w:hAnsi="Arial" w:eastAsia="宋体" w:cs="Arial"/>
        </w:rPr>
      </w:pPr>
      <w:r>
        <w:rPr>
          <w:rFonts w:ascii="Arial" w:hAnsi="Arial" w:eastAsia="宋体" w:cs="Arial"/>
        </w:rPr>
        <w:t>本指南与联邦公报的通告同时发布，就此宣布将HAV血清检测的分类从III类改为II类并编纂21 CFR 866.3310中的分类。</w:t>
      </w:r>
      <w:r>
        <w:rPr>
          <w:rFonts w:ascii="Arial" w:hAnsi="Arial" w:eastAsia="宋体" w:cs="Arial"/>
          <w:vertAlign w:val="superscript"/>
        </w:rPr>
        <w:t>1</w:t>
      </w:r>
    </w:p>
    <w:p w14:paraId="1E95121E">
      <w:pPr>
        <w:snapToGrid w:val="0"/>
        <w:spacing w:line="300" w:lineRule="auto"/>
        <w:rPr>
          <w:rFonts w:ascii="Arial" w:hAnsi="Arial" w:eastAsia="宋体" w:cs="Arial"/>
        </w:rPr>
      </w:pPr>
    </w:p>
    <w:p w14:paraId="49764C76">
      <w:pPr>
        <w:snapToGrid w:val="0"/>
        <w:spacing w:line="300" w:lineRule="auto"/>
        <w:rPr>
          <w:rFonts w:ascii="Arial" w:hAnsi="Arial" w:eastAsia="宋体" w:cs="Arial"/>
        </w:rPr>
      </w:pPr>
      <w:r>
        <w:rPr>
          <w:rFonts w:ascii="Arial" w:hAnsi="Arial" w:eastAsia="宋体" w:cs="Arial"/>
        </w:rPr>
        <w:t>对这些器械重新分类的最终规则生效后，提交HAV血清检测上市前通告（510（k））的任何公司均需对本特殊控制指导性文件中包含的风险予以妥善解决。然而，公司仅需说明其器械符合本指南的推荐规范或以其它方式提供安全性和有效性的等同保证。</w:t>
      </w:r>
    </w:p>
    <w:p w14:paraId="6326F89C">
      <w:pPr>
        <w:snapToGrid w:val="0"/>
        <w:spacing w:line="300" w:lineRule="auto"/>
        <w:rPr>
          <w:rFonts w:ascii="Arial" w:hAnsi="Arial" w:eastAsia="宋体" w:cs="Arial"/>
        </w:rPr>
      </w:pPr>
    </w:p>
    <w:p w14:paraId="5ABD87B3">
      <w:pPr>
        <w:snapToGrid w:val="0"/>
        <w:spacing w:line="300" w:lineRule="auto"/>
        <w:rPr>
          <w:rFonts w:ascii="Arial" w:hAnsi="Arial" w:eastAsia="宋体" w:cs="Arial"/>
        </w:rPr>
      </w:pPr>
      <w:r>
        <w:rPr>
          <w:rFonts w:ascii="Arial" w:hAnsi="Arial" w:eastAsia="宋体" w:cs="Arial"/>
        </w:rPr>
        <w:t>公司必须说明其器械解决了本指南识别的安全性和有效性问题。其解决问题的方式既可遵照本指南提供的推荐规范，亦可采用能提供安全性和有效性等同保证的某些其它方法。</w:t>
      </w:r>
    </w:p>
    <w:p w14:paraId="797250C2">
      <w:pPr>
        <w:snapToGrid w:val="0"/>
        <w:spacing w:line="300" w:lineRule="auto"/>
        <w:rPr>
          <w:rFonts w:ascii="Arial" w:hAnsi="Arial" w:eastAsia="宋体" w:cs="Arial"/>
        </w:rPr>
      </w:pPr>
    </w:p>
    <w:p w14:paraId="11EF2E9E">
      <w:pPr>
        <w:snapToGrid w:val="0"/>
        <w:spacing w:line="300" w:lineRule="auto"/>
        <w:rPr>
          <w:rFonts w:ascii="Arial" w:hAnsi="Arial" w:eastAsia="宋体" w:cs="Arial"/>
          <w:b/>
        </w:rPr>
      </w:pPr>
      <w:r>
        <w:rPr>
          <w:rFonts w:ascii="Arial" w:hAnsi="Arial" w:eastAsia="宋体" w:cs="Arial"/>
          <w:b/>
        </w:rPr>
        <w:t>最小负担方法</w:t>
      </w:r>
    </w:p>
    <w:p w14:paraId="07116413">
      <w:pPr>
        <w:snapToGrid w:val="0"/>
        <w:spacing w:line="300" w:lineRule="auto"/>
        <w:rPr>
          <w:rFonts w:ascii="Arial" w:hAnsi="Arial" w:eastAsia="宋体" w:cs="Arial"/>
        </w:rPr>
      </w:pPr>
    </w:p>
    <w:p w14:paraId="6D2806EA">
      <w:pPr>
        <w:snapToGrid w:val="0"/>
        <w:spacing w:line="300" w:lineRule="auto"/>
        <w:rPr>
          <w:rFonts w:ascii="Arial" w:hAnsi="Arial" w:eastAsia="宋体" w:cs="Arial"/>
        </w:rPr>
      </w:pPr>
      <w:r>
        <w:rPr>
          <w:rFonts w:ascii="Arial" w:hAnsi="Arial" w:eastAsia="宋体" w:cs="Arial"/>
        </w:rPr>
        <w:t>本指南识别的问题是我们认为贵公司的器械上市前应解决的问题。在编制本指南的过程中，我们仔细斟酌了机构决策采用的相关法规标准。另外，我们还斟酌了贵公司在努力遵照指南并解决我们所识别问题的过程中可能产生的负担。我们认为，我们已考虑采用最小负担方法解决本指导性文件呈现的问题。然而，如果贵公司认为有负担更小的方法可用于解决这些问题，贵公司应遵守“</w:t>
      </w:r>
      <w:r>
        <w:rPr>
          <w:rFonts w:ascii="Arial" w:hAnsi="Arial" w:eastAsia="宋体" w:cs="Arial"/>
          <w:color w:val="800080"/>
          <w:u w:val="single"/>
        </w:rPr>
        <w:t>解决最小负担问题的建议方法</w:t>
      </w:r>
      <w:r>
        <w:rPr>
          <w:rFonts w:ascii="Arial" w:hAnsi="Arial" w:eastAsia="宋体" w:cs="Arial"/>
        </w:rPr>
        <w:t>”文件中描述的程序予以实施。</w:t>
      </w:r>
    </w:p>
    <w:p w14:paraId="5682D16C">
      <w:pPr>
        <w:snapToGrid w:val="0"/>
        <w:spacing w:line="300" w:lineRule="auto"/>
        <w:rPr>
          <w:rFonts w:ascii="Arial" w:hAnsi="Arial" w:eastAsia="宋体" w:cs="Arial"/>
        </w:rPr>
      </w:pPr>
    </w:p>
    <w:p w14:paraId="4FDC7171">
      <w:pPr>
        <w:snapToGrid w:val="0"/>
        <w:spacing w:line="300" w:lineRule="auto"/>
        <w:rPr>
          <w:rFonts w:ascii="Arial" w:hAnsi="Arial" w:eastAsia="宋体" w:cs="Arial"/>
          <w:b/>
        </w:rPr>
      </w:pPr>
      <w:r>
        <w:rPr>
          <w:rFonts w:ascii="Arial" w:hAnsi="Arial" w:eastAsia="宋体" w:cs="Arial"/>
          <w:b/>
        </w:rPr>
        <w:t>2. 背景</w:t>
      </w:r>
    </w:p>
    <w:p w14:paraId="144DCCD7">
      <w:pPr>
        <w:snapToGrid w:val="0"/>
        <w:spacing w:line="300" w:lineRule="auto"/>
        <w:rPr>
          <w:rFonts w:ascii="Arial" w:hAnsi="Arial" w:eastAsia="宋体" w:cs="Arial"/>
        </w:rPr>
      </w:pPr>
    </w:p>
    <w:p w14:paraId="08A66867">
      <w:pPr>
        <w:snapToGrid w:val="0"/>
        <w:spacing w:line="300" w:lineRule="auto"/>
        <w:rPr>
          <w:rFonts w:ascii="Arial" w:hAnsi="Arial" w:eastAsia="宋体" w:cs="Arial"/>
        </w:rPr>
      </w:pPr>
      <w:r>
        <w:rPr>
          <w:rFonts w:ascii="Arial" w:hAnsi="Arial" w:eastAsia="宋体" w:cs="Arial"/>
        </w:rPr>
        <w:t>FDA认为，特殊控制措施与通用控制措施相结合足以对HAV血清检测的安全性和有效性提供合理保证。拟销售该通用类型器械的制造商应（1）遵照联邦食品药品和化妆品法案（法案）规定的通用控制要求，包括21 CFR 第807部分第E子部分描述的上市前通告要求，（2）解决本指导性文件识别的与HAV血清检测有关的具体健康风险，（3）于销售该器械前获得FDA做出的实质等同认定。</w:t>
      </w:r>
    </w:p>
    <w:p w14:paraId="7FC82427">
      <w:pPr>
        <w:snapToGrid w:val="0"/>
        <w:spacing w:line="300" w:lineRule="auto"/>
        <w:rPr>
          <w:rFonts w:ascii="Arial" w:hAnsi="Arial" w:eastAsia="宋体" w:cs="Arial"/>
        </w:rPr>
      </w:pPr>
    </w:p>
    <w:p w14:paraId="7E40DF3B">
      <w:pPr>
        <w:widowControl/>
        <w:jc w:val="left"/>
        <w:rPr>
          <w:rFonts w:ascii="Arial" w:hAnsi="Arial" w:eastAsia="宋体" w:cs="Arial"/>
        </w:rPr>
      </w:pPr>
      <w:r>
        <w:rPr>
          <w:rFonts w:ascii="Arial" w:hAnsi="Arial" w:eastAsia="宋体" w:cs="Arial"/>
        </w:rPr>
        <w:br w:type="page"/>
      </w:r>
    </w:p>
    <w:p w14:paraId="62563EC5">
      <w:pPr>
        <w:snapToGrid w:val="0"/>
        <w:spacing w:line="300" w:lineRule="auto"/>
        <w:rPr>
          <w:rFonts w:ascii="Arial" w:hAnsi="Arial" w:eastAsia="宋体" w:cs="Arial"/>
        </w:rPr>
      </w:pPr>
      <w:r>
        <w:rPr>
          <w:rFonts w:ascii="Arial" w:hAnsi="Arial" w:eastAsia="宋体" w:cs="Arial"/>
        </w:rPr>
        <w:t>本指导性文件识别了HAV血清检测的分类规则和产品代码（参考第4节－范围）。另外，本指导性文件在其它部分列出了FDA确认的健康风险并描述了相应的控制措施。制造商若遵照这些措施并与通用控制措施相结合，通常可解决与这些检测器械相关的健康风险并可使510（k）文件及时获得审查和许可。本文件在510（k）提交所含特殊内容方面弥补了FDA其它文件的不足之处。贵公司还应参考</w:t>
      </w:r>
      <w:r>
        <w:rPr>
          <w:rFonts w:ascii="Arial" w:hAnsi="Arial" w:eastAsia="宋体" w:cs="Arial"/>
          <w:color w:val="800080"/>
          <w:u w:val="single"/>
        </w:rPr>
        <w:t>21 CFR 807.87</w:t>
      </w:r>
      <w:r>
        <w:rPr>
          <w:rFonts w:ascii="Arial" w:hAnsi="Arial" w:eastAsia="宋体" w:cs="Arial"/>
        </w:rPr>
        <w:t>与器械</w:t>
      </w:r>
      <w:r>
        <w:rPr>
          <w:rFonts w:hint="eastAsia" w:ascii="Arial" w:hAnsi="Arial" w:eastAsia="宋体" w:cs="Arial"/>
        </w:rPr>
        <w:t>与</w:t>
      </w:r>
      <w:r>
        <w:rPr>
          <w:rFonts w:ascii="Arial" w:hAnsi="Arial" w:eastAsia="宋体" w:cs="Arial"/>
        </w:rPr>
        <w:t>放射健康中心（CDRH）颁布的器械建议。</w:t>
      </w:r>
    </w:p>
    <w:p w14:paraId="5E43855B">
      <w:pPr>
        <w:snapToGrid w:val="0"/>
        <w:spacing w:line="300" w:lineRule="auto"/>
        <w:rPr>
          <w:rFonts w:ascii="Arial" w:hAnsi="Arial" w:eastAsia="宋体" w:cs="Arial"/>
        </w:rPr>
      </w:pPr>
    </w:p>
    <w:p w14:paraId="6D4D4943">
      <w:pPr>
        <w:snapToGrid w:val="0"/>
        <w:spacing w:line="300" w:lineRule="auto"/>
        <w:rPr>
          <w:rFonts w:ascii="Arial" w:hAnsi="Arial" w:eastAsia="宋体" w:cs="Arial"/>
        </w:rPr>
      </w:pPr>
      <w:r>
        <w:rPr>
          <w:rFonts w:ascii="Arial" w:hAnsi="Arial" w:eastAsia="宋体" w:cs="Arial"/>
        </w:rPr>
        <w:t>如“</w:t>
      </w:r>
      <w:r>
        <w:rPr>
          <w:rFonts w:ascii="Arial" w:hAnsi="Arial" w:eastAsia="宋体" w:cs="Arial"/>
          <w:b/>
          <w:color w:val="800080"/>
          <w:u w:val="single"/>
        </w:rPr>
        <w:t>新510（k）范本－在上市前通告中证明实质等同性的替代方法；最终指南</w:t>
      </w:r>
      <w:r>
        <w:rPr>
          <w:rFonts w:ascii="Arial" w:hAnsi="Arial" w:eastAsia="宋体" w:cs="Arial"/>
        </w:rPr>
        <w:t>”所述，制造商可提交传统510（k）提交或选择提交简化510（k）提交</w:t>
      </w:r>
      <w:r>
        <w:rPr>
          <w:rFonts w:hint="eastAsia" w:ascii="Arial" w:hAnsi="Arial" w:eastAsia="宋体" w:cs="Arial"/>
        </w:rPr>
        <w:t>资料</w:t>
      </w:r>
      <w:r>
        <w:rPr>
          <w:rFonts w:ascii="Arial" w:hAnsi="Arial" w:eastAsia="宋体" w:cs="Arial"/>
        </w:rPr>
        <w:t>或特殊510（k）提交</w:t>
      </w:r>
      <w:r>
        <w:rPr>
          <w:rFonts w:hint="eastAsia" w:ascii="Arial" w:hAnsi="Arial" w:eastAsia="宋体" w:cs="Arial"/>
        </w:rPr>
        <w:t>资料</w:t>
      </w:r>
      <w:r>
        <w:rPr>
          <w:rFonts w:ascii="Arial" w:hAnsi="Arial" w:eastAsia="宋体" w:cs="Arial"/>
        </w:rPr>
        <w:t>。FDA认为，简化510（k）提交提供了证明新器械实质等同的最小负担方法，FDA发布了指导性文件后尤其如此。考虑对获得许可的器械进行修改的制造商提交特殊510（k）提交可减轻法规负担。</w:t>
      </w:r>
    </w:p>
    <w:p w14:paraId="21B62924">
      <w:pPr>
        <w:snapToGrid w:val="0"/>
        <w:spacing w:line="300" w:lineRule="auto"/>
        <w:rPr>
          <w:rFonts w:ascii="Arial" w:hAnsi="Arial" w:eastAsia="宋体" w:cs="Arial"/>
        </w:rPr>
      </w:pPr>
    </w:p>
    <w:p w14:paraId="4483F2A3">
      <w:pPr>
        <w:snapToGrid w:val="0"/>
        <w:spacing w:line="300" w:lineRule="auto"/>
        <w:rPr>
          <w:rFonts w:ascii="Arial" w:hAnsi="Arial" w:eastAsia="宋体" w:cs="Arial"/>
          <w:b/>
        </w:rPr>
      </w:pPr>
      <w:r>
        <w:rPr>
          <w:rFonts w:ascii="Arial" w:hAnsi="Arial" w:eastAsia="宋体" w:cs="Arial"/>
          <w:b/>
        </w:rPr>
        <w:t>3. 简化510（k）提交</w:t>
      </w:r>
      <w:r>
        <w:rPr>
          <w:rFonts w:hint="eastAsia" w:ascii="Arial" w:hAnsi="Arial" w:eastAsia="宋体" w:cs="Arial"/>
          <w:b/>
        </w:rPr>
        <w:t>资料</w:t>
      </w:r>
      <w:r>
        <w:rPr>
          <w:rFonts w:ascii="Arial" w:hAnsi="Arial" w:eastAsia="宋体" w:cs="Arial"/>
          <w:b/>
        </w:rPr>
        <w:t>的内容和格式</w:t>
      </w:r>
    </w:p>
    <w:p w14:paraId="61A95308">
      <w:pPr>
        <w:snapToGrid w:val="0"/>
        <w:spacing w:line="300" w:lineRule="auto"/>
        <w:rPr>
          <w:rFonts w:ascii="Arial" w:hAnsi="Arial" w:eastAsia="宋体" w:cs="Arial"/>
        </w:rPr>
      </w:pPr>
    </w:p>
    <w:p w14:paraId="46B131E2">
      <w:pPr>
        <w:snapToGrid w:val="0"/>
        <w:spacing w:line="300" w:lineRule="auto"/>
        <w:rPr>
          <w:rFonts w:ascii="Arial" w:hAnsi="Arial" w:eastAsia="宋体" w:cs="Arial"/>
        </w:rPr>
      </w:pPr>
      <w:r>
        <w:rPr>
          <w:rFonts w:ascii="Arial" w:hAnsi="Arial" w:eastAsia="宋体" w:cs="Arial"/>
        </w:rPr>
        <w:t>简化510（k）提交</w:t>
      </w:r>
      <w:r>
        <w:rPr>
          <w:rFonts w:hint="eastAsia" w:ascii="Arial" w:hAnsi="Arial" w:eastAsia="宋体" w:cs="Arial"/>
        </w:rPr>
        <w:t>资料</w:t>
      </w:r>
      <w:r>
        <w:rPr>
          <w:rFonts w:ascii="Arial" w:hAnsi="Arial" w:eastAsia="宋体" w:cs="Arial"/>
        </w:rPr>
        <w:t>必须包括21 CFR 807.87识别的必要元素，包括足以描述器械的拟定标签、预期用途和使用说明。在简化510（k）提交中，FDA会考虑总结报告的内容是否适当支持了符合21 CFR 807.87(f)或(g)意义的数据。因此，我们建议贵公司在该文件中包括总结报告。该报告应对器械开发和检测期间如何使用本指导性文件做出说明并简要描述所用方法或实验与实验数据汇总或验收标准。验收标准用于处理本文件确认的健康风险以及贵公司的器械所特有的任何其它风险。本节提供信息的目的是为了满足807.87部分的某些要求以及我们建议贵公司将其包含在简化510（k）提交中的某些其它项目。</w:t>
      </w:r>
    </w:p>
    <w:p w14:paraId="48D54F37">
      <w:pPr>
        <w:snapToGrid w:val="0"/>
        <w:spacing w:line="300" w:lineRule="auto"/>
        <w:rPr>
          <w:rFonts w:ascii="Arial" w:hAnsi="Arial" w:eastAsia="宋体" w:cs="Arial"/>
        </w:rPr>
      </w:pPr>
    </w:p>
    <w:p w14:paraId="27D03E06">
      <w:pPr>
        <w:snapToGrid w:val="0"/>
        <w:spacing w:line="300" w:lineRule="auto"/>
        <w:rPr>
          <w:rFonts w:ascii="Arial" w:hAnsi="Arial" w:eastAsia="宋体" w:cs="Arial"/>
          <w:b/>
        </w:rPr>
      </w:pPr>
      <w:r>
        <w:rPr>
          <w:rFonts w:ascii="Arial" w:hAnsi="Arial" w:eastAsia="宋体" w:cs="Arial"/>
          <w:b/>
        </w:rPr>
        <w:t>封面</w:t>
      </w:r>
    </w:p>
    <w:p w14:paraId="232A9CE6">
      <w:pPr>
        <w:snapToGrid w:val="0"/>
        <w:spacing w:line="300" w:lineRule="auto"/>
        <w:rPr>
          <w:rFonts w:ascii="Arial" w:hAnsi="Arial" w:eastAsia="宋体" w:cs="Arial"/>
        </w:rPr>
      </w:pPr>
    </w:p>
    <w:p w14:paraId="46B735A1">
      <w:pPr>
        <w:snapToGrid w:val="0"/>
        <w:spacing w:line="300" w:lineRule="auto"/>
        <w:rPr>
          <w:rFonts w:ascii="Arial" w:hAnsi="Arial" w:eastAsia="宋体" w:cs="Arial"/>
        </w:rPr>
      </w:pPr>
      <w:r>
        <w:rPr>
          <w:rFonts w:ascii="Arial" w:hAnsi="Arial" w:eastAsia="宋体" w:cs="Arial"/>
        </w:rPr>
        <w:t>应在封面上以醒目方式显示本申请文件为简化510（k）提交并注明本指导性文件的标题。</w:t>
      </w:r>
    </w:p>
    <w:p w14:paraId="0DAAD683">
      <w:pPr>
        <w:snapToGrid w:val="0"/>
        <w:spacing w:line="300" w:lineRule="auto"/>
        <w:rPr>
          <w:rFonts w:ascii="Arial" w:hAnsi="Arial" w:eastAsia="宋体" w:cs="Arial"/>
        </w:rPr>
      </w:pPr>
    </w:p>
    <w:p w14:paraId="3B11FB7F">
      <w:pPr>
        <w:snapToGrid w:val="0"/>
        <w:spacing w:line="300" w:lineRule="auto"/>
        <w:rPr>
          <w:rFonts w:ascii="Arial" w:hAnsi="Arial" w:eastAsia="宋体" w:cs="Arial"/>
          <w:b/>
        </w:rPr>
      </w:pPr>
      <w:r>
        <w:rPr>
          <w:rFonts w:ascii="Arial" w:hAnsi="Arial" w:eastAsia="宋体" w:cs="Arial"/>
          <w:b/>
        </w:rPr>
        <w:t>拟定标签</w:t>
      </w:r>
    </w:p>
    <w:p w14:paraId="00EC4DC1">
      <w:pPr>
        <w:snapToGrid w:val="0"/>
        <w:spacing w:line="300" w:lineRule="auto"/>
        <w:rPr>
          <w:rFonts w:ascii="Arial" w:hAnsi="Arial" w:eastAsia="宋体" w:cs="Arial"/>
        </w:rPr>
      </w:pPr>
    </w:p>
    <w:p w14:paraId="26DA4232">
      <w:pPr>
        <w:snapToGrid w:val="0"/>
        <w:spacing w:line="300" w:lineRule="auto"/>
        <w:rPr>
          <w:rFonts w:ascii="Arial" w:hAnsi="Arial" w:eastAsia="宋体" w:cs="Arial"/>
        </w:rPr>
      </w:pPr>
      <w:r>
        <w:rPr>
          <w:rFonts w:ascii="Arial" w:hAnsi="Arial" w:eastAsia="宋体" w:cs="Arial"/>
        </w:rPr>
        <w:t>拟定标签应足以描述该器械、其预期用途和使用说明。（</w:t>
      </w:r>
      <w:bookmarkStart w:id="6" w:name="OLE_LINK3"/>
      <w:bookmarkStart w:id="7" w:name="OLE_LINK1"/>
      <w:bookmarkStart w:id="8" w:name="OLE_LINK4"/>
      <w:r>
        <w:rPr>
          <w:rFonts w:ascii="Arial" w:hAnsi="Arial" w:eastAsia="宋体" w:cs="Arial"/>
        </w:rPr>
        <w:t>具体信息见</w:t>
      </w:r>
      <w:r>
        <w:rPr>
          <w:rFonts w:ascii="Arial" w:hAnsi="Arial" w:eastAsia="宋体" w:cs="Arial"/>
          <w:color w:val="800080"/>
          <w:u w:val="single"/>
        </w:rPr>
        <w:t>第10节</w:t>
      </w:r>
      <w:r>
        <w:rPr>
          <w:rFonts w:ascii="Arial" w:hAnsi="Arial" w:eastAsia="宋体" w:cs="Arial"/>
        </w:rPr>
        <w:t>，在本指导性文件所含类型器械的标签中应包括这些信息。</w:t>
      </w:r>
      <w:bookmarkEnd w:id="6"/>
      <w:bookmarkEnd w:id="7"/>
      <w:bookmarkEnd w:id="8"/>
      <w:r>
        <w:rPr>
          <w:rFonts w:ascii="Arial" w:hAnsi="Arial" w:eastAsia="宋体" w:cs="Arial"/>
        </w:rPr>
        <w:t>）</w:t>
      </w:r>
    </w:p>
    <w:p w14:paraId="4FCD4B16">
      <w:pPr>
        <w:snapToGrid w:val="0"/>
        <w:spacing w:line="300" w:lineRule="auto"/>
        <w:rPr>
          <w:rFonts w:ascii="Arial" w:hAnsi="Arial" w:eastAsia="宋体" w:cs="Arial"/>
        </w:rPr>
      </w:pPr>
    </w:p>
    <w:p w14:paraId="66D73E13">
      <w:pPr>
        <w:snapToGrid w:val="0"/>
        <w:spacing w:line="300" w:lineRule="auto"/>
        <w:rPr>
          <w:rFonts w:ascii="Arial" w:hAnsi="Arial" w:eastAsia="宋体" w:cs="Arial"/>
          <w:b/>
        </w:rPr>
      </w:pPr>
      <w:r>
        <w:rPr>
          <w:rFonts w:ascii="Arial" w:hAnsi="Arial" w:eastAsia="宋体" w:cs="Arial"/>
          <w:b/>
        </w:rPr>
        <w:t>总结报告</w:t>
      </w:r>
    </w:p>
    <w:p w14:paraId="6E8B1668">
      <w:pPr>
        <w:snapToGrid w:val="0"/>
        <w:spacing w:line="300" w:lineRule="auto"/>
        <w:rPr>
          <w:rFonts w:ascii="Arial" w:hAnsi="Arial" w:eastAsia="宋体" w:cs="Arial"/>
        </w:rPr>
      </w:pPr>
    </w:p>
    <w:p w14:paraId="506027A7">
      <w:pPr>
        <w:snapToGrid w:val="0"/>
        <w:spacing w:line="300" w:lineRule="auto"/>
        <w:rPr>
          <w:rFonts w:ascii="Arial" w:hAnsi="Arial" w:eastAsia="宋体" w:cs="Arial"/>
        </w:rPr>
      </w:pPr>
      <w:r>
        <w:rPr>
          <w:rFonts w:ascii="Arial" w:hAnsi="Arial" w:eastAsia="宋体" w:cs="Arial"/>
        </w:rPr>
        <w:t>我们建议在总结报告中包含：</w:t>
      </w:r>
    </w:p>
    <w:p w14:paraId="3D1EC825">
      <w:pPr>
        <w:snapToGrid w:val="0"/>
        <w:spacing w:line="300" w:lineRule="auto"/>
        <w:rPr>
          <w:rFonts w:ascii="Arial" w:hAnsi="Arial" w:eastAsia="宋体" w:cs="Arial"/>
        </w:rPr>
      </w:pPr>
    </w:p>
    <w:p w14:paraId="55F44AE3">
      <w:pPr>
        <w:pStyle w:val="12"/>
        <w:numPr>
          <w:ilvl w:val="0"/>
          <w:numId w:val="1"/>
        </w:numPr>
        <w:snapToGrid w:val="0"/>
        <w:spacing w:line="300" w:lineRule="auto"/>
        <w:ind w:firstLineChars="0"/>
        <w:rPr>
          <w:rFonts w:ascii="Arial" w:hAnsi="Arial" w:eastAsia="宋体" w:cs="Arial"/>
        </w:rPr>
      </w:pPr>
      <w:r>
        <w:rPr>
          <w:rFonts w:ascii="Arial" w:hAnsi="Arial" w:eastAsia="宋体" w:cs="Arial"/>
        </w:rPr>
        <w:t>对该器械及其预期用途的描述。我们建议在描述中包含对性能参数的全面讨论，适当的时候还要包含该器械详细、有标识的图纸。具体信息见第6节，我们建议贵公司将这些信息包含 在本指南所含类型器械的描述中。贵公司还应提交一份“适应症”附件。</w:t>
      </w:r>
      <w:r>
        <w:rPr>
          <w:rFonts w:ascii="Arial" w:hAnsi="Arial" w:eastAsia="宋体" w:cs="Arial"/>
          <w:vertAlign w:val="superscript"/>
        </w:rPr>
        <w:t>2</w:t>
      </w:r>
    </w:p>
    <w:p w14:paraId="65B2BB93">
      <w:pPr>
        <w:pStyle w:val="12"/>
        <w:numPr>
          <w:ilvl w:val="0"/>
          <w:numId w:val="1"/>
        </w:numPr>
        <w:snapToGrid w:val="0"/>
        <w:spacing w:line="300" w:lineRule="auto"/>
        <w:ind w:firstLineChars="0"/>
        <w:rPr>
          <w:rFonts w:ascii="Arial" w:hAnsi="Arial" w:eastAsia="宋体" w:cs="Arial"/>
        </w:rPr>
      </w:pPr>
      <w:r>
        <w:rPr>
          <w:rFonts w:ascii="Arial" w:hAnsi="Arial" w:eastAsia="宋体" w:cs="Arial"/>
        </w:rPr>
        <w:t>对器械设计要求的描述</w:t>
      </w:r>
    </w:p>
    <w:p w14:paraId="2DB66CEB">
      <w:pPr>
        <w:pStyle w:val="12"/>
        <w:numPr>
          <w:ilvl w:val="0"/>
          <w:numId w:val="1"/>
        </w:numPr>
        <w:snapToGrid w:val="0"/>
        <w:spacing w:line="300" w:lineRule="auto"/>
        <w:ind w:firstLineChars="0"/>
        <w:rPr>
          <w:rFonts w:ascii="Arial" w:hAnsi="Arial" w:eastAsia="宋体" w:cs="Arial"/>
        </w:rPr>
      </w:pPr>
      <w:r>
        <w:rPr>
          <w:rFonts w:ascii="Arial" w:hAnsi="Arial" w:eastAsia="宋体" w:cs="Arial"/>
        </w:rPr>
        <w:t>对风险分析方法的识别。通常采用这些方法评定风险状况以及具定器械的设计和分析结果（关于经FDA确认通常与使用该器械有关的健康风险见第5节）。</w:t>
      </w:r>
    </w:p>
    <w:p w14:paraId="448B3BF8">
      <w:pPr>
        <w:pStyle w:val="12"/>
        <w:numPr>
          <w:ilvl w:val="0"/>
          <w:numId w:val="1"/>
        </w:numPr>
        <w:snapToGrid w:val="0"/>
        <w:spacing w:line="300" w:lineRule="auto"/>
        <w:ind w:firstLineChars="0"/>
        <w:rPr>
          <w:rFonts w:ascii="Arial" w:hAnsi="Arial" w:eastAsia="宋体" w:cs="Arial"/>
        </w:rPr>
      </w:pPr>
      <w:r>
        <w:rPr>
          <w:rFonts w:ascii="Arial" w:hAnsi="Arial" w:eastAsia="宋体" w:cs="Arial"/>
        </w:rPr>
        <w:t>对器械特征的讨论。利用这些特征可解决本指导性文件识别的风险问题以及在贵公司的风险分析中识别的任何其它风险问题。</w:t>
      </w:r>
    </w:p>
    <w:p w14:paraId="40694034">
      <w:pPr>
        <w:pStyle w:val="12"/>
        <w:numPr>
          <w:ilvl w:val="0"/>
          <w:numId w:val="1"/>
        </w:numPr>
        <w:snapToGrid w:val="0"/>
        <w:spacing w:line="300" w:lineRule="auto"/>
        <w:ind w:firstLineChars="0"/>
        <w:rPr>
          <w:rFonts w:ascii="Arial" w:hAnsi="Arial" w:eastAsia="宋体" w:cs="Arial"/>
          <w:vertAlign w:val="superscript"/>
        </w:rPr>
      </w:pPr>
      <w:r>
        <w:rPr>
          <w:rFonts w:ascii="Arial" w:hAnsi="Arial" w:eastAsia="宋体" w:cs="Arial"/>
        </w:rPr>
        <w:t>对检验方法的简要描述。贵公司已经使用或打算使用这些方法解决本指导性文件第7-9节识别的每个性能问题。如果贵公司遵照所建议的检验方法进行了检验，可引用该方法而不需对其进行描述。如果贵公司对所建议的检验方法做过更改，可引用该方法，但应提供足够信息对更改的性质和理由做出解释。对每种检验方法，贵公司可（1）以清晰、简洁的方式（如表格）简要呈现检验产生的数据或（2）描述将要用于自身检验结果的验收标准（亦见21 CFR 820.30第Ｃ子部分－适用于质量体系法规的设计控制）。</w:t>
      </w:r>
      <w:r>
        <w:rPr>
          <w:rFonts w:ascii="Arial" w:hAnsi="Arial" w:eastAsia="宋体" w:cs="Arial"/>
          <w:vertAlign w:val="superscript"/>
        </w:rPr>
        <w:t>3</w:t>
      </w:r>
    </w:p>
    <w:p w14:paraId="36F405C0">
      <w:pPr>
        <w:pStyle w:val="12"/>
        <w:numPr>
          <w:ilvl w:val="0"/>
          <w:numId w:val="1"/>
        </w:numPr>
        <w:snapToGrid w:val="0"/>
        <w:spacing w:line="300" w:lineRule="auto"/>
        <w:ind w:firstLineChars="0"/>
        <w:rPr>
          <w:rFonts w:ascii="Arial" w:hAnsi="Arial" w:eastAsia="宋体" w:cs="Arial"/>
        </w:rPr>
      </w:pPr>
      <w:r>
        <w:rPr>
          <w:rFonts w:ascii="Arial" w:hAnsi="Arial" w:eastAsia="宋体" w:cs="Arial"/>
        </w:rPr>
        <w:t>如果贵公司决定器械设计或检测的任何部分都依赖一个公认标准，贵公司可包含（１）产品上市前贵公司将进行检测且检测将满足规定验收标准的陈述，或（２）符合该标准的声明。</w:t>
      </w:r>
      <w:r>
        <w:rPr>
          <w:rFonts w:ascii="Arial" w:hAnsi="Arial" w:eastAsia="宋体" w:cs="Arial"/>
          <w:vertAlign w:val="superscript"/>
        </w:rPr>
        <w:t>４</w:t>
      </w:r>
      <w:r>
        <w:rPr>
          <w:rFonts w:ascii="Arial" w:hAnsi="Arial" w:eastAsia="宋体" w:cs="Arial"/>
        </w:rPr>
        <w:t>由于符合声明建立在检测结果的基础之上，我们认为贵公司在完成该标准描述的检测之前无法正确提交符合声明。若欲了解更多信息，请参考上述法案的第514(c)(1)(B)部分和FDA指南“标准在实质等同认定过程中的应用；行业和FDA用最终指南”。</w:t>
      </w:r>
    </w:p>
    <w:p w14:paraId="0B454873">
      <w:pPr>
        <w:snapToGrid w:val="0"/>
        <w:spacing w:line="300" w:lineRule="auto"/>
        <w:rPr>
          <w:rFonts w:ascii="Arial" w:hAnsi="Arial" w:eastAsia="宋体" w:cs="Arial"/>
        </w:rPr>
      </w:pPr>
    </w:p>
    <w:p w14:paraId="4E500DDD">
      <w:pPr>
        <w:snapToGrid w:val="0"/>
        <w:spacing w:line="300" w:lineRule="auto"/>
        <w:rPr>
          <w:rFonts w:ascii="Arial" w:hAnsi="Arial" w:eastAsia="宋体" w:cs="Arial"/>
        </w:rPr>
      </w:pPr>
      <w:r>
        <w:rPr>
          <w:rFonts w:ascii="Arial" w:hAnsi="Arial" w:eastAsia="宋体" w:cs="Arial"/>
        </w:rPr>
        <w:t>对于FDA识别的风险或贵公司在风险分析过程中识别的风险，如果贵公司不清楚是如何处理的，我们可以要求贵公司提供关于器械性能特征各方面的其它信息。如果需要其它信息用来评估贵公司所用验收标准是否合适，我们亦会要求贵公司予以提供（根据21 CFR 807.87(l)的规定，我们可以要求贵公司提供做出实质等同认定所必需的任何其它信息）。</w:t>
      </w:r>
    </w:p>
    <w:p w14:paraId="7FDD20D5">
      <w:pPr>
        <w:snapToGrid w:val="0"/>
        <w:spacing w:line="300" w:lineRule="auto"/>
        <w:rPr>
          <w:rFonts w:ascii="Arial" w:hAnsi="Arial" w:eastAsia="宋体" w:cs="Arial"/>
        </w:rPr>
      </w:pPr>
    </w:p>
    <w:p w14:paraId="018B4825">
      <w:pPr>
        <w:snapToGrid w:val="0"/>
        <w:spacing w:line="300" w:lineRule="auto"/>
        <w:rPr>
          <w:rFonts w:ascii="Arial" w:hAnsi="Arial" w:eastAsia="宋体" w:cs="Arial"/>
        </w:rPr>
      </w:pPr>
      <w:r>
        <w:rPr>
          <w:rFonts w:ascii="Arial" w:hAnsi="Arial" w:eastAsia="宋体" w:cs="Arial"/>
        </w:rPr>
        <w:t>作为提交简化510（k）提交的替代方法，贵公司可提交</w:t>
      </w:r>
      <w:bookmarkStart w:id="9" w:name="OLE_LINK14"/>
      <w:bookmarkStart w:id="10" w:name="OLE_LINK13"/>
      <w:r>
        <w:rPr>
          <w:rFonts w:ascii="Arial" w:hAnsi="Arial" w:eastAsia="宋体" w:cs="Arial"/>
        </w:rPr>
        <w:t>传统510（</w:t>
      </w:r>
      <w:bookmarkEnd w:id="9"/>
      <w:bookmarkEnd w:id="10"/>
      <w:r>
        <w:rPr>
          <w:rFonts w:ascii="Arial" w:hAnsi="Arial" w:eastAsia="宋体" w:cs="Arial"/>
        </w:rPr>
        <w:t>k）提交。该传统510（k）文件可提供21 CFR 807.87规定要求的和在本指南中描述的信息与数据。传统510（k）提交中应包含贵公司的方法、数据、验收标准和结论。考虑对获得许可器械进行更改的制造商应考虑提交特殊510（k）提交。</w:t>
      </w:r>
    </w:p>
    <w:p w14:paraId="471A4538">
      <w:pPr>
        <w:snapToGrid w:val="0"/>
        <w:spacing w:line="300" w:lineRule="auto"/>
        <w:rPr>
          <w:rFonts w:ascii="Arial" w:hAnsi="Arial" w:eastAsia="宋体" w:cs="Arial"/>
        </w:rPr>
      </w:pPr>
    </w:p>
    <w:p w14:paraId="42A04FF5">
      <w:pPr>
        <w:snapToGrid w:val="0"/>
        <w:spacing w:line="300" w:lineRule="auto"/>
        <w:rPr>
          <w:rFonts w:ascii="Arial" w:hAnsi="Arial" w:eastAsia="宋体" w:cs="Arial"/>
        </w:rPr>
      </w:pPr>
      <w:r>
        <w:rPr>
          <w:rFonts w:ascii="Arial" w:hAnsi="Arial" w:eastAsia="宋体" w:cs="Arial"/>
        </w:rPr>
        <w:t>上述一般讨论适用于应遵照特殊控制指导性文件的任何器械。下面将专门讨论贵公司在提交HAV血清检测510（k）提交时应如何使用该特殊控制指导性文件。</w:t>
      </w:r>
    </w:p>
    <w:p w14:paraId="06146266">
      <w:pPr>
        <w:snapToGrid w:val="0"/>
        <w:spacing w:line="300" w:lineRule="auto"/>
        <w:rPr>
          <w:rFonts w:ascii="Arial" w:hAnsi="Arial" w:eastAsia="宋体" w:cs="Arial"/>
        </w:rPr>
      </w:pPr>
    </w:p>
    <w:p w14:paraId="16D55958">
      <w:pPr>
        <w:snapToGrid w:val="0"/>
        <w:spacing w:line="300" w:lineRule="auto"/>
        <w:rPr>
          <w:rFonts w:ascii="Arial" w:hAnsi="Arial" w:eastAsia="宋体" w:cs="Arial"/>
          <w:b/>
        </w:rPr>
      </w:pPr>
      <w:r>
        <w:rPr>
          <w:rFonts w:ascii="Arial" w:hAnsi="Arial" w:eastAsia="宋体" w:cs="Arial"/>
          <w:b/>
        </w:rPr>
        <w:t>4. 适用范围</w:t>
      </w:r>
    </w:p>
    <w:p w14:paraId="4A8B9547">
      <w:pPr>
        <w:snapToGrid w:val="0"/>
        <w:spacing w:line="300" w:lineRule="auto"/>
        <w:rPr>
          <w:rFonts w:ascii="Arial" w:hAnsi="Arial" w:eastAsia="宋体" w:cs="Arial"/>
        </w:rPr>
      </w:pPr>
    </w:p>
    <w:p w14:paraId="1BA7362E">
      <w:pPr>
        <w:snapToGrid w:val="0"/>
        <w:spacing w:line="300" w:lineRule="auto"/>
        <w:rPr>
          <w:rFonts w:ascii="Arial" w:hAnsi="Arial" w:eastAsia="宋体" w:cs="Arial"/>
        </w:rPr>
      </w:pPr>
      <w:r>
        <w:rPr>
          <w:rFonts w:ascii="Arial" w:hAnsi="Arial" w:eastAsia="宋体" w:cs="Arial"/>
        </w:rPr>
        <w:t>本文件的适用范围限于HAV血清检测[用于检测IgM、Ig G或总抗体</w:t>
      </w:r>
      <w:bookmarkStart w:id="11" w:name="OLE_LINK16"/>
      <w:bookmarkStart w:id="12" w:name="OLE_LINK15"/>
      <w:r>
        <w:rPr>
          <w:rFonts w:ascii="Arial" w:hAnsi="Arial" w:eastAsia="宋体" w:cs="Arial"/>
        </w:rPr>
        <w:t>（IgM和Ig G）</w:t>
      </w:r>
      <w:bookmarkEnd w:id="11"/>
      <w:bookmarkEnd w:id="12"/>
      <w:r>
        <w:rPr>
          <w:rFonts w:ascii="Arial" w:hAnsi="Arial" w:eastAsia="宋体" w:cs="Arial"/>
        </w:rPr>
        <w:t>（产品代码：LOL）]：</w:t>
      </w:r>
    </w:p>
    <w:p w14:paraId="33B5F0EC">
      <w:pPr>
        <w:snapToGrid w:val="0"/>
        <w:spacing w:line="300" w:lineRule="auto"/>
        <w:rPr>
          <w:rFonts w:ascii="Arial" w:hAnsi="Arial" w:eastAsia="宋体" w:cs="Arial"/>
        </w:rPr>
      </w:pPr>
    </w:p>
    <w:p w14:paraId="77C4F662">
      <w:pPr>
        <w:snapToGrid w:val="0"/>
        <w:spacing w:line="300" w:lineRule="auto"/>
        <w:rPr>
          <w:rFonts w:ascii="Arial" w:hAnsi="Arial" w:eastAsia="宋体" w:cs="Arial"/>
        </w:rPr>
      </w:pPr>
      <w:r>
        <w:rPr>
          <w:rFonts w:ascii="Arial" w:hAnsi="Arial" w:eastAsia="宋体" w:cs="Arial"/>
        </w:rPr>
        <w:t>FDA已在伴随规则中识别了这些器械，并根据21 CFR 866.3310的规定对其进行了分类。详情如下：</w:t>
      </w:r>
    </w:p>
    <w:p w14:paraId="6D6FC300">
      <w:pPr>
        <w:snapToGrid w:val="0"/>
        <w:spacing w:line="300" w:lineRule="auto"/>
        <w:rPr>
          <w:rFonts w:ascii="Arial" w:hAnsi="Arial" w:eastAsia="宋体" w:cs="Arial"/>
        </w:rPr>
      </w:pPr>
    </w:p>
    <w:p w14:paraId="27860C28">
      <w:pPr>
        <w:widowControl/>
        <w:jc w:val="left"/>
        <w:rPr>
          <w:rFonts w:ascii="Arial" w:hAnsi="Arial" w:eastAsia="宋体" w:cs="Arial"/>
        </w:rPr>
      </w:pPr>
      <w:r>
        <w:rPr>
          <w:rFonts w:ascii="Arial" w:hAnsi="Arial" w:eastAsia="宋体" w:cs="Arial"/>
        </w:rPr>
        <w:br w:type="page"/>
      </w:r>
    </w:p>
    <w:p w14:paraId="3F29756A">
      <w:pPr>
        <w:snapToGrid w:val="0"/>
        <w:spacing w:line="300" w:lineRule="auto"/>
        <w:rPr>
          <w:rFonts w:ascii="Arial" w:hAnsi="Arial" w:eastAsia="宋体" w:cs="Arial"/>
        </w:rPr>
      </w:pPr>
      <w:r>
        <w:rPr>
          <w:rFonts w:ascii="Arial" w:hAnsi="Arial" w:eastAsia="宋体" w:cs="Arial"/>
        </w:rPr>
        <w:t>HAV血清检测是包含抗原和抗血清并用于检测人血清或血浆中甲型肝炎特异性IgM、Ig G或总抗体（IgM和Ig G）的器械。</w:t>
      </w:r>
    </w:p>
    <w:p w14:paraId="4EF5BDE9">
      <w:pPr>
        <w:snapToGrid w:val="0"/>
        <w:spacing w:line="300" w:lineRule="auto"/>
        <w:rPr>
          <w:rFonts w:ascii="Arial" w:hAnsi="Arial" w:eastAsia="宋体" w:cs="Arial"/>
        </w:rPr>
      </w:pPr>
    </w:p>
    <w:p w14:paraId="32D4CA9D">
      <w:pPr>
        <w:snapToGrid w:val="0"/>
        <w:spacing w:line="300" w:lineRule="auto"/>
        <w:rPr>
          <w:rFonts w:ascii="Arial" w:hAnsi="Arial" w:eastAsia="宋体" w:cs="Arial"/>
        </w:rPr>
      </w:pPr>
      <w:r>
        <w:rPr>
          <w:rFonts w:ascii="Arial" w:hAnsi="Arial" w:eastAsia="宋体" w:cs="Arial"/>
        </w:rPr>
        <w:t>采用这些器械对采自有急性肝炎症状和体征个体的试样进行检验，确定其是否已感染HAV或将其作为识别HAV易感个体的辅助手段。对这些抗体进行检测并结合其它临床实验室检测结果有助于急性或既往HAV感染的临床实验室诊断。对血液、实质组织或软组织供体的筛检不是这些器械的预期用途。</w:t>
      </w:r>
    </w:p>
    <w:p w14:paraId="65F5D3D3">
      <w:pPr>
        <w:snapToGrid w:val="0"/>
        <w:spacing w:line="300" w:lineRule="auto"/>
        <w:rPr>
          <w:rFonts w:ascii="Arial" w:hAnsi="Arial" w:eastAsia="宋体" w:cs="Arial"/>
        </w:rPr>
      </w:pPr>
    </w:p>
    <w:p w14:paraId="24D94AE1">
      <w:pPr>
        <w:snapToGrid w:val="0"/>
        <w:spacing w:line="300" w:lineRule="auto"/>
        <w:rPr>
          <w:rFonts w:ascii="Arial" w:hAnsi="Arial" w:eastAsia="宋体" w:cs="Arial"/>
          <w:b/>
        </w:rPr>
      </w:pPr>
      <w:r>
        <w:rPr>
          <w:rFonts w:ascii="Arial" w:hAnsi="Arial" w:eastAsia="宋体" w:cs="Arial"/>
          <w:b/>
        </w:rPr>
        <w:t>5. 健康风险</w:t>
      </w:r>
    </w:p>
    <w:p w14:paraId="0FD2AA5B">
      <w:pPr>
        <w:snapToGrid w:val="0"/>
        <w:spacing w:line="300" w:lineRule="auto"/>
        <w:rPr>
          <w:rFonts w:ascii="Arial" w:hAnsi="Arial" w:eastAsia="宋体" w:cs="Arial"/>
        </w:rPr>
      </w:pPr>
    </w:p>
    <w:p w14:paraId="29D74923">
      <w:pPr>
        <w:snapToGrid w:val="0"/>
        <w:spacing w:line="300" w:lineRule="auto"/>
        <w:rPr>
          <w:rFonts w:ascii="Arial" w:hAnsi="Arial" w:eastAsia="宋体" w:cs="Arial"/>
        </w:rPr>
      </w:pPr>
      <w:r>
        <w:rPr>
          <w:rFonts w:ascii="Arial" w:hAnsi="Arial" w:eastAsia="宋体" w:cs="Arial"/>
        </w:rPr>
        <w:t>对个体健康不存在已知与该器械有关的直接风险。然而，按适应症进行检测时HAV血清检测出现故障或对结果解释错误可导致患者管理不当。根据临床特点无法区分HAV感染和其它肝炎致病因子所致感染。这些致病因子常见的有乙型肝炎病毒（HBV）和丙型肝炎病毒（HCV）。采用HAV血清检测可帮助做出上述区分。因此，虚假的检验结果可促成患者管理不当，包括误诊。</w:t>
      </w:r>
    </w:p>
    <w:p w14:paraId="61036BA6">
      <w:pPr>
        <w:snapToGrid w:val="0"/>
        <w:spacing w:line="300" w:lineRule="auto"/>
        <w:rPr>
          <w:rFonts w:ascii="Arial" w:hAnsi="Arial" w:eastAsia="宋体" w:cs="Arial"/>
        </w:rPr>
      </w:pPr>
    </w:p>
    <w:p w14:paraId="3387755D">
      <w:pPr>
        <w:snapToGrid w:val="0"/>
        <w:spacing w:line="300" w:lineRule="auto"/>
        <w:rPr>
          <w:rFonts w:ascii="Arial" w:hAnsi="Arial" w:eastAsia="宋体" w:cs="Arial"/>
        </w:rPr>
      </w:pPr>
      <w:r>
        <w:rPr>
          <w:rFonts w:ascii="Arial" w:hAnsi="Arial" w:eastAsia="宋体" w:cs="Arial"/>
        </w:rPr>
        <w:t>未检测到HAV特异性IgM的假阴性测定结果可导致漏诊急性HAV感染。HAV血清学检测的假阴性结果可将存在既往肝病的感染个体置于不能接受适当治疗的危险境地。此类假阴性检验结果还可导致严重的公共卫生不良后果。这是因为感染HAV的个体（如食品处理人员）如果出现假阴性结果，就不可能接受如何防止将HAV传染给其他人的适当咨询。研究还显示，存在既往肝病（如HCV感染）个体的HAV感染与爆发性肝炎发病率升高和死亡率存在关联[参考文献1-3]。如果在感染后2周内给予HAV特异性超免疫球蛋白进行预防，可能有助于预防或改善疾病的临床表现，但在HAV感染的急性期通常没有帮助[参考文献4]。在健康个体中，HAV感染通常具有自限性，不会产生严重后果，不会发展成为慢性或迁延性肝炎[参考文献5]。</w:t>
      </w:r>
    </w:p>
    <w:p w14:paraId="6764CB79">
      <w:pPr>
        <w:snapToGrid w:val="0"/>
        <w:spacing w:line="300" w:lineRule="auto"/>
        <w:rPr>
          <w:rFonts w:ascii="Arial" w:hAnsi="Arial" w:eastAsia="宋体" w:cs="Arial"/>
        </w:rPr>
      </w:pPr>
    </w:p>
    <w:p w14:paraId="2E36060B">
      <w:pPr>
        <w:snapToGrid w:val="0"/>
        <w:spacing w:line="300" w:lineRule="auto"/>
        <w:rPr>
          <w:rFonts w:ascii="Arial" w:hAnsi="Arial" w:eastAsia="宋体" w:cs="Arial"/>
        </w:rPr>
      </w:pPr>
      <w:r>
        <w:rPr>
          <w:rFonts w:ascii="Arial" w:hAnsi="Arial" w:eastAsia="宋体" w:cs="Arial"/>
        </w:rPr>
        <w:t>另外，未能检测到HAV特异性总抗体或Ig G抗体可导致漏诊既往感染并导致个体错误接受HAV疫苗接种。然而这样造成的风险极小，因为对HAV有免疫力的个体接受HAB疫苗接种后没有禁忌征。</w:t>
      </w:r>
    </w:p>
    <w:p w14:paraId="4682528B">
      <w:pPr>
        <w:snapToGrid w:val="0"/>
        <w:spacing w:line="300" w:lineRule="auto"/>
        <w:rPr>
          <w:rFonts w:ascii="Arial" w:hAnsi="Arial" w:eastAsia="宋体" w:cs="Arial"/>
        </w:rPr>
      </w:pPr>
    </w:p>
    <w:p w14:paraId="5B3147D1">
      <w:pPr>
        <w:snapToGrid w:val="0"/>
        <w:spacing w:line="300" w:lineRule="auto"/>
        <w:rPr>
          <w:rFonts w:ascii="Arial" w:hAnsi="Arial" w:eastAsia="宋体" w:cs="Arial"/>
        </w:rPr>
      </w:pPr>
      <w:r>
        <w:rPr>
          <w:rFonts w:ascii="Arial" w:hAnsi="Arial" w:eastAsia="宋体" w:cs="Arial"/>
        </w:rPr>
        <w:t>假阳性测定结果可导致误诊活动性或既往HAV感染。如果错误检测到HAV特异性总抗体，个体可能就不会接受HAV疫苗接种并继续处于HAV感染的危险状态。甲型肝炎病毒感染是一个公共卫生问题，是需向疾病预防控制中心报告的疾病。要求州卫生实验室判定HAV感染报告病例是真感染还是假感染。假阳性抗-HAV IgM结果会给州卫生部资源增加过重负担[参考文献6]。</w:t>
      </w:r>
    </w:p>
    <w:p w14:paraId="39568CAB">
      <w:pPr>
        <w:snapToGrid w:val="0"/>
        <w:spacing w:line="300" w:lineRule="auto"/>
        <w:rPr>
          <w:rFonts w:ascii="Arial" w:hAnsi="Arial" w:eastAsia="宋体" w:cs="Arial"/>
        </w:rPr>
      </w:pPr>
    </w:p>
    <w:p w14:paraId="14E7C424">
      <w:pPr>
        <w:snapToGrid w:val="0"/>
        <w:spacing w:line="300" w:lineRule="auto"/>
        <w:rPr>
          <w:rFonts w:ascii="Arial" w:hAnsi="Arial" w:eastAsia="宋体" w:cs="Arial"/>
        </w:rPr>
      </w:pPr>
      <w:r>
        <w:rPr>
          <w:rFonts w:ascii="Arial" w:hAnsi="Arial" w:eastAsia="宋体" w:cs="Arial"/>
        </w:rPr>
        <w:t>FDA在下表中识别了通常与使用本文件所涉HAV特异性抗体检测器械有关的健康风险。如下表所示，为减轻该确认风险，本指导性文件给出了建议采取的措施。我们建议贵公司在提交上市前通告前做一次风险分析，识别贵公司器械特有的任何其它风险。在上市前通告中应对风险分析方法加以描述。如果贵公司选择采用替代方法处理本文件确认的风险或确认了这些风险的附加风险，应提供足够细节支持你处理风险所采用的方法。</w:t>
      </w:r>
    </w:p>
    <w:p w14:paraId="0825E20A">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4F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0B657E">
            <w:pPr>
              <w:snapToGrid w:val="0"/>
              <w:spacing w:line="300" w:lineRule="auto"/>
              <w:rPr>
                <w:rFonts w:ascii="Arial" w:hAnsi="Arial" w:eastAsia="宋体" w:cs="Arial"/>
              </w:rPr>
            </w:pPr>
            <w:r>
              <w:rPr>
                <w:rFonts w:ascii="Arial" w:hAnsi="Arial" w:eastAsia="宋体" w:cs="Arial"/>
              </w:rPr>
              <w:t>确认风险</w:t>
            </w:r>
          </w:p>
        </w:tc>
        <w:tc>
          <w:tcPr>
            <w:tcW w:w="4261" w:type="dxa"/>
          </w:tcPr>
          <w:p w14:paraId="27100A82">
            <w:pPr>
              <w:snapToGrid w:val="0"/>
              <w:spacing w:line="300" w:lineRule="auto"/>
              <w:rPr>
                <w:rFonts w:ascii="Arial" w:hAnsi="Arial" w:eastAsia="宋体" w:cs="Arial"/>
              </w:rPr>
            </w:pPr>
            <w:r>
              <w:rPr>
                <w:rFonts w:ascii="Arial" w:hAnsi="Arial" w:eastAsia="宋体" w:cs="Arial"/>
              </w:rPr>
              <w:t>建议采取的</w:t>
            </w:r>
            <w:r>
              <w:rPr>
                <w:rFonts w:hint="eastAsia" w:ascii="Arial" w:hAnsi="Arial" w:eastAsia="宋体" w:cs="Arial"/>
              </w:rPr>
              <w:t>缓解</w:t>
            </w:r>
            <w:r>
              <w:rPr>
                <w:rFonts w:ascii="Arial" w:hAnsi="Arial" w:eastAsia="宋体" w:cs="Arial"/>
              </w:rPr>
              <w:t>措施</w:t>
            </w:r>
          </w:p>
        </w:tc>
      </w:tr>
      <w:tr w14:paraId="7F2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22DE18">
            <w:pPr>
              <w:snapToGrid w:val="0"/>
              <w:spacing w:line="300" w:lineRule="auto"/>
              <w:rPr>
                <w:rFonts w:ascii="Arial" w:hAnsi="Arial" w:eastAsia="宋体" w:cs="Arial"/>
              </w:rPr>
            </w:pPr>
            <w:r>
              <w:rPr>
                <w:rFonts w:ascii="Arial" w:hAnsi="Arial" w:eastAsia="宋体" w:cs="Arial"/>
              </w:rPr>
              <w:t>患者管理不当</w:t>
            </w:r>
          </w:p>
        </w:tc>
        <w:tc>
          <w:tcPr>
            <w:tcW w:w="4261" w:type="dxa"/>
          </w:tcPr>
          <w:p w14:paraId="4AAAF178">
            <w:pPr>
              <w:snapToGrid w:val="0"/>
              <w:spacing w:line="300" w:lineRule="auto"/>
              <w:rPr>
                <w:rFonts w:ascii="Arial" w:hAnsi="Arial" w:eastAsia="宋体" w:cs="Arial"/>
              </w:rPr>
            </w:pPr>
            <w:r>
              <w:rPr>
                <w:rFonts w:ascii="Arial" w:hAnsi="Arial" w:eastAsia="宋体" w:cs="Arial"/>
              </w:rPr>
              <w:t>第7-10节</w:t>
            </w:r>
          </w:p>
        </w:tc>
      </w:tr>
    </w:tbl>
    <w:p w14:paraId="63AE5ED5">
      <w:pPr>
        <w:snapToGrid w:val="0"/>
        <w:spacing w:line="300" w:lineRule="auto"/>
        <w:rPr>
          <w:rFonts w:ascii="Arial" w:hAnsi="Arial" w:eastAsia="宋体" w:cs="Arial"/>
        </w:rPr>
      </w:pPr>
    </w:p>
    <w:p w14:paraId="317C2482">
      <w:pPr>
        <w:snapToGrid w:val="0"/>
        <w:spacing w:line="300" w:lineRule="auto"/>
        <w:rPr>
          <w:rFonts w:ascii="Arial" w:hAnsi="Arial" w:eastAsia="宋体" w:cs="Arial"/>
          <w:b/>
        </w:rPr>
      </w:pPr>
      <w:r>
        <w:rPr>
          <w:rFonts w:ascii="Arial" w:hAnsi="Arial" w:eastAsia="宋体" w:cs="Arial"/>
          <w:b/>
        </w:rPr>
        <w:t>6. 器械描述</w:t>
      </w:r>
    </w:p>
    <w:p w14:paraId="74F00425">
      <w:pPr>
        <w:snapToGrid w:val="0"/>
        <w:spacing w:line="300" w:lineRule="auto"/>
        <w:rPr>
          <w:rFonts w:ascii="Arial" w:hAnsi="Arial" w:eastAsia="宋体" w:cs="Arial"/>
        </w:rPr>
      </w:pPr>
    </w:p>
    <w:p w14:paraId="795C781B">
      <w:pPr>
        <w:snapToGrid w:val="0"/>
        <w:spacing w:line="300" w:lineRule="auto"/>
        <w:rPr>
          <w:rFonts w:ascii="Arial" w:hAnsi="Arial" w:eastAsia="宋体" w:cs="Arial"/>
        </w:rPr>
      </w:pPr>
      <w:r>
        <w:rPr>
          <w:rFonts w:ascii="Arial" w:hAnsi="Arial" w:eastAsia="宋体" w:cs="Arial"/>
        </w:rPr>
        <w:t>我们建议贵公司在器械描述中包含下列内容：</w:t>
      </w:r>
    </w:p>
    <w:p w14:paraId="16BDC414">
      <w:pPr>
        <w:snapToGrid w:val="0"/>
        <w:spacing w:line="300" w:lineRule="auto"/>
        <w:rPr>
          <w:rFonts w:ascii="Arial" w:hAnsi="Arial" w:eastAsia="宋体" w:cs="Arial"/>
        </w:rPr>
      </w:pPr>
    </w:p>
    <w:p w14:paraId="2A94E99A">
      <w:pPr>
        <w:pStyle w:val="12"/>
        <w:numPr>
          <w:ilvl w:val="0"/>
          <w:numId w:val="2"/>
        </w:numPr>
        <w:snapToGrid w:val="0"/>
        <w:spacing w:line="300" w:lineRule="auto"/>
        <w:ind w:firstLineChars="0"/>
        <w:rPr>
          <w:rFonts w:ascii="Arial" w:hAnsi="Arial" w:eastAsia="宋体" w:cs="Arial"/>
        </w:rPr>
      </w:pPr>
      <w:r>
        <w:rPr>
          <w:rFonts w:ascii="Arial" w:hAnsi="Arial" w:eastAsia="宋体" w:cs="Arial"/>
        </w:rPr>
        <w:t>方法描述。贵公司的器械采用该方法检测HAV特异性IgM、IgG或总抗体（如酶免疫测定法）。</w:t>
      </w:r>
    </w:p>
    <w:p w14:paraId="20888253">
      <w:pPr>
        <w:pStyle w:val="12"/>
        <w:numPr>
          <w:ilvl w:val="0"/>
          <w:numId w:val="2"/>
        </w:numPr>
        <w:snapToGrid w:val="0"/>
        <w:spacing w:line="300" w:lineRule="auto"/>
        <w:ind w:firstLineChars="0"/>
        <w:rPr>
          <w:rFonts w:ascii="Arial" w:hAnsi="Arial" w:eastAsia="宋体" w:cs="Arial"/>
        </w:rPr>
      </w:pPr>
      <w:r>
        <w:rPr>
          <w:rFonts w:ascii="Arial" w:hAnsi="Arial" w:eastAsia="宋体" w:cs="Arial"/>
        </w:rPr>
        <w:t>对试剂盒中试剂成分的描述。</w:t>
      </w:r>
    </w:p>
    <w:p w14:paraId="59CF3241">
      <w:pPr>
        <w:pStyle w:val="12"/>
        <w:numPr>
          <w:ilvl w:val="0"/>
          <w:numId w:val="2"/>
        </w:numPr>
        <w:snapToGrid w:val="0"/>
        <w:spacing w:line="300" w:lineRule="auto"/>
        <w:ind w:firstLineChars="0"/>
        <w:rPr>
          <w:rFonts w:ascii="Arial" w:hAnsi="Arial" w:eastAsia="宋体" w:cs="Arial"/>
        </w:rPr>
      </w:pPr>
      <w:r>
        <w:rPr>
          <w:rFonts w:ascii="Arial" w:hAnsi="Arial" w:eastAsia="宋体" w:cs="Arial"/>
        </w:rPr>
        <w:t>被检测或被测定抗体的信息。</w:t>
      </w:r>
    </w:p>
    <w:p w14:paraId="3BB460A0">
      <w:pPr>
        <w:pStyle w:val="12"/>
        <w:numPr>
          <w:ilvl w:val="0"/>
          <w:numId w:val="2"/>
        </w:numPr>
        <w:snapToGrid w:val="0"/>
        <w:spacing w:line="300" w:lineRule="auto"/>
        <w:ind w:firstLineChars="0"/>
        <w:rPr>
          <w:rFonts w:ascii="Arial" w:hAnsi="Arial" w:eastAsia="宋体" w:cs="Arial"/>
        </w:rPr>
      </w:pPr>
      <w:r>
        <w:rPr>
          <w:rFonts w:ascii="Arial" w:hAnsi="Arial" w:eastAsia="宋体" w:cs="Arial"/>
        </w:rPr>
        <w:t>对测定所用具体控制措施或校准品的明确说明。</w:t>
      </w:r>
    </w:p>
    <w:p w14:paraId="5FD92001">
      <w:pPr>
        <w:pStyle w:val="12"/>
        <w:numPr>
          <w:ilvl w:val="0"/>
          <w:numId w:val="2"/>
        </w:numPr>
        <w:snapToGrid w:val="0"/>
        <w:spacing w:line="300" w:lineRule="auto"/>
        <w:ind w:firstLineChars="0"/>
        <w:rPr>
          <w:rFonts w:ascii="Arial" w:hAnsi="Arial" w:eastAsia="宋体" w:cs="Arial"/>
        </w:rPr>
      </w:pPr>
      <w:r>
        <w:rPr>
          <w:rFonts w:ascii="Arial" w:hAnsi="Arial" w:eastAsia="宋体" w:cs="Arial"/>
        </w:rPr>
        <w:t>对质控材料主要目的的描述。</w:t>
      </w:r>
    </w:p>
    <w:p w14:paraId="513AFD25">
      <w:pPr>
        <w:snapToGrid w:val="0"/>
        <w:spacing w:line="300" w:lineRule="auto"/>
        <w:rPr>
          <w:rFonts w:ascii="Arial" w:hAnsi="Arial" w:eastAsia="宋体" w:cs="Arial"/>
        </w:rPr>
      </w:pPr>
    </w:p>
    <w:p w14:paraId="153A3794">
      <w:pPr>
        <w:snapToGrid w:val="0"/>
        <w:spacing w:line="300" w:lineRule="auto"/>
        <w:rPr>
          <w:rFonts w:ascii="Arial" w:hAnsi="Arial" w:eastAsia="宋体" w:cs="Arial"/>
        </w:rPr>
      </w:pPr>
      <w:r>
        <w:rPr>
          <w:rFonts w:ascii="Arial" w:hAnsi="Arial" w:eastAsia="宋体" w:cs="Arial"/>
        </w:rPr>
        <w:t>对试剂成分的描述中，贵公司应提供抗原来源并对其有何特征做出说明。如果采用重组抗原，贵公司应提供抗原上存在的特异性HAV抗原决定簇和抗原特征的具体信息。对于单克隆抗体，贵公司应给出该测定所检测的HAV抗原决定簇的具体信息并适当提供抗体特征描述。</w:t>
      </w:r>
    </w:p>
    <w:p w14:paraId="781EEFA2">
      <w:pPr>
        <w:snapToGrid w:val="0"/>
        <w:spacing w:line="300" w:lineRule="auto"/>
        <w:rPr>
          <w:rFonts w:ascii="Arial" w:hAnsi="Arial" w:eastAsia="宋体" w:cs="Arial"/>
        </w:rPr>
      </w:pPr>
    </w:p>
    <w:p w14:paraId="04E02632">
      <w:pPr>
        <w:snapToGrid w:val="0"/>
        <w:spacing w:line="300" w:lineRule="auto"/>
        <w:rPr>
          <w:rFonts w:ascii="Arial" w:hAnsi="Arial" w:eastAsia="宋体" w:cs="Arial"/>
          <w:b/>
        </w:rPr>
      </w:pPr>
      <w:r>
        <w:rPr>
          <w:rFonts w:ascii="Arial" w:hAnsi="Arial" w:eastAsia="宋体" w:cs="Arial"/>
          <w:b/>
        </w:rPr>
        <w:t>7. 性能特征</w:t>
      </w:r>
    </w:p>
    <w:p w14:paraId="1313A1E7">
      <w:pPr>
        <w:snapToGrid w:val="0"/>
        <w:spacing w:line="300" w:lineRule="auto"/>
        <w:rPr>
          <w:rFonts w:ascii="Arial" w:hAnsi="Arial" w:eastAsia="宋体" w:cs="Arial"/>
        </w:rPr>
      </w:pPr>
    </w:p>
    <w:p w14:paraId="59AA9356">
      <w:pPr>
        <w:snapToGrid w:val="0"/>
        <w:spacing w:line="300" w:lineRule="auto"/>
        <w:rPr>
          <w:rFonts w:ascii="Arial" w:hAnsi="Arial" w:eastAsia="宋体" w:cs="Arial"/>
          <w:b/>
        </w:rPr>
      </w:pPr>
      <w:r>
        <w:rPr>
          <w:rFonts w:ascii="Arial" w:hAnsi="Arial" w:eastAsia="宋体" w:cs="Arial"/>
          <w:b/>
        </w:rPr>
        <w:t>通用研究建议</w:t>
      </w:r>
    </w:p>
    <w:p w14:paraId="1F160AA2">
      <w:pPr>
        <w:snapToGrid w:val="0"/>
        <w:spacing w:line="300" w:lineRule="auto"/>
        <w:rPr>
          <w:rFonts w:ascii="Arial" w:hAnsi="Arial" w:eastAsia="宋体" w:cs="Arial"/>
        </w:rPr>
      </w:pPr>
    </w:p>
    <w:p w14:paraId="41DE89E3">
      <w:pPr>
        <w:snapToGrid w:val="0"/>
        <w:spacing w:line="300" w:lineRule="auto"/>
        <w:rPr>
          <w:rFonts w:ascii="Arial" w:hAnsi="Arial" w:eastAsia="宋体" w:cs="Arial"/>
        </w:rPr>
      </w:pPr>
      <w:r>
        <w:rPr>
          <w:rFonts w:ascii="Arial" w:hAnsi="Arial" w:eastAsia="宋体" w:cs="Arial"/>
        </w:rPr>
        <w:t>我们建议贵公司选择已接种过HAV疫苗的个体并采集其试样进行检测。贵公司应对基线试样（接种疫苗前）和接种后试样进行评价。试样采集时间应不早于接种疫苗后4周。研究对象的年龄应在2岁和2岁以上。</w:t>
      </w:r>
      <w:r>
        <w:rPr>
          <w:rFonts w:ascii="Arial" w:hAnsi="Arial" w:eastAsia="宋体" w:cs="Arial"/>
          <w:vertAlign w:val="superscript"/>
        </w:rPr>
        <w:t>5</w:t>
      </w:r>
      <w:r>
        <w:rPr>
          <w:rFonts w:ascii="Arial" w:hAnsi="Arial" w:eastAsia="宋体" w:cs="Arial"/>
        </w:rPr>
        <w:t>在贵公司的研究中应包括目前在美国批准销售的所有疫苗。如果该测定的捕获抗原不同于疫苗株，在检测接种疫苗产生的免疫力时，贵公司应对该测定为什么不会产生假阴性结果做出说明。如果测定所用抗原是同一毒株且按与疫苗相同的方式进行过处理，则不必进行上述检测[参考文献7]。</w:t>
      </w:r>
    </w:p>
    <w:p w14:paraId="3A2245F1">
      <w:pPr>
        <w:snapToGrid w:val="0"/>
        <w:spacing w:line="300" w:lineRule="auto"/>
        <w:rPr>
          <w:rFonts w:ascii="Arial" w:hAnsi="Arial" w:eastAsia="宋体" w:cs="Arial"/>
        </w:rPr>
      </w:pPr>
    </w:p>
    <w:p w14:paraId="45F9B886">
      <w:pPr>
        <w:snapToGrid w:val="0"/>
        <w:spacing w:line="300" w:lineRule="auto"/>
        <w:rPr>
          <w:rFonts w:ascii="Arial" w:hAnsi="Arial" w:eastAsia="宋体" w:cs="Arial"/>
          <w:b/>
        </w:rPr>
      </w:pPr>
      <w:r>
        <w:rPr>
          <w:rFonts w:ascii="Arial" w:hAnsi="Arial" w:eastAsia="宋体" w:cs="Arial"/>
          <w:b/>
        </w:rPr>
        <w:t>分析性研究</w:t>
      </w:r>
    </w:p>
    <w:p w14:paraId="027F39DA">
      <w:pPr>
        <w:snapToGrid w:val="0"/>
        <w:spacing w:line="300" w:lineRule="auto"/>
        <w:rPr>
          <w:rFonts w:ascii="Arial" w:hAnsi="Arial" w:eastAsia="宋体" w:cs="Arial"/>
        </w:rPr>
      </w:pPr>
    </w:p>
    <w:p w14:paraId="7DF183FD">
      <w:pPr>
        <w:snapToGrid w:val="0"/>
        <w:spacing w:line="300" w:lineRule="auto"/>
        <w:rPr>
          <w:rFonts w:ascii="Arial" w:hAnsi="Arial" w:eastAsia="宋体" w:cs="Arial"/>
        </w:rPr>
      </w:pPr>
      <w:r>
        <w:rPr>
          <w:rFonts w:ascii="Arial" w:hAnsi="Arial" w:eastAsia="宋体" w:cs="Arial"/>
        </w:rPr>
        <w:t>试样采集和处理条件</w:t>
      </w:r>
    </w:p>
    <w:p w14:paraId="1578D1C3">
      <w:pPr>
        <w:snapToGrid w:val="0"/>
        <w:spacing w:line="300" w:lineRule="auto"/>
        <w:rPr>
          <w:rFonts w:ascii="Arial" w:hAnsi="Arial" w:eastAsia="宋体" w:cs="Arial"/>
        </w:rPr>
      </w:pPr>
      <w:r>
        <w:rPr>
          <w:rFonts w:ascii="Arial" w:hAnsi="Arial" w:eastAsia="宋体" w:cs="Arial"/>
        </w:rPr>
        <w:t>我们建议贵公司对在建议用户采取的储存时间和温度下该器械是否能维持合格性能（如测定精确度）进行评定，然后在标签中对样品储存和运输做出具体说明。例如，一项适当的研究可包括对储存在贵公司向器械用户建议的时间、温度或冻融周期数条件下的等分样品进行分析。我们建议贵公司对在储存和处理的建议条件下回收率可接受范围的标准做出说明[参考文献8]。</w:t>
      </w:r>
    </w:p>
    <w:p w14:paraId="338B2147">
      <w:pPr>
        <w:snapToGrid w:val="0"/>
        <w:spacing w:line="300" w:lineRule="auto"/>
        <w:rPr>
          <w:rFonts w:ascii="Arial" w:hAnsi="Arial" w:eastAsia="宋体" w:cs="Arial"/>
        </w:rPr>
      </w:pPr>
    </w:p>
    <w:p w14:paraId="61B9C5D4">
      <w:pPr>
        <w:snapToGrid w:val="0"/>
        <w:spacing w:line="300" w:lineRule="auto"/>
        <w:rPr>
          <w:rFonts w:ascii="Arial" w:hAnsi="Arial" w:eastAsia="宋体" w:cs="Arial"/>
        </w:rPr>
      </w:pPr>
      <w:r>
        <w:rPr>
          <w:rFonts w:ascii="Arial" w:hAnsi="Arial" w:eastAsia="宋体" w:cs="Arial"/>
        </w:rPr>
        <w:t>精确度测定</w:t>
      </w:r>
    </w:p>
    <w:p w14:paraId="0E78C6FA">
      <w:pPr>
        <w:snapToGrid w:val="0"/>
        <w:spacing w:line="300" w:lineRule="auto"/>
        <w:rPr>
          <w:rFonts w:ascii="Arial" w:hAnsi="Arial" w:eastAsia="宋体" w:cs="Arial"/>
        </w:rPr>
      </w:pPr>
      <w:r>
        <w:rPr>
          <w:rFonts w:ascii="Arial" w:hAnsi="Arial" w:eastAsia="宋体" w:cs="Arial"/>
        </w:rPr>
        <w:t>贵公司应根据CLSI EP5-A2文件的规定进行内部精确度测定（即在制造商的工作场所）[参考文献9]。根据CLSI EP15-A2文件规定进行的精确度测定应在3个外部场所实施[参考文献10]。</w:t>
      </w:r>
    </w:p>
    <w:p w14:paraId="3E3C22AD">
      <w:pPr>
        <w:snapToGrid w:val="0"/>
        <w:spacing w:line="300" w:lineRule="auto"/>
        <w:rPr>
          <w:rFonts w:ascii="Arial" w:hAnsi="Arial" w:eastAsia="宋体" w:cs="Arial"/>
        </w:rPr>
      </w:pPr>
      <w:r>
        <w:rPr>
          <w:rFonts w:ascii="Arial" w:hAnsi="Arial" w:eastAsia="宋体" w:cs="Arial"/>
        </w:rPr>
        <w:t>我们建议贵公司根据CLSI EP12-A提供的操作指南对批内和批间精确度测定所用样品的特征加以描述[参考文献11]。</w:t>
      </w:r>
    </w:p>
    <w:p w14:paraId="3A26546B">
      <w:pPr>
        <w:snapToGrid w:val="0"/>
        <w:spacing w:line="300" w:lineRule="auto"/>
        <w:rPr>
          <w:rFonts w:ascii="Arial" w:hAnsi="Arial" w:eastAsia="宋体" w:cs="Arial"/>
        </w:rPr>
      </w:pPr>
    </w:p>
    <w:p w14:paraId="3D4F3D53">
      <w:pPr>
        <w:snapToGrid w:val="0"/>
        <w:spacing w:line="300" w:lineRule="auto"/>
        <w:rPr>
          <w:rFonts w:ascii="Arial" w:hAnsi="Arial" w:eastAsia="宋体" w:cs="Arial"/>
        </w:rPr>
      </w:pPr>
      <w:r>
        <w:rPr>
          <w:rFonts w:ascii="Arial" w:hAnsi="Arial" w:eastAsia="宋体" w:cs="Arial"/>
        </w:rPr>
        <w:t>我们建议贵公司使用患者样品、贵公司的检测校准品和贵公司提供的或为描述该项器械特征而建议使用的质控材料。我们建议贵公司对相关测定结果的精确度进行评价，相关测定结果包括接近医疗决策点的含量水平和接近可报告范围限值的测定结果。</w:t>
      </w:r>
    </w:p>
    <w:p w14:paraId="39D88371">
      <w:pPr>
        <w:snapToGrid w:val="0"/>
        <w:spacing w:line="300" w:lineRule="auto"/>
        <w:rPr>
          <w:rFonts w:ascii="Arial" w:hAnsi="Arial" w:eastAsia="宋体" w:cs="Arial"/>
        </w:rPr>
      </w:pPr>
    </w:p>
    <w:p w14:paraId="67A7E4FA">
      <w:pPr>
        <w:snapToGrid w:val="0"/>
        <w:spacing w:line="300" w:lineRule="auto"/>
        <w:rPr>
          <w:rFonts w:ascii="Arial" w:hAnsi="Arial" w:eastAsia="宋体" w:cs="Arial"/>
        </w:rPr>
      </w:pPr>
      <w:r>
        <w:rPr>
          <w:rFonts w:ascii="Arial" w:hAnsi="Arial" w:eastAsia="宋体" w:cs="Arial"/>
        </w:rPr>
        <w:t>我们建议</w:t>
      </w:r>
      <w:bookmarkStart w:id="13" w:name="OLE_LINK43"/>
      <w:bookmarkStart w:id="14" w:name="OLE_LINK44"/>
      <w:r>
        <w:rPr>
          <w:rFonts w:ascii="Arial" w:hAnsi="Arial" w:eastAsia="宋体" w:cs="Arial"/>
        </w:rPr>
        <w:t>贵公司在510（k）提交中包含下列内容：</w:t>
      </w:r>
      <w:bookmarkEnd w:id="13"/>
      <w:bookmarkEnd w:id="14"/>
    </w:p>
    <w:p w14:paraId="632B84EF">
      <w:pPr>
        <w:snapToGrid w:val="0"/>
        <w:spacing w:line="300" w:lineRule="auto"/>
        <w:rPr>
          <w:rFonts w:ascii="Arial" w:hAnsi="Arial" w:eastAsia="宋体" w:cs="Arial"/>
        </w:rPr>
      </w:pPr>
    </w:p>
    <w:p w14:paraId="5C8B2B5E">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抗-HAV水平的浓度点估计值</w:t>
      </w:r>
    </w:p>
    <w:p w14:paraId="401D696A">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精确度测定方案的实施地点</w:t>
      </w:r>
    </w:p>
    <w:p w14:paraId="625F445B">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天数、测定次数和观察次数</w:t>
      </w:r>
    </w:p>
    <w:p w14:paraId="6B0A6085">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测定地点数和/或操作人员数</w:t>
      </w:r>
    </w:p>
    <w:p w14:paraId="196EA64D">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批内精确度和批间精确度的标准差及其精确的95％置信区间</w:t>
      </w:r>
    </w:p>
    <w:p w14:paraId="29670952">
      <w:pPr>
        <w:snapToGrid w:val="0"/>
        <w:spacing w:line="300" w:lineRule="auto"/>
        <w:rPr>
          <w:rFonts w:ascii="Arial" w:hAnsi="Arial" w:eastAsia="宋体" w:cs="Arial"/>
        </w:rPr>
      </w:pPr>
    </w:p>
    <w:p w14:paraId="24B59F96">
      <w:pPr>
        <w:snapToGrid w:val="0"/>
        <w:spacing w:line="300" w:lineRule="auto"/>
        <w:rPr>
          <w:rFonts w:ascii="Arial" w:hAnsi="Arial" w:eastAsia="宋体" w:cs="Arial"/>
        </w:rPr>
      </w:pPr>
      <w:r>
        <w:rPr>
          <w:rFonts w:ascii="Arial" w:hAnsi="Arial" w:eastAsia="宋体" w:cs="Arial"/>
        </w:rPr>
        <w:t>我们建议贵公司识别哪些因素（如仪器校准、试剂批次和操作人员）在评价期间保持不变，哪些因素有所变化。如果贵公司采用的计算方法与CLSI EP15-A2和CLSI EP5-A2描述的方法有所不同，请对计算方法做出描述。</w:t>
      </w:r>
    </w:p>
    <w:p w14:paraId="5ECC2BA4">
      <w:pPr>
        <w:snapToGrid w:val="0"/>
        <w:spacing w:line="300" w:lineRule="auto"/>
        <w:rPr>
          <w:rFonts w:ascii="Arial" w:hAnsi="Arial" w:eastAsia="宋体" w:cs="Arial"/>
        </w:rPr>
      </w:pPr>
    </w:p>
    <w:p w14:paraId="7BFF7C80">
      <w:pPr>
        <w:snapToGrid w:val="0"/>
        <w:spacing w:line="300" w:lineRule="auto"/>
        <w:rPr>
          <w:rFonts w:ascii="Arial" w:hAnsi="Arial" w:eastAsia="宋体" w:cs="Arial"/>
        </w:rPr>
      </w:pPr>
      <w:r>
        <w:rPr>
          <w:rFonts w:ascii="Arial" w:hAnsi="Arial" w:eastAsia="宋体" w:cs="Arial"/>
        </w:rPr>
        <w:t>如果贵公司的检测需要或贵公司建议采用自动化仪器，我们建议贵公司采用3种不同的仪器构成（即不同的仪器序列号）进行上述精确度测定。</w:t>
      </w:r>
    </w:p>
    <w:p w14:paraId="74B79859">
      <w:pPr>
        <w:snapToGrid w:val="0"/>
        <w:spacing w:line="300" w:lineRule="auto"/>
        <w:rPr>
          <w:rFonts w:ascii="Arial" w:hAnsi="Arial" w:eastAsia="宋体" w:cs="Arial"/>
        </w:rPr>
      </w:pPr>
    </w:p>
    <w:p w14:paraId="1A16CCB8">
      <w:pPr>
        <w:snapToGrid w:val="0"/>
        <w:spacing w:line="300" w:lineRule="auto"/>
        <w:rPr>
          <w:rFonts w:ascii="Arial" w:hAnsi="Arial" w:eastAsia="宋体" w:cs="Arial"/>
        </w:rPr>
      </w:pPr>
      <w:r>
        <w:rPr>
          <w:rFonts w:ascii="Arial" w:hAnsi="Arial" w:eastAsia="宋体" w:cs="Arial"/>
        </w:rPr>
        <w:t>干扰情况</w:t>
      </w:r>
    </w:p>
    <w:p w14:paraId="3793E1D6">
      <w:pPr>
        <w:snapToGrid w:val="0"/>
        <w:spacing w:line="300" w:lineRule="auto"/>
        <w:rPr>
          <w:rFonts w:ascii="Arial" w:hAnsi="Arial" w:eastAsia="宋体" w:cs="Arial"/>
        </w:rPr>
      </w:pPr>
    </w:p>
    <w:p w14:paraId="73D7677D">
      <w:pPr>
        <w:snapToGrid w:val="0"/>
        <w:spacing w:line="300" w:lineRule="auto"/>
        <w:rPr>
          <w:rFonts w:ascii="Arial" w:hAnsi="Arial" w:eastAsia="宋体" w:cs="Arial"/>
        </w:rPr>
      </w:pPr>
      <w:r>
        <w:rPr>
          <w:rFonts w:ascii="Arial" w:hAnsi="Arial" w:eastAsia="宋体" w:cs="Arial"/>
        </w:rPr>
        <w:t>我们建议贵公司对潜在干扰物质影响检测性</w:t>
      </w:r>
      <w:bookmarkStart w:id="15" w:name="OLE_LINK41"/>
      <w:bookmarkStart w:id="16" w:name="OLE_LINK42"/>
      <w:r>
        <w:rPr>
          <w:rFonts w:ascii="Arial" w:hAnsi="Arial" w:eastAsia="宋体" w:cs="Arial"/>
        </w:rPr>
        <w:t>能的</w:t>
      </w:r>
      <w:bookmarkEnd w:id="15"/>
      <w:bookmarkEnd w:id="16"/>
      <w:r>
        <w:rPr>
          <w:rFonts w:ascii="Arial" w:hAnsi="Arial" w:eastAsia="宋体" w:cs="Arial"/>
        </w:rPr>
        <w:t>特征加以描述。CSLI EP7-A对实验设计的实例（包括选择干扰物质进行测定的指导原则）进行了详细描述[参考文献12]。干扰物质的潜在来源可包括通常在血清中发现的化合物（如甘油三脂、血红蛋白、胆红素和血清白蛋白）。</w:t>
      </w:r>
    </w:p>
    <w:p w14:paraId="7FC5040F">
      <w:pPr>
        <w:snapToGrid w:val="0"/>
        <w:spacing w:line="300" w:lineRule="auto"/>
        <w:rPr>
          <w:rFonts w:ascii="Arial" w:hAnsi="Arial" w:eastAsia="宋体" w:cs="Arial"/>
        </w:rPr>
      </w:pPr>
    </w:p>
    <w:p w14:paraId="759C1EB9">
      <w:pPr>
        <w:snapToGrid w:val="0"/>
        <w:spacing w:line="300" w:lineRule="auto"/>
        <w:rPr>
          <w:rFonts w:ascii="Arial" w:hAnsi="Arial" w:eastAsia="宋体" w:cs="Arial"/>
        </w:rPr>
      </w:pPr>
      <w:r>
        <w:rPr>
          <w:rFonts w:ascii="Arial" w:hAnsi="Arial" w:eastAsia="宋体" w:cs="Arial"/>
        </w:rPr>
        <w:t>我们建议贵公司在510（k）中包含下列内容：</w:t>
      </w:r>
    </w:p>
    <w:p w14:paraId="49BFCC5D">
      <w:pPr>
        <w:snapToGrid w:val="0"/>
        <w:spacing w:line="300" w:lineRule="auto"/>
        <w:rPr>
          <w:rFonts w:ascii="Arial" w:hAnsi="Arial" w:eastAsia="宋体" w:cs="Arial"/>
        </w:rPr>
      </w:pPr>
    </w:p>
    <w:p w14:paraId="1A05CA1B">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受试干扰物质的类型和水平</w:t>
      </w:r>
    </w:p>
    <w:p w14:paraId="0B8D742D">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样品中的抗体水平，包括对如何测得该水平的描述</w:t>
      </w:r>
    </w:p>
    <w:p w14:paraId="523F78A6">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平行样品测定次数</w:t>
      </w:r>
    </w:p>
    <w:p w14:paraId="58F4C012">
      <w:pPr>
        <w:pStyle w:val="12"/>
        <w:numPr>
          <w:ilvl w:val="0"/>
          <w:numId w:val="3"/>
        </w:numPr>
        <w:snapToGrid w:val="0"/>
        <w:spacing w:line="300" w:lineRule="auto"/>
        <w:ind w:firstLine="0" w:firstLineChars="0"/>
        <w:rPr>
          <w:rFonts w:ascii="Arial" w:hAnsi="Arial" w:eastAsia="宋体" w:cs="Arial"/>
        </w:rPr>
      </w:pPr>
      <w:r>
        <w:rPr>
          <w:rFonts w:ascii="Arial" w:hAnsi="Arial" w:eastAsia="宋体" w:cs="Arial"/>
        </w:rPr>
        <w:t>计算干扰水平的定义或方法</w:t>
      </w:r>
    </w:p>
    <w:p w14:paraId="53135943">
      <w:pPr>
        <w:snapToGrid w:val="0"/>
        <w:spacing w:line="300" w:lineRule="auto"/>
        <w:rPr>
          <w:rFonts w:ascii="Arial" w:hAnsi="Arial" w:eastAsia="宋体" w:cs="Arial"/>
        </w:rPr>
      </w:pPr>
    </w:p>
    <w:p w14:paraId="7821850F">
      <w:pPr>
        <w:snapToGrid w:val="0"/>
        <w:spacing w:line="300" w:lineRule="auto"/>
        <w:rPr>
          <w:rFonts w:ascii="Arial" w:hAnsi="Arial" w:eastAsia="宋体" w:cs="Arial"/>
        </w:rPr>
      </w:pPr>
      <w:r>
        <w:rPr>
          <w:rFonts w:ascii="Arial" w:hAnsi="Arial" w:eastAsia="宋体" w:cs="Arial"/>
        </w:rPr>
        <w:t>我们建议贵公司确认所观察到的偏差的任何趋势（即阴性或阳性）并指出存在特殊干扰物质情况下观察回收率的数值范围。该方法相比仅列出平均回收率能提供更多信息。我们建议贵公司对判定无干扰的标准或水平做出说明。</w:t>
      </w:r>
    </w:p>
    <w:p w14:paraId="77DB82B4">
      <w:pPr>
        <w:snapToGrid w:val="0"/>
        <w:spacing w:line="300" w:lineRule="auto"/>
        <w:rPr>
          <w:rFonts w:ascii="Arial" w:hAnsi="Arial" w:eastAsia="宋体" w:cs="Arial"/>
        </w:rPr>
      </w:pPr>
    </w:p>
    <w:p w14:paraId="1DD532BA">
      <w:pPr>
        <w:snapToGrid w:val="0"/>
        <w:spacing w:line="300" w:lineRule="auto"/>
        <w:rPr>
          <w:rFonts w:ascii="Arial" w:hAnsi="Arial" w:eastAsia="宋体" w:cs="Arial"/>
        </w:rPr>
      </w:pPr>
      <w:r>
        <w:rPr>
          <w:rFonts w:ascii="Arial" w:hAnsi="Arial" w:eastAsia="宋体" w:cs="Arial"/>
        </w:rPr>
        <w:t>在贵公司所做检测中的潜在干扰物质如果已得到文献或其它来源的确认，则可能不需要再做干扰测定。然而，贵公司可能需采取在标签中做出适当引用的方式处理额外的潜在干扰物质问题。</w:t>
      </w:r>
    </w:p>
    <w:p w14:paraId="16CFC64F">
      <w:pPr>
        <w:snapToGrid w:val="0"/>
        <w:spacing w:line="300" w:lineRule="auto"/>
        <w:rPr>
          <w:rFonts w:ascii="Arial" w:hAnsi="Arial" w:eastAsia="宋体" w:cs="Arial"/>
        </w:rPr>
      </w:pPr>
      <w:r>
        <w:rPr>
          <w:rFonts w:ascii="Arial" w:hAnsi="Arial" w:eastAsia="宋体" w:cs="Arial"/>
        </w:rPr>
        <w:t>交叉反应</w:t>
      </w:r>
    </w:p>
    <w:p w14:paraId="4A6B0927">
      <w:pPr>
        <w:snapToGrid w:val="0"/>
        <w:spacing w:line="300" w:lineRule="auto"/>
        <w:rPr>
          <w:rFonts w:ascii="Arial" w:hAnsi="Arial" w:eastAsia="宋体" w:cs="Arial"/>
        </w:rPr>
      </w:pPr>
    </w:p>
    <w:p w14:paraId="072FA9C4">
      <w:pPr>
        <w:snapToGrid w:val="0"/>
        <w:spacing w:line="300" w:lineRule="auto"/>
        <w:rPr>
          <w:rFonts w:ascii="Arial" w:hAnsi="Arial" w:eastAsia="宋体" w:cs="Arial"/>
        </w:rPr>
      </w:pPr>
      <w:r>
        <w:rPr>
          <w:rFonts w:ascii="Arial" w:hAnsi="Arial" w:eastAsia="宋体" w:cs="Arial"/>
        </w:rPr>
        <w:t>我们建议贵公司在文件中包含检测特异性数据。该数据可用针对其它相关微生物的抗体在贵公司的器械上测定交叉反应而获得。特别值得一提的是，存在引起肝炎的其它病毒[如EB病毒（EBV）、乙肝病毒、HCV、巨细胞病毒（CMV）、麻疹病毒、腮腺炎病毒和水痘-带状疱疹病毒（VZV）]和其它微生物（如刚地弓形虫）产生的抗体时</w:t>
      </w:r>
      <w:bookmarkStart w:id="17" w:name="OLE_LINK50"/>
      <w:bookmarkStart w:id="18" w:name="OLE_LINK49"/>
      <w:r>
        <w:rPr>
          <w:rFonts w:ascii="Arial" w:hAnsi="Arial" w:eastAsia="宋体" w:cs="Arial"/>
        </w:rPr>
        <w:t>，贵公司应</w:t>
      </w:r>
      <w:bookmarkEnd w:id="17"/>
      <w:bookmarkEnd w:id="18"/>
      <w:r>
        <w:rPr>
          <w:rFonts w:ascii="Arial" w:hAnsi="Arial" w:eastAsia="宋体" w:cs="Arial"/>
        </w:rPr>
        <w:t>开展研究对器械的性能特征加以描述。如果贵公司使用的是重组抗原，我们建议贵公司提供针对重组载体进行交叉反应研究的结果。对HAV IgM检测而言，我们建议贵公司将有类风湿因子、抗核抗体和人抗小鼠抗体之类因素存在时的性能测定结果包含在文件中。</w:t>
      </w:r>
    </w:p>
    <w:p w14:paraId="5DE52C64">
      <w:pPr>
        <w:snapToGrid w:val="0"/>
        <w:spacing w:line="300" w:lineRule="auto"/>
        <w:rPr>
          <w:rFonts w:ascii="Arial" w:hAnsi="Arial" w:eastAsia="宋体" w:cs="Arial"/>
        </w:rPr>
      </w:pPr>
    </w:p>
    <w:p w14:paraId="2A7F8131">
      <w:pPr>
        <w:snapToGrid w:val="0"/>
        <w:spacing w:line="300" w:lineRule="auto"/>
        <w:rPr>
          <w:rFonts w:ascii="Arial" w:hAnsi="Arial" w:eastAsia="宋体" w:cs="Arial"/>
        </w:rPr>
      </w:pPr>
      <w:r>
        <w:rPr>
          <w:rFonts w:ascii="Arial" w:hAnsi="Arial" w:eastAsia="宋体" w:cs="Arial"/>
        </w:rPr>
        <w:t>临界点</w:t>
      </w:r>
    </w:p>
    <w:p w14:paraId="081CBA96">
      <w:pPr>
        <w:snapToGrid w:val="0"/>
        <w:spacing w:line="300" w:lineRule="auto"/>
        <w:rPr>
          <w:rFonts w:ascii="Arial" w:hAnsi="Arial" w:eastAsia="宋体" w:cs="Arial"/>
        </w:rPr>
      </w:pPr>
    </w:p>
    <w:p w14:paraId="68744AC8">
      <w:pPr>
        <w:snapToGrid w:val="0"/>
        <w:spacing w:line="300" w:lineRule="auto"/>
        <w:rPr>
          <w:rFonts w:ascii="Arial" w:hAnsi="Arial" w:eastAsia="宋体" w:cs="Arial"/>
        </w:rPr>
      </w:pPr>
      <w:r>
        <w:rPr>
          <w:rFonts w:ascii="Arial" w:hAnsi="Arial" w:eastAsia="宋体" w:cs="Arial"/>
        </w:rPr>
        <w:t>我们建议贵公司提供数据对如何选择和确定临床相关临界点做出解释。贵公司应提供使用</w:t>
      </w:r>
      <w:bookmarkStart w:id="19" w:name="OLE_LINK7"/>
      <w:bookmarkStart w:id="20" w:name="OLE_LINK8"/>
      <w:r>
        <w:rPr>
          <w:rFonts w:ascii="Arial" w:hAnsi="Arial" w:eastAsia="宋体" w:cs="Arial"/>
        </w:rPr>
        <w:t>检测</w:t>
      </w:r>
      <w:bookmarkEnd w:id="19"/>
      <w:bookmarkEnd w:id="20"/>
      <w:r>
        <w:rPr>
          <w:rFonts w:ascii="Arial" w:hAnsi="Arial" w:eastAsia="宋体" w:cs="Arial"/>
        </w:rPr>
        <w:t>两可范围的信息。如果贵公司认为两可范围不恰当，应对此做出解释。这是因为对抗-HAV而言并没有确认检测。</w:t>
      </w:r>
    </w:p>
    <w:p w14:paraId="6123BBC7">
      <w:pPr>
        <w:snapToGrid w:val="0"/>
        <w:spacing w:line="300" w:lineRule="auto"/>
        <w:rPr>
          <w:rFonts w:ascii="Arial" w:hAnsi="Arial" w:eastAsia="宋体" w:cs="Arial"/>
        </w:rPr>
      </w:pPr>
    </w:p>
    <w:p w14:paraId="440C80B1">
      <w:pPr>
        <w:snapToGrid w:val="0"/>
        <w:spacing w:line="300" w:lineRule="auto"/>
        <w:rPr>
          <w:rFonts w:ascii="Arial" w:hAnsi="Arial" w:eastAsia="宋体" w:cs="Arial"/>
        </w:rPr>
      </w:pPr>
      <w:r>
        <w:rPr>
          <w:rFonts w:ascii="Arial" w:hAnsi="Arial" w:eastAsia="宋体" w:cs="Arial"/>
        </w:rPr>
        <w:t>其它分析性研究</w:t>
      </w:r>
    </w:p>
    <w:p w14:paraId="0D62103D">
      <w:pPr>
        <w:snapToGrid w:val="0"/>
        <w:spacing w:line="300" w:lineRule="auto"/>
        <w:rPr>
          <w:rFonts w:ascii="Arial" w:hAnsi="Arial" w:eastAsia="宋体" w:cs="Arial"/>
        </w:rPr>
      </w:pPr>
    </w:p>
    <w:p w14:paraId="0EF71AF3">
      <w:pPr>
        <w:snapToGrid w:val="0"/>
        <w:spacing w:line="300" w:lineRule="auto"/>
        <w:rPr>
          <w:rFonts w:ascii="Arial" w:hAnsi="Arial" w:eastAsia="宋体" w:cs="Arial"/>
        </w:rPr>
      </w:pPr>
      <w:r>
        <w:rPr>
          <w:rFonts w:ascii="Arial" w:hAnsi="Arial" w:eastAsia="宋体" w:cs="Arial"/>
        </w:rPr>
        <w:t>我们建议贵公司对阳转血清盘阳转血清盘进行试验。在分析物出现前，阳转血清盘中应包含有试样。对抗-HAV IgM而言，当分析物开始减少时，阳转血清盘中应包含有试样。这些阳转血清盘很多都可在市场上买到。如果你使用了一个市售阳转血清盘，我们建议贵公司采用一种合法的市售测定试剂盒对其报告的反应性重新进行评估。</w:t>
      </w:r>
    </w:p>
    <w:p w14:paraId="04F20E03">
      <w:pPr>
        <w:snapToGrid w:val="0"/>
        <w:spacing w:line="300" w:lineRule="auto"/>
        <w:rPr>
          <w:rFonts w:ascii="Arial" w:hAnsi="Arial" w:eastAsia="宋体" w:cs="Arial"/>
        </w:rPr>
      </w:pPr>
    </w:p>
    <w:p w14:paraId="5B689E9C">
      <w:pPr>
        <w:snapToGrid w:val="0"/>
        <w:spacing w:line="300" w:lineRule="auto"/>
        <w:rPr>
          <w:rFonts w:ascii="Arial" w:hAnsi="Arial" w:eastAsia="宋体" w:cs="Arial"/>
        </w:rPr>
      </w:pPr>
      <w:r>
        <w:rPr>
          <w:rFonts w:ascii="Arial" w:hAnsi="Arial" w:eastAsia="宋体" w:cs="Arial"/>
        </w:rPr>
        <w:t>我们建议贵公司将检测结果与抗-HAV的公认标准（如保罗•埃尔利希研究所或世界卫生组织（英国国家生物制品检定所）的标准）相比较，确定该测定试剂盒的分析灵敏度，即检测极限（LoD）。</w:t>
      </w:r>
    </w:p>
    <w:p w14:paraId="69108551">
      <w:pPr>
        <w:snapToGrid w:val="0"/>
        <w:spacing w:line="300" w:lineRule="auto"/>
        <w:rPr>
          <w:rFonts w:ascii="Arial" w:hAnsi="Arial" w:eastAsia="宋体" w:cs="Arial"/>
        </w:rPr>
      </w:pPr>
    </w:p>
    <w:p w14:paraId="67FCCE8F">
      <w:pPr>
        <w:snapToGrid w:val="0"/>
        <w:spacing w:line="300" w:lineRule="auto"/>
        <w:rPr>
          <w:rFonts w:ascii="Arial" w:hAnsi="Arial" w:eastAsia="宋体" w:cs="Arial"/>
        </w:rPr>
      </w:pPr>
      <w:r>
        <w:rPr>
          <w:rFonts w:ascii="Arial" w:hAnsi="Arial" w:eastAsia="宋体" w:cs="Arial"/>
        </w:rPr>
        <w:t>如果建议采用血清之外的基质（如乙二胺四乙酸或肝素钠抗凝血浆），贵公司应提供信息证明这些抗凝剂与血清相比对检测影响极小或无影响。我们建议采用与在CLSI EP9-A2[参考文献13] 和世界卫生组织编撰的《抗凝剂在诊断实验室研究中的应用》[参考文献14]中描述的用于方</w:t>
      </w:r>
      <w:bookmarkStart w:id="21" w:name="OLE_LINK28"/>
      <w:bookmarkStart w:id="22" w:name="OLE_LINK29"/>
      <w:r>
        <w:rPr>
          <w:rFonts w:ascii="Arial" w:hAnsi="Arial" w:eastAsia="宋体" w:cs="Arial"/>
        </w:rPr>
        <w:t>法比较的评价方法相</w:t>
      </w:r>
      <w:bookmarkEnd w:id="21"/>
      <w:bookmarkEnd w:id="22"/>
      <w:r>
        <w:rPr>
          <w:rFonts w:ascii="Arial" w:hAnsi="Arial" w:eastAsia="宋体" w:cs="Arial"/>
        </w:rPr>
        <w:t>似的方式进行该检测。</w:t>
      </w:r>
    </w:p>
    <w:p w14:paraId="2EB8C32C">
      <w:pPr>
        <w:snapToGrid w:val="0"/>
        <w:spacing w:line="300" w:lineRule="auto"/>
        <w:rPr>
          <w:rFonts w:ascii="Arial" w:hAnsi="Arial" w:eastAsia="宋体" w:cs="Arial"/>
        </w:rPr>
      </w:pPr>
    </w:p>
    <w:p w14:paraId="0E6E9A20">
      <w:pPr>
        <w:snapToGrid w:val="0"/>
        <w:spacing w:line="300" w:lineRule="auto"/>
        <w:rPr>
          <w:rFonts w:ascii="Arial" w:hAnsi="Arial" w:eastAsia="宋体" w:cs="Arial"/>
          <w:b/>
        </w:rPr>
      </w:pPr>
      <w:r>
        <w:rPr>
          <w:rFonts w:ascii="Arial" w:hAnsi="Arial" w:eastAsia="宋体" w:cs="Arial"/>
          <w:b/>
        </w:rPr>
        <w:t>8. 患病率（预期值）</w:t>
      </w:r>
    </w:p>
    <w:p w14:paraId="5CEE0667">
      <w:pPr>
        <w:snapToGrid w:val="0"/>
        <w:spacing w:line="300" w:lineRule="auto"/>
        <w:rPr>
          <w:rFonts w:ascii="Arial" w:hAnsi="Arial" w:eastAsia="宋体" w:cs="Arial"/>
        </w:rPr>
      </w:pPr>
    </w:p>
    <w:p w14:paraId="52DA66A5">
      <w:pPr>
        <w:snapToGrid w:val="0"/>
        <w:spacing w:line="300" w:lineRule="auto"/>
        <w:rPr>
          <w:rFonts w:ascii="Arial" w:hAnsi="Arial" w:eastAsia="宋体" w:cs="Arial"/>
        </w:rPr>
      </w:pPr>
      <w:r>
        <w:rPr>
          <w:rFonts w:ascii="Arial" w:hAnsi="Arial" w:eastAsia="宋体" w:cs="Arial"/>
        </w:rPr>
        <w:t>我们建议贵公司采用规定截断值确定正常人群（由无症状的健康个体组成）的HAV抗体患病率。贵公司检测的样品数应具有统计学意义，样品所属人群的年龄、性别和种族构成应与美国最近一次人口普查所得结果一致。HAV感染在美国属偶发疾病，且多数病例是由西部报告的（图1），因此，我们建议在美国东部（低患病率）和西部（高患病率）进行患病率研究。贵公司应提供基于自己器械得出的结果。对预期值检测而言，不需要基于其它器械得出的结果。我们建议贵公司根据年龄组（按10岁分组）、性别、地理区域以及阳性、阴性和两可结果数对人群进行概要描述。我们建议不要招募献血者参加研究。</w:t>
      </w:r>
    </w:p>
    <w:p w14:paraId="564D3143">
      <w:pPr>
        <w:snapToGrid w:val="0"/>
        <w:spacing w:line="300" w:lineRule="auto"/>
        <w:rPr>
          <w:rFonts w:ascii="Arial" w:hAnsi="Arial" w:eastAsia="宋体" w:cs="Arial"/>
        </w:rPr>
      </w:pPr>
    </w:p>
    <w:p w14:paraId="6EAEA79C">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52705</wp:posOffset>
                </wp:positionV>
                <wp:extent cx="5281930" cy="3790315"/>
                <wp:effectExtent l="0" t="0" r="13970" b="20320"/>
                <wp:wrapNone/>
                <wp:docPr id="4" name="文本框 4"/>
                <wp:cNvGraphicFramePr/>
                <a:graphic xmlns:a="http://schemas.openxmlformats.org/drawingml/2006/main">
                  <a:graphicData uri="http://schemas.microsoft.com/office/word/2010/wordprocessingShape">
                    <wps:wsp>
                      <wps:cNvSpPr txBox="1"/>
                      <wps:spPr>
                        <a:xfrm>
                          <a:off x="0" y="0"/>
                          <a:ext cx="5281930" cy="3790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977BA">
                            <w:r>
                              <w:rPr>
                                <w:rFonts w:ascii="Arial" w:hAnsi="Arial" w:eastAsia="宋体" w:cs="Arial"/>
                                <w:color w:val="000000"/>
                                <w:kern w:val="0"/>
                                <w:sz w:val="18"/>
                                <w:szCs w:val="18"/>
                              </w:rPr>
                              <w:drawing>
                                <wp:inline distT="0" distB="0" distL="0" distR="0">
                                  <wp:extent cx="4343400" cy="3400425"/>
                                  <wp:effectExtent l="19050" t="0" r="0" b="0"/>
                                  <wp:docPr id="35" name="图片 35" descr="Hepatitis incidents by county-1987-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epatitis incidents by county-1987-1997"/>
                                          <pic:cNvPicPr>
                                            <a:picLocks noChangeAspect="1" noChangeArrowheads="1"/>
                                          </pic:cNvPicPr>
                                        </pic:nvPicPr>
                                        <pic:blipFill>
                                          <a:blip r:embed="rId5"/>
                                          <a:srcRect/>
                                          <a:stretch>
                                            <a:fillRect/>
                                          </a:stretch>
                                        </pic:blipFill>
                                        <pic:spPr>
                                          <a:xfrm>
                                            <a:off x="0" y="0"/>
                                            <a:ext cx="4343400" cy="340042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4.15pt;height:298.45pt;width:415.9pt;z-index:251660288;mso-width-relative:page;mso-height-relative:page;" fillcolor="#FFFFFF [3201]" filled="t" stroked="t" coordsize="21600,21600" o:gfxdata="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VV&#10;lc7TAAAABgEAAA8AAAAAAAAAAQAgAAAAIgAAAGRycy9kb3ducmV2LnhtbFBLAQIUABQAAAAIAIdO&#10;4kDVdXc+YQIAAMYEAAAOAAAAAAAAAAEAIAAAACIBAABkcnMvZTJvRG9jLnhtbFBLBQYAAAAABgAG&#10;AFkBAAD1BQAAAAA=&#10;">
                <v:fill on="t" focussize="0,0"/>
                <v:stroke weight="0.5pt" color="#000000 [3204]" joinstyle="round"/>
                <v:imagedata o:title=""/>
                <o:lock v:ext="edit" aspectratio="f"/>
                <v:textbox>
                  <w:txbxContent>
                    <w:p w14:paraId="1C3977BA">
                      <w:r>
                        <w:rPr>
                          <w:rFonts w:ascii="Arial" w:hAnsi="Arial" w:eastAsia="宋体" w:cs="Arial"/>
                          <w:color w:val="000000"/>
                          <w:kern w:val="0"/>
                          <w:sz w:val="18"/>
                          <w:szCs w:val="18"/>
                        </w:rPr>
                        <w:drawing>
                          <wp:inline distT="0" distB="0" distL="0" distR="0">
                            <wp:extent cx="4343400" cy="3400425"/>
                            <wp:effectExtent l="19050" t="0" r="0" b="0"/>
                            <wp:docPr id="35" name="图片 35" descr="Hepatitis incidents by county-1987-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epatitis incidents by county-1987-1997"/>
                                    <pic:cNvPicPr>
                                      <a:picLocks noChangeAspect="1" noChangeArrowheads="1"/>
                                    </pic:cNvPicPr>
                                  </pic:nvPicPr>
                                  <pic:blipFill>
                                    <a:blip r:embed="rId5"/>
                                    <a:srcRect/>
                                    <a:stretch>
                                      <a:fillRect/>
                                    </a:stretch>
                                  </pic:blipFill>
                                  <pic:spPr>
                                    <a:xfrm>
                                      <a:off x="0" y="0"/>
                                      <a:ext cx="4343400" cy="34004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132715</wp:posOffset>
                </wp:positionV>
                <wp:extent cx="4714240" cy="3282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14043" cy="3284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ADAFF">
                            <w:pPr>
                              <w:snapToGrid w:val="0"/>
                              <w:spacing w:line="300" w:lineRule="auto"/>
                              <w:rPr>
                                <w:rFonts w:ascii="Arial" w:hAnsi="Arial" w:eastAsia="宋体" w:cs="Arial"/>
                              </w:rPr>
                            </w:pPr>
                            <w:r>
                              <w:rPr>
                                <w:rFonts w:ascii="Arial" w:hAnsi="Arial" w:eastAsia="宋体" w:cs="Arial"/>
                              </w:rPr>
                              <w:t>1987-1997年甲型肝炎报告发病率超过10/10万的年数（分县数据）*</w:t>
                            </w:r>
                          </w:p>
                          <w:p w14:paraId="2467A4D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5pt;margin-top:10.45pt;height:25.85pt;width:371.2pt;z-index:251661312;mso-width-relative:page;mso-height-relative:page;" fillcolor="#FFFFFF [3201]" filled="t" stroked="f" coordsize="21600,21600" o:gfxdata="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Pqi0wAAAAgBAAAP&#10;AAAAAAAAAAEAIAAAACIAAABkcnMvZG93bnJldi54bWxQSwECFAAUAAAACACHTuJA6xn5PlYCAACd&#10;BAAADgAAAAAAAAABACAAAAAiAQAAZHJzL2Uyb0RvYy54bWxQSwUGAAAAAAYABgBZAQAA6gUAAAAA&#10;">
                <v:fill on="t" focussize="0,0"/>
                <v:stroke on="f" weight="0.5pt"/>
                <v:imagedata o:title=""/>
                <o:lock v:ext="edit" aspectratio="f"/>
                <v:textbox>
                  <w:txbxContent>
                    <w:p w14:paraId="560ADAFF">
                      <w:pPr>
                        <w:snapToGrid w:val="0"/>
                        <w:spacing w:line="300" w:lineRule="auto"/>
                        <w:rPr>
                          <w:rFonts w:ascii="Arial" w:hAnsi="Arial" w:eastAsia="宋体" w:cs="Arial"/>
                        </w:rPr>
                      </w:pPr>
                      <w:r>
                        <w:rPr>
                          <w:rFonts w:ascii="Arial" w:hAnsi="Arial" w:eastAsia="宋体" w:cs="Arial"/>
                        </w:rPr>
                        <w:t>1987-1997年甲型肝炎报告发病率超过10/10万的年数（分县数据）*</w:t>
                      </w:r>
                    </w:p>
                    <w:p w14:paraId="2467A4D7"/>
                  </w:txbxContent>
                </v:textbox>
              </v:shape>
            </w:pict>
          </mc:Fallback>
        </mc:AlternateContent>
      </w:r>
    </w:p>
    <w:p w14:paraId="735C7112">
      <w:pPr>
        <w:snapToGrid w:val="0"/>
        <w:spacing w:line="300" w:lineRule="auto"/>
        <w:rPr>
          <w:rFonts w:ascii="Arial" w:hAnsi="Arial" w:eastAsia="宋体" w:cs="Arial"/>
        </w:rPr>
      </w:pPr>
    </w:p>
    <w:p w14:paraId="0F875FEB">
      <w:pPr>
        <w:snapToGrid w:val="0"/>
        <w:spacing w:line="300" w:lineRule="auto"/>
        <w:rPr>
          <w:rFonts w:ascii="Arial" w:hAnsi="Arial" w:eastAsia="宋体" w:cs="Arial"/>
        </w:rPr>
      </w:pPr>
    </w:p>
    <w:p w14:paraId="1BABADE7">
      <w:pPr>
        <w:snapToGrid w:val="0"/>
        <w:spacing w:line="300" w:lineRule="auto"/>
        <w:rPr>
          <w:rFonts w:ascii="Arial" w:hAnsi="Arial" w:eastAsia="宋体" w:cs="Arial"/>
        </w:rPr>
      </w:pPr>
    </w:p>
    <w:p w14:paraId="44822E89">
      <w:pPr>
        <w:snapToGrid w:val="0"/>
        <w:spacing w:line="300" w:lineRule="auto"/>
        <w:rPr>
          <w:rFonts w:ascii="Arial" w:hAnsi="Arial" w:eastAsia="宋体" w:cs="Arial"/>
        </w:rPr>
      </w:pPr>
    </w:p>
    <w:p w14:paraId="03BB9578">
      <w:pPr>
        <w:snapToGrid w:val="0"/>
        <w:spacing w:line="300" w:lineRule="auto"/>
        <w:rPr>
          <w:rFonts w:ascii="Arial" w:hAnsi="Arial" w:eastAsia="宋体" w:cs="Arial"/>
        </w:rPr>
      </w:pPr>
    </w:p>
    <w:p w14:paraId="128F953B">
      <w:pPr>
        <w:snapToGrid w:val="0"/>
        <w:spacing w:line="300" w:lineRule="auto"/>
        <w:rPr>
          <w:rFonts w:ascii="Arial" w:hAnsi="Arial" w:eastAsia="宋体" w:cs="Arial"/>
        </w:rPr>
      </w:pPr>
    </w:p>
    <w:p w14:paraId="5E5808F4">
      <w:pPr>
        <w:snapToGrid w:val="0"/>
        <w:spacing w:line="300" w:lineRule="auto"/>
        <w:rPr>
          <w:rFonts w:ascii="Arial" w:hAnsi="Arial" w:eastAsia="宋体" w:cs="Arial"/>
        </w:rPr>
      </w:pPr>
    </w:p>
    <w:p w14:paraId="4D5FA472">
      <w:pPr>
        <w:snapToGrid w:val="0"/>
        <w:spacing w:line="300" w:lineRule="auto"/>
        <w:rPr>
          <w:rFonts w:ascii="Arial" w:hAnsi="Arial" w:eastAsia="宋体" w:cs="Arial"/>
        </w:rPr>
      </w:pPr>
    </w:p>
    <w:p w14:paraId="64ED1A84">
      <w:pPr>
        <w:snapToGrid w:val="0"/>
        <w:spacing w:line="300" w:lineRule="auto"/>
        <w:rPr>
          <w:rFonts w:ascii="Arial" w:hAnsi="Arial" w:eastAsia="宋体" w:cs="Arial"/>
        </w:rPr>
      </w:pPr>
    </w:p>
    <w:p w14:paraId="060AB01F">
      <w:pPr>
        <w:snapToGrid w:val="0"/>
        <w:spacing w:line="300" w:lineRule="auto"/>
        <w:rPr>
          <w:rFonts w:ascii="Arial" w:hAnsi="Arial" w:eastAsia="宋体" w:cs="Arial"/>
        </w:rPr>
      </w:pPr>
    </w:p>
    <w:p w14:paraId="7A148805">
      <w:pPr>
        <w:snapToGrid w:val="0"/>
        <w:spacing w:line="300" w:lineRule="auto"/>
        <w:rPr>
          <w:rFonts w:ascii="Arial" w:hAnsi="Arial" w:eastAsia="宋体" w:cs="Arial"/>
        </w:rPr>
      </w:pPr>
    </w:p>
    <w:p w14:paraId="42CD9ABB">
      <w:pPr>
        <w:snapToGrid w:val="0"/>
        <w:spacing w:line="300" w:lineRule="auto"/>
        <w:rPr>
          <w:rFonts w:ascii="Arial" w:hAnsi="Arial" w:eastAsia="宋体" w:cs="Arial"/>
        </w:rPr>
      </w:pPr>
    </w:p>
    <w:p w14:paraId="16716E05">
      <w:pPr>
        <w:snapToGrid w:val="0"/>
        <w:spacing w:line="300" w:lineRule="auto"/>
        <w:rPr>
          <w:rFonts w:ascii="Arial" w:hAnsi="Arial" w:eastAsia="宋体" w:cs="Arial"/>
        </w:rPr>
      </w:pPr>
    </w:p>
    <w:p w14:paraId="405A72EB">
      <w:pPr>
        <w:snapToGrid w:val="0"/>
        <w:spacing w:line="300" w:lineRule="auto"/>
        <w:rPr>
          <w:rFonts w:ascii="Arial" w:hAnsi="Arial" w:eastAsia="宋体" w:cs="Arial"/>
        </w:rPr>
      </w:pPr>
    </w:p>
    <w:p w14:paraId="4BF7483F">
      <w:pPr>
        <w:snapToGrid w:val="0"/>
        <w:spacing w:line="300" w:lineRule="auto"/>
        <w:rPr>
          <w:rFonts w:ascii="Arial" w:hAnsi="Arial" w:eastAsia="宋体" w:cs="Arial"/>
        </w:rPr>
      </w:pPr>
    </w:p>
    <w:p w14:paraId="1021F9A8">
      <w:pPr>
        <w:snapToGrid w:val="0"/>
        <w:spacing w:line="300" w:lineRule="auto"/>
        <w:rPr>
          <w:rFonts w:ascii="Arial" w:hAnsi="Arial" w:eastAsia="宋体" w:cs="Arial"/>
        </w:rPr>
      </w:pPr>
    </w:p>
    <w:p w14:paraId="2DE1A815">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3360" behindDoc="0" locked="0" layoutInCell="1" allowOverlap="1">
                <wp:simplePos x="0" y="0"/>
                <wp:positionH relativeFrom="column">
                  <wp:posOffset>117475</wp:posOffset>
                </wp:positionH>
                <wp:positionV relativeFrom="paragraph">
                  <wp:posOffset>70485</wp:posOffset>
                </wp:positionV>
                <wp:extent cx="4714240" cy="5149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14043" cy="514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F1ED8">
                            <w:pPr>
                              <w:snapToGrid w:val="0"/>
                              <w:spacing w:line="300" w:lineRule="auto"/>
                              <w:rPr>
                                <w:rFonts w:ascii="Arial" w:hAnsi="Arial" w:eastAsia="宋体" w:cs="Arial"/>
                              </w:rPr>
                            </w:pPr>
                            <w:r>
                              <w:rPr>
                                <w:rFonts w:ascii="Arial" w:hAnsi="Arial" w:eastAsia="宋体" w:cs="Arial"/>
                              </w:rPr>
                              <w:t>*1987-1997年全国平均数估计值</w:t>
                            </w:r>
                          </w:p>
                          <w:p w14:paraId="436C5BBA">
                            <w:pPr>
                              <w:snapToGrid w:val="0"/>
                              <w:spacing w:line="300" w:lineRule="auto"/>
                              <w:rPr>
                                <w:rFonts w:ascii="Arial" w:hAnsi="Arial" w:eastAsia="宋体" w:cs="Arial"/>
                              </w:rPr>
                            </w:pPr>
                            <w:r>
                              <w:rPr>
                                <w:rFonts w:ascii="Arial" w:hAnsi="Arial" w:eastAsia="宋体" w:cs="Arial"/>
                              </w:rPr>
                              <w:t>来源：国家法定传染病监测系统</w:t>
                            </w:r>
                          </w:p>
                          <w:p w14:paraId="21CABD3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5pt;margin-top:5.55pt;height:40.55pt;width:371.2pt;z-index:251663360;mso-width-relative:page;mso-height-relative:page;" fillcolor="#FFFFFF [3201]" filled="t" stroked="f" coordsize="21600,21600" o:gfxdata="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VvlJdQAAAAIAQAA&#10;DwAAAAAAAAABACAAAAAiAAAAZHJzL2Rvd25yZXYueG1sUEsBAhQAFAAAAAgAh07iQFUSvTxWAgAA&#10;nQQAAA4AAAAAAAAAAQAgAAAAIwEAAGRycy9lMm9Eb2MueG1sUEsFBgAAAAAGAAYAWQEAAOsFAAAA&#10;AA==&#10;">
                <v:fill on="t" focussize="0,0"/>
                <v:stroke on="f" weight="0.5pt"/>
                <v:imagedata o:title=""/>
                <o:lock v:ext="edit" aspectratio="f"/>
                <v:textbox>
                  <w:txbxContent>
                    <w:p w14:paraId="607F1ED8">
                      <w:pPr>
                        <w:snapToGrid w:val="0"/>
                        <w:spacing w:line="300" w:lineRule="auto"/>
                        <w:rPr>
                          <w:rFonts w:ascii="Arial" w:hAnsi="Arial" w:eastAsia="宋体" w:cs="Arial"/>
                        </w:rPr>
                      </w:pPr>
                      <w:r>
                        <w:rPr>
                          <w:rFonts w:ascii="Arial" w:hAnsi="Arial" w:eastAsia="宋体" w:cs="Arial"/>
                        </w:rPr>
                        <w:t>*1987-1997年全国平均数估计值</w:t>
                      </w:r>
                    </w:p>
                    <w:p w14:paraId="436C5BBA">
                      <w:pPr>
                        <w:snapToGrid w:val="0"/>
                        <w:spacing w:line="300" w:lineRule="auto"/>
                        <w:rPr>
                          <w:rFonts w:ascii="Arial" w:hAnsi="Arial" w:eastAsia="宋体" w:cs="Arial"/>
                        </w:rPr>
                      </w:pPr>
                      <w:r>
                        <w:rPr>
                          <w:rFonts w:ascii="Arial" w:hAnsi="Arial" w:eastAsia="宋体" w:cs="Arial"/>
                        </w:rPr>
                        <w:t>来源：国家法定传染病监测系统</w:t>
                      </w:r>
                    </w:p>
                    <w:p w14:paraId="21CABD30"/>
                  </w:txbxContent>
                </v:textbox>
              </v:shape>
            </w:pict>
          </mc:Fallback>
        </mc:AlternateContent>
      </w:r>
    </w:p>
    <w:p w14:paraId="372A0656">
      <w:pPr>
        <w:snapToGrid w:val="0"/>
        <w:spacing w:line="300" w:lineRule="auto"/>
        <w:rPr>
          <w:rFonts w:ascii="Arial" w:hAnsi="Arial" w:eastAsia="宋体" w:cs="Arial"/>
        </w:rPr>
      </w:pPr>
    </w:p>
    <w:p w14:paraId="398592BB">
      <w:pPr>
        <w:snapToGrid w:val="0"/>
        <w:spacing w:line="300" w:lineRule="auto"/>
        <w:rPr>
          <w:rFonts w:ascii="Arial" w:hAnsi="Arial" w:eastAsia="宋体" w:cs="Arial"/>
        </w:rPr>
      </w:pPr>
    </w:p>
    <w:p w14:paraId="2D19AE19">
      <w:pPr>
        <w:snapToGrid w:val="0"/>
        <w:spacing w:line="300" w:lineRule="auto"/>
        <w:rPr>
          <w:rFonts w:ascii="Arial" w:hAnsi="Arial" w:eastAsia="宋体" w:cs="Arial"/>
        </w:rPr>
      </w:pPr>
    </w:p>
    <w:p w14:paraId="3040BF5B">
      <w:pPr>
        <w:snapToGrid w:val="0"/>
        <w:spacing w:line="300" w:lineRule="auto"/>
        <w:rPr>
          <w:rFonts w:ascii="Arial" w:hAnsi="Arial" w:eastAsia="宋体" w:cs="Arial"/>
        </w:rPr>
      </w:pPr>
      <w:r>
        <w:rPr>
          <w:rFonts w:ascii="Arial" w:hAnsi="Arial" w:eastAsia="宋体" w:cs="Arial"/>
          <w:b/>
        </w:rPr>
        <w:t>图1</w:t>
      </w:r>
      <w:r>
        <w:rPr>
          <w:rFonts w:ascii="Arial" w:hAnsi="Arial" w:eastAsia="宋体" w:cs="Arial"/>
        </w:rPr>
        <w:t>. 疾病预防控制中心。通过主动或被动免疫接种预防甲型肝炎：免疫接种咨询委员会推荐规范。MMWR 1999；48(No. RR-12)：p. 7。</w:t>
      </w:r>
    </w:p>
    <w:p w14:paraId="7A70363C">
      <w:pPr>
        <w:snapToGrid w:val="0"/>
        <w:spacing w:line="300" w:lineRule="auto"/>
        <w:rPr>
          <w:rFonts w:ascii="Arial" w:hAnsi="Arial" w:eastAsia="宋体" w:cs="Arial"/>
        </w:rPr>
      </w:pPr>
    </w:p>
    <w:p w14:paraId="6EA774B4">
      <w:pPr>
        <w:snapToGrid w:val="0"/>
        <w:spacing w:line="300" w:lineRule="auto"/>
        <w:rPr>
          <w:rFonts w:ascii="Arial" w:hAnsi="Arial" w:eastAsia="宋体" w:cs="Arial"/>
          <w:b/>
        </w:rPr>
      </w:pPr>
      <w:r>
        <w:rPr>
          <w:rFonts w:ascii="Arial" w:hAnsi="Arial" w:eastAsia="宋体" w:cs="Arial"/>
          <w:b/>
        </w:rPr>
        <w:t>9. 方法比较</w:t>
      </w:r>
    </w:p>
    <w:p w14:paraId="36FA00FB">
      <w:pPr>
        <w:snapToGrid w:val="0"/>
        <w:spacing w:line="300" w:lineRule="auto"/>
        <w:rPr>
          <w:rFonts w:ascii="Arial" w:hAnsi="Arial" w:eastAsia="宋体" w:cs="Arial"/>
        </w:rPr>
      </w:pPr>
    </w:p>
    <w:p w14:paraId="25261E7C">
      <w:pPr>
        <w:snapToGrid w:val="0"/>
        <w:spacing w:line="300" w:lineRule="auto"/>
        <w:rPr>
          <w:rFonts w:ascii="Arial" w:hAnsi="Arial" w:eastAsia="宋体" w:cs="Arial"/>
        </w:rPr>
      </w:pPr>
      <w:r>
        <w:rPr>
          <w:rFonts w:ascii="Arial" w:hAnsi="Arial" w:eastAsia="宋体" w:cs="Arial"/>
        </w:rPr>
        <w:t>我们建议贵公司在3个场所对贵公司的检测器械进行评价，其中之一可以是制造商的场所。我们建议贵公司在器械最终使用的检测环境中（即临床实验室）由将要在临床实践中使用检验器械的人员（如经过培训的技术专家）对器械性能进行评定。我们建议贵公司在研究开始时对来自每个研究场所的数据分别进行分析，对任何场所内差异做出评价，并将分析结果包含在510（k）总结报告中。如果贵公司能证明各场所的结果或各场所的人群间无明显差异，可以将各场所的临床研究结果合并后放在包装说明书中。开始任何临床研究前，贵公司都可以向微生物器械部咨询。</w:t>
      </w:r>
    </w:p>
    <w:p w14:paraId="21D5DD4E">
      <w:pPr>
        <w:snapToGrid w:val="0"/>
        <w:spacing w:line="300" w:lineRule="auto"/>
        <w:rPr>
          <w:rFonts w:ascii="Arial" w:hAnsi="Arial" w:eastAsia="宋体" w:cs="Arial"/>
        </w:rPr>
      </w:pPr>
    </w:p>
    <w:p w14:paraId="2ED1DF72">
      <w:pPr>
        <w:snapToGrid w:val="0"/>
        <w:spacing w:line="300" w:lineRule="auto"/>
        <w:rPr>
          <w:rFonts w:ascii="Arial" w:hAnsi="Arial" w:eastAsia="宋体" w:cs="Arial"/>
        </w:rPr>
      </w:pPr>
      <w:r>
        <w:rPr>
          <w:rFonts w:ascii="Arial" w:hAnsi="Arial" w:eastAsia="宋体" w:cs="Arial"/>
        </w:rPr>
        <w:t>为方便我们在审查期间能对验收标准或数据汇总有最好的理解，我们建议贵公司适当提供有关研究方案的具体信息。这些信息对帮助用户理解贵公司标签中的信息亦是有必要的。例如，在提及临床和实验室标准研究所（CLSI）的研究方案或操作指南时，我们建议贵公司指出贵公司遵照了研究方案或操作指南中的哪些具体内容。</w:t>
      </w:r>
    </w:p>
    <w:p w14:paraId="795E5668">
      <w:pPr>
        <w:snapToGrid w:val="0"/>
        <w:spacing w:line="300" w:lineRule="auto"/>
        <w:rPr>
          <w:rFonts w:ascii="Arial" w:hAnsi="Arial" w:eastAsia="宋体" w:cs="Arial"/>
        </w:rPr>
      </w:pPr>
    </w:p>
    <w:p w14:paraId="4E084967">
      <w:pPr>
        <w:snapToGrid w:val="0"/>
        <w:spacing w:line="300" w:lineRule="auto"/>
        <w:rPr>
          <w:rFonts w:ascii="Arial" w:hAnsi="Arial" w:eastAsia="宋体" w:cs="Arial"/>
          <w:b/>
        </w:rPr>
      </w:pPr>
      <w:r>
        <w:rPr>
          <w:rFonts w:ascii="Arial" w:hAnsi="Arial" w:eastAsia="宋体" w:cs="Arial"/>
          <w:b/>
        </w:rPr>
        <w:t>检测能力和比较性能</w:t>
      </w:r>
    </w:p>
    <w:p w14:paraId="704CE715">
      <w:pPr>
        <w:snapToGrid w:val="0"/>
        <w:spacing w:line="300" w:lineRule="auto"/>
        <w:rPr>
          <w:rFonts w:ascii="Arial" w:hAnsi="Arial" w:eastAsia="宋体" w:cs="Arial"/>
        </w:rPr>
      </w:pPr>
    </w:p>
    <w:p w14:paraId="5B5E5C0F">
      <w:pPr>
        <w:snapToGrid w:val="0"/>
        <w:spacing w:line="300" w:lineRule="auto"/>
        <w:rPr>
          <w:rFonts w:ascii="Arial" w:hAnsi="Arial" w:eastAsia="宋体" w:cs="Arial"/>
        </w:rPr>
      </w:pPr>
      <w:r>
        <w:rPr>
          <w:rFonts w:ascii="Arial" w:hAnsi="Arial" w:eastAsia="宋体" w:cs="Arial"/>
        </w:rPr>
        <w:t>我们建议贵公司通过对贵公司的器械与一台合法销售器械（比较器械）的检验性能进行比较或按照可对HAV急性感染和既往感染做出诊断的适当算法进行检验的方式，判定贵公司的器械对HAV抗体的检测能力。我们建议贵公司前瞻性收集有急性肝炎症状和体征个体（如肝病和胃肠病门诊患者）的试样。贵公司可以用从资源库获得的有显著特征的试样补充这些研究之不足。在这些试样的特征描述中应包括支持样品完整性的信息、表明样品选择适当的信息和临床实验室试验结果。贵公司应对偏差来源有所考虑并做出处理。美国的急性HAV感染患病率相对较低，因此，可从非美国来源获取</w:t>
      </w:r>
      <w:bookmarkStart w:id="23" w:name="OLE_LINK21"/>
      <w:bookmarkStart w:id="24" w:name="OLE_LINK22"/>
      <w:r>
        <w:rPr>
          <w:rFonts w:ascii="Arial" w:hAnsi="Arial" w:eastAsia="宋体" w:cs="Arial"/>
        </w:rPr>
        <w:t>反应性</w:t>
      </w:r>
      <w:bookmarkEnd w:id="23"/>
      <w:bookmarkEnd w:id="24"/>
      <w:r>
        <w:rPr>
          <w:rFonts w:ascii="Arial" w:hAnsi="Arial" w:eastAsia="宋体" w:cs="Arial"/>
        </w:rPr>
        <w:t>试样，尤其是含有抗-HAV IgM的试样。贵公司提供的非美国试样的特征描述信息应与美国试样相同。</w:t>
      </w:r>
    </w:p>
    <w:p w14:paraId="0E5A53D7">
      <w:pPr>
        <w:snapToGrid w:val="0"/>
        <w:spacing w:line="300" w:lineRule="auto"/>
        <w:rPr>
          <w:rFonts w:ascii="Arial" w:hAnsi="Arial" w:eastAsia="宋体" w:cs="Arial"/>
        </w:rPr>
      </w:pPr>
    </w:p>
    <w:p w14:paraId="46A04D68">
      <w:pPr>
        <w:snapToGrid w:val="0"/>
        <w:spacing w:line="300" w:lineRule="auto"/>
        <w:rPr>
          <w:rFonts w:ascii="Arial" w:hAnsi="Arial" w:eastAsia="宋体" w:cs="Arial"/>
          <w:b/>
        </w:rPr>
      </w:pPr>
      <w:r>
        <w:rPr>
          <w:rFonts w:ascii="Arial" w:hAnsi="Arial" w:eastAsia="宋体" w:cs="Arial"/>
          <w:b/>
        </w:rPr>
        <w:t>样品的选择、纳入和排除标准</w:t>
      </w:r>
    </w:p>
    <w:p w14:paraId="54E59D4E">
      <w:pPr>
        <w:snapToGrid w:val="0"/>
        <w:spacing w:line="300" w:lineRule="auto"/>
        <w:rPr>
          <w:rFonts w:ascii="Arial" w:hAnsi="Arial" w:eastAsia="宋体" w:cs="Arial"/>
        </w:rPr>
      </w:pPr>
    </w:p>
    <w:p w14:paraId="7305C76E">
      <w:pPr>
        <w:snapToGrid w:val="0"/>
        <w:spacing w:line="300" w:lineRule="auto"/>
        <w:rPr>
          <w:rFonts w:ascii="Arial" w:hAnsi="Arial" w:eastAsia="宋体" w:cs="Arial"/>
        </w:rPr>
      </w:pPr>
      <w:r>
        <w:rPr>
          <w:rFonts w:ascii="Arial" w:hAnsi="Arial" w:eastAsia="宋体" w:cs="Arial"/>
        </w:rPr>
        <w:t>我们建议贵公司进行一次前瞻性研究，对来自预期使用人群（即有肝炎症状和体征的个体）的样品进行评价，并对如何选择样品提供清晰描述，包括排除样品的理由。</w:t>
      </w:r>
    </w:p>
    <w:p w14:paraId="4539B5B8">
      <w:pPr>
        <w:snapToGrid w:val="0"/>
        <w:spacing w:line="300" w:lineRule="auto"/>
        <w:rPr>
          <w:rFonts w:ascii="Arial" w:hAnsi="Arial" w:eastAsia="宋体" w:cs="Arial"/>
        </w:rPr>
      </w:pPr>
    </w:p>
    <w:p w14:paraId="34955774">
      <w:pPr>
        <w:snapToGrid w:val="0"/>
        <w:spacing w:line="300" w:lineRule="auto"/>
        <w:rPr>
          <w:rFonts w:ascii="Arial" w:hAnsi="Arial" w:eastAsia="宋体" w:cs="Arial"/>
        </w:rPr>
      </w:pPr>
      <w:r>
        <w:rPr>
          <w:rFonts w:ascii="Arial" w:hAnsi="Arial" w:eastAsia="宋体" w:cs="Arial"/>
        </w:rPr>
        <w:t>目标人群的适当样本量取决于检验的精确度、干扰情况和其它性能特征等因素。我们建议贵公司提供一个统计推断支持贵公司确定的研究人群的样本量。</w:t>
      </w:r>
    </w:p>
    <w:p w14:paraId="23E737AC">
      <w:pPr>
        <w:snapToGrid w:val="0"/>
        <w:spacing w:line="300" w:lineRule="auto"/>
        <w:rPr>
          <w:rFonts w:ascii="Arial" w:hAnsi="Arial" w:eastAsia="宋体" w:cs="Arial"/>
        </w:rPr>
      </w:pPr>
    </w:p>
    <w:p w14:paraId="5BD7D8F4">
      <w:pPr>
        <w:snapToGrid w:val="0"/>
        <w:spacing w:line="300" w:lineRule="auto"/>
        <w:rPr>
          <w:rFonts w:ascii="Arial" w:hAnsi="Arial" w:eastAsia="宋体" w:cs="Arial"/>
          <w:b/>
        </w:rPr>
      </w:pPr>
      <w:r>
        <w:rPr>
          <w:rFonts w:ascii="Arial" w:hAnsi="Arial" w:eastAsia="宋体" w:cs="Arial"/>
          <w:b/>
        </w:rPr>
        <w:t>结果报告</w:t>
      </w:r>
    </w:p>
    <w:p w14:paraId="7260DE2F">
      <w:pPr>
        <w:snapToGrid w:val="0"/>
        <w:spacing w:line="300" w:lineRule="auto"/>
        <w:rPr>
          <w:rFonts w:ascii="Arial" w:hAnsi="Arial" w:eastAsia="宋体" w:cs="Arial"/>
        </w:rPr>
      </w:pPr>
    </w:p>
    <w:p w14:paraId="3635978F">
      <w:pPr>
        <w:snapToGrid w:val="0"/>
        <w:spacing w:line="300" w:lineRule="auto"/>
        <w:rPr>
          <w:rFonts w:ascii="Arial" w:hAnsi="Arial" w:eastAsia="宋体" w:cs="Arial"/>
        </w:rPr>
      </w:pPr>
      <w:r>
        <w:rPr>
          <w:rFonts w:ascii="Arial" w:hAnsi="Arial" w:eastAsia="宋体" w:cs="Arial"/>
        </w:rPr>
        <w:t>我们建议贵公司提供所有研究的系列数据。贵公司可以采用微软电子表格、带分隔符的文本文件或SAS文件以电子方式提供这些信息。</w:t>
      </w:r>
    </w:p>
    <w:p w14:paraId="54F83643">
      <w:pPr>
        <w:snapToGrid w:val="0"/>
        <w:spacing w:line="300" w:lineRule="auto"/>
        <w:rPr>
          <w:rFonts w:ascii="Arial" w:hAnsi="Arial" w:eastAsia="宋体" w:cs="Arial"/>
        </w:rPr>
      </w:pPr>
    </w:p>
    <w:p w14:paraId="70954533">
      <w:pPr>
        <w:snapToGrid w:val="0"/>
        <w:spacing w:line="300" w:lineRule="auto"/>
        <w:rPr>
          <w:rFonts w:ascii="Arial" w:hAnsi="Arial" w:eastAsia="宋体" w:cs="Arial"/>
          <w:b/>
        </w:rPr>
      </w:pPr>
      <w:r>
        <w:rPr>
          <w:rFonts w:ascii="Arial" w:hAnsi="Arial" w:eastAsia="宋体" w:cs="Arial"/>
          <w:b/>
        </w:rPr>
        <w:t>10. 标签</w:t>
      </w:r>
    </w:p>
    <w:p w14:paraId="031E0209">
      <w:pPr>
        <w:snapToGrid w:val="0"/>
        <w:spacing w:line="300" w:lineRule="auto"/>
        <w:rPr>
          <w:rFonts w:ascii="Arial" w:hAnsi="Arial" w:eastAsia="宋体" w:cs="Arial"/>
        </w:rPr>
      </w:pPr>
    </w:p>
    <w:p w14:paraId="0D5B81F7">
      <w:pPr>
        <w:snapToGrid w:val="0"/>
        <w:spacing w:line="300" w:lineRule="auto"/>
        <w:rPr>
          <w:rFonts w:ascii="Arial" w:hAnsi="Arial" w:eastAsia="宋体" w:cs="Arial"/>
        </w:rPr>
      </w:pPr>
      <w:r>
        <w:rPr>
          <w:rFonts w:ascii="Arial" w:hAnsi="Arial" w:eastAsia="宋体" w:cs="Arial"/>
        </w:rPr>
        <w:t>上市前通告中应包含符合21 CFR 807.87(e)要求、有足够细节的标签。尽管批准510（k）提交不需要最终标签，但医疗器械进入州际贸易前，其最终标签必须符合21 CFR第801部分和21 CFR 809.10的要求。</w:t>
      </w:r>
    </w:p>
    <w:p w14:paraId="0687A10E">
      <w:pPr>
        <w:snapToGrid w:val="0"/>
        <w:spacing w:line="300" w:lineRule="auto"/>
        <w:rPr>
          <w:rFonts w:ascii="Arial" w:hAnsi="Arial" w:eastAsia="宋体" w:cs="Arial"/>
        </w:rPr>
      </w:pPr>
    </w:p>
    <w:p w14:paraId="08CDE90F">
      <w:pPr>
        <w:snapToGrid w:val="0"/>
        <w:spacing w:line="300" w:lineRule="auto"/>
        <w:rPr>
          <w:rFonts w:ascii="Arial" w:hAnsi="Arial" w:eastAsia="宋体" w:cs="Arial"/>
        </w:rPr>
      </w:pPr>
      <w:r>
        <w:rPr>
          <w:rFonts w:ascii="Arial" w:hAnsi="Arial" w:eastAsia="宋体" w:cs="Arial"/>
        </w:rPr>
        <w:t>下列建议的目的是在提交符合这些要求的标签和准备最终标签方面为贵公司提供帮助。</w:t>
      </w:r>
    </w:p>
    <w:p w14:paraId="3FBA5957">
      <w:pPr>
        <w:snapToGrid w:val="0"/>
        <w:spacing w:line="300" w:lineRule="auto"/>
        <w:rPr>
          <w:rFonts w:ascii="Arial" w:hAnsi="Arial" w:eastAsia="宋体" w:cs="Arial"/>
        </w:rPr>
      </w:pPr>
    </w:p>
    <w:p w14:paraId="221409DD">
      <w:pPr>
        <w:snapToGrid w:val="0"/>
        <w:spacing w:line="300" w:lineRule="auto"/>
        <w:rPr>
          <w:rFonts w:ascii="Arial" w:hAnsi="Arial" w:eastAsia="宋体" w:cs="Arial"/>
          <w:b/>
        </w:rPr>
      </w:pPr>
      <w:r>
        <w:rPr>
          <w:rFonts w:ascii="Arial" w:hAnsi="Arial" w:eastAsia="宋体" w:cs="Arial"/>
          <w:b/>
        </w:rPr>
        <w:t>使用说明</w:t>
      </w:r>
    </w:p>
    <w:p w14:paraId="66A71176">
      <w:pPr>
        <w:snapToGrid w:val="0"/>
        <w:spacing w:line="300" w:lineRule="auto"/>
        <w:rPr>
          <w:rFonts w:ascii="Arial" w:hAnsi="Arial" w:eastAsia="宋体" w:cs="Arial"/>
        </w:rPr>
      </w:pPr>
    </w:p>
    <w:p w14:paraId="5D4FFAE3">
      <w:pPr>
        <w:snapToGrid w:val="0"/>
        <w:spacing w:line="300" w:lineRule="auto"/>
        <w:rPr>
          <w:rFonts w:ascii="Arial" w:hAnsi="Arial" w:eastAsia="宋体" w:cs="Arial"/>
        </w:rPr>
      </w:pPr>
      <w:r>
        <w:rPr>
          <w:rFonts w:ascii="Arial" w:hAnsi="Arial" w:eastAsia="宋体" w:cs="Arial"/>
        </w:rPr>
        <w:t>贵公司应提供清晰、简洁的使用说明。在使用说明中应对具体器械的技术特征和如何在患者身上使用器械做出描述，应鼓励为方便用户熟悉器械特点和如何以安全、有效的方式使用器械而设计的当地/机构培训项目。</w:t>
      </w:r>
    </w:p>
    <w:p w14:paraId="2DC59CE2">
      <w:pPr>
        <w:snapToGrid w:val="0"/>
        <w:spacing w:line="300" w:lineRule="auto"/>
        <w:rPr>
          <w:rFonts w:ascii="Arial" w:hAnsi="Arial" w:eastAsia="宋体" w:cs="Arial"/>
        </w:rPr>
      </w:pPr>
    </w:p>
    <w:p w14:paraId="13C11FDF">
      <w:pPr>
        <w:snapToGrid w:val="0"/>
        <w:spacing w:line="300" w:lineRule="auto"/>
        <w:rPr>
          <w:rFonts w:ascii="Arial" w:hAnsi="Arial" w:eastAsia="宋体" w:cs="Arial"/>
          <w:b/>
        </w:rPr>
      </w:pPr>
      <w:r>
        <w:rPr>
          <w:rFonts w:ascii="Arial" w:hAnsi="Arial" w:eastAsia="宋体" w:cs="Arial"/>
          <w:b/>
        </w:rPr>
        <w:t>质量控制</w:t>
      </w:r>
    </w:p>
    <w:p w14:paraId="4EFAC41A">
      <w:pPr>
        <w:snapToGrid w:val="0"/>
        <w:spacing w:line="300" w:lineRule="auto"/>
        <w:rPr>
          <w:rFonts w:ascii="Arial" w:hAnsi="Arial" w:eastAsia="宋体" w:cs="Arial"/>
        </w:rPr>
      </w:pPr>
    </w:p>
    <w:p w14:paraId="03E7B5BF">
      <w:pPr>
        <w:snapToGrid w:val="0"/>
        <w:spacing w:line="300" w:lineRule="auto"/>
        <w:rPr>
          <w:rFonts w:ascii="Arial" w:hAnsi="Arial" w:eastAsia="宋体" w:cs="Arial"/>
        </w:rPr>
      </w:pPr>
      <w:r>
        <w:rPr>
          <w:rFonts w:ascii="Arial" w:hAnsi="Arial" w:eastAsia="宋体" w:cs="Arial"/>
        </w:rPr>
        <w:t>我们建议贵公司在标签上对质控推荐规范做出描述并对贵公司的质控材料所测内容做出说明。</w:t>
      </w:r>
    </w:p>
    <w:p w14:paraId="6A45848E">
      <w:pPr>
        <w:snapToGrid w:val="0"/>
        <w:spacing w:line="300" w:lineRule="auto"/>
        <w:rPr>
          <w:rFonts w:ascii="Arial" w:hAnsi="Arial" w:eastAsia="宋体" w:cs="Arial"/>
        </w:rPr>
      </w:pPr>
    </w:p>
    <w:p w14:paraId="56533DB0">
      <w:pPr>
        <w:snapToGrid w:val="0"/>
        <w:spacing w:line="300" w:lineRule="auto"/>
        <w:rPr>
          <w:rFonts w:ascii="Arial" w:hAnsi="Arial" w:eastAsia="宋体" w:cs="Arial"/>
          <w:b/>
        </w:rPr>
      </w:pPr>
      <w:r>
        <w:rPr>
          <w:rFonts w:ascii="Arial" w:hAnsi="Arial" w:eastAsia="宋体" w:cs="Arial"/>
          <w:b/>
        </w:rPr>
        <w:t>使用注意事项</w:t>
      </w:r>
    </w:p>
    <w:p w14:paraId="15663895">
      <w:pPr>
        <w:snapToGrid w:val="0"/>
        <w:spacing w:line="300" w:lineRule="auto"/>
        <w:rPr>
          <w:rFonts w:ascii="Arial" w:hAnsi="Arial" w:eastAsia="宋体" w:cs="Arial"/>
        </w:rPr>
      </w:pPr>
    </w:p>
    <w:p w14:paraId="62AB4FE7">
      <w:pPr>
        <w:snapToGrid w:val="0"/>
        <w:spacing w:line="300" w:lineRule="auto"/>
        <w:rPr>
          <w:rFonts w:ascii="Arial" w:hAnsi="Arial" w:eastAsia="宋体" w:cs="Arial"/>
        </w:rPr>
      </w:pPr>
      <w:r>
        <w:rPr>
          <w:rFonts w:ascii="Arial" w:hAnsi="Arial" w:eastAsia="宋体" w:cs="Arial"/>
        </w:rPr>
        <w:t>我们建议贵公司以标签说明方式对如何处理与安全使用贵公司的检测器械有关的问题做出说明。标签说明如下所述：</w:t>
      </w:r>
    </w:p>
    <w:p w14:paraId="2405E0C4">
      <w:pPr>
        <w:snapToGrid w:val="0"/>
        <w:spacing w:line="300" w:lineRule="auto"/>
        <w:rPr>
          <w:rFonts w:ascii="Arial" w:hAnsi="Arial" w:eastAsia="宋体" w:cs="Arial"/>
        </w:rPr>
      </w:pPr>
      <w:r>
        <w:rPr>
          <w:rFonts w:ascii="Arial" w:hAnsi="Arial" w:eastAsia="宋体" w:cs="Arial"/>
        </w:rPr>
        <w:t>对人体样品和血制品可按所述程序以风险最小方式进行常规处理。采用FDA推荐（批准/许可）的检验方法在该器械上对人源成分进行检测并确定其抗-HIV（1型或2型）、抗-HCV和乙肝表面抗原（HBsAg）呈阴性反应。现在尚无检验方法能提供实验室试样不含抗-HIV（1型和2型）、乙肝病毒或其它传染因子的完全保证，因此，应在美国疾病预防控制中心（CDC</w:t>
      </w:r>
      <w:bookmarkStart w:id="25" w:name="OLE_LINK6"/>
      <w:bookmarkStart w:id="26" w:name="OLE_LINK5"/>
      <w:r>
        <w:rPr>
          <w:rFonts w:ascii="Arial" w:hAnsi="Arial" w:eastAsia="宋体" w:cs="Arial"/>
        </w:rPr>
        <w:t>）</w:t>
      </w:r>
      <w:bookmarkEnd w:id="25"/>
      <w:bookmarkEnd w:id="26"/>
      <w:r>
        <w:rPr>
          <w:rFonts w:ascii="Arial" w:hAnsi="Arial" w:eastAsia="宋体" w:cs="Arial"/>
        </w:rPr>
        <w:t>和美国国立卫生研究院（NIH）编撰的手册《微生物学和生物医学实验室的生物安全》（1993年第3版）与临床和实验室标准研究所（CLSI）批准的操作指南M29-A《实验室工作人员防护：仪器生物危害与经血液、体液和组织传播的传染病》推荐的适用于任何潜在传染性人血清或血样的生物安全2级（BL2）条件下对试样进行处理。</w:t>
      </w:r>
    </w:p>
    <w:p w14:paraId="32F4D705">
      <w:pPr>
        <w:snapToGrid w:val="0"/>
        <w:spacing w:line="300" w:lineRule="auto"/>
        <w:rPr>
          <w:rFonts w:ascii="Arial" w:hAnsi="Arial" w:eastAsia="宋体" w:cs="Arial"/>
        </w:rPr>
      </w:pPr>
    </w:p>
    <w:p w14:paraId="5CB11E85">
      <w:pPr>
        <w:snapToGrid w:val="0"/>
        <w:spacing w:line="300" w:lineRule="auto"/>
        <w:rPr>
          <w:rFonts w:ascii="Arial" w:hAnsi="Arial" w:eastAsia="宋体" w:cs="Arial"/>
          <w:b/>
        </w:rPr>
      </w:pPr>
      <w:r>
        <w:rPr>
          <w:rFonts w:ascii="Arial" w:hAnsi="Arial" w:eastAsia="宋体" w:cs="Arial"/>
          <w:b/>
        </w:rPr>
        <w:t>结果解释注意事项</w:t>
      </w:r>
    </w:p>
    <w:p w14:paraId="3158F9AB">
      <w:pPr>
        <w:snapToGrid w:val="0"/>
        <w:spacing w:line="300" w:lineRule="auto"/>
        <w:rPr>
          <w:rFonts w:ascii="Arial" w:hAnsi="Arial" w:eastAsia="宋体" w:cs="Arial"/>
        </w:rPr>
      </w:pPr>
    </w:p>
    <w:p w14:paraId="2D819051">
      <w:pPr>
        <w:snapToGrid w:val="0"/>
        <w:spacing w:line="300" w:lineRule="auto"/>
        <w:rPr>
          <w:rFonts w:ascii="Arial" w:hAnsi="Arial" w:eastAsia="宋体" w:cs="Arial"/>
          <w:spacing w:val="-4"/>
        </w:rPr>
      </w:pPr>
      <w:r>
        <w:rPr>
          <w:rFonts w:ascii="Arial" w:hAnsi="Arial" w:eastAsia="宋体" w:cs="Arial"/>
          <w:spacing w:val="-4"/>
        </w:rPr>
        <w:t>我们建议贵公司以标签说明方式对如何处理与患者安全有关问题做出说明。标签说明如下所述：</w:t>
      </w:r>
    </w:p>
    <w:p w14:paraId="4E629E4B">
      <w:pPr>
        <w:snapToGrid w:val="0"/>
        <w:spacing w:line="300" w:lineRule="auto"/>
        <w:rPr>
          <w:rFonts w:ascii="Arial" w:hAnsi="Arial" w:eastAsia="宋体" w:cs="Arial"/>
        </w:rPr>
      </w:pPr>
    </w:p>
    <w:p w14:paraId="0655D13B">
      <w:pPr>
        <w:snapToGrid w:val="0"/>
        <w:spacing w:line="300" w:lineRule="auto"/>
        <w:rPr>
          <w:rFonts w:ascii="Arial" w:hAnsi="Arial" w:eastAsia="宋体" w:cs="Arial"/>
        </w:rPr>
      </w:pPr>
      <w:r>
        <w:rPr>
          <w:rFonts w:ascii="Arial" w:hAnsi="Arial" w:eastAsia="宋体" w:cs="Arial"/>
        </w:rPr>
        <w:t>测定结果只能在其它临床实验室检验结果和个体临床总体状况的背景下进行解释。有研究表明，感染HAV的个体存在病毒血症窗口，此时个体可能有肝炎症状，但抗-HAV IgM呈无反应状态[参考文献15]。</w:t>
      </w:r>
    </w:p>
    <w:p w14:paraId="6263F975">
      <w:pPr>
        <w:snapToGrid w:val="0"/>
        <w:spacing w:line="300" w:lineRule="auto"/>
        <w:rPr>
          <w:rFonts w:ascii="Arial" w:hAnsi="Arial" w:eastAsia="宋体" w:cs="Arial"/>
        </w:rPr>
      </w:pPr>
    </w:p>
    <w:p w14:paraId="3BD411A9">
      <w:pPr>
        <w:snapToGrid w:val="0"/>
        <w:spacing w:line="300" w:lineRule="auto"/>
        <w:rPr>
          <w:rFonts w:ascii="Arial" w:hAnsi="Arial" w:eastAsia="宋体" w:cs="Arial"/>
          <w:b/>
        </w:rPr>
      </w:pPr>
      <w:r>
        <w:rPr>
          <w:rFonts w:ascii="Arial" w:hAnsi="Arial" w:eastAsia="宋体" w:cs="Arial"/>
          <w:b/>
        </w:rPr>
        <w:t>参考</w:t>
      </w:r>
      <w:r>
        <w:rPr>
          <w:rFonts w:hint="eastAsia" w:ascii="Arial" w:hAnsi="Arial" w:eastAsia="宋体" w:cs="Arial"/>
          <w:b/>
        </w:rPr>
        <w:t>文件</w:t>
      </w:r>
    </w:p>
    <w:tbl>
      <w:tblPr>
        <w:tblStyle w:val="5"/>
        <w:tblW w:w="0" w:type="auto"/>
        <w:tblCellSpacing w:w="45" w:type="dxa"/>
        <w:tblInd w:w="0" w:type="dxa"/>
        <w:tblLayout w:type="autofit"/>
        <w:tblCellMar>
          <w:top w:w="30" w:type="dxa"/>
          <w:left w:w="30" w:type="dxa"/>
          <w:bottom w:w="30" w:type="dxa"/>
          <w:right w:w="30" w:type="dxa"/>
        </w:tblCellMar>
      </w:tblPr>
      <w:tblGrid>
        <w:gridCol w:w="462"/>
        <w:gridCol w:w="8084"/>
      </w:tblGrid>
      <w:tr w14:paraId="48C8E52A">
        <w:tblPrEx>
          <w:tblCellMar>
            <w:top w:w="30" w:type="dxa"/>
            <w:left w:w="30" w:type="dxa"/>
            <w:bottom w:w="30" w:type="dxa"/>
            <w:right w:w="30" w:type="dxa"/>
          </w:tblCellMar>
        </w:tblPrEx>
        <w:trPr>
          <w:tblCellSpacing w:w="45" w:type="dxa"/>
        </w:trPr>
        <w:tc>
          <w:tcPr>
            <w:tcW w:w="0" w:type="auto"/>
            <w:shd w:val="clear" w:color="auto" w:fill="auto"/>
          </w:tcPr>
          <w:p w14:paraId="4A7AC1D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w:t>
            </w:r>
          </w:p>
        </w:tc>
        <w:tc>
          <w:tcPr>
            <w:tcW w:w="0" w:type="auto"/>
            <w:shd w:val="clear" w:color="auto" w:fill="auto"/>
            <w:vAlign w:val="center"/>
          </w:tcPr>
          <w:p w14:paraId="76E6365B">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Devalle S, de Paula VS, de Oliveira JM, et al. 2003. Hepatitis A virus infection in hepatitis C Brazilian patients, J Infect. Aug;47(2):125-128.</w:t>
            </w:r>
          </w:p>
        </w:tc>
      </w:tr>
      <w:tr w14:paraId="18D8EBB0">
        <w:tblPrEx>
          <w:tblCellMar>
            <w:top w:w="30" w:type="dxa"/>
            <w:left w:w="30" w:type="dxa"/>
            <w:bottom w:w="30" w:type="dxa"/>
            <w:right w:w="30" w:type="dxa"/>
          </w:tblCellMar>
        </w:tblPrEx>
        <w:trPr>
          <w:tblCellSpacing w:w="45" w:type="dxa"/>
        </w:trPr>
        <w:tc>
          <w:tcPr>
            <w:tcW w:w="0" w:type="auto"/>
            <w:shd w:val="clear" w:color="auto" w:fill="auto"/>
          </w:tcPr>
          <w:p w14:paraId="688C966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[2]</w:t>
            </w:r>
          </w:p>
        </w:tc>
        <w:tc>
          <w:tcPr>
            <w:tcW w:w="0" w:type="auto"/>
            <w:shd w:val="clear" w:color="auto" w:fill="auto"/>
            <w:vAlign w:val="center"/>
          </w:tcPr>
          <w:p w14:paraId="4F4CF132">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Koff RS, 2001. Risks associated with hepatitis A and hepatitis B in patients with hepatitis C, J Clin Gastroenterol. Jul;33(1):20-26.</w:t>
            </w:r>
          </w:p>
        </w:tc>
      </w:tr>
      <w:tr w14:paraId="1EFF18BC">
        <w:tblPrEx>
          <w:tblCellMar>
            <w:top w:w="30" w:type="dxa"/>
            <w:left w:w="30" w:type="dxa"/>
            <w:bottom w:w="30" w:type="dxa"/>
            <w:right w:w="30" w:type="dxa"/>
          </w:tblCellMar>
        </w:tblPrEx>
        <w:trPr>
          <w:tblCellSpacing w:w="45" w:type="dxa"/>
        </w:trPr>
        <w:tc>
          <w:tcPr>
            <w:tcW w:w="0" w:type="auto"/>
            <w:shd w:val="clear" w:color="auto" w:fill="auto"/>
          </w:tcPr>
          <w:p w14:paraId="30A53CE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[3]</w:t>
            </w:r>
          </w:p>
        </w:tc>
        <w:tc>
          <w:tcPr>
            <w:tcW w:w="0" w:type="auto"/>
            <w:shd w:val="clear" w:color="auto" w:fill="auto"/>
            <w:vAlign w:val="center"/>
          </w:tcPr>
          <w:p w14:paraId="5E3D38C9">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Vento S, 2000. Fulminant hepatitis associated with hepatitis A virus superinfection in patients with chronic hepatitis C, J Viral Hepat. May;7 Suppl 1:7-8.</w:t>
            </w:r>
          </w:p>
        </w:tc>
      </w:tr>
      <w:tr w14:paraId="20C8B700">
        <w:tblPrEx>
          <w:tblCellMar>
            <w:top w:w="30" w:type="dxa"/>
            <w:left w:w="30" w:type="dxa"/>
            <w:bottom w:w="30" w:type="dxa"/>
            <w:right w:w="30" w:type="dxa"/>
          </w:tblCellMar>
        </w:tblPrEx>
        <w:trPr>
          <w:tblCellSpacing w:w="45" w:type="dxa"/>
        </w:trPr>
        <w:tc>
          <w:tcPr>
            <w:tcW w:w="0" w:type="auto"/>
            <w:shd w:val="clear" w:color="auto" w:fill="auto"/>
          </w:tcPr>
          <w:p w14:paraId="643F8A9C">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[4]</w:t>
            </w:r>
          </w:p>
        </w:tc>
        <w:tc>
          <w:tcPr>
            <w:tcW w:w="0" w:type="auto"/>
            <w:shd w:val="clear" w:color="auto" w:fill="auto"/>
            <w:vAlign w:val="center"/>
          </w:tcPr>
          <w:p w14:paraId="6F52C615">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J.T. Stapleton, 1995. Host immune response to hepatitis A virus. Journal Infect Dis. 171(S1):S9-S14.</w:t>
            </w:r>
          </w:p>
        </w:tc>
      </w:tr>
      <w:tr w14:paraId="6DF4CD54">
        <w:tblPrEx>
          <w:tblCellMar>
            <w:top w:w="30" w:type="dxa"/>
            <w:left w:w="30" w:type="dxa"/>
            <w:bottom w:w="30" w:type="dxa"/>
            <w:right w:w="30" w:type="dxa"/>
          </w:tblCellMar>
        </w:tblPrEx>
        <w:trPr>
          <w:tblCellSpacing w:w="45" w:type="dxa"/>
        </w:trPr>
        <w:tc>
          <w:tcPr>
            <w:tcW w:w="0" w:type="auto"/>
            <w:shd w:val="clear" w:color="auto" w:fill="auto"/>
          </w:tcPr>
          <w:p w14:paraId="20F80DB4">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[5]</w:t>
            </w:r>
          </w:p>
        </w:tc>
        <w:tc>
          <w:tcPr>
            <w:tcW w:w="0" w:type="auto"/>
            <w:shd w:val="clear" w:color="auto" w:fill="auto"/>
            <w:vAlign w:val="center"/>
          </w:tcPr>
          <w:p w14:paraId="34B8DF86">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F.B. Hollinger and S.U. Emerson, 2001. Hepatitis A virus. Fields Virology 4th ed. D.M. Knipe et al., eds. Lippincott Williams &amp; Wilkins, Phila., 799-840.</w:t>
            </w:r>
          </w:p>
        </w:tc>
      </w:tr>
      <w:tr w14:paraId="36A148AE">
        <w:tblPrEx>
          <w:tblCellMar>
            <w:top w:w="30" w:type="dxa"/>
            <w:left w:w="30" w:type="dxa"/>
            <w:bottom w:w="30" w:type="dxa"/>
            <w:right w:w="30" w:type="dxa"/>
          </w:tblCellMar>
        </w:tblPrEx>
        <w:trPr>
          <w:tblCellSpacing w:w="45" w:type="dxa"/>
        </w:trPr>
        <w:tc>
          <w:tcPr>
            <w:tcW w:w="0" w:type="auto"/>
            <w:shd w:val="clear" w:color="auto" w:fill="auto"/>
          </w:tcPr>
          <w:p w14:paraId="0216964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[6]</w:t>
            </w:r>
          </w:p>
        </w:tc>
        <w:tc>
          <w:tcPr>
            <w:tcW w:w="0" w:type="auto"/>
            <w:shd w:val="clear" w:color="auto" w:fill="auto"/>
            <w:vAlign w:val="center"/>
          </w:tcPr>
          <w:p w14:paraId="5469A069">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CDC, Epidemiology Program Office, Division of Public Health Surveillance and Informatics,</w:t>
            </w:r>
            <w:r>
              <w:fldChar w:fldCharType="begin"/>
            </w:r>
            <w:r>
              <w:instrText xml:space="preserve"> HYPERLINK "http://www.cdc.gov/ncphi/disss/nndss/phs/infdis.htm" </w:instrText>
            </w:r>
            <w:r>
              <w:fldChar w:fldCharType="separate"/>
            </w:r>
            <w:r>
              <w:rPr>
                <w:rFonts w:ascii="Arial" w:hAnsi="Arial" w:eastAsia="宋体" w:cs="Arial"/>
                <w:color w:val="800080"/>
                <w:kern w:val="0"/>
                <w:sz w:val="24"/>
                <w:szCs w:val="24"/>
                <w:u w:val="single"/>
              </w:rPr>
              <w:t>Nationally Notifiable Infectious Diseases</w:t>
            </w:r>
            <w:r>
              <w:rPr>
                <w:rFonts w:ascii="Arial" w:hAnsi="Arial" w:eastAsia="宋体" w:cs="Arial"/>
                <w:color w:val="800080"/>
                <w:kern w:val="0"/>
                <w:sz w:val="24"/>
                <w:szCs w:val="24"/>
                <w:u w:val="single"/>
              </w:rPr>
              <w:fldChar w:fldCharType="end"/>
            </w:r>
            <w:r>
              <w:rPr>
                <w:rFonts w:ascii="Arial" w:hAnsi="Arial" w:eastAsia="宋体" w:cs="Arial"/>
                <w:kern w:val="0"/>
                <w:sz w:val="24"/>
                <w:szCs w:val="24"/>
              </w:rPr>
              <w:t>.</w:t>
            </w:r>
          </w:p>
        </w:tc>
      </w:tr>
      <w:tr w14:paraId="2CD5EDAE">
        <w:tblPrEx>
          <w:tblCellMar>
            <w:top w:w="30" w:type="dxa"/>
            <w:left w:w="30" w:type="dxa"/>
            <w:bottom w:w="30" w:type="dxa"/>
            <w:right w:w="30" w:type="dxa"/>
          </w:tblCellMar>
        </w:tblPrEx>
        <w:trPr>
          <w:tblCellSpacing w:w="45" w:type="dxa"/>
        </w:trPr>
        <w:tc>
          <w:tcPr>
            <w:tcW w:w="0" w:type="auto"/>
            <w:shd w:val="clear" w:color="auto" w:fill="auto"/>
          </w:tcPr>
          <w:p w14:paraId="1069B859">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[7]</w:t>
            </w:r>
          </w:p>
        </w:tc>
        <w:tc>
          <w:tcPr>
            <w:tcW w:w="0" w:type="auto"/>
            <w:shd w:val="clear" w:color="auto" w:fill="auto"/>
            <w:vAlign w:val="center"/>
          </w:tcPr>
          <w:p w14:paraId="34F7D382">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Poltera A, Herzog C, 2001. Vaccine-induced antibodies assessed by commercial test kits, the case of the Rubini mumps and the Edmonston-Zagreb measles vaccine strains, Vaccine 19:396-398.</w:t>
            </w:r>
          </w:p>
        </w:tc>
      </w:tr>
    </w:tbl>
    <w:p w14:paraId="24837B1B">
      <w:r>
        <w:br w:type="page"/>
      </w:r>
    </w:p>
    <w:tbl>
      <w:tblPr>
        <w:tblStyle w:val="5"/>
        <w:tblW w:w="0" w:type="auto"/>
        <w:tblCellSpacing w:w="45" w:type="dxa"/>
        <w:tblInd w:w="0" w:type="dxa"/>
        <w:tblLayout w:type="autofit"/>
        <w:tblCellMar>
          <w:top w:w="30" w:type="dxa"/>
          <w:left w:w="30" w:type="dxa"/>
          <w:bottom w:w="30" w:type="dxa"/>
          <w:right w:w="30" w:type="dxa"/>
        </w:tblCellMar>
      </w:tblPr>
      <w:tblGrid>
        <w:gridCol w:w="596"/>
        <w:gridCol w:w="7950"/>
      </w:tblGrid>
      <w:tr w14:paraId="4DF9B4FE">
        <w:tblPrEx>
          <w:tblCellMar>
            <w:top w:w="30" w:type="dxa"/>
            <w:left w:w="30" w:type="dxa"/>
            <w:bottom w:w="30" w:type="dxa"/>
            <w:right w:w="30" w:type="dxa"/>
          </w:tblCellMar>
        </w:tblPrEx>
        <w:trPr>
          <w:tblCellSpacing w:w="45" w:type="dxa"/>
        </w:trPr>
        <w:tc>
          <w:tcPr>
            <w:tcW w:w="0" w:type="auto"/>
            <w:shd w:val="clear" w:color="auto" w:fill="auto"/>
          </w:tcPr>
          <w:p w14:paraId="2E2BD774">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[8]</w:t>
            </w:r>
          </w:p>
        </w:tc>
        <w:tc>
          <w:tcPr>
            <w:tcW w:w="0" w:type="auto"/>
            <w:shd w:val="clear" w:color="auto" w:fill="auto"/>
            <w:vAlign w:val="center"/>
          </w:tcPr>
          <w:p w14:paraId="075B033E">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Procedures for the Handling and Processing of Blood Specimens; Approved Guideline—Third Edition. CLSI document H18-A3 (ISBN 1-56238-555-0). CLSI, 940 West Valley Road, Suite 1400, Wayne, Pennsylvania 19087-1898 USA, 2004.</w:t>
            </w:r>
          </w:p>
        </w:tc>
      </w:tr>
      <w:tr w14:paraId="2DF195AF">
        <w:tblPrEx>
          <w:tblCellMar>
            <w:top w:w="30" w:type="dxa"/>
            <w:left w:w="30" w:type="dxa"/>
            <w:bottom w:w="30" w:type="dxa"/>
            <w:right w:w="30" w:type="dxa"/>
          </w:tblCellMar>
        </w:tblPrEx>
        <w:trPr>
          <w:tblCellSpacing w:w="45" w:type="dxa"/>
        </w:trPr>
        <w:tc>
          <w:tcPr>
            <w:tcW w:w="0" w:type="auto"/>
            <w:shd w:val="clear" w:color="auto" w:fill="auto"/>
          </w:tcPr>
          <w:p w14:paraId="0E2682F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[9]</w:t>
            </w:r>
          </w:p>
        </w:tc>
        <w:tc>
          <w:tcPr>
            <w:tcW w:w="0" w:type="auto"/>
            <w:shd w:val="clear" w:color="auto" w:fill="auto"/>
            <w:vAlign w:val="center"/>
          </w:tcPr>
          <w:p w14:paraId="677BAD57">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Evaluation of Precision Performance of Quantitative Methods; Approved Guideline-Second Edition. CLSI document EP5-A2 (ISBN 1-56238-000-0). CLSI, 940 West Valley Road, Suite 1400, Wayne, Pennsylvania 19087-1898 USA, 2004.</w:t>
            </w:r>
          </w:p>
        </w:tc>
      </w:tr>
      <w:tr w14:paraId="33A4E5EA">
        <w:tblPrEx>
          <w:tblCellMar>
            <w:top w:w="30" w:type="dxa"/>
            <w:left w:w="30" w:type="dxa"/>
            <w:bottom w:w="30" w:type="dxa"/>
            <w:right w:w="30" w:type="dxa"/>
          </w:tblCellMar>
        </w:tblPrEx>
        <w:trPr>
          <w:tblCellSpacing w:w="45" w:type="dxa"/>
        </w:trPr>
        <w:tc>
          <w:tcPr>
            <w:tcW w:w="0" w:type="auto"/>
            <w:shd w:val="clear" w:color="auto" w:fill="auto"/>
          </w:tcPr>
          <w:p w14:paraId="5F594F71">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[10]</w:t>
            </w:r>
          </w:p>
        </w:tc>
        <w:tc>
          <w:tcPr>
            <w:tcW w:w="0" w:type="auto"/>
            <w:shd w:val="clear" w:color="auto" w:fill="auto"/>
            <w:vAlign w:val="center"/>
          </w:tcPr>
          <w:p w14:paraId="6C1B9E0C">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User Verification of Performance for Precision and Trueness; Approved Guideline. CLSI document EP15-A2 [ISBN 1-56238-574-7]. CLSI, 940 West Valley Road, Suite 1400, Wayne, Pennsylvania 19087-1898 USA, 2005.</w:t>
            </w:r>
          </w:p>
        </w:tc>
      </w:tr>
      <w:tr w14:paraId="3605A77E">
        <w:tblPrEx>
          <w:tblCellMar>
            <w:top w:w="30" w:type="dxa"/>
            <w:left w:w="30" w:type="dxa"/>
            <w:bottom w:w="30" w:type="dxa"/>
            <w:right w:w="30" w:type="dxa"/>
          </w:tblCellMar>
        </w:tblPrEx>
        <w:trPr>
          <w:tblCellSpacing w:w="45" w:type="dxa"/>
        </w:trPr>
        <w:tc>
          <w:tcPr>
            <w:tcW w:w="0" w:type="auto"/>
            <w:shd w:val="clear" w:color="auto" w:fill="auto"/>
          </w:tcPr>
          <w:p w14:paraId="2B6066BC">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[11]</w:t>
            </w:r>
          </w:p>
        </w:tc>
        <w:tc>
          <w:tcPr>
            <w:tcW w:w="0" w:type="auto"/>
            <w:shd w:val="clear" w:color="auto" w:fill="auto"/>
            <w:vAlign w:val="center"/>
          </w:tcPr>
          <w:p w14:paraId="61896F97">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User Protocol for Evaluation of Qualitative Test Performance; Approved Guideline. CLSI document EP12-A (ISBN 1-56238-468-6). CLSI, 940 West Valley Road, Suite 1400, Wayne, Pennsylvania 19087-1898 USA, 2002.</w:t>
            </w:r>
          </w:p>
        </w:tc>
      </w:tr>
      <w:tr w14:paraId="6BDF13B7">
        <w:tblPrEx>
          <w:tblCellMar>
            <w:top w:w="30" w:type="dxa"/>
            <w:left w:w="30" w:type="dxa"/>
            <w:bottom w:w="30" w:type="dxa"/>
            <w:right w:w="30" w:type="dxa"/>
          </w:tblCellMar>
        </w:tblPrEx>
        <w:trPr>
          <w:tblCellSpacing w:w="45" w:type="dxa"/>
        </w:trPr>
        <w:tc>
          <w:tcPr>
            <w:tcW w:w="0" w:type="auto"/>
            <w:shd w:val="clear" w:color="auto" w:fill="auto"/>
          </w:tcPr>
          <w:p w14:paraId="2D9AE941">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[12]</w:t>
            </w:r>
          </w:p>
        </w:tc>
        <w:tc>
          <w:tcPr>
            <w:tcW w:w="0" w:type="auto"/>
            <w:shd w:val="clear" w:color="auto" w:fill="auto"/>
            <w:vAlign w:val="center"/>
          </w:tcPr>
          <w:p w14:paraId="5330613C">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Interference Testing in Clinical Chemistry; Approved Guideline. CLSI document EP7-A (ISBN 1-56238-468-6). CLSI, 940 West Valley Road, Suite 1400, Wayne, Pennsylvania 19087-1898 USA, 2002.</w:t>
            </w:r>
          </w:p>
        </w:tc>
      </w:tr>
      <w:tr w14:paraId="67BFDAC5">
        <w:tblPrEx>
          <w:tblCellMar>
            <w:top w:w="30" w:type="dxa"/>
            <w:left w:w="30" w:type="dxa"/>
            <w:bottom w:w="30" w:type="dxa"/>
            <w:right w:w="30" w:type="dxa"/>
          </w:tblCellMar>
        </w:tblPrEx>
        <w:trPr>
          <w:tblCellSpacing w:w="45" w:type="dxa"/>
        </w:trPr>
        <w:tc>
          <w:tcPr>
            <w:tcW w:w="0" w:type="auto"/>
            <w:shd w:val="clear" w:color="auto" w:fill="auto"/>
          </w:tcPr>
          <w:p w14:paraId="224506A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[13]</w:t>
            </w:r>
          </w:p>
        </w:tc>
        <w:tc>
          <w:tcPr>
            <w:tcW w:w="0" w:type="auto"/>
            <w:shd w:val="clear" w:color="auto" w:fill="auto"/>
            <w:vAlign w:val="center"/>
          </w:tcPr>
          <w:p w14:paraId="2932BC46">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Clinical and Laboratory Standards Institute (CLSI). Method Comparison and Bias Estimation Using Patient Samples; Approved Guideline – Second Edition. CLSI document EP9-A2 (ISBN 1-56238-472-4). CLSI, 940 West Valley Road, Suite 1400, Wayne, Pennsylvania 19087, 2002.</w:t>
            </w:r>
          </w:p>
        </w:tc>
      </w:tr>
      <w:tr w14:paraId="71DEB5A8">
        <w:tblPrEx>
          <w:tblCellMar>
            <w:top w:w="30" w:type="dxa"/>
            <w:left w:w="30" w:type="dxa"/>
            <w:bottom w:w="30" w:type="dxa"/>
            <w:right w:w="30" w:type="dxa"/>
          </w:tblCellMar>
        </w:tblPrEx>
        <w:trPr>
          <w:tblCellSpacing w:w="45" w:type="dxa"/>
        </w:trPr>
        <w:tc>
          <w:tcPr>
            <w:tcW w:w="0" w:type="auto"/>
            <w:shd w:val="clear" w:color="auto" w:fill="auto"/>
          </w:tcPr>
          <w:p w14:paraId="670EEE36">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[14]</w:t>
            </w:r>
          </w:p>
        </w:tc>
        <w:tc>
          <w:tcPr>
            <w:tcW w:w="0" w:type="auto"/>
            <w:shd w:val="clear" w:color="auto" w:fill="auto"/>
            <w:vAlign w:val="center"/>
          </w:tcPr>
          <w:p w14:paraId="2C03E939">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World Health Organization, Use of Anticoagulants in Diagnostic Laboratory Investigations, WHO/DIL/LAB/99.1 Rev.2.</w:t>
            </w:r>
          </w:p>
        </w:tc>
      </w:tr>
      <w:tr w14:paraId="1C387FA9">
        <w:tblPrEx>
          <w:tblCellMar>
            <w:top w:w="30" w:type="dxa"/>
            <w:left w:w="30" w:type="dxa"/>
            <w:bottom w:w="30" w:type="dxa"/>
            <w:right w:w="30" w:type="dxa"/>
          </w:tblCellMar>
        </w:tblPrEx>
        <w:trPr>
          <w:tblCellSpacing w:w="45" w:type="dxa"/>
        </w:trPr>
        <w:tc>
          <w:tcPr>
            <w:tcW w:w="0" w:type="auto"/>
            <w:shd w:val="clear" w:color="auto" w:fill="auto"/>
          </w:tcPr>
          <w:p w14:paraId="47BBE954">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[15]</w:t>
            </w:r>
          </w:p>
        </w:tc>
        <w:tc>
          <w:tcPr>
            <w:tcW w:w="0" w:type="auto"/>
            <w:shd w:val="clear" w:color="auto" w:fill="auto"/>
            <w:vAlign w:val="center"/>
          </w:tcPr>
          <w:p w14:paraId="0DA79E7F">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t>de Paula VS, Villar LM, Morais LM, et al., 2004. Detection of hepatitis A virus RNA in serum during the window period of infection, J Clin Virol. (29):254-259.</w:t>
            </w:r>
          </w:p>
        </w:tc>
      </w:tr>
    </w:tbl>
    <w:p w14:paraId="2241D00C">
      <w:pPr>
        <w:snapToGrid w:val="0"/>
        <w:spacing w:line="300" w:lineRule="auto"/>
        <w:rPr>
          <w:rFonts w:ascii="Arial" w:hAnsi="Arial" w:eastAsia="宋体" w:cs="Arial"/>
        </w:rPr>
      </w:pPr>
    </w:p>
    <w:p w14:paraId="7975FC6D">
      <w:pPr>
        <w:snapToGrid w:val="0"/>
        <w:spacing w:line="300" w:lineRule="auto"/>
        <w:rPr>
          <w:rFonts w:ascii="Arial" w:hAnsi="Arial" w:eastAsia="宋体" w:cs="Arial"/>
        </w:rPr>
      </w:pPr>
    </w:p>
    <w:p w14:paraId="6C0A9FB1">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94615</wp:posOffset>
                </wp:positionV>
                <wp:extent cx="2089785" cy="0"/>
                <wp:effectExtent l="0" t="0" r="24765" b="19050"/>
                <wp:wrapNone/>
                <wp:docPr id="7" name="直接连接符 7"/>
                <wp:cNvGraphicFramePr/>
                <a:graphic xmlns:a="http://schemas.openxmlformats.org/drawingml/2006/main">
                  <a:graphicData uri="http://schemas.microsoft.com/office/word/2010/wordprocessingShape">
                    <wps:wsp>
                      <wps:cNvCnPr/>
                      <wps:spPr>
                        <a:xfrm>
                          <a:off x="0" y="0"/>
                          <a:ext cx="20900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7.45pt;height:0pt;width:164.55pt;z-index:251662336;mso-width-relative:page;mso-height-relative:page;" filled="f" stroked="t" coordsize="21600,21600" o:gfxdata="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U4Lw1AAAAAcBAAAPAAAAAAAAAAEAIAAA&#10;ACIAAABkcnMvZG93bnJldi54bWxQSwECFAAUAAAACACHTuJALw3rStcBAACaAwAADgAAAAAAAAAB&#10;ACAAAAAjAQAAZHJzL2Uyb0RvYy54bWxQSwUGAAAAAAYABgBZAQAAbAUAAAAA&#10;">
                <v:fill on="f" focussize="0,0"/>
                <v:stroke color="#000000 [3213]" joinstyle="round"/>
                <v:imagedata o:title=""/>
                <o:lock v:ext="edit" aspectratio="f"/>
              </v:line>
            </w:pict>
          </mc:Fallback>
        </mc:AlternateContent>
      </w:r>
    </w:p>
    <w:p w14:paraId="1DC4FCD5">
      <w:pPr>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rPr>
        <w:t>与21 CFR第866部分第D子部分在其他分类法规标题中使用了“试剂”这个术语不同，FDA现在使用“检测（assays）”表示这种器械。这样做是因为该术语更准确地反映了这种类型的器械。</w:t>
      </w:r>
    </w:p>
    <w:p w14:paraId="0F2781C4">
      <w:pPr>
        <w:snapToGrid w:val="0"/>
        <w:spacing w:line="300" w:lineRule="auto"/>
        <w:rPr>
          <w:rFonts w:ascii="Arial" w:hAnsi="Arial" w:eastAsia="宋体" w:cs="Arial"/>
        </w:rPr>
      </w:pPr>
      <w:r>
        <w:rPr>
          <w:rFonts w:ascii="Arial" w:hAnsi="Arial" w:eastAsia="宋体" w:cs="Arial"/>
          <w:vertAlign w:val="superscript"/>
        </w:rPr>
        <w:t>2</w:t>
      </w:r>
      <w:r>
        <w:rPr>
          <w:rFonts w:ascii="Arial" w:hAnsi="Arial" w:eastAsia="宋体" w:cs="Arial"/>
        </w:rPr>
        <w:t>见适应症表（PDF文件大小：1.03MB）</w:t>
      </w:r>
    </w:p>
    <w:p w14:paraId="26D396E0">
      <w:pPr>
        <w:snapToGrid w:val="0"/>
        <w:spacing w:line="300" w:lineRule="auto"/>
        <w:rPr>
          <w:rFonts w:ascii="Arial" w:hAnsi="Arial" w:eastAsia="宋体" w:cs="Arial"/>
        </w:rPr>
      </w:pPr>
      <w:r>
        <w:rPr>
          <w:rFonts w:ascii="Arial" w:hAnsi="Arial" w:eastAsia="宋体" w:cs="Arial"/>
          <w:vertAlign w:val="superscript"/>
        </w:rPr>
        <w:t>3</w:t>
      </w:r>
      <w:r>
        <w:rPr>
          <w:rFonts w:ascii="Arial" w:hAnsi="Arial" w:eastAsia="宋体" w:cs="Arial"/>
        </w:rPr>
        <w:t>如果FDA根据验收标准做出了实质等同认定，在进入州际贸易前应对对象器械进行检测并表明符合这些验收标准。</w:t>
      </w:r>
    </w:p>
    <w:p w14:paraId="26ABCB5D">
      <w:pPr>
        <w:snapToGrid w:val="0"/>
        <w:spacing w:line="300" w:lineRule="auto"/>
        <w:rPr>
          <w:rFonts w:ascii="Arial" w:hAnsi="Arial" w:eastAsia="宋体" w:cs="Arial"/>
        </w:rPr>
      </w:pPr>
      <w:r>
        <w:rPr>
          <w:rFonts w:ascii="Arial" w:hAnsi="Arial" w:eastAsia="宋体" w:cs="Arial"/>
          <w:vertAlign w:val="superscript"/>
        </w:rPr>
        <w:t>4</w:t>
      </w:r>
      <w:r>
        <w:rPr>
          <w:rFonts w:ascii="Arial" w:hAnsi="Arial" w:eastAsia="宋体" w:cs="Arial"/>
        </w:rPr>
        <w:t>见：</w:t>
      </w:r>
      <w:r>
        <w:rPr>
          <w:rFonts w:ascii="Arial" w:hAnsi="Arial" w:eastAsia="宋体" w:cs="Arial"/>
          <w:color w:val="800080"/>
          <w:u w:val="single"/>
        </w:rPr>
        <w:t>公认标准一致性声明的必要元素</w:t>
      </w:r>
      <w:r>
        <w:rPr>
          <w:rFonts w:ascii="Arial" w:hAnsi="Arial" w:eastAsia="宋体" w:cs="Arial"/>
        </w:rPr>
        <w:t>（</w:t>
      </w:r>
      <w:r>
        <w:rPr>
          <w:rFonts w:ascii="Arial" w:hAnsi="Arial" w:eastAsia="宋体" w:cs="Arial"/>
          <w:b/>
        </w:rPr>
        <w:t>适用于所有上市前通告510（k）提交的清单</w:t>
      </w:r>
      <w:r>
        <w:rPr>
          <w:rFonts w:ascii="Arial" w:hAnsi="Arial" w:eastAsia="宋体" w:cs="Arial"/>
        </w:rPr>
        <w:t>）</w:t>
      </w:r>
    </w:p>
    <w:p w14:paraId="6209120D">
      <w:pPr>
        <w:snapToGrid w:val="0"/>
        <w:spacing w:line="300" w:lineRule="auto"/>
        <w:rPr>
          <w:rFonts w:ascii="Arial" w:hAnsi="Arial" w:eastAsia="宋体" w:cs="Arial"/>
        </w:rPr>
      </w:pPr>
      <w:r>
        <w:rPr>
          <w:rFonts w:ascii="Arial" w:hAnsi="Arial" w:eastAsia="宋体" w:cs="Arial"/>
          <w:vertAlign w:val="superscript"/>
        </w:rPr>
        <w:t>5</w:t>
      </w:r>
      <w:r>
        <w:rPr>
          <w:rFonts w:ascii="Arial" w:hAnsi="Arial" w:eastAsia="宋体" w:cs="Arial"/>
        </w:rPr>
        <w:t>HAV疫苗效力较高，对接种疫苗后的效力检测无推荐规范。在抗-HAV患病率较高的地方以及既往接种史不详时，可能会要求进行接种前检测。[美国卫生和公众服务部疾病预防控制中心国家免疫规划办公室，甲型肝炎，疫苗可预防疾病的流行病学和预防，第8版] 因此，抗-HAV IgM和总抗体检测器械应证明其具备检测疫苗诱导抗-HAV的能力，使既往接种过疫苗者不会重复接种。</w:t>
      </w:r>
    </w:p>
    <w:p w14:paraId="34FC47DE">
      <w:pPr>
        <w:snapToGrid w:val="0"/>
        <w:spacing w:line="300" w:lineRule="auto"/>
        <w:rPr>
          <w:rFonts w:ascii="Arial" w:hAnsi="Arial" w:eastAsia="宋体" w:cs="Arial"/>
        </w:rPr>
      </w:pPr>
    </w:p>
    <w:p w14:paraId="7A3F5010">
      <w:pPr>
        <w:snapToGrid w:val="0"/>
        <w:spacing w:line="300" w:lineRule="auto"/>
        <w:rPr>
          <w:rFonts w:ascii="Arial" w:hAnsi="Arial" w:eastAsia="宋体" w:cs="Arial"/>
        </w:rPr>
      </w:pPr>
    </w:p>
    <w:p w14:paraId="6A8E1717">
      <w:pPr>
        <w:snapToGrid w:val="0"/>
        <w:spacing w:line="300" w:lineRule="auto"/>
        <w:rPr>
          <w:rFonts w:ascii="Arial" w:hAnsi="Arial" w:eastAsia="宋体" w:cs="Arial"/>
        </w:rPr>
      </w:pPr>
    </w:p>
    <w:p w14:paraId="4380D869">
      <w:pPr>
        <w:snapToGrid w:val="0"/>
        <w:spacing w:line="300" w:lineRule="auto"/>
        <w:rPr>
          <w:rFonts w:ascii="Arial" w:hAnsi="Arial" w:eastAsia="宋体" w:cs="Arial"/>
        </w:rPr>
      </w:pPr>
    </w:p>
    <w:p w14:paraId="6A428E22">
      <w:pPr>
        <w:snapToGrid w:val="0"/>
        <w:spacing w:line="300" w:lineRule="auto"/>
        <w:rPr>
          <w:rFonts w:hint="eastAsia" w:eastAsia="宋体"/>
          <w:lang w:eastAsia="zh-CN"/>
        </w:rPr>
      </w:pPr>
    </w:p>
    <w:p w14:paraId="4966525F">
      <w:pPr>
        <w:snapToGrid w:val="0"/>
        <w:spacing w:line="300" w:lineRule="auto"/>
        <w:jc w:val="center"/>
        <w:rPr>
          <w:rFonts w:hint="eastAsia" w:eastAsia="宋体"/>
          <w:lang w:eastAsia="zh-CN"/>
        </w:rPr>
      </w:pPr>
    </w:p>
    <w:p w14:paraId="1B403DCE">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66CB1"/>
    <w:multiLevelType w:val="multilevel"/>
    <w:tmpl w:val="03C66CB1"/>
    <w:lvl w:ilvl="0" w:tentative="0">
      <w:start w:val="1"/>
      <w:numFmt w:val="bullet"/>
      <w:lvlText w:val=""/>
      <w:lvlJc w:val="left"/>
      <w:pPr>
        <w:ind w:left="420" w:hanging="420"/>
      </w:pPr>
      <w:rPr>
        <w:rFonts w:hint="default" w:ascii="Wingdings 2" w:hAnsi="Wingdings 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A878CE"/>
    <w:multiLevelType w:val="multilevel"/>
    <w:tmpl w:val="20A878CE"/>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77D4A6C"/>
    <w:multiLevelType w:val="multilevel"/>
    <w:tmpl w:val="777D4A6C"/>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60"/>
    <w:rsid w:val="0000138F"/>
    <w:rsid w:val="00004DDA"/>
    <w:rsid w:val="000122DC"/>
    <w:rsid w:val="00015D9E"/>
    <w:rsid w:val="000171E6"/>
    <w:rsid w:val="00022DAA"/>
    <w:rsid w:val="00023018"/>
    <w:rsid w:val="00027AD5"/>
    <w:rsid w:val="00034F94"/>
    <w:rsid w:val="00040E72"/>
    <w:rsid w:val="0004380A"/>
    <w:rsid w:val="00052B37"/>
    <w:rsid w:val="00060E97"/>
    <w:rsid w:val="00077458"/>
    <w:rsid w:val="0008653A"/>
    <w:rsid w:val="00086D70"/>
    <w:rsid w:val="000A1FF5"/>
    <w:rsid w:val="000A5184"/>
    <w:rsid w:val="000B2068"/>
    <w:rsid w:val="000B26C9"/>
    <w:rsid w:val="000B4C9B"/>
    <w:rsid w:val="000D4827"/>
    <w:rsid w:val="000E0B08"/>
    <w:rsid w:val="000E213D"/>
    <w:rsid w:val="000E39C0"/>
    <w:rsid w:val="000E74D6"/>
    <w:rsid w:val="000E7673"/>
    <w:rsid w:val="000F148A"/>
    <w:rsid w:val="000F2D65"/>
    <w:rsid w:val="000F35BA"/>
    <w:rsid w:val="000F7003"/>
    <w:rsid w:val="00102F88"/>
    <w:rsid w:val="001061F8"/>
    <w:rsid w:val="00107EAE"/>
    <w:rsid w:val="00121A81"/>
    <w:rsid w:val="00123122"/>
    <w:rsid w:val="0013471D"/>
    <w:rsid w:val="00134C8D"/>
    <w:rsid w:val="001519C9"/>
    <w:rsid w:val="001634E8"/>
    <w:rsid w:val="00163BA3"/>
    <w:rsid w:val="00170815"/>
    <w:rsid w:val="00176672"/>
    <w:rsid w:val="00176AB7"/>
    <w:rsid w:val="001858FE"/>
    <w:rsid w:val="0019652E"/>
    <w:rsid w:val="00197E35"/>
    <w:rsid w:val="001A0658"/>
    <w:rsid w:val="001A335D"/>
    <w:rsid w:val="001A58E1"/>
    <w:rsid w:val="001B41E6"/>
    <w:rsid w:val="001D5E27"/>
    <w:rsid w:val="001E0BDD"/>
    <w:rsid w:val="0020182F"/>
    <w:rsid w:val="00205D0C"/>
    <w:rsid w:val="0020778E"/>
    <w:rsid w:val="00211BB3"/>
    <w:rsid w:val="002179E5"/>
    <w:rsid w:val="002274A9"/>
    <w:rsid w:val="002609F6"/>
    <w:rsid w:val="00273EDC"/>
    <w:rsid w:val="00281044"/>
    <w:rsid w:val="00281F40"/>
    <w:rsid w:val="00284A94"/>
    <w:rsid w:val="00296981"/>
    <w:rsid w:val="002A1AE3"/>
    <w:rsid w:val="002A6D6C"/>
    <w:rsid w:val="002B3F46"/>
    <w:rsid w:val="002B6B28"/>
    <w:rsid w:val="002B77D1"/>
    <w:rsid w:val="002C3917"/>
    <w:rsid w:val="002C694C"/>
    <w:rsid w:val="002C79CF"/>
    <w:rsid w:val="002D010C"/>
    <w:rsid w:val="002D29CE"/>
    <w:rsid w:val="002D51A4"/>
    <w:rsid w:val="002E23D3"/>
    <w:rsid w:val="002E528A"/>
    <w:rsid w:val="002F155A"/>
    <w:rsid w:val="00312381"/>
    <w:rsid w:val="00321A19"/>
    <w:rsid w:val="0032228D"/>
    <w:rsid w:val="00326966"/>
    <w:rsid w:val="00340609"/>
    <w:rsid w:val="00356B64"/>
    <w:rsid w:val="003633F7"/>
    <w:rsid w:val="00364FF6"/>
    <w:rsid w:val="00367250"/>
    <w:rsid w:val="00372332"/>
    <w:rsid w:val="00376675"/>
    <w:rsid w:val="003772B8"/>
    <w:rsid w:val="00382849"/>
    <w:rsid w:val="00386190"/>
    <w:rsid w:val="003920E5"/>
    <w:rsid w:val="00394F6F"/>
    <w:rsid w:val="00396509"/>
    <w:rsid w:val="00396851"/>
    <w:rsid w:val="003A4652"/>
    <w:rsid w:val="003A4C2C"/>
    <w:rsid w:val="003D248A"/>
    <w:rsid w:val="003D67B2"/>
    <w:rsid w:val="003F3D24"/>
    <w:rsid w:val="004041FB"/>
    <w:rsid w:val="0041736D"/>
    <w:rsid w:val="004251D2"/>
    <w:rsid w:val="00430685"/>
    <w:rsid w:val="0043079A"/>
    <w:rsid w:val="00455065"/>
    <w:rsid w:val="0045774D"/>
    <w:rsid w:val="00476F01"/>
    <w:rsid w:val="0049010A"/>
    <w:rsid w:val="004A39DF"/>
    <w:rsid w:val="004A4F45"/>
    <w:rsid w:val="004A63BC"/>
    <w:rsid w:val="004B175F"/>
    <w:rsid w:val="004B1A96"/>
    <w:rsid w:val="004C164D"/>
    <w:rsid w:val="004C30CD"/>
    <w:rsid w:val="004C3468"/>
    <w:rsid w:val="004C3688"/>
    <w:rsid w:val="004C666D"/>
    <w:rsid w:val="004D5DE8"/>
    <w:rsid w:val="004F070B"/>
    <w:rsid w:val="004F42A1"/>
    <w:rsid w:val="00501EAE"/>
    <w:rsid w:val="00506BDF"/>
    <w:rsid w:val="005145B4"/>
    <w:rsid w:val="005238CB"/>
    <w:rsid w:val="00531C75"/>
    <w:rsid w:val="00533C98"/>
    <w:rsid w:val="0055285E"/>
    <w:rsid w:val="005549B5"/>
    <w:rsid w:val="005569DF"/>
    <w:rsid w:val="0056109A"/>
    <w:rsid w:val="00564108"/>
    <w:rsid w:val="00573BF4"/>
    <w:rsid w:val="00574629"/>
    <w:rsid w:val="00575802"/>
    <w:rsid w:val="00576EFF"/>
    <w:rsid w:val="00576F3B"/>
    <w:rsid w:val="0058599F"/>
    <w:rsid w:val="00595560"/>
    <w:rsid w:val="00595A62"/>
    <w:rsid w:val="005972C5"/>
    <w:rsid w:val="005B07BA"/>
    <w:rsid w:val="005B4DA0"/>
    <w:rsid w:val="005C24F7"/>
    <w:rsid w:val="005C480C"/>
    <w:rsid w:val="005D2D11"/>
    <w:rsid w:val="005E1070"/>
    <w:rsid w:val="005E5034"/>
    <w:rsid w:val="005E54A3"/>
    <w:rsid w:val="00611E1A"/>
    <w:rsid w:val="006238BC"/>
    <w:rsid w:val="006312DC"/>
    <w:rsid w:val="006411A3"/>
    <w:rsid w:val="00642606"/>
    <w:rsid w:val="00646EF0"/>
    <w:rsid w:val="006500F3"/>
    <w:rsid w:val="0065333F"/>
    <w:rsid w:val="0065775C"/>
    <w:rsid w:val="006643F5"/>
    <w:rsid w:val="00667664"/>
    <w:rsid w:val="006676BE"/>
    <w:rsid w:val="00671335"/>
    <w:rsid w:val="00675265"/>
    <w:rsid w:val="00677907"/>
    <w:rsid w:val="00690EE9"/>
    <w:rsid w:val="00692A3C"/>
    <w:rsid w:val="006946D4"/>
    <w:rsid w:val="006C20A9"/>
    <w:rsid w:val="006C5E5A"/>
    <w:rsid w:val="006C7A04"/>
    <w:rsid w:val="006D074B"/>
    <w:rsid w:val="006D35DA"/>
    <w:rsid w:val="006E1869"/>
    <w:rsid w:val="006F0453"/>
    <w:rsid w:val="006F22B5"/>
    <w:rsid w:val="007000D5"/>
    <w:rsid w:val="00700109"/>
    <w:rsid w:val="00701728"/>
    <w:rsid w:val="007145F6"/>
    <w:rsid w:val="00717A21"/>
    <w:rsid w:val="00735CB5"/>
    <w:rsid w:val="00735E7A"/>
    <w:rsid w:val="00736B74"/>
    <w:rsid w:val="00741505"/>
    <w:rsid w:val="007437FA"/>
    <w:rsid w:val="00751144"/>
    <w:rsid w:val="007554AA"/>
    <w:rsid w:val="007705F4"/>
    <w:rsid w:val="00770BB2"/>
    <w:rsid w:val="007762B1"/>
    <w:rsid w:val="0077630E"/>
    <w:rsid w:val="00782B30"/>
    <w:rsid w:val="007865C1"/>
    <w:rsid w:val="00795BCF"/>
    <w:rsid w:val="007A7641"/>
    <w:rsid w:val="007B32A9"/>
    <w:rsid w:val="007B67CC"/>
    <w:rsid w:val="007C0E2D"/>
    <w:rsid w:val="007C44E9"/>
    <w:rsid w:val="007C7CCD"/>
    <w:rsid w:val="007D22AF"/>
    <w:rsid w:val="007E227A"/>
    <w:rsid w:val="007E5D75"/>
    <w:rsid w:val="007F026E"/>
    <w:rsid w:val="008076C9"/>
    <w:rsid w:val="008158C4"/>
    <w:rsid w:val="0082256C"/>
    <w:rsid w:val="00826C0F"/>
    <w:rsid w:val="00831FA6"/>
    <w:rsid w:val="008376D4"/>
    <w:rsid w:val="0084209C"/>
    <w:rsid w:val="0084286E"/>
    <w:rsid w:val="0084327C"/>
    <w:rsid w:val="0084656D"/>
    <w:rsid w:val="008522B3"/>
    <w:rsid w:val="00852EAA"/>
    <w:rsid w:val="008629D4"/>
    <w:rsid w:val="00863558"/>
    <w:rsid w:val="008654BB"/>
    <w:rsid w:val="00866396"/>
    <w:rsid w:val="00873666"/>
    <w:rsid w:val="00893921"/>
    <w:rsid w:val="008974B1"/>
    <w:rsid w:val="00897623"/>
    <w:rsid w:val="008E60D6"/>
    <w:rsid w:val="008E703B"/>
    <w:rsid w:val="008F45E3"/>
    <w:rsid w:val="008F4753"/>
    <w:rsid w:val="008F71BE"/>
    <w:rsid w:val="009031F8"/>
    <w:rsid w:val="0090737E"/>
    <w:rsid w:val="00910AC2"/>
    <w:rsid w:val="00932CBD"/>
    <w:rsid w:val="009332AC"/>
    <w:rsid w:val="00941DF8"/>
    <w:rsid w:val="0094775E"/>
    <w:rsid w:val="00947CAE"/>
    <w:rsid w:val="0095032F"/>
    <w:rsid w:val="00950405"/>
    <w:rsid w:val="00953160"/>
    <w:rsid w:val="00954177"/>
    <w:rsid w:val="009600C2"/>
    <w:rsid w:val="00967D24"/>
    <w:rsid w:val="00977C77"/>
    <w:rsid w:val="009858DB"/>
    <w:rsid w:val="009A3153"/>
    <w:rsid w:val="009A5B5A"/>
    <w:rsid w:val="009B0DB7"/>
    <w:rsid w:val="009C1271"/>
    <w:rsid w:val="009C64A6"/>
    <w:rsid w:val="009E366C"/>
    <w:rsid w:val="009F1336"/>
    <w:rsid w:val="009F5744"/>
    <w:rsid w:val="009F6154"/>
    <w:rsid w:val="009F6A55"/>
    <w:rsid w:val="009F6FAA"/>
    <w:rsid w:val="00A02DD2"/>
    <w:rsid w:val="00A16CFD"/>
    <w:rsid w:val="00A176DA"/>
    <w:rsid w:val="00A25629"/>
    <w:rsid w:val="00A36D4E"/>
    <w:rsid w:val="00A440CE"/>
    <w:rsid w:val="00A450CB"/>
    <w:rsid w:val="00A457B1"/>
    <w:rsid w:val="00A47699"/>
    <w:rsid w:val="00A51FA7"/>
    <w:rsid w:val="00A6154A"/>
    <w:rsid w:val="00A61DCC"/>
    <w:rsid w:val="00A64FA9"/>
    <w:rsid w:val="00A65321"/>
    <w:rsid w:val="00A71843"/>
    <w:rsid w:val="00A762BF"/>
    <w:rsid w:val="00A82074"/>
    <w:rsid w:val="00A84485"/>
    <w:rsid w:val="00A94BA5"/>
    <w:rsid w:val="00A965D6"/>
    <w:rsid w:val="00AA48AE"/>
    <w:rsid w:val="00AA64DE"/>
    <w:rsid w:val="00AA73B9"/>
    <w:rsid w:val="00AC0FEE"/>
    <w:rsid w:val="00AC22FA"/>
    <w:rsid w:val="00AC40FC"/>
    <w:rsid w:val="00AC45BF"/>
    <w:rsid w:val="00AD4180"/>
    <w:rsid w:val="00AD6FF8"/>
    <w:rsid w:val="00AE0EAA"/>
    <w:rsid w:val="00AE1B80"/>
    <w:rsid w:val="00AE5B97"/>
    <w:rsid w:val="00AF472A"/>
    <w:rsid w:val="00AF779C"/>
    <w:rsid w:val="00B117ED"/>
    <w:rsid w:val="00B1678A"/>
    <w:rsid w:val="00B275EC"/>
    <w:rsid w:val="00B3141C"/>
    <w:rsid w:val="00B34EC0"/>
    <w:rsid w:val="00B41EEC"/>
    <w:rsid w:val="00B447F4"/>
    <w:rsid w:val="00B46377"/>
    <w:rsid w:val="00B46ABF"/>
    <w:rsid w:val="00B564BE"/>
    <w:rsid w:val="00B56FC3"/>
    <w:rsid w:val="00B624EB"/>
    <w:rsid w:val="00B65148"/>
    <w:rsid w:val="00B65AA4"/>
    <w:rsid w:val="00BA0292"/>
    <w:rsid w:val="00BA209F"/>
    <w:rsid w:val="00BA622B"/>
    <w:rsid w:val="00BB1962"/>
    <w:rsid w:val="00BB216C"/>
    <w:rsid w:val="00BD314A"/>
    <w:rsid w:val="00BE0104"/>
    <w:rsid w:val="00BE5C18"/>
    <w:rsid w:val="00BE73F7"/>
    <w:rsid w:val="00BF1076"/>
    <w:rsid w:val="00BF57CE"/>
    <w:rsid w:val="00BF5985"/>
    <w:rsid w:val="00BF62F0"/>
    <w:rsid w:val="00BF790D"/>
    <w:rsid w:val="00BF793D"/>
    <w:rsid w:val="00BF7DE8"/>
    <w:rsid w:val="00C04B78"/>
    <w:rsid w:val="00C06E36"/>
    <w:rsid w:val="00C108EC"/>
    <w:rsid w:val="00C16F4D"/>
    <w:rsid w:val="00C1794F"/>
    <w:rsid w:val="00C24B3D"/>
    <w:rsid w:val="00C26CCB"/>
    <w:rsid w:val="00C30F30"/>
    <w:rsid w:val="00C33EAF"/>
    <w:rsid w:val="00C36121"/>
    <w:rsid w:val="00C44A77"/>
    <w:rsid w:val="00C45918"/>
    <w:rsid w:val="00C46A69"/>
    <w:rsid w:val="00C609C5"/>
    <w:rsid w:val="00C614A4"/>
    <w:rsid w:val="00C62329"/>
    <w:rsid w:val="00C709CE"/>
    <w:rsid w:val="00C85AA3"/>
    <w:rsid w:val="00C86D00"/>
    <w:rsid w:val="00C92C07"/>
    <w:rsid w:val="00C96123"/>
    <w:rsid w:val="00CB4D98"/>
    <w:rsid w:val="00CD4510"/>
    <w:rsid w:val="00CD79E2"/>
    <w:rsid w:val="00CF305C"/>
    <w:rsid w:val="00D004AF"/>
    <w:rsid w:val="00D0526E"/>
    <w:rsid w:val="00D1527B"/>
    <w:rsid w:val="00D20BF0"/>
    <w:rsid w:val="00D210F6"/>
    <w:rsid w:val="00D216BE"/>
    <w:rsid w:val="00D21C63"/>
    <w:rsid w:val="00D27D04"/>
    <w:rsid w:val="00D31A9D"/>
    <w:rsid w:val="00D430A9"/>
    <w:rsid w:val="00D5010D"/>
    <w:rsid w:val="00D579B5"/>
    <w:rsid w:val="00D6354A"/>
    <w:rsid w:val="00D674FD"/>
    <w:rsid w:val="00D71BC7"/>
    <w:rsid w:val="00D734F2"/>
    <w:rsid w:val="00D739C5"/>
    <w:rsid w:val="00D7424D"/>
    <w:rsid w:val="00D75454"/>
    <w:rsid w:val="00D75F69"/>
    <w:rsid w:val="00D81691"/>
    <w:rsid w:val="00D83A96"/>
    <w:rsid w:val="00D8425E"/>
    <w:rsid w:val="00DA5A57"/>
    <w:rsid w:val="00DC2D90"/>
    <w:rsid w:val="00DC3A38"/>
    <w:rsid w:val="00DC4C83"/>
    <w:rsid w:val="00DC677B"/>
    <w:rsid w:val="00DD1E02"/>
    <w:rsid w:val="00DD3980"/>
    <w:rsid w:val="00DD7632"/>
    <w:rsid w:val="00DE40BD"/>
    <w:rsid w:val="00DF13B3"/>
    <w:rsid w:val="00DF22C3"/>
    <w:rsid w:val="00DF62B1"/>
    <w:rsid w:val="00E06E1A"/>
    <w:rsid w:val="00E25C51"/>
    <w:rsid w:val="00E41A23"/>
    <w:rsid w:val="00E46EC6"/>
    <w:rsid w:val="00E47270"/>
    <w:rsid w:val="00E55938"/>
    <w:rsid w:val="00E56E19"/>
    <w:rsid w:val="00E9220C"/>
    <w:rsid w:val="00E9734B"/>
    <w:rsid w:val="00EA54F4"/>
    <w:rsid w:val="00EB03F7"/>
    <w:rsid w:val="00EB14B0"/>
    <w:rsid w:val="00EC172F"/>
    <w:rsid w:val="00EC385D"/>
    <w:rsid w:val="00EC6ADD"/>
    <w:rsid w:val="00ED0BCC"/>
    <w:rsid w:val="00ED45E3"/>
    <w:rsid w:val="00EE4297"/>
    <w:rsid w:val="00EF0347"/>
    <w:rsid w:val="00EF08E1"/>
    <w:rsid w:val="00EF3EE5"/>
    <w:rsid w:val="00EF42AA"/>
    <w:rsid w:val="00F00006"/>
    <w:rsid w:val="00F0589B"/>
    <w:rsid w:val="00F14C2B"/>
    <w:rsid w:val="00F17F28"/>
    <w:rsid w:val="00F213F0"/>
    <w:rsid w:val="00F2209C"/>
    <w:rsid w:val="00F31C08"/>
    <w:rsid w:val="00F335CB"/>
    <w:rsid w:val="00F34528"/>
    <w:rsid w:val="00F410BF"/>
    <w:rsid w:val="00F665EB"/>
    <w:rsid w:val="00F670D9"/>
    <w:rsid w:val="00F70248"/>
    <w:rsid w:val="00F92691"/>
    <w:rsid w:val="00F94068"/>
    <w:rsid w:val="00F94C49"/>
    <w:rsid w:val="00F96347"/>
    <w:rsid w:val="00FA1A5A"/>
    <w:rsid w:val="00FA7895"/>
    <w:rsid w:val="00FA7983"/>
    <w:rsid w:val="00FC69E0"/>
    <w:rsid w:val="00FC7F7B"/>
    <w:rsid w:val="00FD1E5B"/>
    <w:rsid w:val="00FD4B7A"/>
    <w:rsid w:val="00FE3534"/>
    <w:rsid w:val="00FF7084"/>
    <w:rsid w:val="161E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CC261-A15E-4130-9F6B-7FB6980F34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9220</Words>
  <Characters>12083</Characters>
  <Lines>91</Lines>
  <Paragraphs>25</Paragraphs>
  <TotalTime>0</TotalTime>
  <ScaleCrop>false</ScaleCrop>
  <LinksUpToDate>false</LinksUpToDate>
  <CharactersWithSpaces>12518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2017-04-09T09:55:00Z</dcterms:created>
  <dc:creator>donghaiyangbo</dc:creator>
  <cp:lastModifiedBy>太极箫客</cp:lastModifiedBy>
  <dcterms:modified xsi:type="dcterms:W3CDTF">2025-08-14T06:18:02Z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598C1B4FCEBC4C9196CA64D185814194_12</vt:lpwstr>
  </property>
</Properties>
</file>