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45C2B">
      <w:pPr>
        <w:widowControl/>
        <w:snapToGrid w:val="0"/>
        <w:spacing w:line="300" w:lineRule="auto"/>
        <w:rPr>
          <w:rFonts w:ascii="Arial" w:hAnsi="Arial" w:eastAsia="宋体" w:cs="Arial"/>
          <w:b/>
          <w:bCs/>
          <w:color w:val="484138"/>
          <w:kern w:val="36"/>
          <w:sz w:val="36"/>
          <w:szCs w:val="36"/>
        </w:rPr>
      </w:pPr>
      <w:bookmarkStart w:id="20" w:name="_GoBack"/>
      <w:bookmarkEnd w:id="20"/>
      <w:r>
        <w:rPr>
          <w:rFonts w:ascii="Arial" w:hAnsi="Arial" w:eastAsia="宋体" w:cs="Arial"/>
          <w:b/>
          <w:bCs/>
          <w:color w:val="484138"/>
          <w:kern w:val="36"/>
          <w:sz w:val="36"/>
          <w:szCs w:val="36"/>
        </w:rPr>
        <w:t>II类特殊控制指导性文件：用于西尼罗河病毒实验室诊断的血清试剂-行业和FDA工作人员指南</w:t>
      </w:r>
    </w:p>
    <w:p w14:paraId="6B90B91B">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文件发布日期：2003年10月30日</w:t>
      </w:r>
    </w:p>
    <w:p w14:paraId="2A1A38B2">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有关本文件的问题，请联系微生物学器械部，Sally Hojvat Ph.D.，电话：301-796-5455或电子邮箱：</w:t>
      </w:r>
      <w:r>
        <w:rPr>
          <w:rFonts w:ascii="Arial" w:hAnsi="Arial" w:eastAsia="宋体" w:cs="Arial"/>
          <w:color w:val="7030A0"/>
          <w:kern w:val="0"/>
          <w:sz w:val="18"/>
          <w:szCs w:val="18"/>
        </w:rPr>
        <w:t>sally.hojvat@fda.hhs.gov</w:t>
      </w:r>
      <w:r>
        <w:rPr>
          <w:rFonts w:ascii="Arial" w:hAnsi="Arial" w:eastAsia="宋体" w:cs="Arial"/>
          <w:color w:val="000000"/>
          <w:kern w:val="0"/>
          <w:sz w:val="18"/>
          <w:szCs w:val="18"/>
        </w:rPr>
        <w:t>。</w:t>
      </w:r>
    </w:p>
    <w:tbl>
      <w:tblPr>
        <w:tblStyle w:val="11"/>
        <w:tblW w:w="4900" w:type="pct"/>
        <w:tblCellSpacing w:w="0" w:type="dxa"/>
        <w:tblInd w:w="0" w:type="dxa"/>
        <w:shd w:val="clear" w:color="auto" w:fill="CCE8CF"/>
        <w:tblLayout w:type="autofit"/>
        <w:tblCellMar>
          <w:top w:w="75" w:type="dxa"/>
          <w:left w:w="75" w:type="dxa"/>
          <w:bottom w:w="75" w:type="dxa"/>
          <w:right w:w="75" w:type="dxa"/>
        </w:tblCellMar>
      </w:tblPr>
      <w:tblGrid>
        <w:gridCol w:w="1985"/>
        <w:gridCol w:w="346"/>
        <w:gridCol w:w="5956"/>
      </w:tblGrid>
      <w:tr w14:paraId="0625E55F">
        <w:tblPrEx>
          <w:shd w:val="clear" w:color="auto" w:fill="CCE8CF"/>
          <w:tblCellMar>
            <w:top w:w="75" w:type="dxa"/>
            <w:left w:w="75" w:type="dxa"/>
            <w:bottom w:w="75" w:type="dxa"/>
            <w:right w:w="75" w:type="dxa"/>
          </w:tblCellMar>
        </w:tblPrEx>
        <w:trPr>
          <w:gridAfter w:val="2"/>
          <w:wAfter w:w="5239" w:type="dxa"/>
          <w:tblCellSpacing w:w="0" w:type="dxa"/>
        </w:trPr>
        <w:tc>
          <w:tcPr>
            <w:tcW w:w="0" w:type="auto"/>
            <w:shd w:val="clear" w:color="auto" w:fill="auto"/>
          </w:tcPr>
          <w:p w14:paraId="4AFDD01E">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 </w:t>
            </w:r>
          </w:p>
        </w:tc>
      </w:tr>
      <w:tr w14:paraId="3395CBD8">
        <w:tblPrEx>
          <w:shd w:val="clear" w:color="auto" w:fill="CCE8CF"/>
          <w:tblCellMar>
            <w:top w:w="75" w:type="dxa"/>
            <w:left w:w="75" w:type="dxa"/>
            <w:bottom w:w="75" w:type="dxa"/>
            <w:right w:w="75" w:type="dxa"/>
          </w:tblCellMar>
        </w:tblPrEx>
        <w:trPr>
          <w:trHeight w:val="1665" w:hRule="atLeast"/>
          <w:tblCellSpacing w:w="0" w:type="dxa"/>
        </w:trPr>
        <w:tc>
          <w:tcPr>
            <w:tcW w:w="0" w:type="auto"/>
            <w:shd w:val="clear" w:color="auto" w:fill="auto"/>
          </w:tcPr>
          <w:p w14:paraId="76DD122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0" w:type="auto"/>
            <w:shd w:val="clear" w:color="auto" w:fill="auto"/>
          </w:tcPr>
          <w:p w14:paraId="1A0E3531">
            <w:pPr>
              <w:widowControl/>
              <w:snapToGrid w:val="0"/>
              <w:spacing w:line="300" w:lineRule="auto"/>
              <w:rPr>
                <w:rFonts w:ascii="Arial" w:hAnsi="Arial" w:eastAsia="宋体" w:cs="Arial"/>
                <w:color w:val="000000"/>
                <w:kern w:val="0"/>
                <w:sz w:val="18"/>
                <w:szCs w:val="18"/>
              </w:rPr>
            </w:pPr>
          </w:p>
        </w:tc>
        <w:tc>
          <w:tcPr>
            <w:tcW w:w="0" w:type="auto"/>
            <w:shd w:val="clear" w:color="auto" w:fill="auto"/>
          </w:tcPr>
          <w:p w14:paraId="08D29F14">
            <w:pPr>
              <w:widowControl/>
              <w:snapToGrid w:val="0"/>
              <w:spacing w:before="63" w:after="63" w:line="300" w:lineRule="auto"/>
              <w:rPr>
                <w:rFonts w:ascii="Arial" w:hAnsi="Arial" w:eastAsia="宋体" w:cs="Arial"/>
                <w:b/>
                <w:bCs/>
                <w:color w:val="000000"/>
                <w:kern w:val="0"/>
                <w:sz w:val="18"/>
              </w:rPr>
            </w:pPr>
            <w:r>
              <w:rPr>
                <w:rFonts w:ascii="Arial" w:hAnsi="Arial" w:eastAsia="宋体" w:cs="Arial"/>
                <w:b/>
                <w:bCs/>
                <w:color w:val="000000"/>
                <w:kern w:val="0"/>
                <w:sz w:val="18"/>
              </w:rPr>
              <w:t>美国</w:t>
            </w:r>
            <w:r>
              <w:rPr>
                <w:rFonts w:hint="eastAsia" w:ascii="Arial" w:hAnsi="Arial" w:eastAsia="宋体" w:cs="Arial"/>
                <w:b/>
                <w:bCs/>
                <w:color w:val="000000"/>
                <w:kern w:val="0"/>
                <w:sz w:val="18"/>
              </w:rPr>
              <w:t>卫生与公众服务部</w:t>
            </w:r>
          </w:p>
          <w:p w14:paraId="132D7DB0">
            <w:pPr>
              <w:widowControl/>
              <w:snapToGrid w:val="0"/>
              <w:spacing w:before="63" w:after="63" w:line="300" w:lineRule="auto"/>
              <w:rPr>
                <w:rFonts w:ascii="Arial" w:hAnsi="Arial" w:eastAsia="宋体" w:cs="Arial"/>
                <w:b/>
                <w:bCs/>
                <w:color w:val="000000"/>
                <w:kern w:val="0"/>
                <w:sz w:val="18"/>
              </w:rPr>
            </w:pPr>
            <w:r>
              <w:rPr>
                <w:rFonts w:ascii="Arial" w:hAnsi="Arial" w:eastAsia="宋体" w:cs="Arial"/>
                <w:b/>
                <w:bCs/>
                <w:color w:val="000000"/>
                <w:kern w:val="0"/>
                <w:sz w:val="18"/>
              </w:rPr>
              <w:t>食品药品监督管理局</w:t>
            </w:r>
          </w:p>
          <w:p w14:paraId="533B7DFC">
            <w:pPr>
              <w:widowControl/>
              <w:snapToGrid w:val="0"/>
              <w:spacing w:before="63" w:after="63" w:line="300" w:lineRule="auto"/>
              <w:rPr>
                <w:rFonts w:ascii="Arial" w:hAnsi="Arial" w:eastAsia="宋体" w:cs="Arial"/>
                <w:b/>
                <w:bCs/>
                <w:color w:val="000000"/>
                <w:kern w:val="0"/>
                <w:sz w:val="18"/>
              </w:rPr>
            </w:pPr>
            <w:r>
              <w:rPr>
                <w:rFonts w:ascii="Arial" w:hAnsi="Arial" w:eastAsia="宋体" w:cs="Arial"/>
                <w:b/>
                <w:bCs/>
                <w:color w:val="000000"/>
                <w:kern w:val="0"/>
                <w:sz w:val="18"/>
              </w:rPr>
              <w:t>器械</w:t>
            </w:r>
            <w:r>
              <w:rPr>
                <w:rFonts w:hint="eastAsia" w:ascii="Arial" w:hAnsi="Arial" w:eastAsia="宋体" w:cs="Arial"/>
                <w:b/>
                <w:bCs/>
                <w:color w:val="000000"/>
                <w:kern w:val="0"/>
                <w:sz w:val="18"/>
              </w:rPr>
              <w:t>与</w:t>
            </w:r>
            <w:r>
              <w:rPr>
                <w:rFonts w:ascii="Arial" w:hAnsi="Arial" w:eastAsia="宋体" w:cs="Arial"/>
                <w:b/>
                <w:bCs/>
                <w:color w:val="000000"/>
                <w:kern w:val="0"/>
                <w:sz w:val="18"/>
              </w:rPr>
              <w:t>放射</w:t>
            </w:r>
            <w:r>
              <w:rPr>
                <w:rFonts w:hint="eastAsia" w:ascii="Arial" w:hAnsi="Arial" w:eastAsia="宋体" w:cs="Arial"/>
                <w:b/>
                <w:bCs/>
                <w:color w:val="000000"/>
                <w:kern w:val="0"/>
                <w:sz w:val="18"/>
              </w:rPr>
              <w:t>健康</w:t>
            </w:r>
            <w:r>
              <w:rPr>
                <w:rFonts w:ascii="Arial" w:hAnsi="Arial" w:eastAsia="宋体" w:cs="Arial"/>
                <w:b/>
                <w:bCs/>
                <w:color w:val="000000"/>
                <w:kern w:val="0"/>
                <w:sz w:val="18"/>
              </w:rPr>
              <w:t>中心</w:t>
            </w:r>
          </w:p>
          <w:p w14:paraId="2C5D1D77">
            <w:pPr>
              <w:widowControl/>
              <w:snapToGrid w:val="0"/>
              <w:spacing w:before="63" w:after="63" w:line="300" w:lineRule="auto"/>
              <w:rPr>
                <w:rFonts w:ascii="Arial" w:hAnsi="Arial" w:eastAsia="宋体" w:cs="Arial"/>
                <w:b/>
                <w:bCs/>
                <w:color w:val="000000"/>
                <w:kern w:val="0"/>
                <w:sz w:val="18"/>
              </w:rPr>
            </w:pPr>
            <w:r>
              <w:rPr>
                <w:rFonts w:ascii="Arial" w:hAnsi="Arial" w:eastAsia="宋体" w:cs="Arial"/>
                <w:b/>
                <w:bCs/>
                <w:color w:val="000000"/>
                <w:kern w:val="0"/>
                <w:sz w:val="18"/>
              </w:rPr>
              <w:t>微生物学器械部</w:t>
            </w:r>
          </w:p>
          <w:p w14:paraId="06101F84">
            <w:pPr>
              <w:widowControl/>
              <w:snapToGrid w:val="0"/>
              <w:spacing w:before="63" w:after="63" w:line="300" w:lineRule="auto"/>
              <w:rPr>
                <w:rFonts w:ascii="Arial" w:hAnsi="Arial" w:eastAsia="宋体" w:cs="Arial"/>
                <w:color w:val="000000"/>
                <w:kern w:val="0"/>
                <w:sz w:val="18"/>
                <w:szCs w:val="18"/>
              </w:rPr>
            </w:pPr>
            <w:r>
              <w:rPr>
                <w:rFonts w:ascii="Arial" w:hAnsi="Arial" w:eastAsia="宋体" w:cs="Arial"/>
                <w:b/>
                <w:bCs/>
                <w:color w:val="000000"/>
                <w:kern w:val="0"/>
                <w:sz w:val="18"/>
              </w:rPr>
              <w:t>体外诊断器械评价和安全办公室</w:t>
            </w:r>
          </w:p>
        </w:tc>
      </w:tr>
    </w:tbl>
    <w:p w14:paraId="14B9DC7D">
      <w:pPr>
        <w:widowControl/>
        <w:snapToGrid w:val="0"/>
        <w:spacing w:line="300" w:lineRule="auto"/>
        <w:outlineLvl w:val="3"/>
        <w:rPr>
          <w:rFonts w:ascii="Arial" w:hAnsi="Arial" w:eastAsia="宋体" w:cs="Arial"/>
          <w:b/>
          <w:bCs/>
          <w:color w:val="000000"/>
          <w:kern w:val="0"/>
          <w:sz w:val="29"/>
          <w:szCs w:val="29"/>
        </w:rPr>
      </w:pPr>
      <w:r>
        <w:rPr>
          <w:rFonts w:ascii="Arial" w:hAnsi="Arial" w:eastAsia="宋体" w:cs="Arial"/>
          <w:b/>
          <w:bCs/>
          <w:color w:val="000000"/>
          <w:kern w:val="0"/>
          <w:sz w:val="29"/>
          <w:szCs w:val="29"/>
        </w:rPr>
        <w:t>前言</w:t>
      </w:r>
    </w:p>
    <w:p w14:paraId="394C51AC">
      <w:pPr>
        <w:widowControl/>
        <w:snapToGrid w:val="0"/>
        <w:spacing w:line="300" w:lineRule="auto"/>
        <w:outlineLvl w:val="4"/>
        <w:rPr>
          <w:rFonts w:ascii="Arial" w:hAnsi="Arial" w:eastAsia="宋体" w:cs="Arial"/>
          <w:b/>
          <w:bCs/>
          <w:color w:val="000000"/>
          <w:kern w:val="0"/>
          <w:sz w:val="26"/>
          <w:szCs w:val="26"/>
        </w:rPr>
      </w:pPr>
      <w:r>
        <w:rPr>
          <w:rFonts w:ascii="Arial" w:hAnsi="Arial" w:eastAsia="宋体" w:cs="Arial"/>
          <w:b/>
          <w:bCs/>
          <w:color w:val="000000"/>
          <w:kern w:val="0"/>
          <w:sz w:val="26"/>
        </w:rPr>
        <w:t>公共评论</w:t>
      </w:r>
    </w:p>
    <w:p w14:paraId="4D030B87">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贵公司可以随时提交书面评论和建议至食品药品监督管理局，人力资源和管理服务处，管理系统与政策部，文件管理部（5630 Fishers Lane，Room 1061，（HFA-305），Rockville，MD，20852）</w:t>
      </w:r>
      <w:r>
        <w:rPr>
          <w:rFonts w:hint="eastAsia" w:ascii="Arial" w:hAnsi="Arial" w:eastAsia="宋体" w:cs="Arial"/>
          <w:color w:val="000000"/>
          <w:kern w:val="0"/>
          <w:sz w:val="18"/>
          <w:szCs w:val="18"/>
        </w:rPr>
        <w:t>, 供部门审议</w:t>
      </w:r>
      <w:r>
        <w:rPr>
          <w:rFonts w:ascii="Arial" w:hAnsi="Arial" w:eastAsia="宋体" w:cs="Arial"/>
          <w:color w:val="000000"/>
          <w:kern w:val="0"/>
          <w:sz w:val="18"/>
          <w:szCs w:val="18"/>
        </w:rPr>
        <w:t>。此外，电子评论请提交至Regulations.gov。提交评论时请参考第2003D-0303号文件。</w:t>
      </w:r>
      <w:r>
        <w:rPr>
          <w:rFonts w:hint="eastAsia" w:ascii="Arial" w:hAnsi="Arial" w:eastAsia="宋体" w:cs="Arial"/>
          <w:color w:val="000000"/>
          <w:kern w:val="0"/>
          <w:sz w:val="18"/>
          <w:szCs w:val="18"/>
        </w:rPr>
        <w:t>可能直到文件下次修订或更新时，评论才会被机构受理。</w:t>
      </w:r>
    </w:p>
    <w:p w14:paraId="131AD119">
      <w:pPr>
        <w:widowControl/>
        <w:snapToGrid w:val="0"/>
        <w:spacing w:line="300" w:lineRule="auto"/>
        <w:outlineLvl w:val="4"/>
        <w:rPr>
          <w:rFonts w:ascii="Arial" w:hAnsi="Arial" w:eastAsia="宋体" w:cs="Arial"/>
          <w:b/>
          <w:bCs/>
          <w:color w:val="000000"/>
          <w:kern w:val="0"/>
          <w:sz w:val="26"/>
          <w:szCs w:val="26"/>
        </w:rPr>
      </w:pPr>
      <w:r>
        <w:rPr>
          <w:rFonts w:ascii="Arial" w:hAnsi="Arial" w:eastAsia="宋体" w:cs="Arial"/>
          <w:b/>
          <w:bCs/>
          <w:color w:val="000000"/>
          <w:kern w:val="0"/>
          <w:sz w:val="26"/>
        </w:rPr>
        <w:t>其他副本</w:t>
      </w:r>
    </w:p>
    <w:p w14:paraId="71B3309F">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其他副本可从互联网获得。</w:t>
      </w:r>
      <w:r>
        <w:fldChar w:fldCharType="begin"/>
      </w:r>
      <w:r>
        <w:instrText xml:space="preserve"> HYPERLINK "mailto:您还可以发送电子邮件请求todsmica@fda.hhs.gov" </w:instrText>
      </w:r>
      <w:r>
        <w:fldChar w:fldCharType="separate"/>
      </w:r>
      <w:r>
        <w:rPr>
          <w:rFonts w:ascii="Arial" w:hAnsi="Arial" w:eastAsia="宋体" w:cs="Arial"/>
          <w:color w:val="000000"/>
          <w:kern w:val="0"/>
          <w:sz w:val="18"/>
          <w:szCs w:val="18"/>
        </w:rPr>
        <w:t>贵公司还可以发送电子邮件请求至</w:t>
      </w:r>
      <w:r>
        <w:rPr>
          <w:rFonts w:ascii="Arial" w:hAnsi="Arial" w:eastAsia="宋体" w:cs="Arial"/>
          <w:color w:val="7030A0"/>
          <w:kern w:val="0"/>
          <w:sz w:val="18"/>
          <w:szCs w:val="18"/>
        </w:rPr>
        <w:t>todsmica@fda.hhs.gov</w:t>
      </w:r>
      <w:r>
        <w:rPr>
          <w:rFonts w:ascii="Arial" w:hAnsi="Arial" w:eastAsia="宋体" w:cs="Arial"/>
          <w:color w:val="7030A0"/>
          <w:kern w:val="0"/>
          <w:sz w:val="18"/>
          <w:szCs w:val="18"/>
        </w:rPr>
        <w:fldChar w:fldCharType="end"/>
      </w:r>
      <w:r>
        <w:rPr>
          <w:rFonts w:ascii="Arial" w:hAnsi="Arial" w:eastAsia="宋体" w:cs="Arial"/>
          <w:color w:val="000000"/>
          <w:kern w:val="0"/>
          <w:sz w:val="18"/>
          <w:szCs w:val="18"/>
        </w:rPr>
        <w:t>以接受本指南的电子副本或发送传真请求到301-827-8149以接受硬拷贝。请使用文件编号（1206）来标识贵公司所要求获得的指南。</w:t>
      </w:r>
    </w:p>
    <w:p w14:paraId="59C22105">
      <w:pPr>
        <w:widowControl/>
        <w:jc w:val="left"/>
        <w:rPr>
          <w:rFonts w:ascii="Arial" w:hAnsi="Arial" w:eastAsia="宋体" w:cs="Arial"/>
          <w:b/>
          <w:bCs/>
          <w:color w:val="000000"/>
          <w:kern w:val="0"/>
          <w:sz w:val="18"/>
        </w:rPr>
      </w:pPr>
      <w:r>
        <w:rPr>
          <w:rFonts w:ascii="Arial" w:hAnsi="Arial" w:eastAsia="宋体" w:cs="Arial"/>
          <w:b/>
          <w:bCs/>
          <w:color w:val="000000"/>
          <w:kern w:val="0"/>
          <w:sz w:val="18"/>
        </w:rPr>
        <w:br w:type="page"/>
      </w:r>
    </w:p>
    <w:sdt>
      <w:sdtPr>
        <w:rPr>
          <w:rFonts w:asciiTheme="minorHAnsi" w:hAnsiTheme="minorHAnsi" w:eastAsiaTheme="minorEastAsia" w:cstheme="minorBidi"/>
          <w:b/>
          <w:color w:val="auto"/>
          <w:kern w:val="2"/>
          <w:sz w:val="21"/>
          <w:szCs w:val="22"/>
          <w:lang w:val="zh-CN"/>
        </w:rPr>
        <w:id w:val="-57652526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31B6CD05">
          <w:pPr>
            <w:pStyle w:val="25"/>
            <w:jc w:val="center"/>
            <w:rPr>
              <w:b/>
              <w:color w:val="auto"/>
            </w:rPr>
          </w:pPr>
          <w:r>
            <w:rPr>
              <w:b/>
              <w:color w:val="auto"/>
              <w:lang w:val="zh-CN"/>
            </w:rPr>
            <w:t>目录</w:t>
          </w:r>
        </w:p>
        <w:p w14:paraId="5A7BD69B">
          <w:pPr>
            <w:pStyle w:val="9"/>
            <w:tabs>
              <w:tab w:val="right" w:leader="dot" w:pos="8296"/>
            </w:tabs>
            <w:rPr>
              <w:rFonts w:ascii="Arial" w:hAnsi="Arial" w:eastAsia="宋体" w:cs="Arial"/>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"_Toc479344401" </w:instrText>
          </w:r>
          <w:r>
            <w:fldChar w:fldCharType="separate"/>
          </w:r>
          <w:r>
            <w:rPr>
              <w:rStyle w:val="15"/>
              <w:rFonts w:ascii="Arial" w:hAnsi="Arial" w:eastAsia="宋体" w:cs="Arial"/>
              <w:bCs/>
              <w:kern w:val="0"/>
            </w:rPr>
            <w:t>1. 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_Toc479344401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5BE4DB70">
          <w:pPr>
            <w:pStyle w:val="9"/>
            <w:tabs>
              <w:tab w:val="right" w:leader="dot" w:pos="8296"/>
            </w:tabs>
            <w:rPr>
              <w:rFonts w:ascii="Arial" w:hAnsi="Arial" w:eastAsia="宋体" w:cs="Arial"/>
            </w:rPr>
          </w:pPr>
          <w:r>
            <w:fldChar w:fldCharType="begin"/>
          </w:r>
          <w:r>
            <w:instrText xml:space="preserve"> HYPERLINK \l "_Toc479344402" </w:instrText>
          </w:r>
          <w:r>
            <w:fldChar w:fldCharType="separate"/>
          </w:r>
          <w:r>
            <w:rPr>
              <w:rStyle w:val="15"/>
              <w:rFonts w:ascii="Arial" w:hAnsi="Arial" w:eastAsia="宋体" w:cs="Arial"/>
              <w:bCs/>
              <w:kern w:val="0"/>
            </w:rPr>
            <w:t>2.背景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_Toc479344402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5C33D70">
          <w:pPr>
            <w:pStyle w:val="9"/>
            <w:tabs>
              <w:tab w:val="right" w:leader="dot" w:pos="8296"/>
            </w:tabs>
            <w:rPr>
              <w:rFonts w:ascii="Arial" w:hAnsi="Arial" w:eastAsia="宋体" w:cs="Arial"/>
            </w:rPr>
          </w:pPr>
          <w:r>
            <w:fldChar w:fldCharType="begin"/>
          </w:r>
          <w:r>
            <w:instrText xml:space="preserve"> HYPERLINK \l "_Toc479344403" </w:instrText>
          </w:r>
          <w:r>
            <w:fldChar w:fldCharType="separate"/>
          </w:r>
          <w:r>
            <w:rPr>
              <w:rStyle w:val="15"/>
              <w:rFonts w:ascii="Arial" w:hAnsi="Arial" w:eastAsia="宋体" w:cs="Arial"/>
              <w:bCs/>
              <w:kern w:val="0"/>
            </w:rPr>
            <w:t>3. 简化510（k）提交资料的内容和格式</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_Toc479344403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5E18E527">
          <w:pPr>
            <w:pStyle w:val="9"/>
            <w:tabs>
              <w:tab w:val="right" w:leader="dot" w:pos="8296"/>
            </w:tabs>
            <w:rPr>
              <w:rFonts w:ascii="Arial" w:hAnsi="Arial" w:eastAsia="宋体" w:cs="Arial"/>
            </w:rPr>
          </w:pPr>
          <w:r>
            <w:fldChar w:fldCharType="begin"/>
          </w:r>
          <w:r>
            <w:instrText xml:space="preserve"> HYPERLINK \l "_Toc479344404" </w:instrText>
          </w:r>
          <w:r>
            <w:fldChar w:fldCharType="separate"/>
          </w:r>
          <w:r>
            <w:rPr>
              <w:rStyle w:val="15"/>
              <w:rFonts w:ascii="Arial" w:hAnsi="Arial" w:eastAsia="宋体" w:cs="Arial"/>
              <w:bCs/>
              <w:kern w:val="0"/>
            </w:rPr>
            <w:t>4. 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_Toc479344404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7C1BDF8F">
          <w:pPr>
            <w:pStyle w:val="9"/>
            <w:tabs>
              <w:tab w:val="right" w:leader="dot" w:pos="8296"/>
            </w:tabs>
            <w:rPr>
              <w:rFonts w:ascii="Arial" w:hAnsi="Arial" w:eastAsia="宋体" w:cs="Arial"/>
            </w:rPr>
          </w:pPr>
          <w:r>
            <w:fldChar w:fldCharType="begin"/>
          </w:r>
          <w:r>
            <w:instrText xml:space="preserve"> HYPERLINK \l "_Toc479344405" </w:instrText>
          </w:r>
          <w:r>
            <w:fldChar w:fldCharType="separate"/>
          </w:r>
          <w:r>
            <w:rPr>
              <w:rStyle w:val="15"/>
              <w:rFonts w:ascii="Arial" w:hAnsi="Arial" w:eastAsia="宋体" w:cs="Arial"/>
              <w:bCs/>
              <w:kern w:val="0"/>
            </w:rPr>
            <w:t>5. 健康风险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_Toc479344405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545C5B59">
          <w:pPr>
            <w:pStyle w:val="9"/>
            <w:tabs>
              <w:tab w:val="right" w:leader="dot" w:pos="8296"/>
            </w:tabs>
            <w:rPr>
              <w:rFonts w:ascii="Arial" w:hAnsi="Arial" w:eastAsia="宋体" w:cs="Arial"/>
            </w:rPr>
          </w:pPr>
          <w:r>
            <w:fldChar w:fldCharType="begin"/>
          </w:r>
          <w:r>
            <w:instrText xml:space="preserve"> HYPERLINK \l "_Toc479344406" </w:instrText>
          </w:r>
          <w:r>
            <w:fldChar w:fldCharType="separate"/>
          </w:r>
          <w:r>
            <w:rPr>
              <w:rStyle w:val="15"/>
              <w:rFonts w:ascii="Arial" w:hAnsi="Arial" w:eastAsia="宋体" w:cs="Arial"/>
              <w:bCs/>
              <w:kern w:val="0"/>
            </w:rPr>
            <w:t>7. 方法比较</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_Toc479344406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76293C78">
          <w:pPr>
            <w:pStyle w:val="9"/>
            <w:tabs>
              <w:tab w:val="right" w:leader="dot" w:pos="8296"/>
            </w:tabs>
            <w:rPr>
              <w:rFonts w:ascii="Arial" w:hAnsi="Arial" w:eastAsia="宋体" w:cs="Arial"/>
            </w:rPr>
          </w:pPr>
          <w:r>
            <w:fldChar w:fldCharType="begin"/>
          </w:r>
          <w:r>
            <w:instrText xml:space="preserve"> HYPERLINK \l "_Toc479344407" </w:instrText>
          </w:r>
          <w:r>
            <w:fldChar w:fldCharType="separate"/>
          </w:r>
          <w:r>
            <w:rPr>
              <w:rStyle w:val="15"/>
              <w:rFonts w:ascii="Arial" w:hAnsi="Arial" w:eastAsia="宋体" w:cs="Arial"/>
              <w:bCs/>
              <w:kern w:val="0"/>
            </w:rPr>
            <w:t>8. 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_Toc479344407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4CE40F48">
          <w:r>
            <w:rPr>
              <w:rFonts w:ascii="Arial" w:hAnsi="Arial" w:eastAsia="宋体" w:cs="Arial"/>
              <w:bCs/>
              <w:lang w:val="zh-CN"/>
            </w:rPr>
            <w:fldChar w:fldCharType="end"/>
          </w:r>
        </w:p>
      </w:sdtContent>
    </w:sdt>
    <w:p w14:paraId="129E2CD0">
      <w:pPr>
        <w:widowControl/>
        <w:snapToGrid w:val="0"/>
        <w:spacing w:line="300" w:lineRule="auto"/>
        <w:jc w:val="center"/>
        <w:rPr>
          <w:rFonts w:ascii="Arial" w:hAnsi="Arial" w:eastAsia="宋体" w:cs="Arial"/>
          <w:b/>
          <w:bCs/>
          <w:color w:val="000000"/>
          <w:kern w:val="0"/>
          <w:sz w:val="32"/>
        </w:rPr>
      </w:pPr>
      <w:r>
        <w:rPr>
          <w:rFonts w:ascii="Arial" w:hAnsi="Arial" w:eastAsia="宋体" w:cs="Arial"/>
          <w:b/>
          <w:bCs/>
          <w:color w:val="000000"/>
          <w:kern w:val="0"/>
          <w:sz w:val="32"/>
        </w:rPr>
        <w:t>行业和FDA工作人员指南</w:t>
      </w:r>
    </w:p>
    <w:p w14:paraId="5929D6D7">
      <w:pPr>
        <w:widowControl/>
        <w:snapToGrid w:val="0"/>
        <w:spacing w:before="90" w:after="90" w:line="300" w:lineRule="auto"/>
        <w:jc w:val="center"/>
        <w:rPr>
          <w:rFonts w:ascii="Arial" w:hAnsi="Arial" w:eastAsia="宋体" w:cs="Arial"/>
          <w:b/>
          <w:bCs/>
          <w:color w:val="000000"/>
          <w:kern w:val="0"/>
          <w:sz w:val="32"/>
        </w:rPr>
      </w:pPr>
      <w:r>
        <w:rPr>
          <w:rFonts w:ascii="Arial" w:hAnsi="Arial" w:eastAsia="宋体" w:cs="Arial"/>
          <w:b/>
          <w:bCs/>
          <w:color w:val="000000"/>
          <w:kern w:val="0"/>
          <w:sz w:val="32"/>
        </w:rPr>
        <w:t>II类特殊控制指导性文件：用于西尼罗病毒实验室诊断的血清试剂</w:t>
      </w:r>
    </w:p>
    <w:p w14:paraId="3523E78C">
      <w:pPr>
        <w:widowControl/>
        <w:snapToGrid w:val="0"/>
        <w:spacing w:line="300" w:lineRule="auto"/>
        <w:outlineLvl w:val="0"/>
        <w:rPr>
          <w:rFonts w:ascii="Arial" w:hAnsi="Arial" w:eastAsia="宋体" w:cs="Arial"/>
          <w:b/>
          <w:bCs/>
          <w:color w:val="000000"/>
          <w:kern w:val="0"/>
          <w:sz w:val="29"/>
          <w:szCs w:val="29"/>
        </w:rPr>
      </w:pPr>
      <w:bookmarkStart w:id="0" w:name="_Toc52173675"/>
      <w:bookmarkStart w:id="1" w:name="_Toc479344401"/>
      <w:r>
        <w:rPr>
          <w:rFonts w:ascii="Arial" w:hAnsi="Arial" w:eastAsia="宋体" w:cs="Arial"/>
          <w:b/>
          <w:bCs/>
          <w:color w:val="000000"/>
          <w:kern w:val="0"/>
          <w:sz w:val="29"/>
          <w:szCs w:val="29"/>
        </w:rPr>
        <w:t>1.</w:t>
      </w:r>
      <w:bookmarkEnd w:id="0"/>
      <w:r>
        <w:rPr>
          <w:rFonts w:ascii="Arial" w:hAnsi="Arial" w:eastAsia="宋体" w:cs="Arial"/>
          <w:b/>
          <w:bCs/>
          <w:color w:val="000000"/>
          <w:kern w:val="0"/>
          <w:sz w:val="29"/>
        </w:rPr>
        <w:t> 引</w:t>
      </w:r>
      <w:r>
        <w:rPr>
          <w:rFonts w:ascii="Arial" w:hAnsi="Arial" w:eastAsia="宋体" w:cs="Arial"/>
          <w:b/>
          <w:bCs/>
          <w:color w:val="000000"/>
          <w:kern w:val="0"/>
          <w:sz w:val="29"/>
          <w:szCs w:val="29"/>
        </w:rPr>
        <w:t>言</w:t>
      </w:r>
      <w:bookmarkEnd w:id="1"/>
    </w:p>
    <w:p w14:paraId="225AD5CD">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南作为特殊控制而编制，以支持将西尼罗河病毒（WNV）血清学试剂分类为II类（特殊控制）。西尼罗河病毒血清学试剂是由抗原和抗血清组成的器械，以用于检测人类血清中是否存在抗西尼罗病毒IgM抗体，其中，血清来自具有与病毒性脑膜炎/脑炎一致的体征和症状的个体。该检测有助于对由西尼罗病毒引起的病毒性脑膜炎/脑炎进行临床实验室诊断。该器械旨在用于结合其他临床和实验室结果对患者进行推定性诊断。</w:t>
      </w:r>
    </w:p>
    <w:p w14:paraId="3A64728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本指南与联邦公告通告一起发布，以宣布西尼罗河病毒血清学试剂的分类。</w:t>
      </w:r>
    </w:p>
    <w:p w14:paraId="064BB6DA">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在对器械进行分类的最终规则生效之后，任何为西尼罗河病毒血清学测定提交510（k）上市前通告的公司都需要处理本特殊控制指南中涉及的问题。但是，该公司只需表明，其器械符合本指南的建议，或以某种其他方式提供安全性和有效性的同等保证。</w:t>
      </w:r>
    </w:p>
    <w:p w14:paraId="336F2FB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该公司必须证明，其器械已通过满足本指南的建议或通过提供等同的安全性和有效性保证的其他方法解决了本指南中确定的安全性和有效性问题。</w:t>
      </w:r>
    </w:p>
    <w:p w14:paraId="4A6D2798">
      <w:pPr>
        <w:widowControl/>
        <w:snapToGrid w:val="0"/>
        <w:spacing w:before="90" w:after="90" w:line="300" w:lineRule="auto"/>
        <w:rPr>
          <w:rFonts w:ascii="Arial" w:hAnsi="Arial" w:eastAsia="宋体" w:cs="Arial"/>
          <w:b/>
          <w:bCs/>
          <w:color w:val="000000"/>
          <w:kern w:val="0"/>
          <w:sz w:val="29"/>
        </w:rPr>
      </w:pPr>
      <w:r>
        <w:rPr>
          <w:rFonts w:ascii="Arial" w:hAnsi="Arial" w:eastAsia="宋体" w:cs="Arial"/>
          <w:b/>
          <w:bCs/>
          <w:color w:val="000000"/>
          <w:kern w:val="0"/>
          <w:sz w:val="29"/>
        </w:rPr>
        <w:t>最小负担法</w:t>
      </w:r>
    </w:p>
    <w:p w14:paraId="7C88CCA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中确定的问题代表我们认为在贵公司的器械可上市之前需要解决的问题。在制定本指南时，我们仔细考虑了相关法定标准以便于本审查机构做出决定。我们还考虑了贵公司尝试遵守本指南并解决我们确定的问题时可能产生的负担。我们认为，我们已采用了最小负担法来解决本指导性文件中提出的问题。但是，如果贵公司认为有负担更小的方式可以用于解决这些问题，则贵公司应遵循文件“</w:t>
      </w:r>
      <w:r>
        <w:rPr>
          <w:rFonts w:ascii="Arial" w:hAnsi="Arial" w:eastAsia="宋体" w:cs="Arial"/>
          <w:color w:val="7030A0"/>
          <w:kern w:val="0"/>
          <w:sz w:val="18"/>
          <w:szCs w:val="18"/>
          <w:u w:val="single"/>
        </w:rPr>
        <w:t>解决最小负担问题的建议方法</w:t>
      </w:r>
      <w:r>
        <w:rPr>
          <w:rFonts w:ascii="Arial" w:hAnsi="Arial" w:eastAsia="宋体" w:cs="Arial"/>
          <w:color w:val="000000"/>
          <w:kern w:val="0"/>
          <w:sz w:val="18"/>
          <w:szCs w:val="18"/>
        </w:rPr>
        <w:t>”中概述的程序。</w:t>
      </w:r>
    </w:p>
    <w:p w14:paraId="16268ABD">
      <w:pPr>
        <w:widowControl/>
        <w:jc w:val="left"/>
        <w:rPr>
          <w:rFonts w:ascii="Arial" w:hAnsi="Arial" w:eastAsia="宋体" w:cs="Arial"/>
          <w:b/>
          <w:bCs/>
          <w:color w:val="000000"/>
          <w:kern w:val="0"/>
          <w:sz w:val="29"/>
          <w:szCs w:val="29"/>
        </w:rPr>
      </w:pPr>
      <w:bookmarkStart w:id="2" w:name="_Toc52173676"/>
      <w:r>
        <w:rPr>
          <w:rFonts w:ascii="Arial" w:hAnsi="Arial" w:eastAsia="宋体" w:cs="Arial"/>
          <w:b/>
          <w:bCs/>
          <w:color w:val="000000"/>
          <w:kern w:val="0"/>
          <w:sz w:val="29"/>
          <w:szCs w:val="29"/>
        </w:rPr>
        <w:br w:type="page"/>
      </w:r>
    </w:p>
    <w:p w14:paraId="1C14C3DC">
      <w:pPr>
        <w:widowControl/>
        <w:snapToGrid w:val="0"/>
        <w:spacing w:before="90" w:after="90" w:line="300" w:lineRule="auto"/>
        <w:outlineLvl w:val="0"/>
        <w:rPr>
          <w:rFonts w:ascii="Arial" w:hAnsi="Arial" w:eastAsia="宋体" w:cs="Arial"/>
          <w:b/>
          <w:bCs/>
          <w:color w:val="000000"/>
          <w:kern w:val="0"/>
          <w:sz w:val="29"/>
          <w:szCs w:val="29"/>
        </w:rPr>
      </w:pPr>
      <w:bookmarkStart w:id="3" w:name="_Toc479344402"/>
      <w:r>
        <w:rPr>
          <w:rFonts w:ascii="Arial" w:hAnsi="Arial" w:eastAsia="宋体" w:cs="Arial"/>
          <w:b/>
          <w:bCs/>
          <w:color w:val="000000"/>
          <w:kern w:val="0"/>
          <w:sz w:val="29"/>
          <w:szCs w:val="29"/>
        </w:rPr>
        <w:t>2.</w:t>
      </w:r>
      <w:bookmarkEnd w:id="2"/>
      <w:r>
        <w:rPr>
          <w:rFonts w:ascii="Arial" w:hAnsi="Arial" w:eastAsia="宋体" w:cs="Arial"/>
          <w:b/>
          <w:bCs/>
          <w:color w:val="000000"/>
          <w:kern w:val="0"/>
          <w:sz w:val="29"/>
          <w:szCs w:val="29"/>
        </w:rPr>
        <w:t>背景</w:t>
      </w:r>
      <w:bookmarkEnd w:id="3"/>
    </w:p>
    <w:p w14:paraId="497E21A8">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FDA认为，当与一般控制组合时，特殊控制将足以对西尼罗河病毒血清学测定的安全性和有效性提供合理保证。拟上市此类器械的制造商应（1）遵守联邦食品，药品和化妆品法案（该法）的一般控制，包括</w:t>
      </w:r>
      <w:r>
        <w:rPr>
          <w:rFonts w:ascii="Arial" w:hAnsi="Arial" w:eastAsia="宋体" w:cs="Arial"/>
          <w:color w:val="7030A0"/>
          <w:kern w:val="0"/>
          <w:sz w:val="18"/>
          <w:szCs w:val="18"/>
        </w:rPr>
        <w:t>21 CFR 807</w:t>
      </w:r>
      <w:r>
        <w:rPr>
          <w:rFonts w:ascii="Arial" w:hAnsi="Arial" w:eastAsia="宋体" w:cs="Arial"/>
          <w:color w:val="000000"/>
          <w:kern w:val="0"/>
          <w:sz w:val="18"/>
          <w:szCs w:val="18"/>
        </w:rPr>
        <w:t>子部分E中所述的上市前通告要求，（2）处理本指南中确定的与西尼罗河病毒血清学试剂相关的特定健康风险，以及（3）在上市该器械之前从FDA获得实质等同性测定，除非以获得免于遵守该法案的上市前通告要求的授权（请参见</w:t>
      </w:r>
      <w:r>
        <w:rPr>
          <w:rFonts w:ascii="Arial" w:hAnsi="Arial" w:eastAsia="宋体" w:cs="Arial"/>
          <w:color w:val="7030A0"/>
          <w:kern w:val="0"/>
          <w:sz w:val="18"/>
          <w:szCs w:val="18"/>
        </w:rPr>
        <w:t>21 CFR 807.85</w:t>
      </w:r>
      <w:r>
        <w:rPr>
          <w:rFonts w:ascii="Arial" w:hAnsi="Arial" w:eastAsia="宋体" w:cs="Arial"/>
          <w:color w:val="000000"/>
          <w:kern w:val="0"/>
          <w:sz w:val="18"/>
          <w:szCs w:val="18"/>
        </w:rPr>
        <w:t>）。</w:t>
      </w:r>
    </w:p>
    <w:p w14:paraId="3584FA2B">
      <w:pPr>
        <w:widowControl/>
        <w:snapToGrid w:val="0"/>
        <w:spacing w:before="90" w:after="90" w:line="300" w:lineRule="auto"/>
        <w:rPr>
          <w:rFonts w:ascii="Arial" w:hAnsi="Arial" w:eastAsia="宋体" w:cs="Arial"/>
          <w:color w:val="000000"/>
          <w:kern w:val="0"/>
          <w:sz w:val="18"/>
          <w:szCs w:val="18"/>
        </w:rPr>
      </w:pPr>
    </w:p>
    <w:p w14:paraId="257BCDC5">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本指导性文件确定了西尼罗河病毒血清学试剂的分类规则和产品代码。（请参见第4节 - 范围）。此外，本指导性文件的其他部分列出了FDA确定的健康风险，并对如果制造商遵守并结合一般控制措施通常可解决与这些测定相关的风险并使上市前通告[510（k）]审查和许可及时进行的措施进行了说明。本文件补充有关上市前通告提交资料的具体内容要求的其他FDA文件。贵公司还应参考</w:t>
      </w:r>
      <w:r>
        <w:rPr>
          <w:rFonts w:ascii="Arial" w:hAnsi="Arial" w:eastAsia="宋体" w:cs="Arial"/>
          <w:color w:val="7030A0"/>
          <w:kern w:val="0"/>
          <w:sz w:val="18"/>
          <w:szCs w:val="18"/>
        </w:rPr>
        <w:t>21 CFR 807.87</w:t>
      </w:r>
      <w:r>
        <w:rPr>
          <w:rFonts w:ascii="Arial" w:hAnsi="Arial" w:eastAsia="宋体" w:cs="Arial"/>
          <w:color w:val="000000"/>
          <w:kern w:val="0"/>
          <w:sz w:val="18"/>
          <w:szCs w:val="18"/>
        </w:rPr>
        <w:t>和其他有关本主题的FDA文件，如上市前通告 510（k）。</w:t>
      </w:r>
    </w:p>
    <w:p w14:paraId="0D90BD34">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根据“</w:t>
      </w:r>
      <w:r>
        <w:rPr>
          <w:rFonts w:hint="eastAsia" w:ascii="Arial" w:hAnsi="Arial" w:eastAsia="宋体" w:cs="Arial"/>
          <w:b/>
          <w:color w:val="000000"/>
          <w:kern w:val="0"/>
          <w:sz w:val="18"/>
          <w:szCs w:val="18"/>
        </w:rPr>
        <w:t>新版</w:t>
      </w:r>
      <w:r>
        <w:rPr>
          <w:rFonts w:ascii="Arial" w:hAnsi="Arial" w:eastAsia="宋体" w:cs="Arial"/>
          <w:b/>
          <w:color w:val="000000"/>
          <w:kern w:val="0"/>
          <w:sz w:val="18"/>
          <w:szCs w:val="18"/>
        </w:rPr>
        <w:t>510</w:t>
      </w:r>
      <w:r>
        <w:rPr>
          <w:rFonts w:hint="eastAsia" w:ascii="Arial" w:hAnsi="Arial" w:eastAsia="宋体" w:cs="Arial"/>
          <w:b/>
          <w:color w:val="000000"/>
          <w:kern w:val="0"/>
          <w:sz w:val="18"/>
          <w:szCs w:val="18"/>
        </w:rPr>
        <w:t>（</w:t>
      </w:r>
      <w:r>
        <w:rPr>
          <w:rFonts w:ascii="Arial" w:hAnsi="Arial" w:eastAsia="宋体" w:cs="Arial"/>
          <w:b/>
          <w:color w:val="000000"/>
          <w:kern w:val="0"/>
          <w:sz w:val="18"/>
          <w:szCs w:val="18"/>
        </w:rPr>
        <w:t>k</w:t>
      </w:r>
      <w:r>
        <w:rPr>
          <w:rFonts w:hint="eastAsia" w:ascii="Arial" w:hAnsi="Arial" w:eastAsia="宋体" w:cs="Arial"/>
          <w:b/>
          <w:color w:val="000000"/>
          <w:kern w:val="0"/>
          <w:sz w:val="18"/>
          <w:szCs w:val="18"/>
        </w:rPr>
        <w:t>）范式</w:t>
      </w:r>
      <w:r>
        <w:rPr>
          <w:rFonts w:ascii="Arial" w:hAnsi="Arial" w:eastAsia="宋体" w:cs="Arial"/>
          <w:b/>
          <w:color w:val="000000"/>
          <w:kern w:val="0"/>
          <w:sz w:val="18"/>
          <w:szCs w:val="18"/>
        </w:rPr>
        <w:t xml:space="preserve"> - </w:t>
      </w:r>
      <w:r>
        <w:rPr>
          <w:rFonts w:hint="eastAsia" w:ascii="Arial" w:hAnsi="Arial" w:eastAsia="宋体" w:cs="Arial"/>
          <w:b/>
          <w:color w:val="000000"/>
          <w:kern w:val="0"/>
          <w:sz w:val="18"/>
          <w:szCs w:val="18"/>
        </w:rPr>
        <w:t>在上市前通告中证明实质等同性的替代方法；最终指南</w:t>
      </w:r>
      <w:r>
        <w:rPr>
          <w:rFonts w:ascii="Arial" w:hAnsi="Arial" w:eastAsia="宋体" w:cs="Arial"/>
          <w:color w:val="000000"/>
          <w:kern w:val="0"/>
          <w:sz w:val="18"/>
          <w:szCs w:val="18"/>
          <w:vertAlign w:val="superscript"/>
        </w:rPr>
        <w:t>1</w:t>
      </w:r>
      <w:r>
        <w:rPr>
          <w:rFonts w:ascii="Arial" w:hAnsi="Arial" w:eastAsia="宋体" w:cs="Arial"/>
          <w:color w:val="000000"/>
          <w:kern w:val="0"/>
          <w:sz w:val="18"/>
          <w:szCs w:val="18"/>
        </w:rPr>
        <w:t>”，制造商可以提交传统510（k）或可以选择提交简化510（k）或特殊510（k）。FDA认为，简化510（k）提供了用于证明新器械的实质等同性的且负担最小的手段，特别是在FDA已发布某一指导性文件后。考虑修改其自己已许可器械的制造商可以通过提交特殊510（k）来减轻监管负担。</w:t>
      </w:r>
    </w:p>
    <w:p w14:paraId="5B553533">
      <w:pPr>
        <w:widowControl/>
        <w:snapToGrid w:val="0"/>
        <w:spacing w:line="300" w:lineRule="auto"/>
        <w:outlineLvl w:val="0"/>
        <w:rPr>
          <w:rFonts w:ascii="Arial" w:hAnsi="Arial" w:eastAsia="宋体" w:cs="Arial"/>
          <w:b/>
          <w:bCs/>
          <w:color w:val="000000"/>
          <w:kern w:val="0"/>
          <w:sz w:val="29"/>
          <w:szCs w:val="29"/>
        </w:rPr>
      </w:pPr>
      <w:bookmarkStart w:id="4" w:name="_Toc529272021"/>
      <w:bookmarkStart w:id="5" w:name="_Toc479344403"/>
      <w:r>
        <w:rPr>
          <w:rFonts w:ascii="Arial" w:hAnsi="Arial" w:eastAsia="宋体" w:cs="Arial"/>
          <w:b/>
          <w:bCs/>
          <w:color w:val="000000"/>
          <w:kern w:val="0"/>
          <w:sz w:val="29"/>
          <w:szCs w:val="29"/>
        </w:rPr>
        <w:t>3. </w:t>
      </w:r>
      <w:bookmarkEnd w:id="4"/>
      <w:r>
        <w:rPr>
          <w:rFonts w:ascii="Arial" w:hAnsi="Arial" w:eastAsia="宋体" w:cs="Arial"/>
          <w:b/>
          <w:bCs/>
          <w:color w:val="000000"/>
          <w:kern w:val="0"/>
          <w:sz w:val="29"/>
          <w:szCs w:val="29"/>
        </w:rPr>
        <w:t>简化510（k）提交资料的内容和格式</w:t>
      </w:r>
      <w:bookmarkEnd w:id="5"/>
    </w:p>
    <w:p w14:paraId="02C1BBD1">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简化510（k）提交资料必须含有21 CFR 807.87中确定的所需成分，包括用于描述器械、其预期用途及其使用说明的器械建议标签。在简化510（k）中，FDA可以将总结报告的内容视为21 CFR 807.87（f）或（g）所指的适当支持性数据；因此，我们建议贵公司提供总结报告。该报告应说明在器械开发和试验过程中如何使用本指导性文件，并应简要说明所使用的方法或试验，以及应用于解决本文件中确定的风险的试验数据的总结或对验收标准的说明，以及贵公司的器械特有的任何其他风险。本节就用于满足21 CFR 807.87中的一些要求的信息以及我们建议贵公司在简化510（k）中提供的其他一些项目提供建议。</w:t>
      </w:r>
    </w:p>
    <w:p w14:paraId="6525B9D6">
      <w:pPr>
        <w:widowControl/>
        <w:jc w:val="left"/>
        <w:rPr>
          <w:rFonts w:ascii="Arial" w:hAnsi="Arial" w:eastAsia="宋体" w:cs="Arial"/>
          <w:b/>
          <w:bCs/>
          <w:color w:val="000000"/>
          <w:kern w:val="0"/>
          <w:sz w:val="18"/>
        </w:rPr>
      </w:pPr>
      <w:r>
        <w:rPr>
          <w:rFonts w:ascii="Arial" w:hAnsi="Arial" w:eastAsia="宋体" w:cs="Arial"/>
          <w:b/>
          <w:bCs/>
          <w:color w:val="000000"/>
          <w:kern w:val="0"/>
          <w:sz w:val="18"/>
        </w:rPr>
        <w:br w:type="page"/>
      </w:r>
    </w:p>
    <w:p w14:paraId="572FA8B5">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b/>
          <w:bCs/>
          <w:color w:val="000000"/>
          <w:kern w:val="0"/>
          <w:sz w:val="18"/>
        </w:rPr>
        <w:t>封面</w:t>
      </w:r>
    </w:p>
    <w:p w14:paraId="3A7E0599">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封面应明显将提交资料标注为简化510（k），并引用本指导性文件的标题。</w:t>
      </w:r>
    </w:p>
    <w:p w14:paraId="4072B265">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b/>
          <w:bCs/>
          <w:color w:val="000000"/>
          <w:kern w:val="0"/>
          <w:sz w:val="18"/>
        </w:rPr>
        <w:t>建议标签</w:t>
      </w:r>
    </w:p>
    <w:p w14:paraId="14C603A7">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建议标签应足以说明器械、其预期用途及其使用说明。（有关用于本指导性文件涵盖的器械类型的标签中应包含的具体信息，请参见第8节。）</w:t>
      </w:r>
    </w:p>
    <w:p w14:paraId="740A8FBB">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b/>
          <w:bCs/>
          <w:color w:val="000000"/>
          <w:kern w:val="0"/>
          <w:sz w:val="18"/>
        </w:rPr>
        <w:t>总结报告</w:t>
      </w:r>
    </w:p>
    <w:p w14:paraId="7C34D0CE">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我们建议总结报告应包含：</w:t>
      </w:r>
    </w:p>
    <w:p w14:paraId="734DF186">
      <w:pPr>
        <w:widowControl/>
        <w:numPr>
          <w:ilvl w:val="0"/>
          <w:numId w:val="1"/>
        </w:numPr>
        <w:snapToGrid w:val="0"/>
        <w:spacing w:line="300" w:lineRule="auto"/>
        <w:ind w:left="573" w:leftChars="153" w:hanging="252"/>
        <w:rPr>
          <w:rFonts w:ascii="Arial" w:hAnsi="Arial" w:eastAsia="宋体" w:cs="Arial"/>
          <w:color w:val="000000"/>
          <w:kern w:val="0"/>
          <w:sz w:val="18"/>
          <w:szCs w:val="18"/>
        </w:rPr>
      </w:pPr>
      <w:r>
        <w:rPr>
          <w:rFonts w:ascii="Arial" w:hAnsi="Arial" w:eastAsia="宋体" w:cs="Arial"/>
          <w:color w:val="000000"/>
          <w:kern w:val="0"/>
          <w:sz w:val="18"/>
          <w:szCs w:val="18"/>
        </w:rPr>
        <w:t>器械及其预期用途说明。我们建议说明应包括对性能规格的完整讨论，以及详细标记的器械图纸（如果适用）。贵公司还应提交“使用适应症”附件。[2]</w:t>
      </w:r>
    </w:p>
    <w:p w14:paraId="5F918D5E">
      <w:pPr>
        <w:widowControl/>
        <w:numPr>
          <w:ilvl w:val="0"/>
          <w:numId w:val="1"/>
        </w:numPr>
        <w:snapToGrid w:val="0"/>
        <w:spacing w:line="300" w:lineRule="auto"/>
        <w:ind w:left="573" w:leftChars="153" w:hanging="252"/>
        <w:rPr>
          <w:rFonts w:ascii="Arial" w:hAnsi="Arial" w:eastAsia="宋体" w:cs="Arial"/>
          <w:color w:val="000000"/>
          <w:kern w:val="0"/>
          <w:sz w:val="18"/>
          <w:szCs w:val="18"/>
        </w:rPr>
      </w:pPr>
      <w:r>
        <w:rPr>
          <w:rFonts w:ascii="Arial" w:hAnsi="Arial" w:eastAsia="宋体" w:cs="Arial"/>
          <w:color w:val="000000"/>
          <w:kern w:val="0"/>
          <w:sz w:val="18"/>
          <w:szCs w:val="18"/>
        </w:rPr>
        <w:t>对器械设计要求的说明。</w:t>
      </w:r>
    </w:p>
    <w:p w14:paraId="29768E4D">
      <w:pPr>
        <w:widowControl/>
        <w:numPr>
          <w:ilvl w:val="0"/>
          <w:numId w:val="1"/>
        </w:numPr>
        <w:snapToGrid w:val="0"/>
        <w:spacing w:line="300" w:lineRule="auto"/>
        <w:ind w:left="573" w:leftChars="153" w:hanging="252"/>
        <w:rPr>
          <w:rFonts w:ascii="Arial" w:hAnsi="Arial" w:eastAsia="宋体" w:cs="Arial"/>
          <w:color w:val="000000"/>
          <w:kern w:val="0"/>
          <w:sz w:val="18"/>
          <w:szCs w:val="18"/>
        </w:rPr>
      </w:pPr>
      <w:r>
        <w:rPr>
          <w:rFonts w:ascii="Arial" w:hAnsi="Arial" w:eastAsia="宋体" w:cs="Arial"/>
          <w:color w:val="000000"/>
          <w:kern w:val="0"/>
          <w:sz w:val="18"/>
          <w:szCs w:val="18"/>
        </w:rPr>
        <w:t>确定用于评估风险概况的风险分析方法，以及具体器械的设计和此分析的结果。（有关FDA已确定通常与使用该器械有关的健康风险，请参见第5节。）</w:t>
      </w:r>
    </w:p>
    <w:p w14:paraId="171E83D3">
      <w:pPr>
        <w:widowControl/>
        <w:numPr>
          <w:ilvl w:val="0"/>
          <w:numId w:val="1"/>
        </w:numPr>
        <w:snapToGrid w:val="0"/>
        <w:spacing w:line="300" w:lineRule="auto"/>
        <w:ind w:left="573" w:leftChars="153" w:hanging="252"/>
        <w:rPr>
          <w:rFonts w:ascii="Arial" w:hAnsi="Arial" w:eastAsia="宋体" w:cs="Arial"/>
          <w:color w:val="000000"/>
          <w:kern w:val="0"/>
          <w:sz w:val="18"/>
          <w:szCs w:val="18"/>
        </w:rPr>
      </w:pPr>
      <w:r>
        <w:rPr>
          <w:rFonts w:ascii="Arial" w:hAnsi="Arial" w:eastAsia="宋体" w:cs="Arial"/>
          <w:color w:val="000000"/>
          <w:kern w:val="0"/>
          <w:sz w:val="18"/>
          <w:szCs w:val="18"/>
        </w:rPr>
        <w:t>讨论解决本指导性文件中确定的风险的器械特性以及贵公司的风险分析中确定的任何其他风险。</w:t>
      </w:r>
    </w:p>
    <w:p w14:paraId="2535780C">
      <w:pPr>
        <w:widowControl/>
        <w:numPr>
          <w:ilvl w:val="0"/>
          <w:numId w:val="1"/>
        </w:numPr>
        <w:snapToGrid w:val="0"/>
        <w:spacing w:line="300" w:lineRule="auto"/>
        <w:ind w:left="573" w:leftChars="153" w:hanging="252"/>
        <w:rPr>
          <w:rFonts w:ascii="Arial" w:hAnsi="Arial" w:eastAsia="宋体" w:cs="Arial"/>
          <w:color w:val="000000"/>
          <w:kern w:val="0"/>
          <w:sz w:val="18"/>
          <w:szCs w:val="18"/>
        </w:rPr>
      </w:pPr>
      <w:r>
        <w:rPr>
          <w:rFonts w:ascii="Arial" w:hAnsi="Arial" w:eastAsia="宋体" w:cs="Arial"/>
          <w:color w:val="000000"/>
          <w:kern w:val="0"/>
          <w:sz w:val="18"/>
          <w:szCs w:val="18"/>
        </w:rPr>
        <w:t>对贵公司已用于或打算用于解决本指导性文件第6节和第7节中确定的每个性能方面的试验方法的简要说明。如果贵公司遵循所建议的试验方法，贵公司可以引用该方法而不是对其进行说明。如果贵公司修改了所建议的试验方法，贵公司可以引用该方法，但应提供足够的信息来说明修改的性质和原因。对于每个试验，贵公司可以（1）以清晰简洁的形式简要介绍试验结果，例如表格，或（2）说明贵公司将应用于试验结果的验收标准。[3]（请参见21 CFR 820.30，子部分C -质量体系法规的设计控制。）</w:t>
      </w:r>
    </w:p>
    <w:p w14:paraId="4DD74D90">
      <w:pPr>
        <w:widowControl/>
        <w:numPr>
          <w:ilvl w:val="0"/>
          <w:numId w:val="1"/>
        </w:numPr>
        <w:snapToGrid w:val="0"/>
        <w:spacing w:line="300" w:lineRule="auto"/>
        <w:ind w:left="573" w:leftChars="153" w:hanging="252"/>
        <w:rPr>
          <w:rFonts w:ascii="Arial" w:hAnsi="Arial" w:eastAsia="宋体" w:cs="Arial"/>
          <w:color w:val="000000"/>
          <w:kern w:val="0"/>
          <w:sz w:val="18"/>
          <w:szCs w:val="18"/>
        </w:rPr>
      </w:pPr>
      <w:r>
        <w:rPr>
          <w:rFonts w:ascii="Arial" w:hAnsi="Arial" w:eastAsia="宋体" w:cs="Arial"/>
          <w:color w:val="000000"/>
          <w:kern w:val="0"/>
          <w:sz w:val="18"/>
          <w:szCs w:val="18"/>
        </w:rPr>
        <w:t>如果器械设计或试验的任何部分依赖于公认标准，则应包含：（1）一项声明，即在产品上市前进行试验并满足规定的验收标准，或（2）符合标准的声明。请注意，试验必须在提交符合公认标准的声明之前完成。[4]（21 USC 514（c）（2）（B））。有关更多信息，请参考FDA指南，</w:t>
      </w:r>
      <w:r>
        <w:rPr>
          <w:rFonts w:ascii="Arial" w:hAnsi="Arial" w:eastAsia="宋体" w:cs="Arial"/>
          <w:b/>
          <w:bCs/>
          <w:color w:val="800080"/>
          <w:kern w:val="0"/>
          <w:sz w:val="18"/>
        </w:rPr>
        <w:t>实质等同性测定标准的使用；行业和FDA最终指南</w:t>
      </w:r>
      <w:r>
        <w:rPr>
          <w:rFonts w:ascii="Arial" w:hAnsi="Arial" w:eastAsia="宋体" w:cs="Arial"/>
          <w:color w:val="000000"/>
          <w:kern w:val="0"/>
          <w:sz w:val="18"/>
          <w:szCs w:val="18"/>
        </w:rPr>
        <w:t>。</w:t>
      </w:r>
    </w:p>
    <w:p w14:paraId="51A69B6E">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我们不清楚贵公司如何解决FDA所确定的风险或通过贵公司的风险分析确定的其他风险，我们可能会要求贵公司提供有关器械性能特性方面的其他信息。如果我们需要使用其来评估贵公司的验收标准是否充分，我们也可能会要求贵公司提供其他信息。（根据21 CFR 807.87（l）），我们可能会要求提供任何必要的补充资料，以完成与实质等同性相关的测定）。</w:t>
      </w:r>
    </w:p>
    <w:p w14:paraId="0F6CB9FE">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作为提交简化510（k）的替代方案，贵公司可以提交传统510（k），其中，其提供了21 CFR 807.87中所需的以及在本指南中所述的所有信息和数据。传统510（k）应涵盖贵公司的所有方法、数据、验收标准和结论。考虑修改其自己已许可器械的制造商应提交特殊510（k）。</w:t>
      </w:r>
    </w:p>
    <w:p w14:paraId="26CE2B39">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4E5CEB6B">
      <w:pPr>
        <w:widowControl/>
        <w:snapToGrid w:val="0"/>
        <w:spacing w:line="300" w:lineRule="auto"/>
        <w:outlineLvl w:val="0"/>
        <w:rPr>
          <w:rFonts w:ascii="Arial" w:hAnsi="Arial" w:eastAsia="宋体" w:cs="Arial"/>
          <w:b/>
          <w:bCs/>
          <w:color w:val="000000"/>
          <w:kern w:val="0"/>
          <w:sz w:val="29"/>
          <w:szCs w:val="29"/>
        </w:rPr>
      </w:pPr>
      <w:bookmarkStart w:id="6" w:name="_Toc52173678"/>
      <w:bookmarkStart w:id="7" w:name="_Toc479344404"/>
      <w:r>
        <w:rPr>
          <w:rFonts w:ascii="Arial" w:hAnsi="Arial" w:eastAsia="宋体" w:cs="Arial"/>
          <w:b/>
          <w:bCs/>
          <w:color w:val="000000"/>
          <w:kern w:val="0"/>
          <w:sz w:val="29"/>
          <w:szCs w:val="29"/>
        </w:rPr>
        <w:t>4.</w:t>
      </w:r>
      <w:bookmarkEnd w:id="6"/>
      <w:r>
        <w:rPr>
          <w:rFonts w:ascii="Arial" w:hAnsi="Arial" w:eastAsia="宋体" w:cs="Arial"/>
          <w:b/>
          <w:bCs/>
          <w:color w:val="000000"/>
          <w:kern w:val="0"/>
          <w:sz w:val="29"/>
          <w:szCs w:val="29"/>
        </w:rPr>
        <w:t xml:space="preserve"> 范围</w:t>
      </w:r>
      <w:bookmarkEnd w:id="7"/>
    </w:p>
    <w:p w14:paraId="5DC04D2C">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本文件的范围仅限于21 CFR 866.3940（产品代码：NOP）中所述的以下器械：</w:t>
      </w:r>
    </w:p>
    <w:p w14:paraId="5F2ACC0B">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下面的分类标识确定了在分类时就已存在的器械。</w:t>
      </w:r>
    </w:p>
    <w:p w14:paraId="1C9AE5BE">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西尼罗病毒血清学试剂是由抗原和抗血清组成的器械，以用于检测人类血清中是否存在抗西尼罗病毒IgM抗体，其中，血清来自具有与病毒性脑膜炎/脑炎一致的体征和症状的个体。该检测有助于对由西尼罗病毒引起的病毒性脑膜炎/脑炎进行临床实验室诊断。</w:t>
      </w:r>
    </w:p>
    <w:p w14:paraId="7D6C6F2E">
      <w:pPr>
        <w:widowControl/>
        <w:snapToGrid w:val="0"/>
        <w:spacing w:line="300" w:lineRule="auto"/>
        <w:rPr>
          <w:rFonts w:ascii="Arial" w:hAnsi="Arial" w:eastAsia="宋体" w:cs="Arial"/>
          <w:color w:val="000000"/>
          <w:kern w:val="0"/>
          <w:sz w:val="18"/>
          <w:szCs w:val="18"/>
        </w:rPr>
      </w:pPr>
    </w:p>
    <w:p w14:paraId="43F22AA7">
      <w:pPr>
        <w:widowControl/>
        <w:snapToGrid w:val="0"/>
        <w:spacing w:line="300" w:lineRule="auto"/>
        <w:outlineLvl w:val="0"/>
        <w:rPr>
          <w:rFonts w:ascii="Arial" w:hAnsi="Arial" w:eastAsia="宋体" w:cs="Arial"/>
          <w:b/>
          <w:bCs/>
          <w:color w:val="000000"/>
          <w:kern w:val="0"/>
          <w:sz w:val="29"/>
          <w:szCs w:val="29"/>
        </w:rPr>
      </w:pPr>
      <w:bookmarkStart w:id="8" w:name="_Toc854713"/>
      <w:bookmarkStart w:id="9" w:name="_Toc479344405"/>
      <w:r>
        <w:rPr>
          <w:rFonts w:ascii="Arial" w:hAnsi="Arial" w:eastAsia="宋体" w:cs="Arial"/>
          <w:b/>
          <w:bCs/>
          <w:color w:val="000000"/>
          <w:kern w:val="0"/>
          <w:sz w:val="29"/>
          <w:szCs w:val="29"/>
        </w:rPr>
        <w:t>5.</w:t>
      </w:r>
      <w:bookmarkEnd w:id="8"/>
      <w:r>
        <w:rPr>
          <w:rFonts w:ascii="Arial" w:hAnsi="Arial" w:eastAsia="宋体" w:cs="Arial"/>
          <w:b/>
          <w:bCs/>
          <w:color w:val="000000"/>
          <w:kern w:val="0"/>
          <w:sz w:val="29"/>
          <w:szCs w:val="29"/>
        </w:rPr>
        <w:t xml:space="preserve"> 健康风险</w:t>
      </w:r>
      <w:bookmarkEnd w:id="9"/>
    </w:p>
    <w:p w14:paraId="0D36BEB3">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据研究者了解，其对患者健康没有已知的直接风险。然而，试验未按预期执行或结果解释中的错误可能会导致患者管理不当。因此，使用测定结果调整治疗方案而不考虑其他临床因素可能会造成风险。假阴性测量可导致继续使用毒性剂以治疗非西尼罗病毒病毒性脑炎或细菌性脑膜炎。老年患者特别容易受用于治疗病毒性脑炎的抗病毒药物和用于经验性治疗细菌性脑膜炎的万古霉素的肾毒性作用的影响。假阳性测量可导致对非西尼罗河病毒性脑炎或细菌性脑膜炎的适当治疗终止。</w:t>
      </w:r>
    </w:p>
    <w:p w14:paraId="6A23D643">
      <w:pPr>
        <w:widowControl/>
        <w:snapToGrid w:val="0"/>
        <w:spacing w:line="300" w:lineRule="auto"/>
        <w:rPr>
          <w:rFonts w:ascii="Arial" w:hAnsi="Arial" w:eastAsia="宋体" w:cs="Arial"/>
          <w:color w:val="000000"/>
          <w:kern w:val="0"/>
          <w:sz w:val="18"/>
          <w:szCs w:val="18"/>
        </w:rPr>
      </w:pPr>
    </w:p>
    <w:p w14:paraId="54C1B50E">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在下表中，FDA已经确定了通常与使用本文件中所述的西尼罗河病毒血清学试剂相关的健康风险。本指导性文件中给出了建议用于缓解已确定风险的措施，如下表所示。我们建议贵公司在提交上市前通告之前进行风险分析，以确定贵公司器械所特有的其他任何风险。上市前通告应说明风险分析方法。如果贵公司选择使用替代方法来解决本文件中确定的风险，或已发现本文件未涵盖的风险，贵公司应提供足够的详细信息以支持贵公司用于解决该风险的方法。</w:t>
      </w:r>
    </w:p>
    <w:p w14:paraId="0F42FCF0">
      <w:pPr>
        <w:widowControl/>
        <w:snapToGrid w:val="0"/>
        <w:spacing w:before="90" w:after="90" w:line="300" w:lineRule="auto"/>
        <w:rPr>
          <w:rFonts w:ascii="Arial" w:hAnsi="Arial" w:eastAsia="宋体" w:cs="Arial"/>
          <w:color w:val="000000"/>
          <w:kern w:val="0"/>
          <w:sz w:val="18"/>
          <w:szCs w:val="18"/>
        </w:rPr>
      </w:pPr>
    </w:p>
    <w:tbl>
      <w:tblPr>
        <w:tblStyle w:val="11"/>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0" w:type="dxa"/>
          <w:left w:w="0" w:type="dxa"/>
          <w:bottom w:w="0" w:type="dxa"/>
          <w:right w:w="0" w:type="dxa"/>
        </w:tblCellMar>
      </w:tblPr>
      <w:tblGrid>
        <w:gridCol w:w="4181"/>
        <w:gridCol w:w="4155"/>
      </w:tblGrid>
      <w:tr w14:paraId="0CCBD6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trPr>
        <w:tc>
          <w:tcPr>
            <w:tcW w:w="4181" w:type="dxa"/>
            <w:tcBorders>
              <w:top w:val="outset" w:color="auto" w:sz="6" w:space="0"/>
              <w:left w:val="outset" w:color="auto" w:sz="6" w:space="0"/>
              <w:bottom w:val="outset" w:color="auto" w:sz="6" w:space="0"/>
              <w:right w:val="outset" w:color="auto" w:sz="6" w:space="0"/>
            </w:tcBorders>
            <w:shd w:val="clear" w:color="auto" w:fill="CCECFF"/>
            <w:vAlign w:val="center"/>
          </w:tcPr>
          <w:p w14:paraId="17EE4893">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已确定风险</w:t>
            </w:r>
          </w:p>
        </w:tc>
        <w:tc>
          <w:tcPr>
            <w:tcW w:w="4155" w:type="dxa"/>
            <w:tcBorders>
              <w:top w:val="outset" w:color="auto" w:sz="6" w:space="0"/>
              <w:left w:val="outset" w:color="auto" w:sz="6" w:space="0"/>
              <w:bottom w:val="outset" w:color="auto" w:sz="6" w:space="0"/>
              <w:right w:val="outset" w:color="auto" w:sz="6" w:space="0"/>
            </w:tcBorders>
            <w:shd w:val="clear" w:color="auto" w:fill="CCECFF"/>
            <w:vAlign w:val="center"/>
          </w:tcPr>
          <w:p w14:paraId="2B62EA86">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建议缓解措施</w:t>
            </w:r>
          </w:p>
        </w:tc>
      </w:tr>
      <w:tr w14:paraId="5E0D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181" w:type="dxa"/>
            <w:tcBorders>
              <w:top w:val="outset" w:color="auto" w:sz="6" w:space="0"/>
              <w:left w:val="outset" w:color="auto" w:sz="6" w:space="0"/>
              <w:bottom w:val="outset" w:color="auto" w:sz="6" w:space="0"/>
              <w:right w:val="outset" w:color="auto" w:sz="6" w:space="0"/>
            </w:tcBorders>
            <w:shd w:val="clear" w:color="auto" w:fill="CCE8CF"/>
          </w:tcPr>
          <w:p w14:paraId="02E5FD63">
            <w:pPr>
              <w:widowControl/>
              <w:snapToGrid w:val="0"/>
              <w:spacing w:before="42" w:after="42" w:line="300" w:lineRule="auto"/>
              <w:rPr>
                <w:rFonts w:ascii="Arial" w:hAnsi="Arial" w:eastAsia="宋体" w:cs="Arial"/>
                <w:color w:val="000000"/>
                <w:kern w:val="0"/>
                <w:sz w:val="18"/>
                <w:szCs w:val="18"/>
              </w:rPr>
            </w:pPr>
            <w:r>
              <w:rPr>
                <w:rFonts w:ascii="Arial" w:hAnsi="Arial" w:eastAsia="宋体" w:cs="Arial"/>
                <w:color w:val="000000"/>
                <w:kern w:val="0"/>
                <w:sz w:val="18"/>
                <w:szCs w:val="18"/>
              </w:rPr>
              <w:t>患者管理不当</w:t>
            </w:r>
          </w:p>
        </w:tc>
        <w:tc>
          <w:tcPr>
            <w:tcW w:w="4155" w:type="dxa"/>
            <w:tcBorders>
              <w:top w:val="outset" w:color="auto" w:sz="6" w:space="0"/>
              <w:left w:val="outset" w:color="auto" w:sz="6" w:space="0"/>
              <w:bottom w:val="outset" w:color="auto" w:sz="6" w:space="0"/>
              <w:right w:val="outset" w:color="auto" w:sz="6" w:space="0"/>
            </w:tcBorders>
            <w:shd w:val="clear" w:color="auto" w:fill="CCE8CF"/>
          </w:tcPr>
          <w:p w14:paraId="4C3666AD">
            <w:pPr>
              <w:widowControl/>
              <w:snapToGrid w:val="0"/>
              <w:spacing w:before="42" w:after="42" w:line="300" w:lineRule="auto"/>
              <w:rPr>
                <w:rFonts w:ascii="Arial" w:hAnsi="Arial" w:eastAsia="宋体" w:cs="Arial"/>
                <w:color w:val="000000"/>
                <w:kern w:val="0"/>
                <w:sz w:val="18"/>
                <w:szCs w:val="18"/>
              </w:rPr>
            </w:pPr>
            <w:r>
              <w:rPr>
                <w:rFonts w:ascii="Arial" w:hAnsi="Arial" w:eastAsia="宋体" w:cs="Arial"/>
                <w:color w:val="000000"/>
                <w:kern w:val="0"/>
                <w:sz w:val="18"/>
                <w:szCs w:val="18"/>
              </w:rPr>
              <w:t>第6、7和8节</w:t>
            </w:r>
          </w:p>
        </w:tc>
      </w:tr>
    </w:tbl>
    <w:p w14:paraId="5531FAC4">
      <w:pPr>
        <w:widowControl/>
        <w:snapToGrid w:val="0"/>
        <w:spacing w:before="90" w:after="90" w:line="300" w:lineRule="auto"/>
        <w:rPr>
          <w:rFonts w:ascii="Arial" w:hAnsi="Arial" w:eastAsia="宋体" w:cs="Arial"/>
          <w:b/>
          <w:bCs/>
          <w:color w:val="000000"/>
          <w:kern w:val="0"/>
          <w:sz w:val="29"/>
          <w:szCs w:val="29"/>
        </w:rPr>
      </w:pPr>
      <w:bookmarkStart w:id="10" w:name="_Toc52173680"/>
      <w:r>
        <w:rPr>
          <w:rFonts w:ascii="Arial" w:hAnsi="Arial" w:eastAsia="宋体" w:cs="Arial"/>
          <w:b/>
          <w:bCs/>
          <w:color w:val="000000"/>
          <w:kern w:val="0"/>
          <w:sz w:val="29"/>
          <w:szCs w:val="29"/>
        </w:rPr>
        <w:t>6.</w:t>
      </w:r>
      <w:bookmarkEnd w:id="10"/>
      <w:r>
        <w:rPr>
          <w:rFonts w:ascii="Arial" w:hAnsi="Arial" w:eastAsia="宋体" w:cs="Arial"/>
          <w:b/>
          <w:bCs/>
          <w:color w:val="000000"/>
          <w:kern w:val="0"/>
          <w:sz w:val="29"/>
          <w:szCs w:val="29"/>
        </w:rPr>
        <w:t>性能特性</w:t>
      </w:r>
    </w:p>
    <w:p w14:paraId="796E0844">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b/>
          <w:bCs/>
          <w:color w:val="000000"/>
          <w:kern w:val="0"/>
          <w:sz w:val="18"/>
        </w:rPr>
        <w:t>一般研究建议</w:t>
      </w:r>
    </w:p>
    <w:p w14:paraId="6F6A09A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 我们建议贵公司提供对用于检测西尼罗病毒抗体和工具盒中试剂组分的方法的说明。如果可能，我们建议贵公司纳入来自预期使用人群的患者样本（例如，具有脑膜脑炎的体征和症状的患者）以用于下述分析方案。</w:t>
      </w:r>
    </w:p>
    <w:p w14:paraId="08F6016F">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FDA建议，除制造商的站点外，贵公司应至少在两个外部站点对该测定进行评价。一般来说，我们建议由将在临床实践中使用该试验的个体（例如，训练有素的技术人员）在将最终使用器械的试验环境（即临床实验室）中对性能进行评估。我们建议贵公司首先应单独分析数据以评估任何站点间差异，并将分析结果纳入在510（k）总结报告中。如果贵公司可证明各个站点之间的结果没有显著差异，贵公司可以在包装说明书中汇总各个站点的临床研究结果。在开始任何临床研究之前，贵公司可以联系微生物学器械部。</w:t>
      </w:r>
    </w:p>
    <w:p w14:paraId="649A9CB8">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5C1E595E">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为使在审查期间验收标准或数据总结可以被解读，我们建议贵公司提供有关方案的具体信息。此类信息对于帮助用户解读贵公司标签中的信息来说极为必要。例如，当提及NCCLS方案或指南时，我们建议贵公司说明贵公司遵循了方案或指南的哪些具体方面。</w:t>
      </w:r>
    </w:p>
    <w:p w14:paraId="239B3BA2">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应提供有关所检测或测量的抗体、用于测量的方法以及所使用的技术的信息。信息应包括对测定中使用何种控制和校准物以及其性能如何的明确说明。</w:t>
      </w:r>
    </w:p>
    <w:p w14:paraId="154B6AD4">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具体性能特性</w:t>
      </w:r>
    </w:p>
    <w:p w14:paraId="094E0A9B">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复现性</w:t>
      </w:r>
    </w:p>
    <w:p w14:paraId="1B1B7809">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根据“临床化学器械的精确性性能评估”，已批准指南（1999年）国家临床实验室标准委员会（NCCLS），EP5-A号文件以及“用于评价定性试验性能的用户方案”，已批准指南（2002年）国家临床实验室标准委员会（NCCLS），EP-12A号文件中提供的指南使用患者样本和质量控制材料来表征测定内和测定间的复现性。该文件包括有关实验设计、计算以及陈述性能声明的格式的指南。我们建议贵公司以相关测量值来评价复现性，包括医疗决策点附近的水平以及可报告范围限值附近的测量值。</w:t>
      </w:r>
    </w:p>
    <w:p w14:paraId="1356EBA9">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我们建议贵公司提供以下项目：</w:t>
      </w:r>
    </w:p>
    <w:p w14:paraId="3E91C947">
      <w:pPr>
        <w:widowControl/>
        <w:numPr>
          <w:ilvl w:val="0"/>
          <w:numId w:val="2"/>
        </w:numPr>
        <w:snapToGrid w:val="0"/>
        <w:spacing w:line="300" w:lineRule="auto"/>
        <w:ind w:left="0" w:firstLine="433" w:firstLineChars="241"/>
        <w:rPr>
          <w:rFonts w:ascii="Arial" w:hAnsi="Arial" w:eastAsia="宋体" w:cs="Arial"/>
          <w:color w:val="000000"/>
          <w:kern w:val="0"/>
          <w:sz w:val="18"/>
          <w:szCs w:val="18"/>
        </w:rPr>
      </w:pPr>
      <w:r>
        <w:rPr>
          <w:rFonts w:ascii="Arial" w:hAnsi="Arial" w:eastAsia="宋体" w:cs="Arial"/>
          <w:color w:val="000000"/>
          <w:kern w:val="0"/>
          <w:sz w:val="18"/>
          <w:szCs w:val="18"/>
        </w:rPr>
        <w:t>浓度的点估计值</w:t>
      </w:r>
    </w:p>
    <w:p w14:paraId="79E36F99">
      <w:pPr>
        <w:widowControl/>
        <w:numPr>
          <w:ilvl w:val="0"/>
          <w:numId w:val="2"/>
        </w:numPr>
        <w:snapToGrid w:val="0"/>
        <w:spacing w:line="300" w:lineRule="auto"/>
        <w:ind w:left="0" w:firstLine="433" w:firstLineChars="241"/>
        <w:rPr>
          <w:rFonts w:ascii="Arial" w:hAnsi="Arial" w:eastAsia="宋体" w:cs="Arial"/>
          <w:color w:val="000000"/>
          <w:kern w:val="0"/>
          <w:sz w:val="18"/>
          <w:szCs w:val="18"/>
        </w:rPr>
      </w:pPr>
      <w:r>
        <w:rPr>
          <w:rFonts w:ascii="Arial" w:hAnsi="Arial" w:eastAsia="宋体" w:cs="Arial"/>
          <w:color w:val="000000"/>
          <w:kern w:val="0"/>
          <w:sz w:val="18"/>
          <w:szCs w:val="18"/>
        </w:rPr>
        <w:t>测定内和测定间复现性的标准偏差</w:t>
      </w:r>
    </w:p>
    <w:p w14:paraId="253D3360">
      <w:pPr>
        <w:widowControl/>
        <w:numPr>
          <w:ilvl w:val="0"/>
          <w:numId w:val="2"/>
        </w:numPr>
        <w:snapToGrid w:val="0"/>
        <w:spacing w:line="300" w:lineRule="auto"/>
        <w:ind w:left="0" w:firstLine="433" w:firstLineChars="241"/>
        <w:rPr>
          <w:rFonts w:ascii="Arial" w:hAnsi="Arial" w:eastAsia="宋体" w:cs="Arial"/>
          <w:color w:val="000000"/>
          <w:kern w:val="0"/>
          <w:sz w:val="18"/>
          <w:szCs w:val="18"/>
        </w:rPr>
      </w:pPr>
      <w:r>
        <w:rPr>
          <w:rFonts w:ascii="Arial" w:hAnsi="Arial" w:eastAsia="宋体" w:cs="Arial"/>
          <w:color w:val="000000"/>
          <w:kern w:val="0"/>
          <w:sz w:val="18"/>
          <w:szCs w:val="18"/>
        </w:rPr>
        <w:t>运行复现性方案的站点</w:t>
      </w:r>
    </w:p>
    <w:p w14:paraId="37E8A7D7">
      <w:pPr>
        <w:widowControl/>
        <w:numPr>
          <w:ilvl w:val="0"/>
          <w:numId w:val="2"/>
        </w:numPr>
        <w:snapToGrid w:val="0"/>
        <w:spacing w:line="300" w:lineRule="auto"/>
        <w:ind w:left="0" w:firstLine="433" w:firstLineChars="241"/>
        <w:rPr>
          <w:rFonts w:ascii="Arial" w:hAnsi="Arial" w:eastAsia="宋体" w:cs="Arial"/>
          <w:color w:val="000000"/>
          <w:kern w:val="0"/>
          <w:sz w:val="18"/>
          <w:szCs w:val="18"/>
        </w:rPr>
      </w:pPr>
      <w:r>
        <w:rPr>
          <w:rFonts w:ascii="Arial" w:hAnsi="Arial" w:eastAsia="宋体" w:cs="Arial"/>
          <w:color w:val="000000"/>
          <w:kern w:val="0"/>
          <w:sz w:val="18"/>
          <w:szCs w:val="18"/>
        </w:rPr>
        <w:t>天数、运行次数和观察结果</w:t>
      </w:r>
    </w:p>
    <w:p w14:paraId="737BC542">
      <w:pPr>
        <w:widowControl/>
        <w:numPr>
          <w:ilvl w:val="0"/>
          <w:numId w:val="2"/>
        </w:numPr>
        <w:snapToGrid w:val="0"/>
        <w:spacing w:line="300" w:lineRule="auto"/>
        <w:ind w:left="0" w:firstLine="433" w:firstLineChars="241"/>
        <w:rPr>
          <w:rFonts w:ascii="Arial" w:hAnsi="Arial" w:eastAsia="宋体" w:cs="Arial"/>
          <w:color w:val="000000"/>
          <w:kern w:val="0"/>
          <w:sz w:val="18"/>
          <w:szCs w:val="18"/>
        </w:rPr>
      </w:pPr>
      <w:r>
        <w:rPr>
          <w:rFonts w:ascii="Arial" w:hAnsi="Arial" w:eastAsia="宋体" w:cs="Arial"/>
          <w:color w:val="000000"/>
          <w:kern w:val="0"/>
          <w:sz w:val="18"/>
          <w:szCs w:val="18"/>
        </w:rPr>
        <w:t>站点和/或操作员的数量</w:t>
      </w:r>
    </w:p>
    <w:p w14:paraId="0211AD44">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我们建议贵公司确定哪些因素（例如工具校准、试剂批次、操作员）保持不变，以及哪些因素在评价期间有变化并说明计算方法，如果其不同于NCCLS EP5-A和EP12-A中所述的计算方法。</w:t>
      </w:r>
    </w:p>
    <w:p w14:paraId="3B607588">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干扰</w:t>
      </w:r>
    </w:p>
    <w:p w14:paraId="3A079FEF">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潜在的干扰物对测定性能的影响。实验设计的示例（包括用于选择试验用干扰物的指南）详见“临床化学中的干扰试验；已批准指南”（2002年）国家临床实验室标准委员会，EP7-A号文件。潜在干扰源可以包括通常存在于血清中的化合物，例如其他类抗体（即IgM或IgG）、甘油三酸酯、血红蛋白、胆红素和脂质。</w:t>
      </w:r>
    </w:p>
    <w:p w14:paraId="38E06867">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043AC257">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我们建议贵公司提供以下项目：</w:t>
      </w:r>
    </w:p>
    <w:p w14:paraId="5D3E47B7">
      <w:pPr>
        <w:widowControl/>
        <w:snapToGrid w:val="0"/>
        <w:spacing w:before="78" w:after="78" w:line="300" w:lineRule="auto"/>
        <w:rPr>
          <w:rFonts w:ascii="Arial" w:hAnsi="Arial" w:eastAsia="宋体" w:cs="Arial"/>
          <w:color w:val="000000"/>
          <w:kern w:val="0"/>
          <w:sz w:val="18"/>
          <w:szCs w:val="18"/>
        </w:rPr>
      </w:pPr>
    </w:p>
    <w:p w14:paraId="39521597">
      <w:pPr>
        <w:widowControl/>
        <w:numPr>
          <w:ilvl w:val="0"/>
          <w:numId w:val="3"/>
        </w:numPr>
        <w:snapToGrid w:val="0"/>
        <w:spacing w:line="300" w:lineRule="auto"/>
        <w:ind w:left="0" w:firstLine="419" w:firstLineChars="233"/>
        <w:rPr>
          <w:rFonts w:ascii="Arial" w:hAnsi="Arial" w:eastAsia="宋体" w:cs="Arial"/>
          <w:color w:val="000000"/>
          <w:kern w:val="0"/>
          <w:sz w:val="18"/>
          <w:szCs w:val="18"/>
        </w:rPr>
      </w:pPr>
      <w:r>
        <w:rPr>
          <w:rFonts w:ascii="Arial" w:hAnsi="Arial" w:eastAsia="宋体" w:cs="Arial"/>
          <w:color w:val="000000"/>
          <w:kern w:val="0"/>
          <w:sz w:val="18"/>
          <w:szCs w:val="18"/>
        </w:rPr>
        <w:t>所测试的干扰物的类型和水平</w:t>
      </w:r>
    </w:p>
    <w:p w14:paraId="1D132117">
      <w:pPr>
        <w:widowControl/>
        <w:numPr>
          <w:ilvl w:val="0"/>
          <w:numId w:val="3"/>
        </w:numPr>
        <w:snapToGrid w:val="0"/>
        <w:spacing w:line="300" w:lineRule="auto"/>
        <w:ind w:left="0" w:firstLine="419" w:firstLineChars="233"/>
        <w:rPr>
          <w:rFonts w:ascii="Arial" w:hAnsi="Arial" w:eastAsia="宋体" w:cs="Arial"/>
          <w:color w:val="000000"/>
          <w:kern w:val="0"/>
          <w:sz w:val="18"/>
          <w:szCs w:val="18"/>
        </w:rPr>
      </w:pPr>
      <w:r>
        <w:rPr>
          <w:rFonts w:ascii="Arial" w:hAnsi="Arial" w:eastAsia="宋体" w:cs="Arial"/>
          <w:color w:val="000000"/>
          <w:kern w:val="0"/>
          <w:sz w:val="18"/>
          <w:szCs w:val="18"/>
        </w:rPr>
        <w:t>样本中的抗体水平</w:t>
      </w:r>
    </w:p>
    <w:p w14:paraId="01E94407">
      <w:pPr>
        <w:widowControl/>
        <w:numPr>
          <w:ilvl w:val="0"/>
          <w:numId w:val="3"/>
        </w:numPr>
        <w:snapToGrid w:val="0"/>
        <w:spacing w:line="300" w:lineRule="auto"/>
        <w:ind w:left="0" w:firstLine="419" w:firstLineChars="233"/>
        <w:rPr>
          <w:rFonts w:ascii="Arial" w:hAnsi="Arial" w:eastAsia="宋体" w:cs="Arial"/>
          <w:color w:val="000000"/>
          <w:kern w:val="0"/>
          <w:sz w:val="18"/>
          <w:szCs w:val="18"/>
        </w:rPr>
      </w:pPr>
      <w:r>
        <w:rPr>
          <w:rFonts w:ascii="Arial" w:hAnsi="Arial" w:eastAsia="宋体" w:cs="Arial"/>
          <w:color w:val="000000"/>
          <w:kern w:val="0"/>
          <w:sz w:val="18"/>
          <w:szCs w:val="18"/>
        </w:rPr>
        <w:t>试验的重复次数</w:t>
      </w:r>
    </w:p>
    <w:p w14:paraId="6CE37DC2">
      <w:pPr>
        <w:widowControl/>
        <w:numPr>
          <w:ilvl w:val="0"/>
          <w:numId w:val="3"/>
        </w:numPr>
        <w:snapToGrid w:val="0"/>
        <w:spacing w:line="300" w:lineRule="auto"/>
        <w:ind w:left="0" w:firstLine="419" w:firstLineChars="233"/>
        <w:rPr>
          <w:rFonts w:ascii="Arial" w:hAnsi="Arial" w:eastAsia="宋体" w:cs="Arial"/>
          <w:color w:val="000000"/>
          <w:kern w:val="0"/>
          <w:sz w:val="18"/>
          <w:szCs w:val="18"/>
        </w:rPr>
      </w:pPr>
      <w:r>
        <w:rPr>
          <w:rFonts w:ascii="Arial" w:hAnsi="Arial" w:eastAsia="宋体" w:cs="Arial"/>
          <w:color w:val="000000"/>
          <w:kern w:val="0"/>
          <w:sz w:val="18"/>
          <w:szCs w:val="18"/>
        </w:rPr>
        <w:t>计算干扰的定义或方法</w:t>
      </w:r>
    </w:p>
    <w:p w14:paraId="467EA989">
      <w:pPr>
        <w:widowControl/>
        <w:snapToGrid w:val="0"/>
        <w:spacing w:before="90" w:after="90" w:line="300" w:lineRule="auto"/>
        <w:rPr>
          <w:rFonts w:ascii="Arial" w:hAnsi="Arial" w:eastAsia="宋体" w:cs="Arial"/>
          <w:color w:val="000000"/>
          <w:kern w:val="0"/>
          <w:sz w:val="18"/>
          <w:szCs w:val="18"/>
        </w:rPr>
      </w:pPr>
    </w:p>
    <w:p w14:paraId="48CEF3AB">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偏差中任何观察到的趋势（即，阴性或阳性），并说明在存在特定干扰物的情况下观察到的回收范围。与单单列出平均回收率相比，这种方法更富信息性。我们建议贵公司说明确定无干扰的标准。</w:t>
      </w:r>
    </w:p>
    <w:p w14:paraId="47ACBCAC">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贵公司可能无需对文献或其他来源中已经确定的潜在干扰物进行额外的干扰试验。但是，我们建议贵公司在标签中标明这些潜在的干扰物。</w:t>
      </w:r>
    </w:p>
    <w:p w14:paraId="7D80AF9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b/>
          <w:bCs/>
          <w:color w:val="000000"/>
          <w:kern w:val="0"/>
          <w:sz w:val="18"/>
        </w:rPr>
        <w:t>交叉反应性</w:t>
      </w:r>
    </w:p>
    <w:p w14:paraId="4B95A505">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通过测量贵公司的器械与其他微生物的交叉反应性获得的、有关测定特异性的数据。特别地，贵公司应进行研究以表征在存在其他黄病毒（例如圣路易斯脑炎、登革热病毒、黄热病、日本脑炎）、甲病毒（例如东方马脑炎）和其他可导致脑膜脑炎症状的病毒（例如，肠道病毒、单纯疱疹）的情况下的性能。</w:t>
      </w:r>
    </w:p>
    <w:p w14:paraId="4ACE3810">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b/>
          <w:bCs/>
          <w:color w:val="000000"/>
          <w:kern w:val="0"/>
          <w:sz w:val="18"/>
        </w:rPr>
        <w:t>临界值</w:t>
      </w:r>
    </w:p>
    <w:p w14:paraId="76CFED63">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我们建议提供数据以说明如何选择和确定临界值。如果适用，应提供关于使用模糊区域进行试验的信息。如果数据表明不应使用模糊区域进行试验，则应提供详细说明。</w:t>
      </w:r>
    </w:p>
    <w:p w14:paraId="21D2F0F8">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b/>
          <w:bCs/>
          <w:color w:val="000000"/>
          <w:kern w:val="0"/>
          <w:sz w:val="18"/>
        </w:rPr>
        <w:t>其他分析研究</w:t>
      </w:r>
    </w:p>
    <w:p w14:paraId="3DB6E1E2">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请参见FDA指导性文件“病毒剂IgM抗体的审查标准，1992年8月1日”</w:t>
      </w:r>
    </w:p>
    <w:p w14:paraId="2C046E33">
      <w:pPr>
        <w:widowControl/>
        <w:snapToGrid w:val="0"/>
        <w:spacing w:line="300" w:lineRule="auto"/>
        <w:outlineLvl w:val="0"/>
        <w:rPr>
          <w:rFonts w:ascii="Arial" w:hAnsi="Arial" w:eastAsia="宋体" w:cs="Arial"/>
          <w:b/>
          <w:bCs/>
          <w:color w:val="000000"/>
          <w:kern w:val="0"/>
          <w:sz w:val="29"/>
          <w:szCs w:val="29"/>
        </w:rPr>
      </w:pPr>
      <w:bookmarkStart w:id="11" w:name="_Toc52173681"/>
      <w:bookmarkStart w:id="12" w:name="_Toc479344406"/>
      <w:r>
        <w:rPr>
          <w:rFonts w:ascii="Arial" w:hAnsi="Arial" w:eastAsia="宋体" w:cs="Arial"/>
          <w:b/>
          <w:bCs/>
          <w:color w:val="000000"/>
          <w:kern w:val="0"/>
          <w:sz w:val="29"/>
          <w:szCs w:val="29"/>
        </w:rPr>
        <w:t>7.</w:t>
      </w:r>
      <w:bookmarkEnd w:id="11"/>
      <w:r>
        <w:rPr>
          <w:rFonts w:ascii="Arial" w:hAnsi="Arial" w:eastAsia="宋体" w:cs="Arial"/>
          <w:b/>
          <w:bCs/>
          <w:color w:val="000000"/>
          <w:kern w:val="0"/>
          <w:sz w:val="29"/>
          <w:szCs w:val="29"/>
        </w:rPr>
        <w:t xml:space="preserve"> 方法比较</w:t>
      </w:r>
      <w:bookmarkEnd w:id="12"/>
    </w:p>
    <w:p w14:paraId="41045EDD">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临床灵敏度和比较性能</w:t>
      </w:r>
    </w:p>
    <w:p w14:paraId="336E9A0F">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FDA建议贵公司通过针对不同患者比较试验性能来测定临床灵敏度，其中，此类患者的特征性疾病已使用已确定的实验室试验（如斑块减少中和试验）或使用目前用于诊断该疾病的CDC指南验证。虽然应优选选择预期样本，但是良好表征的数据库可以用作样品的来源。应该提供明确的信息以支持样品的完整性，并证明已对取自储存库中所用样品进行适当选择和表征。应该考虑和解决偏差来源。</w:t>
      </w:r>
    </w:p>
    <w:p w14:paraId="1F2FB5E2">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我们建议贵公司在流行地区通过贵公司的测定来评估西尼罗病毒抗体的患病率，并根据人口统计学变量（例如年龄、性别）分析数据。</w:t>
      </w:r>
    </w:p>
    <w:p w14:paraId="0461591A">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如果缺少临床资料，贵公司可以使用参考血清学筛选试验以及适当的确认性试验，基于比较血清学结果来研究样品。这些结果应以百分比一致性而不是灵敏度报告。</w:t>
      </w:r>
    </w:p>
    <w:p w14:paraId="25A3DE30">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临床特异性</w:t>
      </w:r>
    </w:p>
    <w:p w14:paraId="1382BA22">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FDA建议，对于西尼罗河病毒血清学试剂，贵公司应评价贵公司的器械在来自地方性正常人群的患者中的临床特异性。应纳入含有发热和神经系统疾病的患者，以确保试验性能受到适当挑战。</w:t>
      </w:r>
    </w:p>
    <w:p w14:paraId="17CC7E07">
      <w:pPr>
        <w:widowControl/>
        <w:jc w:val="left"/>
        <w:rPr>
          <w:rFonts w:ascii="Arial" w:hAnsi="Arial" w:eastAsia="宋体" w:cs="Arial"/>
          <w:b/>
          <w:bCs/>
          <w:color w:val="000000"/>
          <w:kern w:val="0"/>
          <w:sz w:val="18"/>
        </w:rPr>
      </w:pPr>
      <w:r>
        <w:rPr>
          <w:rFonts w:ascii="Arial" w:hAnsi="Arial" w:eastAsia="宋体" w:cs="Arial"/>
          <w:b/>
          <w:bCs/>
          <w:color w:val="000000"/>
          <w:kern w:val="0"/>
          <w:sz w:val="18"/>
        </w:rPr>
        <w:br w:type="page"/>
      </w:r>
    </w:p>
    <w:p w14:paraId="192B76A2">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b/>
          <w:bCs/>
          <w:color w:val="000000"/>
          <w:kern w:val="0"/>
          <w:sz w:val="18"/>
        </w:rPr>
        <w:t>样品收集和处理条件</w:t>
      </w:r>
    </w:p>
    <w:p w14:paraId="575DA623">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通过评估器械是否可以在推荐给用户的存储时间和温度下保持可接受的性能（例如复现性）来证实标签中关于样品存储和运输的声明。例如，适当的研究可能包括对在时间、温度或指定数量的冻融循环条件下储存的等分试样进行分析。我们建议贵公司规定在推荐的存储和处理条件下可接受回收范围的标准[请参见“血液样本的处理和加工程序”；已批准指南（1990年）国家临床实验室标准委员会（NCCLS），H18-A号文件H18]</w:t>
      </w:r>
    </w:p>
    <w:p w14:paraId="3EBB63DB">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样品选择、入选和排除标准</w:t>
      </w:r>
    </w:p>
    <w:p w14:paraId="39BA044E">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我们建议贵公司对来自预期使用人群（即具有脑膜炎/脑炎的体征和症状的患者）的患者样本进行评价，并提供对如何样品选择的明确说明，包括排除样品的原因。</w:t>
      </w:r>
    </w:p>
    <w:p w14:paraId="244CC5D6">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样品量是否适当取决于该试验的复现性、干扰和其他性能特性等因素。我们建议贵公司提供统计理由来支持研究样本量。</w:t>
      </w:r>
    </w:p>
    <w:p w14:paraId="4AC117D2">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提交结果</w:t>
      </w:r>
    </w:p>
    <w:p w14:paraId="0B430850">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当提交贵公司的研究结果时，我们建议贵公司证明西尼罗河病毒血清学结果与用于初步诊断和确诊西尼罗河病毒感染的结果之间的相关性，如当前CDC指南“西尼罗病毒：信息和临床医生指南”中所述。我们建议贵公司按照重要的人口因素（例如年龄和性别）对数据进行分层（如果这些因素有可能使结果产生偏差）。</w:t>
      </w:r>
    </w:p>
    <w:p w14:paraId="165DA046">
      <w:pPr>
        <w:widowControl/>
        <w:snapToGrid w:val="0"/>
        <w:spacing w:line="300" w:lineRule="auto"/>
        <w:outlineLvl w:val="0"/>
        <w:rPr>
          <w:rFonts w:ascii="Arial" w:hAnsi="Arial" w:eastAsia="宋体" w:cs="Arial"/>
          <w:b/>
          <w:bCs/>
          <w:color w:val="000000"/>
          <w:kern w:val="0"/>
          <w:sz w:val="29"/>
          <w:szCs w:val="29"/>
        </w:rPr>
      </w:pPr>
      <w:bookmarkStart w:id="13" w:name="_Toc52173682"/>
      <w:bookmarkStart w:id="14" w:name="_Toc479344407"/>
      <w:r>
        <w:rPr>
          <w:rFonts w:ascii="Arial" w:hAnsi="Arial" w:eastAsia="宋体" w:cs="Arial"/>
          <w:b/>
          <w:bCs/>
          <w:color w:val="000000"/>
          <w:kern w:val="0"/>
          <w:sz w:val="29"/>
          <w:szCs w:val="29"/>
        </w:rPr>
        <w:t>8.</w:t>
      </w:r>
      <w:bookmarkEnd w:id="13"/>
      <w:r>
        <w:rPr>
          <w:rFonts w:ascii="Arial" w:hAnsi="Arial" w:eastAsia="宋体" w:cs="Arial"/>
          <w:b/>
          <w:bCs/>
          <w:color w:val="000000"/>
          <w:kern w:val="0"/>
          <w:sz w:val="29"/>
          <w:szCs w:val="29"/>
        </w:rPr>
        <w:t xml:space="preserve"> 标签</w:t>
      </w:r>
      <w:bookmarkEnd w:id="14"/>
    </w:p>
    <w:p w14:paraId="7130D388">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上市前通告应提供足够详细的标签，以满足21 CFR 807.87（e）的要求。以下建议旨在帮助贵公司准备符合21 CFR 807.87（e）要求的标签。</w:t>
      </w:r>
      <w:r>
        <w:rPr>
          <w:rFonts w:ascii="Arial" w:hAnsi="Arial" w:eastAsia="宋体" w:cs="Arial"/>
          <w:color w:val="7030A0"/>
          <w:kern w:val="0"/>
          <w:sz w:val="18"/>
          <w:szCs w:val="18"/>
        </w:rPr>
        <w:t>[5]</w:t>
      </w:r>
    </w:p>
    <w:p w14:paraId="792FEC82">
      <w:pPr>
        <w:widowControl/>
        <w:snapToGrid w:val="0"/>
        <w:spacing w:before="90" w:after="90" w:line="300" w:lineRule="auto"/>
        <w:rPr>
          <w:rFonts w:ascii="Arial" w:hAnsi="Arial" w:eastAsia="宋体" w:cs="Arial"/>
          <w:color w:val="000000"/>
          <w:kern w:val="0"/>
          <w:sz w:val="18"/>
          <w:szCs w:val="18"/>
        </w:rPr>
      </w:pPr>
    </w:p>
    <w:p w14:paraId="62255E6F">
      <w:pPr>
        <w:widowControl/>
        <w:snapToGrid w:val="0"/>
        <w:spacing w:before="78" w:after="78" w:line="300" w:lineRule="auto"/>
        <w:rPr>
          <w:rFonts w:ascii="Arial" w:hAnsi="Arial" w:eastAsia="宋体" w:cs="Arial"/>
          <w:b/>
          <w:bCs/>
          <w:color w:val="000000"/>
          <w:kern w:val="0"/>
          <w:sz w:val="18"/>
        </w:rPr>
      </w:pPr>
      <w:r>
        <w:rPr>
          <w:rFonts w:ascii="Arial" w:hAnsi="Arial" w:eastAsia="宋体" w:cs="Arial"/>
          <w:b/>
          <w:bCs/>
          <w:color w:val="000000"/>
          <w:kern w:val="0"/>
          <w:sz w:val="18"/>
        </w:rPr>
        <w:t>使用说明</w:t>
      </w:r>
    </w:p>
    <w:p w14:paraId="1E2D0894">
      <w:pPr>
        <w:widowControl/>
        <w:snapToGrid w:val="0"/>
        <w:spacing w:before="78" w:after="78" w:line="300" w:lineRule="auto"/>
        <w:rPr>
          <w:rFonts w:ascii="Arial" w:hAnsi="Arial" w:eastAsia="宋体" w:cs="Arial"/>
          <w:color w:val="000000"/>
          <w:spacing w:val="-2"/>
          <w:kern w:val="0"/>
          <w:sz w:val="18"/>
          <w:szCs w:val="18"/>
        </w:rPr>
      </w:pPr>
      <w:r>
        <w:rPr>
          <w:rFonts w:ascii="Arial" w:hAnsi="Arial" w:eastAsia="宋体" w:cs="Arial"/>
          <w:color w:val="000000"/>
          <w:spacing w:val="-2"/>
          <w:kern w:val="0"/>
          <w:sz w:val="18"/>
          <w:szCs w:val="18"/>
        </w:rPr>
        <w:t>根据21 CFR 801.109，作为处方器械，该器械可以免于针对外行用途提供适当的使用说明。然而，根据21 CFR 807.87（e），我们希望贵公司可以提供清晰简明的说明，以描述具体器械的技术特征以及该器械如何用于患者。说明应鼓励旨在使用户熟悉器械功能，以及如何以安全有效的方式进行使用的地方/机构培训计划。</w:t>
      </w:r>
    </w:p>
    <w:p w14:paraId="40AECBB7">
      <w:pPr>
        <w:widowControl/>
        <w:snapToGrid w:val="0"/>
        <w:spacing w:before="78" w:after="78" w:line="300" w:lineRule="auto"/>
        <w:rPr>
          <w:rFonts w:ascii="Arial" w:hAnsi="Arial" w:eastAsia="宋体" w:cs="Arial"/>
          <w:color w:val="000000"/>
          <w:kern w:val="0"/>
          <w:sz w:val="18"/>
          <w:szCs w:val="18"/>
        </w:rPr>
      </w:pPr>
    </w:p>
    <w:p w14:paraId="0CC9FCEE">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b/>
          <w:bCs/>
          <w:color w:val="000000"/>
          <w:kern w:val="0"/>
          <w:sz w:val="18"/>
        </w:rPr>
        <w:t>质量控制</w:t>
      </w:r>
    </w:p>
    <w:p w14:paraId="3BF8FAF2">
      <w:pPr>
        <w:widowControl/>
        <w:snapToGrid w:val="0"/>
        <w:spacing w:before="78" w:after="78" w:line="300" w:lineRule="auto"/>
        <w:rPr>
          <w:rFonts w:ascii="Arial" w:hAnsi="Arial" w:eastAsia="宋体" w:cs="Arial"/>
          <w:color w:val="000000"/>
          <w:kern w:val="0"/>
          <w:sz w:val="18"/>
          <w:szCs w:val="18"/>
        </w:rPr>
      </w:pPr>
    </w:p>
    <w:p w14:paraId="337A4F7E">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我们建议贵公司在标签中提供对质量控制建议的说明。</w:t>
      </w:r>
    </w:p>
    <w:p w14:paraId="76486B50">
      <w:pPr>
        <w:widowControl/>
        <w:snapToGrid w:val="0"/>
        <w:spacing w:before="78" w:after="78" w:line="300" w:lineRule="auto"/>
        <w:rPr>
          <w:rFonts w:ascii="Arial" w:hAnsi="Arial" w:eastAsia="宋体" w:cs="Arial"/>
          <w:color w:val="000000"/>
          <w:kern w:val="0"/>
          <w:sz w:val="18"/>
          <w:szCs w:val="18"/>
        </w:rPr>
      </w:pPr>
    </w:p>
    <w:p w14:paraId="5349D466">
      <w:pPr>
        <w:widowControl/>
        <w:snapToGrid w:val="0"/>
        <w:spacing w:before="78" w:after="78" w:line="300" w:lineRule="auto"/>
        <w:rPr>
          <w:rFonts w:ascii="Arial" w:hAnsi="Arial" w:eastAsia="宋体" w:cs="Arial"/>
          <w:b/>
          <w:bCs/>
          <w:color w:val="000000"/>
          <w:kern w:val="0"/>
          <w:sz w:val="18"/>
        </w:rPr>
      </w:pPr>
      <w:r>
        <w:rPr>
          <w:rFonts w:ascii="Arial" w:hAnsi="Arial" w:eastAsia="宋体" w:cs="Arial"/>
          <w:b/>
          <w:bCs/>
          <w:color w:val="000000"/>
          <w:kern w:val="0"/>
          <w:sz w:val="18"/>
        </w:rPr>
        <w:t>解释注意事项</w:t>
      </w:r>
    </w:p>
    <w:p w14:paraId="3251037D">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我们建议贵公司解决贵公司测定的限制并在标签中进行声明，例如：</w:t>
      </w:r>
    </w:p>
    <w:p w14:paraId="0DA7F962">
      <w:pPr>
        <w:widowControl/>
        <w:numPr>
          <w:ilvl w:val="0"/>
          <w:numId w:val="4"/>
        </w:numPr>
        <w:snapToGrid w:val="0"/>
        <w:spacing w:line="300" w:lineRule="auto"/>
        <w:ind w:left="671" w:leftChars="180" w:hanging="293" w:hangingChars="163"/>
        <w:rPr>
          <w:rFonts w:ascii="Arial" w:hAnsi="Arial" w:eastAsia="宋体" w:cs="Arial"/>
          <w:color w:val="000000"/>
          <w:kern w:val="0"/>
          <w:sz w:val="18"/>
          <w:szCs w:val="18"/>
        </w:rPr>
      </w:pPr>
      <w:r>
        <w:rPr>
          <w:rFonts w:ascii="Arial" w:hAnsi="Arial" w:eastAsia="宋体" w:cs="Arial"/>
          <w:color w:val="000000"/>
          <w:kern w:val="0"/>
          <w:sz w:val="18"/>
          <w:szCs w:val="18"/>
        </w:rPr>
        <w:t>血清学试验结果具有推定性，并需要通过进行蚀斑减少中和试验或使用当前的CDC指南来诊断这种疾病来进行确认。</w:t>
      </w:r>
    </w:p>
    <w:p w14:paraId="0F7B3DC3">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059E807C">
      <w:pPr>
        <w:widowControl/>
        <w:numPr>
          <w:ilvl w:val="0"/>
          <w:numId w:val="4"/>
        </w:numPr>
        <w:snapToGrid w:val="0"/>
        <w:spacing w:line="300" w:lineRule="auto"/>
        <w:ind w:left="671" w:leftChars="180" w:hanging="293" w:hangingChars="163"/>
        <w:rPr>
          <w:rFonts w:ascii="Arial" w:hAnsi="Arial" w:eastAsia="宋体" w:cs="Arial"/>
          <w:color w:val="000000"/>
          <w:kern w:val="0"/>
          <w:sz w:val="18"/>
          <w:szCs w:val="18"/>
        </w:rPr>
      </w:pPr>
      <w:r>
        <w:rPr>
          <w:rFonts w:ascii="Arial" w:hAnsi="Arial" w:eastAsia="宋体" w:cs="Arial"/>
          <w:color w:val="000000"/>
          <w:kern w:val="0"/>
          <w:sz w:val="18"/>
          <w:szCs w:val="18"/>
        </w:rPr>
        <w:t>只能对具有脑膜炎/脑炎临床症状的患者进行试验。本试验不适用于筛选普通人群。阳性预测值取决于病毒存在的可能性。</w:t>
      </w:r>
    </w:p>
    <w:p w14:paraId="010C166E">
      <w:pPr>
        <w:widowControl/>
        <w:numPr>
          <w:ilvl w:val="0"/>
          <w:numId w:val="4"/>
        </w:numPr>
        <w:snapToGrid w:val="0"/>
        <w:spacing w:line="300" w:lineRule="auto"/>
        <w:ind w:left="671" w:leftChars="180" w:hanging="293" w:hangingChars="163"/>
        <w:rPr>
          <w:rFonts w:ascii="Arial" w:hAnsi="Arial" w:eastAsia="宋体" w:cs="Arial"/>
          <w:color w:val="000000"/>
          <w:kern w:val="0"/>
          <w:sz w:val="18"/>
          <w:szCs w:val="18"/>
        </w:rPr>
      </w:pPr>
      <w:r>
        <w:rPr>
          <w:rFonts w:ascii="Arial" w:hAnsi="Arial" w:eastAsia="宋体" w:cs="Arial"/>
          <w:color w:val="000000"/>
          <w:kern w:val="0"/>
          <w:sz w:val="18"/>
          <w:szCs w:val="18"/>
        </w:rPr>
        <w:t>必须仔细解释来自免疫受损患者的结果。</w:t>
      </w:r>
    </w:p>
    <w:p w14:paraId="3A0B4609">
      <w:pPr>
        <w:widowControl/>
        <w:numPr>
          <w:ilvl w:val="0"/>
          <w:numId w:val="4"/>
        </w:numPr>
        <w:snapToGrid w:val="0"/>
        <w:spacing w:line="300" w:lineRule="auto"/>
        <w:ind w:left="671" w:leftChars="180" w:hanging="293" w:hangingChars="163"/>
        <w:rPr>
          <w:rFonts w:ascii="Arial" w:hAnsi="Arial" w:eastAsia="宋体" w:cs="Arial"/>
          <w:color w:val="000000"/>
          <w:kern w:val="0"/>
          <w:sz w:val="18"/>
          <w:szCs w:val="18"/>
        </w:rPr>
      </w:pPr>
      <w:r>
        <w:rPr>
          <w:rFonts w:ascii="Arial" w:hAnsi="Arial" w:eastAsia="宋体" w:cs="Arial"/>
          <w:color w:val="000000"/>
          <w:kern w:val="0"/>
          <w:sz w:val="18"/>
          <w:szCs w:val="18"/>
        </w:rPr>
        <w:t>黄病毒组间通常会出现血清学交叉反应（即圣路易斯脑炎、登革热1、2、3和4；墨累谷脑炎、日本脑炎和黄热病毒之间）。</w:t>
      </w:r>
    </w:p>
    <w:p w14:paraId="75986F11">
      <w:pPr>
        <w:widowControl/>
        <w:numPr>
          <w:ilvl w:val="0"/>
          <w:numId w:val="4"/>
        </w:numPr>
        <w:snapToGrid w:val="0"/>
        <w:spacing w:line="300" w:lineRule="auto"/>
        <w:ind w:left="671" w:leftChars="180" w:hanging="293" w:hangingChars="163"/>
        <w:rPr>
          <w:rFonts w:ascii="Arial" w:hAnsi="Arial" w:eastAsia="宋体" w:cs="Arial"/>
          <w:color w:val="000000"/>
          <w:kern w:val="0"/>
          <w:sz w:val="18"/>
          <w:szCs w:val="18"/>
        </w:rPr>
      </w:pPr>
      <w:r>
        <w:rPr>
          <w:rFonts w:ascii="Arial" w:hAnsi="Arial" w:eastAsia="宋体" w:cs="Arial"/>
          <w:color w:val="000000"/>
          <w:kern w:val="0"/>
          <w:sz w:val="18"/>
          <w:szCs w:val="18"/>
        </w:rPr>
        <w:t>在60％以上的病例中，IgM抗体可能持续存在500天以上。应根据临床和其他实验室检查结果对阳性结果进行解释的，且其并不表示存在由有源西尼罗病毒引起的疾病。</w:t>
      </w:r>
    </w:p>
    <w:p w14:paraId="1DF04ACF">
      <w:pPr>
        <w:widowControl/>
        <w:numPr>
          <w:ilvl w:val="0"/>
          <w:numId w:val="4"/>
        </w:numPr>
        <w:snapToGrid w:val="0"/>
        <w:spacing w:line="300" w:lineRule="auto"/>
        <w:ind w:left="671" w:leftChars="180" w:hanging="293" w:hangingChars="163"/>
        <w:rPr>
          <w:rFonts w:ascii="Arial" w:hAnsi="Arial" w:eastAsia="宋体" w:cs="Arial"/>
          <w:color w:val="000000"/>
          <w:kern w:val="0"/>
          <w:sz w:val="18"/>
          <w:szCs w:val="18"/>
        </w:rPr>
      </w:pPr>
      <w:r>
        <w:rPr>
          <w:rFonts w:ascii="Arial" w:hAnsi="Arial" w:eastAsia="宋体" w:cs="Arial"/>
          <w:color w:val="000000"/>
          <w:kern w:val="0"/>
          <w:sz w:val="18"/>
          <w:szCs w:val="18"/>
        </w:rPr>
        <w:t>测定结果应仅根据其他实验室检查结果和患者的总体临床状况来进行解释。</w:t>
      </w:r>
    </w:p>
    <w:p w14:paraId="2672A3AB">
      <w:pPr>
        <w:widowControl/>
        <w:snapToGrid w:val="0"/>
        <w:spacing w:line="300" w:lineRule="auto"/>
        <w:rPr>
          <w:rFonts w:ascii="Arial" w:hAnsi="Arial" w:eastAsia="宋体" w:cs="Arial"/>
          <w:color w:val="000000"/>
          <w:kern w:val="0"/>
          <w:sz w:val="18"/>
          <w:szCs w:val="18"/>
        </w:rPr>
      </w:pPr>
    </w:p>
    <w:p w14:paraId="16FDA101">
      <w:pPr>
        <w:widowControl/>
        <w:snapToGrid w:val="0"/>
        <w:spacing w:before="360" w:after="360" w:line="300" w:lineRule="auto"/>
        <w:rPr>
          <w:rFonts w:ascii="Arial" w:hAnsi="Arial" w:eastAsia="宋体" w:cs="Arial"/>
          <w:kern w:val="0"/>
          <w:sz w:val="24"/>
          <w:szCs w:val="24"/>
        </w:rPr>
      </w:pPr>
      <w:r>
        <w:rPr>
          <w:rFonts w:ascii="Arial" w:hAnsi="Arial" w:eastAsia="宋体" w:cs="Arial"/>
          <w:kern w:val="0"/>
          <w:sz w:val="24"/>
          <w:szCs w:val="24"/>
        </w:rPr>
        <w:pict>
          <v:rect id="_x0000_i1025" o:spt="1" style="height:0.75pt;width:133.35pt;" fillcolor="#000000" filled="t" stroked="f" coordsize="21600,21600" o:hr="t" o:hrstd="t" o:hrnoshade="t" o:hrpct="330">
            <v:path/>
            <v:fill on="t" focussize="0,0"/>
            <v:stroke on="f"/>
            <v:imagedata o:title=""/>
            <o:lock v:ext="edit"/>
            <w10:wrap type="none"/>
            <w10:anchorlock/>
          </v:rect>
        </w:pict>
      </w:r>
    </w:p>
    <w:p w14:paraId="1B165A97">
      <w:pPr>
        <w:widowControl/>
        <w:snapToGrid w:val="0"/>
        <w:spacing w:before="90" w:after="90" w:line="300" w:lineRule="auto"/>
        <w:rPr>
          <w:rFonts w:ascii="Arial" w:hAnsi="Arial" w:eastAsia="宋体" w:cs="Arial"/>
          <w:color w:val="800080"/>
          <w:kern w:val="0"/>
          <w:sz w:val="18"/>
          <w:u w:val="single"/>
        </w:rPr>
      </w:pPr>
      <w:bookmarkStart w:id="15" w:name="_ftn1"/>
      <w:r>
        <w:rPr>
          <w:rFonts w:ascii="Arial" w:hAnsi="Arial" w:eastAsia="宋体" w:cs="Arial"/>
          <w:color w:val="000000"/>
          <w:kern w:val="0"/>
          <w:sz w:val="18"/>
          <w:szCs w:val="18"/>
        </w:rPr>
        <w:fldChar w:fldCharType="begin"/>
      </w:r>
      <w:r>
        <w:rPr>
          <w:rFonts w:ascii="Arial" w:hAnsi="Arial" w:eastAsia="宋体" w:cs="Arial"/>
          <w:color w:val="000000"/>
          <w:kern w:val="0"/>
          <w:sz w:val="18"/>
          <w:szCs w:val="18"/>
        </w:rPr>
        <w:instrText xml:space="preserve"> HYPERLINK "http://www.fda.gov/MedicalDevices/DeviceRegulationandGuidance/GuidanceDocuments/ucm072128.htm" \l "_ftnref1" \o "" </w:instrText>
      </w:r>
      <w:r>
        <w:rPr>
          <w:rFonts w:ascii="Arial" w:hAnsi="Arial" w:eastAsia="宋体" w:cs="Arial"/>
          <w:color w:val="000000"/>
          <w:kern w:val="0"/>
          <w:sz w:val="18"/>
          <w:szCs w:val="18"/>
        </w:rPr>
        <w:fldChar w:fldCharType="separate"/>
      </w:r>
      <w:r>
        <w:rPr>
          <w:rFonts w:ascii="Arial" w:hAnsi="Arial" w:eastAsia="宋体" w:cs="Arial"/>
          <w:color w:val="800080"/>
          <w:kern w:val="0"/>
          <w:sz w:val="18"/>
          <w:u w:val="single"/>
        </w:rPr>
        <w:t>[1]</w:t>
      </w:r>
      <w:r>
        <w:rPr>
          <w:rFonts w:ascii="Arial" w:hAnsi="Arial" w:eastAsia="宋体" w:cs="Arial"/>
          <w:color w:val="000000"/>
          <w:kern w:val="0"/>
          <w:sz w:val="18"/>
          <w:szCs w:val="18"/>
        </w:rPr>
        <w:fldChar w:fldCharType="end"/>
      </w:r>
      <w:bookmarkEnd w:id="15"/>
      <w:r>
        <w:rPr>
          <w:rFonts w:ascii="Arial" w:hAnsi="Arial" w:eastAsia="宋体" w:cs="Arial"/>
          <w:color w:val="800080"/>
          <w:kern w:val="0"/>
          <w:sz w:val="18"/>
          <w:u w:val="single"/>
        </w:rPr>
        <w:t> 新版510（k）范式</w:t>
      </w:r>
    </w:p>
    <w:p w14:paraId="439E0150">
      <w:pPr>
        <w:widowControl/>
        <w:snapToGrid w:val="0"/>
        <w:spacing w:before="90" w:after="90" w:line="300" w:lineRule="auto"/>
        <w:rPr>
          <w:rFonts w:ascii="Arial" w:hAnsi="Arial" w:eastAsia="宋体" w:cs="Arial"/>
          <w:color w:val="000000"/>
          <w:kern w:val="0"/>
          <w:sz w:val="18"/>
          <w:szCs w:val="18"/>
        </w:rPr>
      </w:pPr>
      <w:bookmarkStart w:id="16" w:name="_ftn2"/>
      <w:r>
        <w:rPr>
          <w:rFonts w:ascii="Arial" w:hAnsi="Arial" w:eastAsia="宋体" w:cs="Arial"/>
          <w:color w:val="000000"/>
          <w:kern w:val="0"/>
          <w:sz w:val="18"/>
          <w:szCs w:val="18"/>
        </w:rPr>
        <w:fldChar w:fldCharType="begin"/>
      </w:r>
      <w:r>
        <w:rPr>
          <w:rFonts w:ascii="Arial" w:hAnsi="Arial" w:eastAsia="宋体" w:cs="Arial"/>
          <w:color w:val="000000"/>
          <w:kern w:val="0"/>
          <w:sz w:val="18"/>
          <w:szCs w:val="18"/>
        </w:rPr>
        <w:instrText xml:space="preserve"> HYPERLINK "http://www.fda.gov/MedicalDevices/DeviceRegulationandGuidance/GuidanceDocuments/ucm072128.htm" \l "_ftnref2" \o "" </w:instrText>
      </w:r>
      <w:r>
        <w:rPr>
          <w:rFonts w:ascii="Arial" w:hAnsi="Arial" w:eastAsia="宋体" w:cs="Arial"/>
          <w:color w:val="000000"/>
          <w:kern w:val="0"/>
          <w:sz w:val="18"/>
          <w:szCs w:val="18"/>
        </w:rPr>
        <w:fldChar w:fldCharType="separate"/>
      </w:r>
      <w:r>
        <w:rPr>
          <w:rFonts w:ascii="Arial" w:hAnsi="Arial" w:eastAsia="宋体" w:cs="Arial"/>
          <w:color w:val="800080"/>
          <w:kern w:val="0"/>
          <w:sz w:val="18"/>
          <w:u w:val="single"/>
        </w:rPr>
        <w:t>[2]</w:t>
      </w:r>
      <w:r>
        <w:rPr>
          <w:rFonts w:ascii="Arial" w:hAnsi="Arial" w:eastAsia="宋体" w:cs="Arial"/>
          <w:color w:val="000000"/>
          <w:kern w:val="0"/>
          <w:sz w:val="18"/>
          <w:szCs w:val="18"/>
        </w:rPr>
        <w:fldChar w:fldCharType="end"/>
      </w:r>
      <w:bookmarkEnd w:id="16"/>
      <w:r>
        <w:rPr>
          <w:rFonts w:ascii="Arial" w:hAnsi="Arial" w:eastAsia="宋体" w:cs="Arial"/>
          <w:color w:val="000000"/>
          <w:kern w:val="0"/>
          <w:sz w:val="18"/>
          <w:szCs w:val="18"/>
        </w:rPr>
        <w:t> 有关推荐格式，请参考使用适应症表格（PDF文件大小：1.03MB）。</w:t>
      </w:r>
    </w:p>
    <w:p w14:paraId="19EB4F5F">
      <w:pPr>
        <w:widowControl/>
        <w:snapToGrid w:val="0"/>
        <w:spacing w:before="90" w:after="90" w:line="300" w:lineRule="auto"/>
        <w:rPr>
          <w:rFonts w:ascii="Arial" w:hAnsi="Arial" w:eastAsia="宋体" w:cs="Arial"/>
          <w:color w:val="000000"/>
          <w:kern w:val="0"/>
          <w:sz w:val="18"/>
          <w:szCs w:val="18"/>
        </w:rPr>
      </w:pPr>
      <w:bookmarkStart w:id="17" w:name="_ftn3"/>
      <w:r>
        <w:rPr>
          <w:rFonts w:ascii="Arial" w:hAnsi="Arial" w:eastAsia="宋体" w:cs="Arial"/>
          <w:color w:val="000000"/>
          <w:kern w:val="0"/>
          <w:sz w:val="18"/>
          <w:szCs w:val="18"/>
        </w:rPr>
        <w:fldChar w:fldCharType="begin"/>
      </w:r>
      <w:r>
        <w:rPr>
          <w:rFonts w:ascii="Arial" w:hAnsi="Arial" w:eastAsia="宋体" w:cs="Arial"/>
          <w:color w:val="000000"/>
          <w:kern w:val="0"/>
          <w:sz w:val="18"/>
          <w:szCs w:val="18"/>
        </w:rPr>
        <w:instrText xml:space="preserve"> HYPERLINK "http://www.fda.gov/MedicalDevices/DeviceRegulationandGuidance/GuidanceDocuments/ucm072128.htm" \l "_ftnref3" \o "" </w:instrText>
      </w:r>
      <w:r>
        <w:rPr>
          <w:rFonts w:ascii="Arial" w:hAnsi="Arial" w:eastAsia="宋体" w:cs="Arial"/>
          <w:color w:val="000000"/>
          <w:kern w:val="0"/>
          <w:sz w:val="18"/>
          <w:szCs w:val="18"/>
        </w:rPr>
        <w:fldChar w:fldCharType="separate"/>
      </w:r>
      <w:r>
        <w:rPr>
          <w:rFonts w:ascii="Arial" w:hAnsi="Arial" w:eastAsia="宋体" w:cs="Arial"/>
          <w:color w:val="800080"/>
          <w:kern w:val="0"/>
          <w:sz w:val="18"/>
          <w:u w:val="single"/>
        </w:rPr>
        <w:t>[3]</w:t>
      </w:r>
      <w:r>
        <w:rPr>
          <w:rFonts w:ascii="Arial" w:hAnsi="Arial" w:eastAsia="宋体" w:cs="Arial"/>
          <w:color w:val="000000"/>
          <w:kern w:val="0"/>
          <w:sz w:val="18"/>
          <w:szCs w:val="18"/>
        </w:rPr>
        <w:fldChar w:fldCharType="end"/>
      </w:r>
      <w:bookmarkEnd w:id="17"/>
      <w:r>
        <w:rPr>
          <w:rFonts w:ascii="Arial" w:hAnsi="Arial" w:eastAsia="宋体" w:cs="Arial"/>
          <w:color w:val="000000"/>
          <w:kern w:val="0"/>
          <w:sz w:val="18"/>
          <w:szCs w:val="18"/>
        </w:rPr>
        <w:t> 如果FDA根据验收标准进行了实质等同性测定，则在引入州际贸易之前，应对主题器械进行测试且其应显示其已符合这些验收标准。如果成品器械不符合验收标准，并因此与已许可的510（k）中所述的器械不同，FDA建议申报人应使用与用于评估对合法销售器械的修改相同的标准（21 CFR 807.81（a） （3））来确定成品器械是否需要获得新的510（k）许可。</w:t>
      </w:r>
    </w:p>
    <w:p w14:paraId="7350BAF6">
      <w:pPr>
        <w:widowControl/>
        <w:snapToGrid w:val="0"/>
        <w:spacing w:before="90" w:after="90" w:line="300" w:lineRule="auto"/>
        <w:rPr>
          <w:rFonts w:ascii="Arial" w:hAnsi="Arial" w:eastAsia="宋体" w:cs="Arial"/>
          <w:color w:val="000000"/>
          <w:kern w:val="0"/>
          <w:sz w:val="18"/>
          <w:szCs w:val="18"/>
        </w:rPr>
      </w:pPr>
      <w:bookmarkStart w:id="18" w:name="_ftn4"/>
      <w:r>
        <w:rPr>
          <w:rFonts w:ascii="Arial" w:hAnsi="Arial" w:eastAsia="宋体" w:cs="Arial"/>
          <w:color w:val="000000"/>
          <w:kern w:val="0"/>
          <w:sz w:val="18"/>
          <w:szCs w:val="18"/>
        </w:rPr>
        <w:fldChar w:fldCharType="begin"/>
      </w:r>
      <w:r>
        <w:rPr>
          <w:rFonts w:ascii="Arial" w:hAnsi="Arial" w:eastAsia="宋体" w:cs="Arial"/>
          <w:color w:val="000000"/>
          <w:kern w:val="0"/>
          <w:sz w:val="18"/>
          <w:szCs w:val="18"/>
        </w:rPr>
        <w:instrText xml:space="preserve"> HYPERLINK "http://www.fda.gov/MedicalDevices/DeviceRegulationandGuidance/GuidanceDocuments/ucm072128.htm" \l "_ftnref4" \o "" </w:instrText>
      </w:r>
      <w:r>
        <w:rPr>
          <w:rFonts w:ascii="Arial" w:hAnsi="Arial" w:eastAsia="宋体" w:cs="Arial"/>
          <w:color w:val="000000"/>
          <w:kern w:val="0"/>
          <w:sz w:val="18"/>
          <w:szCs w:val="18"/>
        </w:rPr>
        <w:fldChar w:fldCharType="separate"/>
      </w:r>
      <w:r>
        <w:rPr>
          <w:rFonts w:ascii="Arial" w:hAnsi="Arial" w:eastAsia="宋体" w:cs="Arial"/>
          <w:color w:val="800080"/>
          <w:kern w:val="0"/>
          <w:sz w:val="18"/>
          <w:u w:val="single"/>
        </w:rPr>
        <w:t>[4]</w:t>
      </w:r>
      <w:r>
        <w:rPr>
          <w:rFonts w:ascii="Arial" w:hAnsi="Arial" w:eastAsia="宋体" w:cs="Arial"/>
          <w:color w:val="000000"/>
          <w:kern w:val="0"/>
          <w:sz w:val="18"/>
          <w:szCs w:val="18"/>
        </w:rPr>
        <w:fldChar w:fldCharType="end"/>
      </w:r>
      <w:bookmarkEnd w:id="18"/>
      <w:r>
        <w:rPr>
          <w:rFonts w:ascii="Arial" w:hAnsi="Arial" w:eastAsia="宋体" w:cs="Arial"/>
          <w:color w:val="000000"/>
          <w:kern w:val="0"/>
          <w:sz w:val="18"/>
          <w:szCs w:val="18"/>
        </w:rPr>
        <w:t> 请参见</w:t>
      </w:r>
      <w:r>
        <w:rPr>
          <w:rFonts w:ascii="Arial" w:hAnsi="Arial" w:eastAsia="宋体" w:cs="Arial"/>
          <w:color w:val="800080"/>
          <w:kern w:val="0"/>
          <w:sz w:val="18"/>
          <w:u w:val="single"/>
        </w:rPr>
        <w:t>符合公认标准声明的所需成分（所有上市前通告[510（K）]提交资料的筛选清单）。</w:t>
      </w:r>
    </w:p>
    <w:p w14:paraId="6807133E">
      <w:pPr>
        <w:widowControl/>
        <w:snapToGrid w:val="0"/>
        <w:spacing w:before="90" w:after="90" w:line="300" w:lineRule="auto"/>
        <w:rPr>
          <w:rFonts w:ascii="Arial" w:hAnsi="Arial" w:eastAsia="宋体" w:cs="Arial"/>
          <w:color w:val="000000"/>
          <w:kern w:val="0"/>
          <w:sz w:val="18"/>
          <w:szCs w:val="18"/>
        </w:rPr>
      </w:pPr>
      <w:bookmarkStart w:id="19" w:name="_ftn5"/>
      <w:r>
        <w:rPr>
          <w:rFonts w:ascii="Arial" w:hAnsi="Arial" w:eastAsia="宋体" w:cs="Arial"/>
          <w:color w:val="000000"/>
          <w:kern w:val="0"/>
          <w:sz w:val="18"/>
          <w:szCs w:val="18"/>
        </w:rPr>
        <w:fldChar w:fldCharType="begin"/>
      </w:r>
      <w:r>
        <w:rPr>
          <w:rFonts w:ascii="Arial" w:hAnsi="Arial" w:eastAsia="宋体" w:cs="Arial"/>
          <w:color w:val="000000"/>
          <w:kern w:val="0"/>
          <w:sz w:val="18"/>
          <w:szCs w:val="18"/>
        </w:rPr>
        <w:instrText xml:space="preserve"> HYPERLINK "http://www.fda.gov/MedicalDevices/DeviceRegulationandGuidance/GuidanceDocuments/ucm072128.htm" \l "_ftnref5" \o "" </w:instrText>
      </w:r>
      <w:r>
        <w:rPr>
          <w:rFonts w:ascii="Arial" w:hAnsi="Arial" w:eastAsia="宋体" w:cs="Arial"/>
          <w:color w:val="000000"/>
          <w:kern w:val="0"/>
          <w:sz w:val="18"/>
          <w:szCs w:val="18"/>
        </w:rPr>
        <w:fldChar w:fldCharType="separate"/>
      </w:r>
      <w:r>
        <w:rPr>
          <w:rFonts w:ascii="Arial" w:hAnsi="Arial" w:eastAsia="宋体" w:cs="Arial"/>
          <w:color w:val="800080"/>
          <w:kern w:val="0"/>
          <w:sz w:val="18"/>
          <w:u w:val="single"/>
        </w:rPr>
        <w:t>[5]</w:t>
      </w:r>
      <w:r>
        <w:rPr>
          <w:rFonts w:ascii="Arial" w:hAnsi="Arial" w:eastAsia="宋体" w:cs="Arial"/>
          <w:color w:val="000000"/>
          <w:kern w:val="0"/>
          <w:sz w:val="18"/>
          <w:szCs w:val="18"/>
        </w:rPr>
        <w:fldChar w:fldCharType="end"/>
      </w:r>
      <w:bookmarkEnd w:id="19"/>
      <w:r>
        <w:rPr>
          <w:rFonts w:ascii="Arial" w:hAnsi="Arial" w:eastAsia="宋体" w:cs="Arial"/>
          <w:color w:val="000000"/>
          <w:kern w:val="0"/>
          <w:sz w:val="18"/>
          <w:szCs w:val="18"/>
        </w:rPr>
        <w:t> 尽管510（k）许可不要求提供最终标签，但在将体外诊断器械引入州际贸易之前，最终标签必须符合21 CFR 801或21 CFR 809.10的要求。</w:t>
      </w:r>
    </w:p>
    <w:p w14:paraId="727A13FA">
      <w:pPr>
        <w:widowControl/>
        <w:snapToGrid w:val="0"/>
        <w:spacing w:before="90" w:after="90" w:line="300" w:lineRule="auto"/>
        <w:rPr>
          <w:rFonts w:ascii="Arial" w:hAnsi="Arial" w:eastAsia="宋体" w:cs="Arial"/>
          <w:color w:val="000000"/>
          <w:kern w:val="0"/>
          <w:sz w:val="18"/>
          <w:szCs w:val="18"/>
        </w:rPr>
      </w:pPr>
    </w:p>
    <w:p w14:paraId="505D5195">
      <w:pPr>
        <w:snapToGrid w:val="0"/>
        <w:spacing w:line="300" w:lineRule="auto"/>
        <w:rPr>
          <w:rFonts w:ascii="Arial" w:hAnsi="Arial" w:eastAsia="宋体" w:cs="Arial"/>
        </w:rPr>
      </w:pPr>
    </w:p>
    <w:p w14:paraId="58E14D44">
      <w:pPr>
        <w:widowControl/>
        <w:snapToGrid w:val="0"/>
        <w:spacing w:line="300" w:lineRule="auto"/>
        <w:rPr>
          <w:ins w:id="0" w:author="太极箫客" w:date="2025-08-14T14:18:01Z"/>
          <w:rFonts w:hint="eastAsia" w:eastAsia="宋体"/>
          <w:lang w:eastAsia="zh-CN"/>
        </w:rPr>
      </w:pPr>
    </w:p>
    <w:p w14:paraId="06460226">
      <w:pPr>
        <w:widowControl/>
        <w:snapToGrid w:val="0"/>
        <w:spacing w:line="300" w:lineRule="auto"/>
        <w:jc w:val="center"/>
        <w:rPr>
          <w:ins w:id="2" w:author="太极箫客" w:date="2025-08-14T14:18:01Z"/>
          <w:rFonts w:hint="eastAsia" w:eastAsia="宋体"/>
          <w:lang w:eastAsia="zh-CN"/>
        </w:rPr>
        <w:pPrChange w:id="1" w:author="太极箫客" w:date="2025-08-14T14:18:01Z">
          <w:pPr>
            <w:widowControl/>
            <w:snapToGrid w:val="0"/>
            <w:spacing w:line="300" w:lineRule="auto"/>
          </w:pPr>
        </w:pPrChange>
      </w:pPr>
    </w:p>
    <w:p w14:paraId="14A2054D">
      <w:pPr>
        <w:widowControl/>
        <w:snapToGrid w:val="0"/>
        <w:spacing w:line="300" w:lineRule="auto"/>
        <w:jc w:val="center"/>
        <w:rPr>
          <w:ins w:id="4" w:author="太极箫客" w:date="2025-08-14T14:18:01Z"/>
          <w:rFonts w:hint="eastAsia" w:eastAsia="宋体"/>
          <w:lang w:eastAsia="zh-CN"/>
        </w:rPr>
        <w:pPrChange w:id="3" w:author="太极箫客" w:date="2025-08-14T14:18:01Z">
          <w:pPr>
            <w:widowControl/>
            <w:snapToGrid w:val="0"/>
            <w:spacing w:line="300" w:lineRule="auto"/>
          </w:pPr>
        </w:pPrChange>
      </w:pPr>
      <w:ins w:id="5" w:author="太极箫客" w:date="2025-08-14T14:18:01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B1EF7"/>
    <w:multiLevelType w:val="multilevel"/>
    <w:tmpl w:val="050B1E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7C1BB7"/>
    <w:multiLevelType w:val="multilevel"/>
    <w:tmpl w:val="0C7C1B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E0A1E3D"/>
    <w:multiLevelType w:val="multilevel"/>
    <w:tmpl w:val="4E0A1E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1094982"/>
    <w:multiLevelType w:val="multilevel"/>
    <w:tmpl w:val="710949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14"/>
    <w:rsid w:val="000041A1"/>
    <w:rsid w:val="00027F14"/>
    <w:rsid w:val="000555D2"/>
    <w:rsid w:val="00061A91"/>
    <w:rsid w:val="0009693C"/>
    <w:rsid w:val="00120673"/>
    <w:rsid w:val="00137B0E"/>
    <w:rsid w:val="001459B2"/>
    <w:rsid w:val="001A265B"/>
    <w:rsid w:val="001E4326"/>
    <w:rsid w:val="00252EDE"/>
    <w:rsid w:val="002E4129"/>
    <w:rsid w:val="00316CB0"/>
    <w:rsid w:val="00354508"/>
    <w:rsid w:val="00367701"/>
    <w:rsid w:val="00374F55"/>
    <w:rsid w:val="00393173"/>
    <w:rsid w:val="003C310D"/>
    <w:rsid w:val="003F6F3B"/>
    <w:rsid w:val="00416A28"/>
    <w:rsid w:val="00420169"/>
    <w:rsid w:val="00493D75"/>
    <w:rsid w:val="004A2FFD"/>
    <w:rsid w:val="00560278"/>
    <w:rsid w:val="00583A96"/>
    <w:rsid w:val="00584163"/>
    <w:rsid w:val="005A227C"/>
    <w:rsid w:val="005B5545"/>
    <w:rsid w:val="005C282C"/>
    <w:rsid w:val="00615827"/>
    <w:rsid w:val="006863AC"/>
    <w:rsid w:val="006A5930"/>
    <w:rsid w:val="006B2E69"/>
    <w:rsid w:val="006C46D4"/>
    <w:rsid w:val="006F1020"/>
    <w:rsid w:val="006F5B05"/>
    <w:rsid w:val="00742797"/>
    <w:rsid w:val="007A344B"/>
    <w:rsid w:val="007D7F9F"/>
    <w:rsid w:val="00840525"/>
    <w:rsid w:val="00854A8F"/>
    <w:rsid w:val="00882F19"/>
    <w:rsid w:val="008A01B7"/>
    <w:rsid w:val="008D3B24"/>
    <w:rsid w:val="008E41C6"/>
    <w:rsid w:val="00955439"/>
    <w:rsid w:val="00995212"/>
    <w:rsid w:val="009A0461"/>
    <w:rsid w:val="009D743F"/>
    <w:rsid w:val="009F05F2"/>
    <w:rsid w:val="00A007BF"/>
    <w:rsid w:val="00A23E5F"/>
    <w:rsid w:val="00A77BD9"/>
    <w:rsid w:val="00AE43AF"/>
    <w:rsid w:val="00B26820"/>
    <w:rsid w:val="00B43C7B"/>
    <w:rsid w:val="00BB7F58"/>
    <w:rsid w:val="00C462E4"/>
    <w:rsid w:val="00C53C00"/>
    <w:rsid w:val="00C97055"/>
    <w:rsid w:val="00CA4420"/>
    <w:rsid w:val="00CE055F"/>
    <w:rsid w:val="00CE4A17"/>
    <w:rsid w:val="00CF2CE7"/>
    <w:rsid w:val="00CF7351"/>
    <w:rsid w:val="00D07937"/>
    <w:rsid w:val="00D170D9"/>
    <w:rsid w:val="00D2733D"/>
    <w:rsid w:val="00D3018B"/>
    <w:rsid w:val="00D41981"/>
    <w:rsid w:val="00D565D3"/>
    <w:rsid w:val="00D61A5C"/>
    <w:rsid w:val="00D86C66"/>
    <w:rsid w:val="00D91F8D"/>
    <w:rsid w:val="00D973A0"/>
    <w:rsid w:val="00E439D9"/>
    <w:rsid w:val="00E77218"/>
    <w:rsid w:val="00ED3440"/>
    <w:rsid w:val="00EF1EAF"/>
    <w:rsid w:val="00F91EC6"/>
    <w:rsid w:val="00F96014"/>
    <w:rsid w:val="00FA772E"/>
    <w:rsid w:val="00FB25C8"/>
    <w:rsid w:val="00FB6470"/>
    <w:rsid w:val="00FC5359"/>
    <w:rsid w:val="00FE0D51"/>
    <w:rsid w:val="00FF4CAA"/>
    <w:rsid w:val="3F1F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4"/>
    <w:basedOn w:val="1"/>
    <w:link w:val="2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1"/>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uiPriority w:val="99"/>
    <w:rPr>
      <w:sz w:val="18"/>
      <w:szCs w:val="18"/>
    </w:rPr>
  </w:style>
  <w:style w:type="paragraph" w:styleId="7">
    <w:name w:val="footer"/>
    <w:basedOn w:val="1"/>
    <w:link w:val="17"/>
    <w:unhideWhenUsed/>
    <w:uiPriority w:val="99"/>
    <w:pPr>
      <w:tabs>
        <w:tab w:val="center" w:pos="4153"/>
        <w:tab w:val="right" w:pos="8306"/>
      </w:tabs>
      <w:snapToGrid w:val="0"/>
      <w:jc w:val="left"/>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unhideWhenUsed/>
    <w:uiPriority w:val="99"/>
    <w:rPr>
      <w:color w:val="0000FF"/>
      <w:u w:val="single"/>
    </w:rPr>
  </w:style>
  <w:style w:type="character" w:customStyle="1" w:styleId="16">
    <w:name w:val="页眉 Char"/>
    <w:basedOn w:val="12"/>
    <w:link w:val="8"/>
    <w:uiPriority w:val="99"/>
    <w:rPr>
      <w:sz w:val="18"/>
      <w:szCs w:val="18"/>
    </w:rPr>
  </w:style>
  <w:style w:type="character" w:customStyle="1" w:styleId="17">
    <w:name w:val="页脚 Char"/>
    <w:basedOn w:val="12"/>
    <w:link w:val="7"/>
    <w:uiPriority w:val="99"/>
    <w:rPr>
      <w:sz w:val="18"/>
      <w:szCs w:val="18"/>
    </w:rPr>
  </w:style>
  <w:style w:type="character" w:customStyle="1" w:styleId="18">
    <w:name w:val="标题 1 Char"/>
    <w:basedOn w:val="12"/>
    <w:link w:val="2"/>
    <w:uiPriority w:val="9"/>
    <w:rPr>
      <w:rFonts w:ascii="宋体" w:hAnsi="宋体" w:eastAsia="宋体" w:cs="宋体"/>
      <w:b/>
      <w:bCs/>
      <w:kern w:val="36"/>
      <w:sz w:val="48"/>
      <w:szCs w:val="48"/>
    </w:rPr>
  </w:style>
  <w:style w:type="character" w:customStyle="1" w:styleId="19">
    <w:name w:val="标题 2 Char"/>
    <w:basedOn w:val="12"/>
    <w:link w:val="3"/>
    <w:uiPriority w:val="9"/>
    <w:rPr>
      <w:rFonts w:ascii="宋体" w:hAnsi="宋体" w:eastAsia="宋体" w:cs="宋体"/>
      <w:b/>
      <w:bCs/>
      <w:kern w:val="0"/>
      <w:sz w:val="36"/>
      <w:szCs w:val="36"/>
    </w:rPr>
  </w:style>
  <w:style w:type="character" w:customStyle="1" w:styleId="20">
    <w:name w:val="标题 4 Char"/>
    <w:basedOn w:val="12"/>
    <w:link w:val="4"/>
    <w:qFormat/>
    <w:uiPriority w:val="9"/>
    <w:rPr>
      <w:rFonts w:ascii="宋体" w:hAnsi="宋体" w:eastAsia="宋体" w:cs="宋体"/>
      <w:b/>
      <w:bCs/>
      <w:kern w:val="0"/>
      <w:sz w:val="24"/>
      <w:szCs w:val="24"/>
    </w:rPr>
  </w:style>
  <w:style w:type="character" w:customStyle="1" w:styleId="21">
    <w:name w:val="标题 5 Char"/>
    <w:basedOn w:val="12"/>
    <w:link w:val="5"/>
    <w:uiPriority w:val="9"/>
    <w:rPr>
      <w:rFonts w:ascii="宋体" w:hAnsi="宋体" w:eastAsia="宋体" w:cs="宋体"/>
      <w:b/>
      <w:bCs/>
      <w:kern w:val="0"/>
      <w:sz w:val="20"/>
      <w:szCs w:val="20"/>
    </w:rPr>
  </w:style>
  <w:style w:type="character" w:customStyle="1" w:styleId="22">
    <w:name w:val="apple-converted-space"/>
    <w:basedOn w:val="12"/>
    <w:uiPriority w:val="0"/>
  </w:style>
  <w:style w:type="character" w:customStyle="1" w:styleId="23">
    <w:name w:val="批注框文本 Char"/>
    <w:basedOn w:val="12"/>
    <w:link w:val="6"/>
    <w:semiHidden/>
    <w:qFormat/>
    <w:uiPriority w:val="99"/>
    <w:rPr>
      <w:sz w:val="18"/>
      <w:szCs w:val="18"/>
    </w:rPr>
  </w:style>
  <w:style w:type="paragraph" w:styleId="24">
    <w:name w:val="List Paragraph"/>
    <w:basedOn w:val="1"/>
    <w:qFormat/>
    <w:uiPriority w:val="34"/>
    <w:pPr>
      <w:ind w:firstLine="420" w:firstLineChars="200"/>
    </w:pPr>
  </w:style>
  <w:style w:type="paragraph" w:customStyle="1" w:styleId="25">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3470-1EAA-4EB3-AC00-7FD4BF76F2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6652</Words>
  <Characters>7183</Characters>
  <Lines>60</Lines>
  <Paragraphs>17</Paragraphs>
  <TotalTime>0</TotalTime>
  <ScaleCrop>false</ScaleCrop>
  <LinksUpToDate>false</LinksUpToDate>
  <CharactersWithSpaces>7273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2017-04-09T08:21:00Z</dcterms:created>
  <dc:creator>pc</dc:creator>
  <cp:lastModifiedBy>太极箫客</cp:lastModifiedBy>
  <dcterms:modified xsi:type="dcterms:W3CDTF">2025-08-14T06:18:01Z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6DB2570D2F9B4E0D9E2D197ADEF4DCE2_12</vt:lpwstr>
  </property>
</Properties>
</file>