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5616C">
      <w:pPr>
        <w:widowControl/>
        <w:jc w:val="left"/>
        <w:rPr>
          <w:rFonts w:ascii="Arial" w:hAnsi="Arial" w:eastAsia="宋体" w:cs="Arial"/>
          <w:b/>
          <w:bCs/>
          <w:color w:val="484138"/>
          <w:kern w:val="36"/>
          <w:sz w:val="36"/>
          <w:szCs w:val="36"/>
        </w:rPr>
      </w:pPr>
      <w:bookmarkStart w:id="12" w:name="_GoBack"/>
      <w:bookmarkEnd w:id="12"/>
      <w:r>
        <w:rPr>
          <w:rFonts w:ascii="Arial" w:hAnsi="Arial" w:eastAsia="宋体" w:cs="Arial"/>
          <w:b/>
          <w:bCs/>
          <w:color w:val="484138"/>
          <w:kern w:val="36"/>
          <w:sz w:val="36"/>
          <w:szCs w:val="36"/>
        </w:rPr>
        <w:t>行业和FDA工作人员指南；II类特殊控制指导性文件：用于检测β-葡聚糖的血清学测定</w:t>
      </w:r>
    </w:p>
    <w:p w14:paraId="3B573D15">
      <w:pPr>
        <w:widowControl/>
        <w:spacing w:before="90" w:after="90"/>
        <w:jc w:val="left"/>
        <w:rPr>
          <w:rFonts w:ascii="Arial" w:hAnsi="Arial" w:eastAsia="宋体" w:cs="Arial"/>
          <w:color w:val="000000"/>
          <w:kern w:val="0"/>
          <w:sz w:val="18"/>
          <w:szCs w:val="18"/>
        </w:rPr>
      </w:pPr>
      <w:r>
        <w:rPr>
          <w:rFonts w:ascii="Arial" w:hAnsi="Arial" w:eastAsia="宋体" w:cs="Arial"/>
          <w:b/>
          <w:bCs/>
          <w:color w:val="000000"/>
          <w:kern w:val="0"/>
          <w:sz w:val="18"/>
        </w:rPr>
        <w:t>文件发布日期：2004年9月23日</w:t>
      </w:r>
    </w:p>
    <w:p w14:paraId="5241F5E9">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有关本文件的问题，请通过电话 301-796-5457或通过电子邮件</w:t>
      </w:r>
      <w:r>
        <w:rPr>
          <w:rFonts w:ascii="Arial" w:hAnsi="Arial" w:eastAsia="宋体" w:cs="Arial"/>
          <w:color w:val="800080"/>
          <w:kern w:val="0"/>
          <w:sz w:val="18"/>
          <w:szCs w:val="18"/>
          <w:u w:val="single"/>
        </w:rPr>
        <w:t>atfreddie.poole@fda.hhs.gov</w:t>
      </w:r>
      <w:r>
        <w:rPr>
          <w:rFonts w:ascii="Arial" w:hAnsi="Arial" w:eastAsia="宋体" w:cs="Arial"/>
          <w:color w:val="000000"/>
          <w:kern w:val="0"/>
          <w:sz w:val="18"/>
          <w:szCs w:val="18"/>
        </w:rPr>
        <w:t xml:space="preserve">联系Freddie M. Poole </w:t>
      </w:r>
    </w:p>
    <w:tbl>
      <w:tblPr>
        <w:tblStyle w:val="11"/>
        <w:tblW w:w="0" w:type="auto"/>
        <w:tblCellSpacing w:w="15" w:type="dxa"/>
        <w:tblInd w:w="0" w:type="dxa"/>
        <w:tblLayout w:type="autofit"/>
        <w:tblCellMar>
          <w:top w:w="15" w:type="dxa"/>
          <w:left w:w="15" w:type="dxa"/>
          <w:bottom w:w="15" w:type="dxa"/>
          <w:right w:w="15" w:type="dxa"/>
        </w:tblCellMar>
      </w:tblPr>
      <w:tblGrid>
        <w:gridCol w:w="1575"/>
        <w:gridCol w:w="6821"/>
      </w:tblGrid>
      <w:tr w14:paraId="3A6D3D91">
        <w:tblPrEx>
          <w:tblCellMar>
            <w:top w:w="15" w:type="dxa"/>
            <w:left w:w="15" w:type="dxa"/>
            <w:bottom w:w="15" w:type="dxa"/>
            <w:right w:w="15" w:type="dxa"/>
          </w:tblCellMar>
        </w:tblPrEx>
        <w:trPr>
          <w:trHeight w:val="1665" w:hRule="atLeast"/>
          <w:tblCellSpacing w:w="15" w:type="dxa"/>
        </w:trPr>
        <w:tc>
          <w:tcPr>
            <w:tcW w:w="0" w:type="auto"/>
            <w:shd w:val="clear" w:color="auto" w:fill="auto"/>
          </w:tcPr>
          <w:p w14:paraId="4783D9A4">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tcPr>
          <w:p w14:paraId="7F270176">
            <w:pPr>
              <w:widowControl/>
              <w:rPr>
                <w:rFonts w:ascii="Arial" w:hAnsi="Arial" w:eastAsia="宋体" w:cs="Arial"/>
                <w:b/>
                <w:bCs/>
                <w:color w:val="000000"/>
                <w:kern w:val="0"/>
                <w:sz w:val="18"/>
              </w:rPr>
            </w:pPr>
            <w:r>
              <w:rPr>
                <w:rFonts w:ascii="Arial" w:hAnsi="Arial" w:eastAsia="宋体" w:cs="Arial"/>
                <w:b/>
                <w:bCs/>
                <w:color w:val="000000"/>
                <w:kern w:val="0"/>
                <w:sz w:val="18"/>
              </w:rPr>
              <w:t>美国卫生与公众服务部</w:t>
            </w:r>
          </w:p>
          <w:p w14:paraId="167007E0">
            <w:pPr>
              <w:widowControl/>
              <w:rPr>
                <w:rFonts w:ascii="Arial" w:hAnsi="Arial" w:eastAsia="宋体" w:cs="Arial"/>
                <w:b/>
                <w:bCs/>
                <w:color w:val="000000"/>
                <w:kern w:val="0"/>
                <w:sz w:val="18"/>
              </w:rPr>
            </w:pPr>
            <w:r>
              <w:rPr>
                <w:rFonts w:ascii="Arial" w:hAnsi="Arial" w:eastAsia="宋体" w:cs="Arial"/>
                <w:b/>
                <w:bCs/>
                <w:color w:val="000000"/>
                <w:kern w:val="0"/>
                <w:sz w:val="18"/>
              </w:rPr>
              <w:t>食品药品监督管理局</w:t>
            </w:r>
          </w:p>
          <w:p w14:paraId="62EAE787">
            <w:pPr>
              <w:widowControl/>
              <w:rPr>
                <w:rFonts w:ascii="Arial" w:hAnsi="Arial" w:eastAsia="宋体" w:cs="Arial"/>
                <w:b/>
                <w:bCs/>
                <w:color w:val="000000"/>
                <w:kern w:val="0"/>
                <w:sz w:val="18"/>
              </w:rPr>
            </w:pPr>
            <w:r>
              <w:rPr>
                <w:rFonts w:ascii="Arial" w:hAnsi="Arial" w:eastAsia="宋体" w:cs="Arial"/>
                <w:b/>
                <w:bCs/>
                <w:color w:val="000000"/>
                <w:kern w:val="0"/>
                <w:sz w:val="18"/>
              </w:rPr>
              <w:t>器械与放射健康中心</w:t>
            </w:r>
          </w:p>
          <w:p w14:paraId="68C106FF">
            <w:pPr>
              <w:widowControl/>
              <w:rPr>
                <w:rFonts w:ascii="Arial" w:hAnsi="Arial" w:eastAsia="宋体" w:cs="Arial"/>
                <w:b/>
                <w:bCs/>
                <w:color w:val="000000"/>
                <w:kern w:val="0"/>
                <w:sz w:val="18"/>
              </w:rPr>
            </w:pPr>
            <w:r>
              <w:rPr>
                <w:rFonts w:ascii="Arial" w:hAnsi="Arial" w:eastAsia="宋体" w:cs="Arial"/>
                <w:b/>
                <w:bCs/>
                <w:color w:val="000000"/>
                <w:kern w:val="0"/>
                <w:sz w:val="18"/>
              </w:rPr>
              <w:t>微生物学器械部</w:t>
            </w:r>
          </w:p>
          <w:p w14:paraId="68986BD2">
            <w:pPr>
              <w:widowControl/>
              <w:spacing w:before="74" w:after="74"/>
              <w:jc w:val="left"/>
              <w:rPr>
                <w:rFonts w:ascii="Arial" w:hAnsi="Arial" w:eastAsia="宋体" w:cs="Arial"/>
                <w:color w:val="000000"/>
                <w:kern w:val="0"/>
                <w:sz w:val="18"/>
                <w:szCs w:val="18"/>
              </w:rPr>
            </w:pPr>
            <w:r>
              <w:rPr>
                <w:rFonts w:ascii="Arial" w:hAnsi="Arial" w:eastAsia="宋体" w:cs="Arial"/>
                <w:b/>
                <w:bCs/>
                <w:color w:val="000000"/>
                <w:kern w:val="0"/>
                <w:sz w:val="18"/>
              </w:rPr>
              <w:t>体外诊断器械评估和安全办公室</w:t>
            </w:r>
          </w:p>
        </w:tc>
      </w:tr>
    </w:tbl>
    <w:p w14:paraId="5C440F19">
      <w:pPr>
        <w:widowControl/>
        <w:jc w:val="center"/>
        <w:rPr>
          <w:rFonts w:ascii="Arial" w:hAnsi="Arial" w:eastAsia="宋体" w:cs="Arial"/>
          <w:b/>
          <w:bCs/>
          <w:color w:val="000000"/>
          <w:kern w:val="0"/>
          <w:sz w:val="18"/>
        </w:rPr>
      </w:pPr>
    </w:p>
    <w:p w14:paraId="3A041DFB">
      <w:pPr>
        <w:widowControl/>
        <w:jc w:val="left"/>
        <w:outlineLvl w:val="3"/>
        <w:rPr>
          <w:rFonts w:ascii="Arial" w:hAnsi="Arial" w:eastAsia="宋体" w:cs="Arial"/>
          <w:b/>
          <w:bCs/>
          <w:color w:val="000000"/>
          <w:kern w:val="0"/>
          <w:sz w:val="29"/>
          <w:szCs w:val="29"/>
        </w:rPr>
      </w:pPr>
      <w:r>
        <w:rPr>
          <w:rFonts w:ascii="Arial" w:hAnsi="Arial" w:eastAsia="宋体" w:cs="Arial"/>
          <w:b/>
          <w:bCs/>
          <w:color w:val="000000"/>
          <w:kern w:val="0"/>
          <w:sz w:val="29"/>
          <w:szCs w:val="29"/>
        </w:rPr>
        <w:t>前言</w:t>
      </w:r>
    </w:p>
    <w:p w14:paraId="4AFEEF3D">
      <w:pPr>
        <w:widowControl/>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公共评论：</w:t>
      </w:r>
    </w:p>
    <w:p w14:paraId="0337BA67">
      <w:pPr>
        <w:widowControl/>
        <w:spacing w:before="90" w:after="90"/>
        <w:jc w:val="left"/>
        <w:rPr>
          <w:rFonts w:ascii="Arial" w:hAnsi="Arial" w:eastAsia="宋体" w:cs="Arial"/>
          <w:color w:val="000000"/>
          <w:kern w:val="0"/>
          <w:sz w:val="18"/>
          <w:szCs w:val="18"/>
        </w:rPr>
      </w:pPr>
      <w:r>
        <w:rPr>
          <w:rFonts w:ascii="Arial" w:hAnsi="Arial" w:eastAsia="宋体" w:cs="Arial"/>
          <w:color w:val="000000"/>
          <w:sz w:val="18"/>
          <w:szCs w:val="18"/>
        </w:rPr>
        <w:t>贵公司可以随时提交书面评论和建议至食品药品监督管理局，文件管理部（5630 Fishers Lane，rm。 1061，（HFA-305），Rockville，MD，20852）,供部门审议。另外，电子评论请提交至</w:t>
      </w:r>
      <w:r>
        <w:rPr>
          <w:rFonts w:ascii="Arial" w:hAnsi="Arial" w:eastAsia="宋体" w:cs="Arial"/>
          <w:color w:val="000000"/>
          <w:kern w:val="0"/>
          <w:sz w:val="18"/>
        </w:rPr>
        <w:t> </w:t>
      </w:r>
      <w:r>
        <w:fldChar w:fldCharType="begin"/>
      </w:r>
      <w:r>
        <w:instrText xml:space="preserve"> HYPERLINK "http://www.regulations.gov/" \t "_blank" </w:instrText>
      </w:r>
      <w:r>
        <w:fldChar w:fldCharType="separate"/>
      </w:r>
      <w:r>
        <w:rPr>
          <w:rFonts w:ascii="Arial" w:hAnsi="Arial" w:eastAsia="宋体" w:cs="Arial"/>
          <w:color w:val="800080"/>
          <w:kern w:val="0"/>
          <w:sz w:val="18"/>
          <w:szCs w:val="18"/>
          <w:u w:val="single"/>
        </w:rPr>
        <w:t>Regulations.gov</w:t>
      </w:r>
      <w:r>
        <w:rPr>
          <w:rFonts w:ascii="Arial" w:hAnsi="Arial" w:eastAsia="宋体" w:cs="Arial"/>
          <w:color w:val="800080"/>
          <w:kern w:val="0"/>
          <w:sz w:val="18"/>
          <w:szCs w:val="18"/>
          <w:u w:val="single"/>
        </w:rPr>
        <w:fldChar w:fldCharType="end"/>
      </w:r>
      <w:r>
        <w:rPr>
          <w:rFonts w:ascii="Arial" w:hAnsi="Arial" w:eastAsia="宋体" w:cs="Arial"/>
          <w:color w:val="000000"/>
          <w:sz w:val="18"/>
          <w:szCs w:val="18"/>
        </w:rPr>
        <w:t>。当</w:t>
      </w:r>
      <w:r>
        <w:rPr>
          <w:rFonts w:ascii="Arial" w:hAnsi="Arial" w:eastAsia="宋体" w:cs="Arial"/>
          <w:color w:val="000000"/>
          <w:kern w:val="0"/>
          <w:sz w:val="18"/>
          <w:szCs w:val="18"/>
        </w:rPr>
        <w:t>提交评论时，请参考编号</w:t>
      </w:r>
      <w:r>
        <w:rPr>
          <w:rFonts w:ascii="Arial" w:hAnsi="Arial" w:eastAsia="宋体" w:cs="Arial"/>
          <w:color w:val="000000"/>
          <w:sz w:val="18"/>
          <w:szCs w:val="18"/>
        </w:rPr>
        <w:t>为</w:t>
      </w:r>
      <w:r>
        <w:rPr>
          <w:rFonts w:ascii="Arial" w:hAnsi="Arial" w:eastAsia="宋体" w:cs="Arial"/>
          <w:color w:val="000000"/>
          <w:kern w:val="0"/>
          <w:sz w:val="18"/>
          <w:szCs w:val="18"/>
        </w:rPr>
        <w:t>2004D-0371</w:t>
      </w:r>
      <w:r>
        <w:rPr>
          <w:rFonts w:ascii="Arial" w:hAnsi="Arial" w:eastAsia="宋体" w:cs="Arial"/>
          <w:color w:val="000000"/>
          <w:sz w:val="18"/>
          <w:szCs w:val="18"/>
        </w:rPr>
        <w:t>的文件。可能直到文件下次修订或更新时，评论才会被机构受理。</w:t>
      </w:r>
    </w:p>
    <w:p w14:paraId="4AF71043">
      <w:pPr>
        <w:widowControl/>
        <w:spacing w:before="90" w:after="90"/>
        <w:jc w:val="left"/>
        <w:rPr>
          <w:rFonts w:ascii="Arial" w:hAnsi="Arial" w:eastAsia="宋体" w:cs="Arial"/>
          <w:color w:val="000000"/>
          <w:kern w:val="0"/>
          <w:sz w:val="18"/>
          <w:szCs w:val="18"/>
        </w:rPr>
      </w:pPr>
    </w:p>
    <w:p w14:paraId="6F58BE4C">
      <w:pPr>
        <w:widowControl/>
        <w:spacing w:before="90" w:after="90"/>
        <w:jc w:val="left"/>
        <w:rPr>
          <w:rFonts w:ascii="Arial" w:hAnsi="Arial" w:eastAsia="宋体" w:cs="Arial"/>
          <w:color w:val="000000"/>
          <w:kern w:val="0"/>
          <w:sz w:val="18"/>
          <w:szCs w:val="18"/>
        </w:rPr>
      </w:pPr>
      <w:r>
        <w:rPr>
          <w:rFonts w:ascii="Arial" w:hAnsi="Arial" w:eastAsia="宋体" w:cs="Arial"/>
          <w:b/>
          <w:bCs/>
          <w:color w:val="000000"/>
          <w:kern w:val="0"/>
          <w:sz w:val="26"/>
          <w:szCs w:val="26"/>
        </w:rPr>
        <w:t>其他副本</w:t>
      </w:r>
    </w:p>
    <w:p w14:paraId="3A894AF1">
      <w:pPr>
        <w:widowControl/>
        <w:jc w:val="left"/>
        <w:outlineLvl w:val="4"/>
        <w:rPr>
          <w:rFonts w:ascii="Arial" w:hAnsi="Arial" w:eastAsia="宋体" w:cs="Arial"/>
          <w:b/>
          <w:bCs/>
          <w:color w:val="000000"/>
          <w:kern w:val="0"/>
          <w:sz w:val="26"/>
          <w:szCs w:val="26"/>
        </w:rPr>
      </w:pPr>
    </w:p>
    <w:p w14:paraId="47B7A61B">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其他副本可从互联网获得。贵公司还可以发送电子邮件请求至</w:t>
      </w:r>
      <w:r>
        <w:rPr>
          <w:rFonts w:ascii="Arial" w:hAnsi="Arial" w:eastAsia="宋体" w:cs="Arial"/>
          <w:color w:val="800080"/>
          <w:kern w:val="0"/>
          <w:sz w:val="18"/>
          <w:szCs w:val="18"/>
          <w:u w:val="single"/>
        </w:rPr>
        <w:t>todsmica@fda.hhs.gov</w:t>
      </w:r>
      <w:r>
        <w:rPr>
          <w:rFonts w:ascii="Arial" w:hAnsi="Arial" w:eastAsia="宋体" w:cs="Arial"/>
          <w:color w:val="000000"/>
          <w:kern w:val="0"/>
          <w:sz w:val="18"/>
          <w:szCs w:val="18"/>
        </w:rPr>
        <w:t>以接收本指南的电子副本，或发送传真请求至301-827-8149以接收硬拷贝。请使用文件编号（1825）来标识贵公司所要求获得的指南。</w:t>
      </w:r>
    </w:p>
    <w:p w14:paraId="6B6C2303">
      <w:pPr>
        <w:widowControl/>
        <w:jc w:val="left"/>
        <w:outlineLvl w:val="3"/>
        <w:rPr>
          <w:rFonts w:ascii="Arial" w:hAnsi="Arial" w:eastAsia="宋体" w:cs="Arial"/>
          <w:b/>
          <w:bCs/>
          <w:color w:val="000000"/>
          <w:kern w:val="0"/>
          <w:sz w:val="29"/>
          <w:szCs w:val="29"/>
        </w:rPr>
      </w:pPr>
      <w:r>
        <w:rPr>
          <w:rFonts w:ascii="Arial" w:hAnsi="Arial" w:eastAsia="宋体" w:cs="Arial"/>
          <w:b/>
          <w:bCs/>
          <w:color w:val="000000"/>
          <w:kern w:val="0"/>
          <w:sz w:val="29"/>
          <w:szCs w:val="29"/>
        </w:rPr>
        <w:t>目录</w:t>
      </w:r>
    </w:p>
    <w:p w14:paraId="2E8815B0">
      <w:pPr>
        <w:widowControl/>
        <w:spacing w:before="90" w:after="90"/>
        <w:jc w:val="left"/>
        <w:rPr>
          <w:rFonts w:ascii="Arial" w:hAnsi="Arial" w:eastAsia="宋体" w:cs="Arial"/>
          <w:color w:val="800080"/>
          <w:kern w:val="0"/>
          <w:sz w:val="18"/>
          <w:szCs w:val="18"/>
          <w:u w:val="single"/>
        </w:rPr>
      </w:pPr>
      <w:r>
        <w:rPr>
          <w:rFonts w:ascii="Arial" w:hAnsi="Arial" w:eastAsia="宋体" w:cs="Arial"/>
          <w:color w:val="000000"/>
          <w:kern w:val="0"/>
          <w:sz w:val="18"/>
          <w:szCs w:val="18"/>
        </w:rPr>
        <w:br w:type="textWrapping"/>
      </w:r>
      <w:r>
        <w:rPr>
          <w:rFonts w:ascii="Arial" w:hAnsi="Arial" w:eastAsia="宋体" w:cs="Arial"/>
          <w:color w:val="000000"/>
          <w:kern w:val="0"/>
          <w:sz w:val="18"/>
          <w:szCs w:val="18"/>
        </w:rPr>
        <w:t>1.</w:t>
      </w:r>
      <w:r>
        <w:rPr>
          <w:rFonts w:ascii="Arial" w:hAnsi="Arial" w:eastAsia="宋体" w:cs="Arial"/>
          <w:color w:val="800080"/>
          <w:kern w:val="0"/>
          <w:sz w:val="18"/>
          <w:szCs w:val="18"/>
          <w:u w:val="single"/>
        </w:rPr>
        <w:t>引言</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2.</w:t>
      </w:r>
      <w:r>
        <w:rPr>
          <w:rFonts w:ascii="Arial" w:hAnsi="Arial" w:eastAsia="宋体" w:cs="Arial"/>
          <w:color w:val="000000"/>
          <w:kern w:val="0"/>
          <w:sz w:val="18"/>
        </w:rPr>
        <w:t> </w:t>
      </w:r>
      <w:r>
        <w:rPr>
          <w:rFonts w:ascii="Arial" w:hAnsi="Arial" w:eastAsia="宋体" w:cs="Arial"/>
          <w:color w:val="800080"/>
          <w:kern w:val="0"/>
          <w:sz w:val="18"/>
          <w:szCs w:val="18"/>
          <w:u w:val="single"/>
        </w:rPr>
        <w:t>背景</w:t>
      </w:r>
      <w:r>
        <w:rPr>
          <w:rFonts w:ascii="Arial" w:hAnsi="Arial" w:eastAsia="宋体" w:cs="Arial"/>
          <w:color w:val="000000"/>
          <w:kern w:val="0"/>
          <w:sz w:val="18"/>
          <w:szCs w:val="18"/>
        </w:rPr>
        <w:br w:type="textWrapping"/>
      </w:r>
      <w:r>
        <w:rPr>
          <w:rFonts w:ascii="Arial" w:hAnsi="Arial" w:eastAsia="宋体" w:cs="Arial"/>
          <w:color w:val="000000"/>
          <w:kern w:val="0"/>
          <w:sz w:val="18"/>
          <w:szCs w:val="18"/>
        </w:rPr>
        <w:t>3.</w:t>
      </w:r>
      <w:r>
        <w:rPr>
          <w:rFonts w:ascii="Arial" w:hAnsi="Arial" w:eastAsia="宋体" w:cs="Arial"/>
          <w:color w:val="000000"/>
          <w:kern w:val="0"/>
          <w:sz w:val="18"/>
        </w:rPr>
        <w:t> </w:t>
      </w:r>
      <w:r>
        <w:rPr>
          <w:rFonts w:ascii="Arial" w:hAnsi="Arial" w:eastAsia="宋体" w:cs="Arial"/>
          <w:color w:val="800080"/>
          <w:kern w:val="0"/>
          <w:sz w:val="18"/>
          <w:szCs w:val="18"/>
          <w:u w:val="single"/>
        </w:rPr>
        <w:t>简化510（K）提交的内容和格式</w:t>
      </w:r>
      <w:r>
        <w:rPr>
          <w:rFonts w:ascii="Arial" w:hAnsi="Arial" w:eastAsia="宋体" w:cs="Arial"/>
          <w:color w:val="800080"/>
          <w:kern w:val="0"/>
          <w:sz w:val="18"/>
          <w:szCs w:val="18"/>
          <w:u w:val="single"/>
        </w:rPr>
        <w:br w:type="textWrapping"/>
      </w:r>
      <w:r>
        <w:rPr>
          <w:rFonts w:ascii="Arial" w:hAnsi="Arial" w:eastAsia="宋体" w:cs="Arial"/>
          <w:color w:val="000000"/>
          <w:kern w:val="0"/>
          <w:sz w:val="18"/>
          <w:szCs w:val="18"/>
        </w:rPr>
        <w:t>4.</w:t>
      </w:r>
      <w:r>
        <w:rPr>
          <w:rFonts w:ascii="Arial" w:hAnsi="Arial" w:eastAsia="宋体" w:cs="Arial"/>
          <w:color w:val="000000"/>
          <w:kern w:val="0"/>
          <w:sz w:val="18"/>
        </w:rPr>
        <w:t> </w:t>
      </w:r>
      <w:r>
        <w:rPr>
          <w:rFonts w:ascii="Arial" w:hAnsi="Arial" w:eastAsia="宋体" w:cs="Arial"/>
          <w:color w:val="800080"/>
          <w:kern w:val="0"/>
          <w:sz w:val="18"/>
          <w:szCs w:val="18"/>
          <w:u w:val="single"/>
        </w:rPr>
        <w:t>范围</w:t>
      </w:r>
      <w:r>
        <w:rPr>
          <w:rFonts w:ascii="Arial" w:hAnsi="Arial" w:eastAsia="宋体" w:cs="Arial"/>
          <w:color w:val="800080"/>
          <w:kern w:val="0"/>
          <w:sz w:val="18"/>
          <w:szCs w:val="18"/>
          <w:u w:val="single"/>
        </w:rPr>
        <w:br w:type="textWrapping"/>
      </w:r>
      <w:r>
        <w:rPr>
          <w:rFonts w:ascii="Arial" w:hAnsi="Arial" w:eastAsia="宋体" w:cs="Arial"/>
          <w:color w:val="000000"/>
          <w:kern w:val="0"/>
          <w:sz w:val="18"/>
          <w:szCs w:val="18"/>
        </w:rPr>
        <w:t>5.</w:t>
      </w:r>
      <w:r>
        <w:rPr>
          <w:rFonts w:ascii="Arial" w:hAnsi="Arial" w:eastAsia="宋体" w:cs="Arial"/>
          <w:color w:val="000000"/>
          <w:kern w:val="0"/>
          <w:sz w:val="18"/>
        </w:rPr>
        <w:t> </w:t>
      </w:r>
      <w:r>
        <w:rPr>
          <w:rFonts w:ascii="Arial" w:hAnsi="Arial" w:eastAsia="宋体" w:cs="Arial"/>
          <w:color w:val="800080"/>
          <w:kern w:val="0"/>
          <w:sz w:val="18"/>
          <w:szCs w:val="18"/>
          <w:u w:val="single"/>
        </w:rPr>
        <w:t>健康风险</w:t>
      </w:r>
      <w:r>
        <w:rPr>
          <w:rFonts w:ascii="Arial" w:hAnsi="Arial" w:eastAsia="宋体" w:cs="Arial"/>
          <w:color w:val="800080"/>
          <w:kern w:val="0"/>
          <w:sz w:val="18"/>
          <w:szCs w:val="18"/>
          <w:u w:val="single"/>
        </w:rPr>
        <w:br w:type="textWrapping"/>
      </w:r>
      <w:r>
        <w:rPr>
          <w:rFonts w:ascii="Arial" w:hAnsi="Arial" w:eastAsia="宋体" w:cs="Arial"/>
          <w:color w:val="000000"/>
          <w:kern w:val="0"/>
          <w:sz w:val="18"/>
          <w:szCs w:val="18"/>
        </w:rPr>
        <w:t>6.</w:t>
      </w:r>
      <w:r>
        <w:rPr>
          <w:rFonts w:ascii="Arial" w:hAnsi="Arial" w:eastAsia="宋体" w:cs="Arial"/>
          <w:color w:val="000000"/>
          <w:kern w:val="0"/>
          <w:sz w:val="18"/>
        </w:rPr>
        <w:t> </w:t>
      </w:r>
      <w:r>
        <w:rPr>
          <w:rFonts w:ascii="Arial" w:hAnsi="Arial" w:eastAsia="宋体" w:cs="Arial"/>
          <w:color w:val="800080"/>
          <w:kern w:val="0"/>
          <w:sz w:val="18"/>
          <w:szCs w:val="18"/>
          <w:u w:val="single"/>
        </w:rPr>
        <w:t>性能特性</w:t>
      </w:r>
      <w:r>
        <w:rPr>
          <w:rFonts w:ascii="Arial" w:hAnsi="Arial" w:eastAsia="宋体" w:cs="Arial"/>
          <w:color w:val="800080"/>
          <w:kern w:val="0"/>
          <w:sz w:val="18"/>
          <w:szCs w:val="18"/>
          <w:u w:val="single"/>
        </w:rPr>
        <w:br w:type="textWrapping"/>
      </w:r>
      <w:r>
        <w:rPr>
          <w:rFonts w:ascii="Arial" w:hAnsi="Arial" w:eastAsia="宋体" w:cs="Arial"/>
          <w:color w:val="000000"/>
          <w:kern w:val="0"/>
          <w:sz w:val="18"/>
          <w:szCs w:val="18"/>
        </w:rPr>
        <w:t>7.</w:t>
      </w:r>
      <w:r>
        <w:rPr>
          <w:rFonts w:ascii="Arial" w:hAnsi="Arial" w:eastAsia="宋体" w:cs="Arial"/>
          <w:color w:val="000000"/>
          <w:kern w:val="0"/>
          <w:sz w:val="18"/>
        </w:rPr>
        <w:t> </w:t>
      </w:r>
      <w:r>
        <w:rPr>
          <w:rFonts w:ascii="Arial" w:hAnsi="Arial" w:eastAsia="宋体" w:cs="Arial"/>
          <w:color w:val="800080"/>
          <w:kern w:val="0"/>
          <w:sz w:val="18"/>
          <w:szCs w:val="18"/>
          <w:u w:val="single"/>
        </w:rPr>
        <w:t>方法对比</w:t>
      </w:r>
      <w:r>
        <w:rPr>
          <w:rFonts w:ascii="Arial" w:hAnsi="Arial" w:eastAsia="宋体" w:cs="Arial"/>
          <w:color w:val="800080"/>
          <w:kern w:val="0"/>
          <w:sz w:val="18"/>
          <w:szCs w:val="18"/>
          <w:u w:val="single"/>
        </w:rPr>
        <w:br w:type="textWrapping"/>
      </w:r>
      <w:r>
        <w:rPr>
          <w:rFonts w:ascii="Arial" w:hAnsi="Arial" w:eastAsia="宋体" w:cs="Arial"/>
          <w:color w:val="000000"/>
          <w:kern w:val="0"/>
          <w:sz w:val="18"/>
          <w:szCs w:val="18"/>
        </w:rPr>
        <w:t>8.</w:t>
      </w:r>
      <w:r>
        <w:rPr>
          <w:rFonts w:ascii="Arial" w:hAnsi="Arial" w:eastAsia="宋体" w:cs="Arial"/>
          <w:color w:val="800080"/>
          <w:kern w:val="0"/>
          <w:sz w:val="18"/>
          <w:szCs w:val="18"/>
          <w:u w:val="single"/>
        </w:rPr>
        <w:t>标签</w:t>
      </w:r>
    </w:p>
    <w:p w14:paraId="74B77F4D">
      <w:pPr>
        <w:widowControl/>
        <w:spacing w:before="90" w:after="90"/>
        <w:jc w:val="left"/>
        <w:rPr>
          <w:rFonts w:ascii="Arial" w:hAnsi="Arial" w:eastAsia="宋体" w:cs="Arial"/>
          <w:color w:val="000000"/>
          <w:kern w:val="0"/>
          <w:sz w:val="18"/>
          <w:szCs w:val="18"/>
        </w:rPr>
      </w:pPr>
    </w:p>
    <w:p w14:paraId="3C919105">
      <w:pPr>
        <w:widowControl/>
        <w:jc w:val="left"/>
        <w:outlineLvl w:val="0"/>
        <w:rPr>
          <w:rFonts w:ascii="Arial" w:hAnsi="Arial" w:eastAsia="宋体" w:cs="Arial"/>
          <w:b/>
          <w:bCs/>
          <w:color w:val="000000"/>
          <w:kern w:val="0"/>
          <w:sz w:val="30"/>
          <w:szCs w:val="30"/>
        </w:rPr>
      </w:pPr>
      <w:r>
        <w:rPr>
          <w:rFonts w:ascii="Arial" w:hAnsi="Arial" w:eastAsia="宋体" w:cs="Arial"/>
          <w:b/>
          <w:bCs/>
          <w:color w:val="000000"/>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375285</wp:posOffset>
                </wp:positionV>
                <wp:extent cx="5217160" cy="0"/>
                <wp:effectExtent l="9525" t="13335" r="12065" b="5715"/>
                <wp:wrapNone/>
                <wp:docPr id="2" name="AutoShape 4"/>
                <wp:cNvGraphicFramePr/>
                <a:graphic xmlns:a="http://schemas.openxmlformats.org/drawingml/2006/main">
                  <a:graphicData uri="http://schemas.microsoft.com/office/word/2010/wordprocessingShape">
                    <wps:wsp>
                      <wps:cNvCnPr>
                        <a:cxnSpLocks noChangeShapeType="1"/>
                      </wps:cNvCnPr>
                      <wps:spPr bwMode="auto">
                        <a:xfrm>
                          <a:off x="0" y="0"/>
                          <a:ext cx="5217160" cy="0"/>
                        </a:xfrm>
                        <a:prstGeom prst="straightConnector1">
                          <a:avLst/>
                        </a:prstGeom>
                        <a:noFill/>
                        <a:ln w="9525">
                          <a:solidFill>
                            <a:srgbClr val="000000"/>
                          </a:solidFill>
                          <a:round/>
                        </a:ln>
                      </wps:spPr>
                      <wps:bodyPr/>
                    </wps:wsp>
                  </a:graphicData>
                </a:graphic>
              </wp:anchor>
            </w:drawing>
          </mc:Choice>
          <mc:Fallback>
            <w:pict>
              <v:shape id="AutoShape 4" o:spid="_x0000_s1026" o:spt="32" type="#_x0000_t32" style="position:absolute;left:0pt;margin-left:0pt;margin-top:29.55pt;height:0pt;width:410.8pt;z-index:251659264;mso-width-relative:page;mso-height-relative:page;" filled="f" stroked="t" coordsize="21600,21600" o:gfxdata="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PyvV7VAAAABgEAAA8AAAAAAAAAAQAgAAAA&#10;IgAAAGRycy9kb3ducmV2LnhtbFBLAQIUABQAAAAIAIdO4kDvDLV11QEAALIDAAAOAAAAAAAAAAEA&#10;IAAAACQBAABkcnMvZTJvRG9jLnhtbFBLBQYAAAAABgAGAFkBAABrBQAAAAA=&#10;">
                <v:fill on="f" focussize="0,0"/>
                <v:stroke color="#000000" joinstyle="round"/>
                <v:imagedata o:title=""/>
                <o:lock v:ext="edit" aspectratio="f"/>
              </v:shape>
            </w:pict>
          </mc:Fallback>
        </mc:AlternateContent>
      </w:r>
      <w:r>
        <w:rPr>
          <w:rFonts w:ascii="Arial" w:hAnsi="Arial" w:eastAsia="宋体" w:cs="Arial"/>
          <w:b/>
          <w:bCs/>
          <w:color w:val="000000"/>
          <w:kern w:val="0"/>
          <w:sz w:val="30"/>
          <w:szCs w:val="30"/>
        </w:rPr>
        <w:t>行业和FDA工作人员指南；</w:t>
      </w:r>
    </w:p>
    <w:p w14:paraId="4D71F8DB">
      <w:pPr>
        <w:widowControl/>
        <w:jc w:val="left"/>
        <w:outlineLvl w:val="0"/>
        <w:rPr>
          <w:rFonts w:ascii="Arial" w:hAnsi="Arial" w:eastAsia="宋体" w:cs="Arial"/>
          <w:b/>
          <w:bCs/>
          <w:color w:val="000000"/>
          <w:kern w:val="0"/>
          <w:sz w:val="30"/>
          <w:szCs w:val="30"/>
        </w:rPr>
      </w:pPr>
      <w:r>
        <w:rPr>
          <w:rFonts w:ascii="Arial" w:hAnsi="Arial" w:eastAsia="宋体" w:cs="Arial"/>
          <w:b/>
          <w:bCs/>
          <w:color w:val="000000"/>
          <w:kern w:val="0"/>
          <w:sz w:val="30"/>
          <w:szCs w:val="30"/>
        </w:rPr>
        <w:t>II类特殊控制指导性文件：用于检测β-葡聚糖的血清学测定</w:t>
      </w:r>
    </w:p>
    <w:p w14:paraId="3C91F2C3">
      <w:pPr>
        <w:widowControl/>
        <w:jc w:val="left"/>
        <w:outlineLvl w:val="3"/>
        <w:rPr>
          <w:rFonts w:ascii="Arial" w:hAnsi="Arial" w:eastAsia="宋体" w:cs="Arial"/>
          <w:b/>
          <w:bCs/>
          <w:color w:val="000000"/>
          <w:kern w:val="0"/>
          <w:sz w:val="29"/>
          <w:szCs w:val="29"/>
        </w:rPr>
      </w:pPr>
      <w:r>
        <w:rPr>
          <w:rFonts w:ascii="Arial" w:hAnsi="Arial" w:eastAsia="宋体" w:cs="Arial"/>
          <w:b/>
          <w:bCs/>
          <w:color w:val="000000"/>
          <w:kern w:val="0"/>
          <w:sz w:val="29"/>
          <w:szCs w:val="29"/>
        </w:rPr>
        <w:t>1.引言</w:t>
      </w:r>
    </w:p>
    <w:p w14:paraId="137C3AF9">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本指导性文件作为特殊控制指南而编制，以支持将β-葡聚糖血清学测定分类为II类（特殊控制）。β-葡聚糖血清学测定是由辅助假定诊断真菌感染的抗原或蛋白酶组成的器械。该器械用于定性检测具有创伤性真菌感染症状或致使</w:t>
      </w:r>
      <w:bookmarkStart w:id="0" w:name="OLE_LINK1"/>
      <w:bookmarkStart w:id="1" w:name="OLE_LINK2"/>
      <w:r>
        <w:rPr>
          <w:rFonts w:ascii="Arial" w:hAnsi="Arial" w:eastAsia="宋体" w:cs="Arial"/>
          <w:color w:val="000000"/>
          <w:kern w:val="0"/>
          <w:sz w:val="18"/>
          <w:szCs w:val="18"/>
        </w:rPr>
        <w:t>患者</w:t>
      </w:r>
      <w:bookmarkEnd w:id="0"/>
      <w:bookmarkEnd w:id="1"/>
      <w:r>
        <w:rPr>
          <w:rFonts w:ascii="Arial" w:hAnsi="Arial" w:eastAsia="宋体" w:cs="Arial"/>
          <w:color w:val="000000"/>
          <w:kern w:val="0"/>
          <w:sz w:val="18"/>
          <w:szCs w:val="18"/>
        </w:rPr>
        <w:t>出现创伤性真菌感染的医疗病症的患者血清中的β-葡聚糖。对血清中特定浓度的β-葡聚糖（各种具有医学重要性的真菌的主要细胞壁组分）进行的检测可用于辅助诊断深部真菌病和真菌血症。该测定应与其他诊断程序结合使用，例如微生物培养、活检样本的组织学检查和放射学检查。</w:t>
      </w:r>
    </w:p>
    <w:p w14:paraId="3445AB2F">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本指南与联邦公报通告一起公布以宣布β-葡聚糖血清学测定的分类。</w:t>
      </w:r>
      <w:r>
        <w:rPr>
          <w:rFonts w:ascii="Arial" w:hAnsi="Arial" w:eastAsia="宋体" w:cs="Arial"/>
          <w:color w:val="000000"/>
          <w:kern w:val="0"/>
          <w:sz w:val="18"/>
          <w:szCs w:val="18"/>
          <w:vertAlign w:val="superscript"/>
        </w:rPr>
        <w:t>1</w:t>
      </w:r>
      <w:r>
        <w:rPr>
          <w:rFonts w:ascii="Arial" w:hAnsi="Arial" w:eastAsia="宋体" w:cs="Arial"/>
          <w:color w:val="000000"/>
          <w:kern w:val="0"/>
          <w:sz w:val="18"/>
          <w:szCs w:val="18"/>
        </w:rPr>
        <w:t>任何为β-葡聚糖血清学测定提交上市前通告（510（k））的公司将需要解决本特殊控制指导性文件涉及的问题。然而，公司只需要证明，其器械符合本指南的建议或可以某种其他方式提供等同的安全性和有效性保证。</w:t>
      </w:r>
    </w:p>
    <w:p w14:paraId="6FC4FBF8">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公司必须证明，其器械通过满足本指南的建议或通过提供等同的安全性和有效性保证的其他方法，解决本指南中确定的安全性和有效性问题。</w:t>
      </w:r>
    </w:p>
    <w:p w14:paraId="73034763">
      <w:pPr>
        <w:widowControl/>
        <w:spacing w:before="90" w:after="90"/>
        <w:jc w:val="left"/>
        <w:rPr>
          <w:rFonts w:ascii="Arial" w:hAnsi="Arial" w:eastAsia="宋体" w:cs="Arial"/>
          <w:color w:val="000000"/>
          <w:kern w:val="0"/>
          <w:sz w:val="18"/>
          <w:szCs w:val="18"/>
        </w:rPr>
      </w:pPr>
    </w:p>
    <w:p w14:paraId="5FD68930">
      <w:pPr>
        <w:widowControl/>
        <w:spacing w:before="90" w:after="90"/>
        <w:jc w:val="left"/>
        <w:rPr>
          <w:rFonts w:ascii="Arial" w:hAnsi="Arial" w:eastAsia="宋体" w:cs="Arial"/>
          <w:b/>
          <w:color w:val="000000"/>
          <w:kern w:val="0"/>
          <w:sz w:val="18"/>
          <w:szCs w:val="18"/>
        </w:rPr>
      </w:pPr>
      <w:r>
        <w:rPr>
          <w:rFonts w:ascii="Arial" w:hAnsi="Arial" w:eastAsia="宋体" w:cs="Arial"/>
          <w:b/>
          <w:color w:val="000000"/>
          <w:kern w:val="0"/>
          <w:sz w:val="18"/>
          <w:szCs w:val="18"/>
        </w:rPr>
        <w:t>最小负担法</w:t>
      </w:r>
    </w:p>
    <w:p w14:paraId="4459E9C1">
      <w:pPr>
        <w:widowControl/>
        <w:spacing w:before="90" w:after="90"/>
        <w:jc w:val="left"/>
        <w:rPr>
          <w:rFonts w:ascii="Arial" w:hAnsi="Arial" w:eastAsia="宋体" w:cs="Arial"/>
          <w:color w:val="000000"/>
          <w:kern w:val="0"/>
          <w:sz w:val="18"/>
          <w:szCs w:val="18"/>
        </w:rPr>
      </w:pPr>
    </w:p>
    <w:p w14:paraId="0C9B2273">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本指导性文件中确定的问题代表我们认为在贵公司的器械可上市之前需要解决的问题。在制定本指南时，我们仔细考虑了相关法定标准以便于本审查机构做出决定。我们还考虑了贵公司尝试按照本指南建议的方式遵循法定和监管标准以及贵公司尝试解决我们确定的问题时可能产生的负担。我们认为，我们已采用了最小负担法来解决本指导性文件中提出的问题。但是，如果贵公司认为有负担更小的方式可以用于解决这些问题，则贵公司应遵循文件“解决最小负担问题的建议方法”中概述的程序。</w:t>
      </w:r>
    </w:p>
    <w:p w14:paraId="67BED5CC">
      <w:pPr>
        <w:widowControl/>
        <w:jc w:val="left"/>
        <w:rPr>
          <w:rFonts w:ascii="Arial" w:hAnsi="Arial" w:eastAsia="宋体" w:cs="Arial"/>
          <w:b/>
          <w:bCs/>
          <w:color w:val="000000"/>
          <w:kern w:val="0"/>
          <w:sz w:val="29"/>
          <w:szCs w:val="29"/>
        </w:rPr>
      </w:pPr>
      <w:r>
        <w:rPr>
          <w:rFonts w:ascii="Arial" w:hAnsi="Arial" w:eastAsia="宋体" w:cs="Arial"/>
          <w:b/>
          <w:bCs/>
          <w:color w:val="000000"/>
          <w:kern w:val="0"/>
          <w:sz w:val="29"/>
          <w:szCs w:val="29"/>
        </w:rPr>
        <w:br w:type="page"/>
      </w:r>
    </w:p>
    <w:p w14:paraId="368549EE">
      <w:pPr>
        <w:widowControl/>
        <w:jc w:val="left"/>
        <w:outlineLvl w:val="3"/>
        <w:rPr>
          <w:rFonts w:ascii="Arial" w:hAnsi="Arial" w:eastAsia="宋体" w:cs="Arial"/>
          <w:b/>
          <w:bCs/>
          <w:color w:val="000000"/>
          <w:kern w:val="0"/>
          <w:sz w:val="29"/>
          <w:szCs w:val="29"/>
        </w:rPr>
      </w:pPr>
      <w:r>
        <w:rPr>
          <w:rFonts w:ascii="Arial" w:hAnsi="Arial" w:eastAsia="宋体" w:cs="Arial"/>
          <w:b/>
          <w:bCs/>
          <w:color w:val="000000"/>
          <w:kern w:val="0"/>
          <w:sz w:val="29"/>
          <w:szCs w:val="29"/>
        </w:rPr>
        <w:t>2.背景</w:t>
      </w:r>
    </w:p>
    <w:p w14:paraId="5888C6EC">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FDA认为，当与一般控制组合时，特殊控制将足以对β-葡聚糖测定的安全性和有效性提供合理保证。拟上市该通用类型器械的制造商应（1）遵守联邦食品，药品和化妆品法案（该法案）的一般控制，包括21 CFR 807子部分E中所述的上市前通告要求2）解决与本指南中确定的与β-葡聚糖血清学测定相关的特定健康风险，以及（3）在上市该器械之前从FDA获得实质等同性测定。</w:t>
      </w:r>
    </w:p>
    <w:p w14:paraId="124443B3">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本指导性文件确定了β-葡聚糖血清学测定的分类法规和产品代码。（请参见</w:t>
      </w:r>
      <w:r>
        <w:rPr>
          <w:rFonts w:ascii="Arial" w:hAnsi="Arial" w:eastAsia="宋体" w:cs="Arial"/>
          <w:color w:val="800080"/>
          <w:kern w:val="0"/>
          <w:sz w:val="18"/>
          <w:szCs w:val="18"/>
          <w:u w:val="single"/>
        </w:rPr>
        <w:t>第4节—范围</w:t>
      </w:r>
      <w:r>
        <w:rPr>
          <w:rFonts w:ascii="Arial" w:hAnsi="Arial" w:eastAsia="宋体" w:cs="Arial"/>
          <w:color w:val="000000"/>
          <w:kern w:val="0"/>
          <w:sz w:val="18"/>
          <w:szCs w:val="18"/>
        </w:rPr>
        <w:t>）此外，本指导性文件的其他部分确定了健康风险，并说明了如果制造商遵循并与一般控制相结合，通常可解决与这些β-葡聚糖血清学测定相关的风险并可使上市前通告[510（k）]审查和批准及时进行的措施。本文件补充其他有关上市前通告提交的具体内容要求的FDA文件。贵公司还应参考</w:t>
      </w:r>
      <w:r>
        <w:rPr>
          <w:rFonts w:ascii="Arial" w:hAnsi="Arial" w:eastAsia="宋体" w:cs="Arial"/>
          <w:color w:val="800080"/>
          <w:kern w:val="0"/>
          <w:sz w:val="18"/>
          <w:szCs w:val="18"/>
          <w:u w:val="single"/>
        </w:rPr>
        <w:t>21 CFR 807.87</w:t>
      </w:r>
      <w:r>
        <w:rPr>
          <w:rFonts w:ascii="Arial" w:hAnsi="Arial" w:eastAsia="宋体" w:cs="Arial"/>
          <w:color w:val="000000"/>
          <w:kern w:val="0"/>
          <w:sz w:val="18"/>
          <w:szCs w:val="18"/>
        </w:rPr>
        <w:t>和有关此主题的其他FDA文件，如</w:t>
      </w:r>
      <w:r>
        <w:rPr>
          <w:rFonts w:ascii="Arial" w:hAnsi="Arial" w:eastAsia="宋体" w:cs="Arial"/>
          <w:b/>
          <w:color w:val="800080"/>
          <w:kern w:val="0"/>
          <w:sz w:val="18"/>
          <w:szCs w:val="18"/>
        </w:rPr>
        <w:t>上市前通告510（k）</w:t>
      </w:r>
      <w:r>
        <w:rPr>
          <w:rFonts w:ascii="Arial" w:hAnsi="Arial" w:eastAsia="宋体" w:cs="Arial"/>
          <w:color w:val="000000"/>
          <w:kern w:val="0"/>
          <w:sz w:val="18"/>
          <w:szCs w:val="18"/>
        </w:rPr>
        <w:t>。</w:t>
      </w:r>
    </w:p>
    <w:p w14:paraId="0F52DC57">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如“</w:t>
      </w:r>
      <w:r>
        <w:rPr>
          <w:rFonts w:ascii="Arial" w:hAnsi="Arial" w:eastAsia="宋体" w:cs="Arial"/>
          <w:b/>
          <w:color w:val="000000"/>
          <w:kern w:val="0"/>
          <w:sz w:val="18"/>
          <w:szCs w:val="18"/>
        </w:rPr>
        <w:t>新版 510（k）范式 – 在上市前通告中证明实质等同性的替代方法；最终指南</w:t>
      </w:r>
      <w:r>
        <w:rPr>
          <w:rFonts w:ascii="Arial" w:hAnsi="Arial" w:eastAsia="宋体" w:cs="Arial"/>
          <w:color w:val="800080"/>
          <w:kern w:val="0"/>
          <w:sz w:val="18"/>
          <w:szCs w:val="18"/>
          <w:u w:val="single"/>
          <w:vertAlign w:val="superscript"/>
        </w:rPr>
        <w:t>2</w:t>
      </w:r>
      <w:r>
        <w:rPr>
          <w:rFonts w:ascii="Arial" w:hAnsi="Arial" w:eastAsia="宋体" w:cs="Arial"/>
          <w:color w:val="000000"/>
          <w:kern w:val="0"/>
          <w:sz w:val="18"/>
          <w:szCs w:val="18"/>
        </w:rPr>
        <w:t>”中所述，制造商可提交传统型510（k）或简化510（k）。FDA认为简化510（k）可在证明新器械的实质等同性时提供具有最小负担的方法，特别是当FDA已经发布指导性文件以提供关于在器械提交中应当处理的问题的建议时。另外，考虑对其自己已批准的器械进行修改的制造商可以通过提交特殊510（k）来减轻监管负担。</w:t>
      </w:r>
    </w:p>
    <w:p w14:paraId="78DBC0FB">
      <w:pPr>
        <w:widowControl/>
        <w:spacing w:before="90" w:after="90"/>
        <w:jc w:val="left"/>
        <w:rPr>
          <w:rFonts w:ascii="Arial" w:hAnsi="Arial" w:eastAsia="宋体" w:cs="Arial"/>
          <w:color w:val="000000"/>
          <w:kern w:val="0"/>
          <w:sz w:val="18"/>
          <w:szCs w:val="18"/>
        </w:rPr>
      </w:pPr>
    </w:p>
    <w:p w14:paraId="2187530C">
      <w:pPr>
        <w:widowControl/>
        <w:jc w:val="left"/>
        <w:outlineLvl w:val="3"/>
        <w:rPr>
          <w:rFonts w:ascii="Arial" w:hAnsi="Arial" w:eastAsia="宋体" w:cs="Arial"/>
          <w:b/>
          <w:bCs/>
          <w:color w:val="000000"/>
          <w:kern w:val="0"/>
          <w:sz w:val="29"/>
          <w:szCs w:val="29"/>
        </w:rPr>
      </w:pPr>
      <w:bookmarkStart w:id="2" w:name="3"/>
      <w:r>
        <w:rPr>
          <w:rFonts w:ascii="Arial" w:hAnsi="Arial" w:eastAsia="宋体" w:cs="Arial"/>
          <w:b/>
          <w:bCs/>
          <w:color w:val="000000"/>
          <w:kern w:val="0"/>
          <w:sz w:val="29"/>
          <w:szCs w:val="29"/>
        </w:rPr>
        <w:t> </w:t>
      </w:r>
      <w:bookmarkEnd w:id="2"/>
      <w:r>
        <w:rPr>
          <w:rFonts w:ascii="Arial" w:hAnsi="Arial" w:eastAsia="宋体" w:cs="Arial"/>
          <w:b/>
          <w:bCs/>
          <w:color w:val="000000"/>
          <w:kern w:val="0"/>
          <w:sz w:val="29"/>
          <w:szCs w:val="29"/>
        </w:rPr>
        <w:t>3.简化510（k）提交的内容和格式</w:t>
      </w:r>
    </w:p>
    <w:p w14:paraId="42F9C190">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简化510（k）提交必须包括21 CFR 807.87中确定的必要成分，包括器械的拟定标记，其须足以说明器械、其预期用途和使用说明。在简化510（k）中，FDA可以将总结报告的内容视为21 CFR 807.87（f）或（g）含义内的适当支持性数据；因此，我们建议贵公司纳入一份总结报告。该报告应说明在开发和测试器械时如何使用本指导性文件以及所使用的方法或试验。该报告还应包括试验数据的总结或有关用于解决本文件中确定的风险的验收标准的说明，以及贵公司的器械特有的任何其他风险。本节将对用以满足21 CFR 807.87的一些要求的信息以及我们建议贵公司纳入简化510（k）中的一些其他项目提供建议。</w:t>
      </w:r>
    </w:p>
    <w:p w14:paraId="02839472">
      <w:pPr>
        <w:widowControl/>
        <w:spacing w:before="90" w:after="90"/>
        <w:jc w:val="left"/>
        <w:rPr>
          <w:rFonts w:ascii="Arial" w:hAnsi="Arial" w:eastAsia="宋体" w:cs="Arial"/>
          <w:color w:val="000000"/>
          <w:kern w:val="0"/>
          <w:sz w:val="18"/>
          <w:szCs w:val="18"/>
        </w:rPr>
      </w:pPr>
      <w:r>
        <w:rPr>
          <w:rFonts w:ascii="Arial" w:hAnsi="Arial" w:eastAsia="宋体" w:cs="Arial"/>
          <w:b/>
          <w:bCs/>
          <w:color w:val="000000"/>
          <w:kern w:val="0"/>
          <w:sz w:val="18"/>
        </w:rPr>
        <w:t>封面</w:t>
      </w:r>
    </w:p>
    <w:p w14:paraId="6C0CE3F0">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封面应明确将该提交标为简化510（k），并引用本指导性文件的标题。</w:t>
      </w:r>
    </w:p>
    <w:p w14:paraId="45915B80">
      <w:pPr>
        <w:widowControl/>
        <w:spacing w:before="90" w:after="90"/>
        <w:jc w:val="left"/>
        <w:rPr>
          <w:rFonts w:ascii="Arial" w:hAnsi="Arial" w:eastAsia="宋体" w:cs="Arial"/>
          <w:color w:val="000000"/>
          <w:kern w:val="0"/>
          <w:sz w:val="18"/>
          <w:szCs w:val="18"/>
        </w:rPr>
      </w:pPr>
      <w:r>
        <w:rPr>
          <w:rFonts w:ascii="Arial" w:hAnsi="Arial" w:eastAsia="宋体" w:cs="Arial"/>
          <w:b/>
          <w:bCs/>
          <w:color w:val="000000"/>
          <w:kern w:val="0"/>
          <w:sz w:val="18"/>
        </w:rPr>
        <w:t>拟定标签</w:t>
      </w:r>
    </w:p>
    <w:p w14:paraId="06952A40">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0908CFA1">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拟定标签应足以说明器械、其预期用途和使用说明。（有关贵公司应在此类型器械的标签中纳入的具体信息，请参见</w:t>
      </w:r>
      <w:r>
        <w:rPr>
          <w:rFonts w:ascii="Arial" w:hAnsi="Arial" w:eastAsia="宋体" w:cs="Arial"/>
          <w:color w:val="800080"/>
          <w:kern w:val="0"/>
          <w:sz w:val="18"/>
          <w:szCs w:val="18"/>
          <w:u w:val="single"/>
        </w:rPr>
        <w:t>第8节</w:t>
      </w:r>
      <w:r>
        <w:rPr>
          <w:rFonts w:ascii="Arial" w:hAnsi="Arial" w:eastAsia="宋体" w:cs="Arial"/>
          <w:color w:val="000000"/>
          <w:kern w:val="0"/>
          <w:sz w:val="18"/>
          <w:szCs w:val="18"/>
        </w:rPr>
        <w:t>）。</w:t>
      </w:r>
    </w:p>
    <w:p w14:paraId="321208C3">
      <w:pPr>
        <w:widowControl/>
        <w:spacing w:before="78" w:after="78"/>
        <w:jc w:val="left"/>
        <w:rPr>
          <w:rFonts w:ascii="Arial" w:hAnsi="Arial" w:eastAsia="宋体" w:cs="Arial"/>
          <w:b/>
          <w:bCs/>
          <w:color w:val="000000"/>
          <w:kern w:val="0"/>
          <w:sz w:val="18"/>
        </w:rPr>
      </w:pPr>
      <w:r>
        <w:rPr>
          <w:rFonts w:ascii="Arial" w:hAnsi="Arial" w:eastAsia="宋体" w:cs="Arial"/>
          <w:b/>
          <w:bCs/>
          <w:color w:val="000000"/>
          <w:kern w:val="0"/>
          <w:sz w:val="18"/>
        </w:rPr>
        <w:t>总结报告</w:t>
      </w:r>
    </w:p>
    <w:p w14:paraId="010B3F77">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我们建议总结报告应包含以下内容：</w:t>
      </w:r>
    </w:p>
    <w:p w14:paraId="1F959B9C">
      <w:pPr>
        <w:pStyle w:val="24"/>
        <w:widowControl/>
        <w:numPr>
          <w:ilvl w:val="0"/>
          <w:numId w:val="1"/>
        </w:numPr>
        <w:spacing w:before="90" w:after="90"/>
        <w:ind w:firstLineChars="0"/>
        <w:jc w:val="left"/>
        <w:rPr>
          <w:rFonts w:ascii="Arial" w:hAnsi="Arial" w:eastAsia="宋体" w:cs="Arial"/>
          <w:color w:val="000000"/>
          <w:kern w:val="0"/>
          <w:sz w:val="18"/>
          <w:szCs w:val="18"/>
        </w:rPr>
      </w:pPr>
      <w:r>
        <w:rPr>
          <w:rFonts w:ascii="Arial" w:hAnsi="Arial" w:eastAsia="宋体" w:cs="Arial"/>
          <w:color w:val="000000"/>
          <w:kern w:val="0"/>
          <w:sz w:val="18"/>
          <w:szCs w:val="18"/>
        </w:rPr>
        <w:t>器械及其预期用途的说明。我们建议说明应纳入对性能质量标准的完整讨论，并在适当时纳入详细的器械标记图纸。贵公司还应附加一份“使用说明”</w:t>
      </w:r>
    </w:p>
    <w:p w14:paraId="497F62E3">
      <w:pPr>
        <w:pStyle w:val="24"/>
        <w:widowControl/>
        <w:numPr>
          <w:ilvl w:val="0"/>
          <w:numId w:val="2"/>
        </w:numPr>
        <w:spacing w:before="90" w:after="90"/>
        <w:ind w:firstLineChars="0"/>
        <w:jc w:val="left"/>
        <w:rPr>
          <w:rFonts w:ascii="Arial" w:hAnsi="Arial" w:eastAsia="宋体" w:cs="Arial"/>
          <w:color w:val="000000"/>
          <w:kern w:val="0"/>
          <w:sz w:val="18"/>
          <w:szCs w:val="18"/>
        </w:rPr>
      </w:pPr>
      <w:r>
        <w:rPr>
          <w:rFonts w:ascii="Arial" w:hAnsi="Arial" w:eastAsia="宋体" w:cs="Arial"/>
          <w:color w:val="000000"/>
          <w:kern w:val="0"/>
          <w:sz w:val="18"/>
          <w:szCs w:val="18"/>
        </w:rPr>
        <w:t>器械设计的说明。</w:t>
      </w:r>
    </w:p>
    <w:p w14:paraId="4C700121">
      <w:pPr>
        <w:pStyle w:val="24"/>
        <w:widowControl/>
        <w:numPr>
          <w:ilvl w:val="0"/>
          <w:numId w:val="3"/>
        </w:numPr>
        <w:spacing w:before="90" w:after="90"/>
        <w:ind w:firstLineChars="0"/>
        <w:jc w:val="left"/>
        <w:rPr>
          <w:rFonts w:ascii="Arial" w:hAnsi="Arial" w:eastAsia="宋体" w:cs="Arial"/>
          <w:color w:val="000000"/>
          <w:kern w:val="0"/>
          <w:sz w:val="18"/>
          <w:szCs w:val="18"/>
        </w:rPr>
      </w:pPr>
      <w:r>
        <w:rPr>
          <w:rFonts w:ascii="Arial" w:hAnsi="Arial" w:eastAsia="宋体" w:cs="Arial"/>
          <w:color w:val="000000"/>
          <w:kern w:val="0"/>
          <w:sz w:val="18"/>
          <w:szCs w:val="18"/>
        </w:rPr>
        <w:t>确定用于评估一般风险概况的风险分析方法，以及特定器械的设计和此分析的结果。 （有关通常与使用本器械相关的健康危害，请参见</w:t>
      </w:r>
      <w:r>
        <w:rPr>
          <w:rFonts w:ascii="Arial" w:hAnsi="Arial" w:eastAsia="宋体" w:cs="Arial"/>
          <w:color w:val="800080"/>
          <w:kern w:val="0"/>
          <w:sz w:val="18"/>
          <w:szCs w:val="18"/>
          <w:u w:val="single"/>
        </w:rPr>
        <w:t>第5节</w:t>
      </w:r>
      <w:r>
        <w:rPr>
          <w:rFonts w:ascii="Arial" w:hAnsi="Arial" w:eastAsia="宋体" w:cs="Arial"/>
          <w:color w:val="000000"/>
          <w:kern w:val="0"/>
          <w:sz w:val="18"/>
          <w:szCs w:val="18"/>
        </w:rPr>
        <w:t>。）</w:t>
      </w:r>
    </w:p>
    <w:p w14:paraId="09E8CDE1">
      <w:pPr>
        <w:pStyle w:val="24"/>
        <w:widowControl/>
        <w:numPr>
          <w:ilvl w:val="0"/>
          <w:numId w:val="4"/>
        </w:numPr>
        <w:spacing w:before="90" w:after="90"/>
        <w:ind w:firstLineChars="0"/>
        <w:jc w:val="left"/>
        <w:rPr>
          <w:rFonts w:ascii="Arial" w:hAnsi="Arial" w:eastAsia="宋体" w:cs="Arial"/>
          <w:color w:val="000000"/>
          <w:kern w:val="0"/>
          <w:sz w:val="18"/>
          <w:szCs w:val="18"/>
        </w:rPr>
      </w:pPr>
      <w:r>
        <w:rPr>
          <w:rFonts w:ascii="Arial" w:hAnsi="Arial" w:eastAsia="宋体" w:cs="Arial"/>
          <w:color w:val="000000"/>
          <w:kern w:val="0"/>
          <w:sz w:val="18"/>
          <w:szCs w:val="18"/>
        </w:rPr>
        <w:t>讨论器械特性，以解决本II类指导性文件中确定的风险以及风险分析中确定的任何其他风险。</w:t>
      </w:r>
    </w:p>
    <w:p w14:paraId="79186219">
      <w:pPr>
        <w:pStyle w:val="24"/>
        <w:widowControl/>
        <w:numPr>
          <w:ilvl w:val="0"/>
          <w:numId w:val="5"/>
        </w:numPr>
        <w:spacing w:before="90" w:after="90"/>
        <w:ind w:firstLineChars="0"/>
        <w:jc w:val="left"/>
        <w:rPr>
          <w:rFonts w:ascii="Arial" w:hAnsi="Arial" w:eastAsia="宋体" w:cs="Arial"/>
          <w:color w:val="000000"/>
          <w:kern w:val="0"/>
          <w:sz w:val="18"/>
          <w:szCs w:val="18"/>
        </w:rPr>
      </w:pPr>
      <w:r>
        <w:rPr>
          <w:rFonts w:ascii="Arial" w:hAnsi="Arial" w:eastAsia="宋体" w:cs="Arial"/>
          <w:color w:val="000000"/>
          <w:kern w:val="0"/>
          <w:sz w:val="18"/>
          <w:szCs w:val="18"/>
        </w:rPr>
        <w:t>贵公司已用于或打算用于解决本指导性文件第6和第7节中确定的每个性能方面的试验方法的简要说明。如果你遵循建议的试验方法，你可以引用该方法而不是对其进行说明。如果贵公司已对建议的试验方法进行修改，贵公司可以引用该方法，但应提供足够的信息来解释修改的性质和原因。对于每个试验，贵公司可以（1）以清晰和简明的形式（例如表格）简要呈现试验产生的数据，或（2）说明贵公司将应用于试验结果的验收标准。（有关质量体系规则，请参见</w:t>
      </w:r>
      <w:r>
        <w:rPr>
          <w:rFonts w:ascii="Arial" w:hAnsi="Arial" w:eastAsia="宋体" w:cs="Arial"/>
          <w:color w:val="800080"/>
          <w:kern w:val="0"/>
          <w:sz w:val="18"/>
          <w:szCs w:val="18"/>
          <w:u w:val="single"/>
        </w:rPr>
        <w:t>21 CFR 820.30</w:t>
      </w:r>
      <w:r>
        <w:rPr>
          <w:rFonts w:ascii="Arial" w:hAnsi="Arial" w:eastAsia="宋体" w:cs="Arial"/>
          <w:color w:val="000000"/>
          <w:kern w:val="0"/>
          <w:sz w:val="18"/>
          <w:szCs w:val="18"/>
        </w:rPr>
        <w:t>，子部分C -设计控制。）</w:t>
      </w:r>
    </w:p>
    <w:p w14:paraId="715BB8E5">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如果器械设计或试验的任何部分依赖于公认的标准，则需包括：（1）在产品上市前进行试验并达到规定的验收标准的声明，或（2）符合标准的声明。请注意，在提交符合公认标准的声明之前，必须完成试验。 （该法案第514（c）（1）（B）节。）更多信息，请参见FDA指南：</w:t>
      </w:r>
      <w:r>
        <w:rPr>
          <w:rFonts w:ascii="Arial" w:hAnsi="Arial" w:eastAsia="宋体" w:cs="Arial"/>
          <w:b/>
          <w:color w:val="800080"/>
          <w:kern w:val="0"/>
          <w:sz w:val="18"/>
          <w:szCs w:val="18"/>
        </w:rPr>
        <w:t>实质等同性测定标准的使用；行业和FDA的最终指南</w:t>
      </w:r>
      <w:r>
        <w:rPr>
          <w:rFonts w:ascii="Arial" w:hAnsi="Arial" w:eastAsia="宋体" w:cs="Arial"/>
          <w:color w:val="000000"/>
          <w:kern w:val="0"/>
          <w:sz w:val="18"/>
          <w:szCs w:val="18"/>
        </w:rPr>
        <w:t>。</w:t>
      </w:r>
    </w:p>
    <w:p w14:paraId="01AC53C1">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如果我们不清楚贵公司如何解决由FDA确定的风险或通过风险分析确定的其他风险，我们可能会要求贵公司就器械性能特性方面提供其他信息。如果我们需要评估贵公司的验收标准的妥善性，我们也可能会要求贵公司提供其他信息。（根据</w:t>
      </w:r>
      <w:r>
        <w:rPr>
          <w:rFonts w:ascii="Arial" w:hAnsi="Arial" w:eastAsia="宋体" w:cs="Arial"/>
          <w:color w:val="800080"/>
          <w:kern w:val="0"/>
          <w:sz w:val="18"/>
          <w:szCs w:val="18"/>
          <w:u w:val="single"/>
        </w:rPr>
        <w:t>21 CFR 807.87（l）</w:t>
      </w:r>
      <w:r>
        <w:rPr>
          <w:rFonts w:ascii="Arial" w:hAnsi="Arial" w:eastAsia="宋体" w:cs="Arial"/>
          <w:color w:val="000000"/>
          <w:kern w:val="0"/>
          <w:sz w:val="18"/>
          <w:szCs w:val="18"/>
        </w:rPr>
        <w:t>，我们可能要求获得确定实质等同性所需的任何其他信息。）</w:t>
      </w:r>
    </w:p>
    <w:p w14:paraId="1A3D2564">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作为提交简化510（k）的替代方案，贵公司可以提交传统型510（k），其中，须提供21 CFR 807.87所需和本指南中所述的所有信息和数据。 传统型510（k）应涵盖贵公司的所有方法、数据、验收标准和结论。考虑对其自己已批准的器械进行修改的制造商可以考虑提交特殊510（k）</w:t>
      </w:r>
    </w:p>
    <w:p w14:paraId="36D02899">
      <w:pPr>
        <w:widowControl/>
        <w:jc w:val="left"/>
        <w:outlineLvl w:val="3"/>
        <w:rPr>
          <w:rFonts w:ascii="Arial" w:hAnsi="Arial" w:eastAsia="宋体" w:cs="Arial"/>
          <w:b/>
          <w:bCs/>
          <w:color w:val="000000"/>
          <w:kern w:val="0"/>
          <w:sz w:val="29"/>
          <w:szCs w:val="29"/>
        </w:rPr>
      </w:pPr>
      <w:bookmarkStart w:id="3" w:name="4"/>
      <w:r>
        <w:rPr>
          <w:rFonts w:ascii="Arial" w:hAnsi="Arial" w:eastAsia="宋体" w:cs="Arial"/>
          <w:b/>
          <w:bCs/>
          <w:color w:val="000000"/>
          <w:kern w:val="0"/>
          <w:sz w:val="29"/>
          <w:szCs w:val="29"/>
        </w:rPr>
        <w:t> </w:t>
      </w:r>
      <w:bookmarkEnd w:id="3"/>
      <w:r>
        <w:rPr>
          <w:rFonts w:ascii="Arial" w:hAnsi="Arial" w:eastAsia="宋体" w:cs="Arial"/>
          <w:b/>
          <w:bCs/>
          <w:color w:val="000000"/>
          <w:kern w:val="0"/>
          <w:sz w:val="29"/>
          <w:szCs w:val="29"/>
        </w:rPr>
        <w:t>4.范围</w:t>
      </w:r>
    </w:p>
    <w:p w14:paraId="53C3693E">
      <w:pPr>
        <w:widowControl/>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本文件的范围仅限于</w:t>
      </w:r>
      <w:r>
        <w:rPr>
          <w:rFonts w:ascii="Arial" w:hAnsi="Arial" w:eastAsia="宋体" w:cs="Arial"/>
          <w:color w:val="800080"/>
          <w:kern w:val="0"/>
          <w:sz w:val="18"/>
          <w:szCs w:val="18"/>
          <w:u w:val="single"/>
        </w:rPr>
        <w:t>21 CFR 866.3050</w:t>
      </w:r>
      <w:r>
        <w:rPr>
          <w:rFonts w:ascii="Arial" w:hAnsi="Arial" w:eastAsia="宋体" w:cs="Arial"/>
          <w:kern w:val="0"/>
          <w:sz w:val="18"/>
          <w:szCs w:val="18"/>
        </w:rPr>
        <w:t>（</w:t>
      </w:r>
      <w:r>
        <w:rPr>
          <w:rFonts w:ascii="Arial" w:hAnsi="Arial" w:eastAsia="宋体" w:cs="Arial"/>
          <w:color w:val="000000"/>
          <w:kern w:val="0"/>
          <w:sz w:val="18"/>
          <w:szCs w:val="18"/>
        </w:rPr>
        <w:t>产品代码NQZ）中所述的以下器械：</w:t>
      </w:r>
    </w:p>
    <w:p w14:paraId="0EC22B94">
      <w:pPr>
        <w:widowControl/>
        <w:jc w:val="left"/>
        <w:rPr>
          <w:rFonts w:ascii="Arial" w:hAnsi="Arial" w:eastAsia="宋体" w:cs="Arial"/>
          <w:b/>
          <w:bCs/>
          <w:color w:val="000000"/>
          <w:kern w:val="0"/>
          <w:sz w:val="18"/>
        </w:rPr>
      </w:pPr>
      <w:r>
        <w:rPr>
          <w:rFonts w:ascii="Arial" w:hAnsi="Arial" w:eastAsia="宋体" w:cs="Arial"/>
          <w:b/>
          <w:bCs/>
          <w:color w:val="000000"/>
          <w:kern w:val="0"/>
          <w:sz w:val="18"/>
        </w:rPr>
        <w:br w:type="page"/>
      </w:r>
    </w:p>
    <w:p w14:paraId="0AA964B7">
      <w:pPr>
        <w:widowControl/>
        <w:spacing w:before="90" w:after="90"/>
        <w:jc w:val="left"/>
        <w:rPr>
          <w:rFonts w:ascii="Arial" w:hAnsi="Arial" w:eastAsia="宋体" w:cs="Arial"/>
          <w:color w:val="000000"/>
          <w:kern w:val="0"/>
          <w:sz w:val="18"/>
          <w:szCs w:val="18"/>
        </w:rPr>
      </w:pPr>
      <w:r>
        <w:rPr>
          <w:rFonts w:ascii="Arial" w:hAnsi="Arial" w:eastAsia="宋体" w:cs="Arial"/>
          <w:b/>
          <w:bCs/>
          <w:color w:val="000000"/>
          <w:kern w:val="0"/>
          <w:sz w:val="18"/>
        </w:rPr>
        <w:t>21 CFR 866.3050β-葡聚糖血清学测定</w:t>
      </w:r>
    </w:p>
    <w:p w14:paraId="1F897741">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β-葡聚糖血清学测定是由用于血清学测定中的抗原或蛋白酶组成的器械。该器械旨在用于真菌感染的假定诊断。该测定适用于具有创伤性真菌感染症状或致使患者出现创伤性真菌感染的医疗病症的患者。该器械可用于辅助诊断深部真菌病和真菌血症。</w:t>
      </w:r>
    </w:p>
    <w:p w14:paraId="77B0C9FB">
      <w:pPr>
        <w:widowControl/>
        <w:outlineLvl w:val="3"/>
        <w:rPr>
          <w:rFonts w:ascii="Arial" w:hAnsi="Arial" w:eastAsia="宋体" w:cs="Arial"/>
          <w:b/>
          <w:bCs/>
          <w:color w:val="000000"/>
          <w:kern w:val="0"/>
          <w:sz w:val="29"/>
          <w:szCs w:val="29"/>
        </w:rPr>
      </w:pPr>
      <w:bookmarkStart w:id="4" w:name="5"/>
      <w:r>
        <w:rPr>
          <w:rFonts w:ascii="Arial" w:hAnsi="Arial" w:eastAsia="宋体" w:cs="Arial"/>
          <w:b/>
          <w:bCs/>
          <w:color w:val="000000"/>
          <w:kern w:val="0"/>
          <w:sz w:val="29"/>
          <w:szCs w:val="29"/>
        </w:rPr>
        <w:t> </w:t>
      </w:r>
      <w:bookmarkEnd w:id="4"/>
      <w:r>
        <w:rPr>
          <w:rFonts w:ascii="Arial" w:hAnsi="Arial" w:eastAsia="宋体" w:cs="Arial"/>
          <w:b/>
          <w:bCs/>
          <w:color w:val="000000"/>
          <w:kern w:val="0"/>
          <w:sz w:val="29"/>
          <w:szCs w:val="29"/>
        </w:rPr>
        <w:t>5.健康风险</w:t>
      </w:r>
    </w:p>
    <w:p w14:paraId="7680B061">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据研究者了解，目前不存在可危害患者健康的已知直接风险。然而，试验未按预期执行或结果解释中的错误可能使患者管理不正确，包括误诊和不当治疗。因此，使用测定结果来调整治疗方案，而不考虑其他临床因素，可能带来风险。假性低β-葡聚糖测量值或假阴性结果可致使做出患者不具有创伤性真菌感染的风险的决定并且可能延迟适当治疗。假性高测量值或假阳性结果可能致使做出不必要的监测或有潜在危害的治疗。</w:t>
      </w:r>
    </w:p>
    <w:p w14:paraId="41FB70D3">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在下表中，FDA已经确定了通常与使用本文件中所述的β-葡聚糖血清学测定相关的健康风险。本指导性文件中说明了建议用于缓解已识别风险的措施，如下表所示。 贵公司应该在提交上市前通告之前进行风险分析，以识别器械特有的其他任何风险。上市前通告应说明风险分析方法。如果贵公司选择使用替代方法来解决本文件中确定的风险，或已发现本文件未涵盖的风险，贵公司应提供足够的详细信息以支持贵公司用于解决该风险的方法。</w:t>
      </w:r>
    </w:p>
    <w:tbl>
      <w:tblPr>
        <w:tblStyle w:val="11"/>
        <w:tblW w:w="0" w:type="auto"/>
        <w:tblCellSpacing w:w="15"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CCE8CF"/>
        <w:tblLayout w:type="autofit"/>
        <w:tblCellMar>
          <w:top w:w="30" w:type="dxa"/>
          <w:left w:w="30" w:type="dxa"/>
          <w:bottom w:w="30" w:type="dxa"/>
          <w:right w:w="30" w:type="dxa"/>
        </w:tblCellMar>
      </w:tblPr>
      <w:tblGrid>
        <w:gridCol w:w="1395"/>
        <w:gridCol w:w="1336"/>
      </w:tblGrid>
      <w:tr w14:paraId="7FD1DB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CCE8CF"/>
          <w:tblCellMar>
            <w:top w:w="30" w:type="dxa"/>
            <w:left w:w="30" w:type="dxa"/>
            <w:bottom w:w="30" w:type="dxa"/>
            <w:right w:w="30"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shd w:val="clear" w:color="auto" w:fill="99CCFF"/>
            <w:vAlign w:val="center"/>
          </w:tcPr>
          <w:p w14:paraId="66242498">
            <w:pPr>
              <w:widowControl/>
              <w:rPr>
                <w:rFonts w:ascii="Arial" w:hAnsi="Arial" w:eastAsia="宋体" w:cs="Arial"/>
                <w:color w:val="000000"/>
                <w:kern w:val="0"/>
                <w:sz w:val="18"/>
                <w:szCs w:val="18"/>
              </w:rPr>
            </w:pPr>
            <w:r>
              <w:rPr>
                <w:rFonts w:ascii="Arial" w:hAnsi="Arial" w:eastAsia="宋体" w:cs="Arial"/>
                <w:color w:val="000000"/>
                <w:kern w:val="0"/>
                <w:sz w:val="18"/>
                <w:szCs w:val="18"/>
              </w:rPr>
              <w:t>已确定风险</w:t>
            </w:r>
          </w:p>
        </w:tc>
        <w:tc>
          <w:tcPr>
            <w:tcW w:w="0" w:type="auto"/>
            <w:tcBorders>
              <w:top w:val="outset" w:color="auto" w:sz="6" w:space="0"/>
              <w:left w:val="outset" w:color="auto" w:sz="6" w:space="0"/>
              <w:bottom w:val="outset" w:color="auto" w:sz="6" w:space="0"/>
              <w:right w:val="outset" w:color="auto" w:sz="6" w:space="0"/>
            </w:tcBorders>
            <w:shd w:val="clear" w:color="auto" w:fill="99CCFF"/>
            <w:vAlign w:val="center"/>
          </w:tcPr>
          <w:p w14:paraId="139CC22C">
            <w:pPr>
              <w:widowControl/>
              <w:rPr>
                <w:rFonts w:ascii="Arial" w:hAnsi="Arial" w:eastAsia="宋体" w:cs="Arial"/>
                <w:color w:val="000000"/>
                <w:kern w:val="0"/>
                <w:sz w:val="18"/>
                <w:szCs w:val="18"/>
              </w:rPr>
            </w:pPr>
            <w:r>
              <w:rPr>
                <w:rFonts w:ascii="Arial" w:hAnsi="Arial" w:eastAsia="宋体" w:cs="Arial"/>
                <w:color w:val="000000"/>
                <w:kern w:val="0"/>
                <w:sz w:val="18"/>
                <w:szCs w:val="18"/>
              </w:rPr>
              <w:t>建议缓解措施</w:t>
            </w:r>
          </w:p>
        </w:tc>
      </w:tr>
      <w:tr w14:paraId="4970628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30" w:type="dxa"/>
            <w:left w:w="30" w:type="dxa"/>
            <w:bottom w:w="30" w:type="dxa"/>
            <w:right w:w="30"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0DE2B85">
            <w:pPr>
              <w:widowControl/>
              <w:rPr>
                <w:rFonts w:ascii="Arial" w:hAnsi="Arial" w:eastAsia="宋体" w:cs="Arial"/>
                <w:color w:val="000000"/>
                <w:kern w:val="0"/>
                <w:sz w:val="18"/>
                <w:szCs w:val="18"/>
              </w:rPr>
            </w:pPr>
            <w:r>
              <w:rPr>
                <w:rFonts w:ascii="Arial" w:hAnsi="Arial" w:eastAsia="宋体" w:cs="Arial"/>
                <w:color w:val="000000"/>
                <w:kern w:val="0"/>
                <w:sz w:val="18"/>
                <w:szCs w:val="18"/>
              </w:rPr>
              <w:t>患者管理不正确</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56385060">
            <w:pPr>
              <w:widowControl/>
              <w:rPr>
                <w:rFonts w:ascii="Arial" w:hAnsi="Arial" w:eastAsia="宋体" w:cs="Arial"/>
                <w:color w:val="000000"/>
                <w:kern w:val="0"/>
                <w:sz w:val="18"/>
                <w:szCs w:val="18"/>
              </w:rPr>
            </w:pPr>
            <w:r>
              <w:rPr>
                <w:rFonts w:ascii="Arial" w:hAnsi="Arial" w:eastAsia="宋体" w:cs="Arial"/>
                <w:color w:val="000000"/>
                <w:kern w:val="0"/>
                <w:sz w:val="18"/>
                <w:szCs w:val="18"/>
              </w:rPr>
              <w:t>第6，7及8节</w:t>
            </w:r>
          </w:p>
        </w:tc>
      </w:tr>
    </w:tbl>
    <w:p w14:paraId="77805484">
      <w:pPr>
        <w:widowControl/>
        <w:outlineLvl w:val="3"/>
        <w:rPr>
          <w:rFonts w:ascii="Arial" w:hAnsi="Arial" w:eastAsia="宋体" w:cs="Arial"/>
          <w:b/>
          <w:bCs/>
          <w:color w:val="000000"/>
          <w:kern w:val="0"/>
          <w:sz w:val="29"/>
          <w:szCs w:val="29"/>
        </w:rPr>
      </w:pPr>
      <w:bookmarkStart w:id="5" w:name="6"/>
      <w:r>
        <w:rPr>
          <w:rFonts w:ascii="Arial" w:hAnsi="Arial" w:eastAsia="宋体" w:cs="Arial"/>
          <w:b/>
          <w:bCs/>
          <w:color w:val="000000"/>
          <w:kern w:val="0"/>
          <w:sz w:val="29"/>
          <w:szCs w:val="29"/>
        </w:rPr>
        <w:t> </w:t>
      </w:r>
      <w:bookmarkEnd w:id="5"/>
      <w:r>
        <w:rPr>
          <w:rFonts w:ascii="Arial" w:hAnsi="Arial" w:eastAsia="宋体" w:cs="Arial"/>
          <w:b/>
          <w:bCs/>
          <w:color w:val="000000"/>
          <w:kern w:val="0"/>
          <w:sz w:val="29"/>
          <w:szCs w:val="29"/>
        </w:rPr>
        <w:t>6.性能特性</w:t>
      </w:r>
    </w:p>
    <w:p w14:paraId="113741BE">
      <w:pPr>
        <w:widowControl/>
        <w:spacing w:before="90" w:after="90"/>
        <w:rPr>
          <w:rFonts w:ascii="Arial" w:hAnsi="Arial" w:eastAsia="宋体" w:cs="Arial"/>
          <w:b/>
          <w:bCs/>
          <w:color w:val="000000"/>
          <w:kern w:val="0"/>
          <w:sz w:val="18"/>
        </w:rPr>
      </w:pPr>
      <w:r>
        <w:rPr>
          <w:rFonts w:ascii="Arial" w:hAnsi="Arial" w:eastAsia="宋体" w:cs="Arial"/>
          <w:b/>
          <w:bCs/>
          <w:color w:val="000000"/>
          <w:kern w:val="0"/>
          <w:sz w:val="18"/>
        </w:rPr>
        <w:t>一般研究建议</w:t>
      </w:r>
    </w:p>
    <w:p w14:paraId="6715617A">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我们建议贵公司在510（k）中纳入对用于检测β-葡聚糖的方法的说明。贵公司还应在工具盒中纳入对试剂组分的说明。我们建议贵公司尽可能纳入来自预期使用人群（例如危重患者）的患者样本以用于下述分析方案。</w:t>
      </w:r>
    </w:p>
    <w:p w14:paraId="2DC8A311">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我们建议贵公司至少在除制造商站点外的两个外部站点对该测定进行评估。一般来说，我们建议由将在临床实践中使用该试验得个体（例如，训练有素的技术人员）在将最终使用器械的试验环境（即中央实验室或护理点，例如重症监护室（ICU））中对性能进行评估。我们建议贵公司首先应单独分析数据以评估任何站点间差异，并将分析结果纳入在510（k）总结报告中。如果贵公司可证明所测试的人群和各个站点之间的结果没有显著差异，贵公司可以在包装说明书中汇总各个站点的临床研究结果。贵公司可以联系微生物学器械部以讨论贵公司对临床研究存在的问题或其他问题。</w:t>
      </w:r>
    </w:p>
    <w:p w14:paraId="068C4BBB">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有关方案的适当详情，以便验收标准或数据总结在评审期间可得到最好地解释。例如，当提及国家临床实验室标准委员会（NCCLS）方案或指南时，我们建议贵公司说明贵公司遵循了方案或指南的哪些具体方面。</w:t>
      </w:r>
    </w:p>
    <w:p w14:paraId="57DD07AA">
      <w:pPr>
        <w:widowControl/>
        <w:jc w:val="left"/>
        <w:rPr>
          <w:rFonts w:ascii="Arial" w:hAnsi="Arial" w:eastAsia="宋体" w:cs="Arial"/>
          <w:b/>
          <w:bCs/>
          <w:color w:val="000000"/>
          <w:kern w:val="0"/>
          <w:sz w:val="18"/>
        </w:rPr>
      </w:pPr>
      <w:r>
        <w:rPr>
          <w:rFonts w:ascii="Arial" w:hAnsi="Arial" w:eastAsia="宋体" w:cs="Arial"/>
          <w:b/>
          <w:bCs/>
          <w:color w:val="000000"/>
          <w:kern w:val="0"/>
          <w:sz w:val="18"/>
        </w:rPr>
        <w:br w:type="page"/>
      </w:r>
    </w:p>
    <w:p w14:paraId="0328163E">
      <w:pPr>
        <w:widowControl/>
        <w:spacing w:before="78" w:after="78"/>
        <w:rPr>
          <w:rFonts w:ascii="Arial" w:hAnsi="Arial" w:eastAsia="宋体" w:cs="Arial"/>
          <w:b/>
          <w:bCs/>
          <w:color w:val="000000"/>
          <w:kern w:val="0"/>
          <w:sz w:val="18"/>
        </w:rPr>
      </w:pPr>
      <w:r>
        <w:rPr>
          <w:rFonts w:ascii="Arial" w:hAnsi="Arial" w:eastAsia="宋体" w:cs="Arial"/>
          <w:b/>
          <w:bCs/>
          <w:color w:val="000000"/>
          <w:kern w:val="0"/>
          <w:sz w:val="18"/>
        </w:rPr>
        <w:t>具体性能特性</w:t>
      </w:r>
    </w:p>
    <w:p w14:paraId="649DA2AE">
      <w:pPr>
        <w:widowControl/>
        <w:spacing w:before="78" w:after="78"/>
        <w:rPr>
          <w:rFonts w:ascii="Arial" w:hAnsi="Arial" w:eastAsia="宋体" w:cs="Arial"/>
          <w:i/>
          <w:iCs/>
          <w:color w:val="000000"/>
          <w:kern w:val="0"/>
          <w:sz w:val="18"/>
        </w:rPr>
      </w:pPr>
      <w:r>
        <w:rPr>
          <w:rFonts w:ascii="Arial" w:hAnsi="Arial" w:eastAsia="宋体" w:cs="Arial"/>
          <w:i/>
          <w:iCs/>
          <w:color w:val="000000"/>
          <w:kern w:val="0"/>
          <w:sz w:val="18"/>
        </w:rPr>
        <w:t>精确性和复现性</w:t>
      </w:r>
    </w:p>
    <w:p w14:paraId="018AA3B0">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我们建议贵公司根据“临床化学器械的精确性性能评估；已批准指南” （1999）NCCLS文件EP5-A中提供的指南使用血清样本来表征运行中的和总精确性。 该文件包括有关实验设计、计算以及说明性能声明的格式的指南。我们建议贵公司评估相关β-葡聚糖浓度的精确性，包括医疗决策点附近和接近可报告范围限值的浓度。</w:t>
      </w:r>
    </w:p>
    <w:p w14:paraId="707A2B63">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我们建议贵公司在510（k）中纳入以下项目：</w:t>
      </w:r>
    </w:p>
    <w:p w14:paraId="19DF7180">
      <w:pPr>
        <w:widowControl/>
        <w:numPr>
          <w:ilvl w:val="0"/>
          <w:numId w:val="6"/>
        </w:numPr>
        <w:ind w:left="945"/>
        <w:rPr>
          <w:rFonts w:ascii="Arial" w:hAnsi="Arial" w:eastAsia="宋体" w:cs="Arial"/>
          <w:color w:val="000000"/>
          <w:kern w:val="0"/>
          <w:sz w:val="18"/>
          <w:szCs w:val="18"/>
        </w:rPr>
      </w:pPr>
      <w:r>
        <w:rPr>
          <w:rFonts w:ascii="Arial" w:hAnsi="Arial" w:eastAsia="宋体" w:cs="Arial"/>
          <w:color w:val="000000"/>
          <w:kern w:val="0"/>
          <w:sz w:val="18"/>
          <w:szCs w:val="18"/>
        </w:rPr>
        <w:t>浓度的点估计</w:t>
      </w:r>
    </w:p>
    <w:p w14:paraId="2C11EAC8">
      <w:pPr>
        <w:widowControl/>
        <w:numPr>
          <w:ilvl w:val="0"/>
          <w:numId w:val="6"/>
        </w:numPr>
        <w:ind w:left="945"/>
        <w:rPr>
          <w:rFonts w:ascii="Arial" w:hAnsi="Arial" w:eastAsia="宋体" w:cs="Arial"/>
          <w:color w:val="000000"/>
          <w:kern w:val="0"/>
          <w:sz w:val="18"/>
          <w:szCs w:val="18"/>
        </w:rPr>
      </w:pPr>
      <w:r>
        <w:rPr>
          <w:rFonts w:ascii="Arial" w:hAnsi="Arial" w:eastAsia="宋体" w:cs="Arial"/>
          <w:color w:val="000000"/>
          <w:kern w:val="0"/>
          <w:sz w:val="18"/>
          <w:szCs w:val="18"/>
        </w:rPr>
        <w:t>运行中的和总精确性的标准偏差</w:t>
      </w:r>
    </w:p>
    <w:p w14:paraId="4668C5BC">
      <w:pPr>
        <w:widowControl/>
        <w:numPr>
          <w:ilvl w:val="0"/>
          <w:numId w:val="6"/>
        </w:numPr>
        <w:ind w:left="945"/>
        <w:rPr>
          <w:rFonts w:ascii="Arial" w:hAnsi="Arial" w:eastAsia="宋体" w:cs="Arial"/>
          <w:color w:val="000000"/>
          <w:kern w:val="0"/>
          <w:sz w:val="18"/>
          <w:szCs w:val="18"/>
        </w:rPr>
      </w:pPr>
      <w:r>
        <w:rPr>
          <w:rFonts w:ascii="Arial" w:hAnsi="Arial" w:eastAsia="宋体" w:cs="Arial"/>
          <w:color w:val="000000"/>
          <w:kern w:val="0"/>
          <w:sz w:val="18"/>
          <w:szCs w:val="18"/>
        </w:rPr>
        <w:t>运行精确性方案的站点</w:t>
      </w:r>
    </w:p>
    <w:p w14:paraId="3C769749">
      <w:pPr>
        <w:widowControl/>
        <w:numPr>
          <w:ilvl w:val="0"/>
          <w:numId w:val="6"/>
        </w:numPr>
        <w:ind w:left="945"/>
        <w:rPr>
          <w:rFonts w:ascii="Arial" w:hAnsi="Arial" w:eastAsia="宋体" w:cs="Arial"/>
          <w:color w:val="000000"/>
          <w:kern w:val="0"/>
          <w:sz w:val="18"/>
          <w:szCs w:val="18"/>
        </w:rPr>
      </w:pPr>
      <w:r>
        <w:rPr>
          <w:rFonts w:ascii="Arial" w:hAnsi="Arial" w:eastAsia="宋体" w:cs="Arial"/>
          <w:color w:val="000000"/>
          <w:kern w:val="0"/>
          <w:sz w:val="18"/>
          <w:szCs w:val="18"/>
        </w:rPr>
        <w:t>天数，运行次数和观察结果</w:t>
      </w:r>
    </w:p>
    <w:p w14:paraId="2C96AB21">
      <w:pPr>
        <w:widowControl/>
        <w:numPr>
          <w:ilvl w:val="0"/>
          <w:numId w:val="6"/>
        </w:numPr>
        <w:ind w:left="945"/>
        <w:rPr>
          <w:rFonts w:ascii="Arial" w:hAnsi="Arial" w:eastAsia="宋体" w:cs="Arial"/>
          <w:color w:val="000000"/>
          <w:kern w:val="0"/>
          <w:sz w:val="18"/>
          <w:szCs w:val="18"/>
        </w:rPr>
      </w:pPr>
      <w:r>
        <w:rPr>
          <w:rFonts w:ascii="Arial" w:hAnsi="Arial" w:eastAsia="宋体" w:cs="Arial"/>
          <w:color w:val="000000"/>
          <w:kern w:val="0"/>
          <w:sz w:val="18"/>
          <w:szCs w:val="18"/>
        </w:rPr>
        <w:t>站点和/或操作者的数量</w:t>
      </w:r>
    </w:p>
    <w:p w14:paraId="7D0A2507">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我们建议贵公司确定哪些因素（例如工具校准、试剂批号、操作者）保持不变，以及哪些因素在评估期间有变化。你应该对计算方法进行说明，如果其不同于NCCLS EP5-A中所述的计算方法。</w:t>
      </w:r>
    </w:p>
    <w:p w14:paraId="093B81B8">
      <w:pPr>
        <w:widowControl/>
        <w:spacing w:before="78" w:after="78"/>
        <w:rPr>
          <w:rFonts w:ascii="Arial" w:hAnsi="Arial" w:eastAsia="宋体" w:cs="Arial"/>
          <w:i/>
          <w:iCs/>
          <w:color w:val="000000"/>
          <w:kern w:val="0"/>
          <w:sz w:val="18"/>
        </w:rPr>
      </w:pPr>
      <w:r>
        <w:rPr>
          <w:rFonts w:ascii="Arial" w:hAnsi="Arial" w:eastAsia="宋体" w:cs="Arial"/>
          <w:i/>
          <w:iCs/>
          <w:color w:val="000000"/>
          <w:kern w:val="0"/>
          <w:sz w:val="18"/>
        </w:rPr>
        <w:t>干扰</w:t>
      </w:r>
    </w:p>
    <w:p w14:paraId="6275370B">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我们建议贵公司说明潜在的干扰物对测定性能的影响。实验设计的示例（包括用于选择试验用干扰物的指南）见“临床化学品的干扰试验；已批准指南”（2002）NCCLS文件EP7-A。</w:t>
      </w:r>
    </w:p>
    <w:p w14:paraId="45CD8314">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潜在干扰源可以包括通常存在于血清中的化合物，例如甘油三酯，血红蛋白和胆红素。通常，干扰研究应包括将可能的干扰物添加到血清样本中，并且对照对照样本（没有添加干扰物），测定β-葡聚糖回收率中的任何偏差。</w:t>
      </w:r>
    </w:p>
    <w:p w14:paraId="0DC57CE0">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我们建议贵公司在510（k）中纳入以下项目：</w:t>
      </w:r>
    </w:p>
    <w:p w14:paraId="6C544828">
      <w:pPr>
        <w:widowControl/>
        <w:spacing w:before="78" w:after="78"/>
        <w:rPr>
          <w:rFonts w:ascii="Arial" w:hAnsi="Arial" w:eastAsia="宋体" w:cs="Arial"/>
          <w:color w:val="000000"/>
          <w:kern w:val="0"/>
          <w:sz w:val="18"/>
          <w:szCs w:val="18"/>
        </w:rPr>
      </w:pPr>
    </w:p>
    <w:p w14:paraId="077F9FFA">
      <w:pPr>
        <w:widowControl/>
        <w:numPr>
          <w:ilvl w:val="0"/>
          <w:numId w:val="7"/>
        </w:numPr>
        <w:ind w:left="945"/>
        <w:rPr>
          <w:rFonts w:ascii="Arial" w:hAnsi="Arial" w:eastAsia="宋体" w:cs="Arial"/>
          <w:color w:val="000000"/>
          <w:kern w:val="0"/>
          <w:sz w:val="18"/>
          <w:szCs w:val="18"/>
        </w:rPr>
      </w:pPr>
      <w:r>
        <w:rPr>
          <w:rFonts w:ascii="Arial" w:hAnsi="Arial" w:eastAsia="宋体" w:cs="Arial"/>
          <w:color w:val="000000"/>
          <w:kern w:val="0"/>
          <w:sz w:val="18"/>
          <w:szCs w:val="18"/>
        </w:rPr>
        <w:t>所测试的干扰物的类型和水平</w:t>
      </w:r>
    </w:p>
    <w:p w14:paraId="4628FA8F">
      <w:pPr>
        <w:widowControl/>
        <w:numPr>
          <w:ilvl w:val="0"/>
          <w:numId w:val="7"/>
        </w:numPr>
        <w:ind w:left="945"/>
        <w:rPr>
          <w:rFonts w:ascii="Arial" w:hAnsi="Arial" w:eastAsia="宋体" w:cs="Arial"/>
          <w:color w:val="000000"/>
          <w:kern w:val="0"/>
          <w:sz w:val="18"/>
          <w:szCs w:val="18"/>
        </w:rPr>
      </w:pPr>
      <w:r>
        <w:rPr>
          <w:rFonts w:ascii="Arial" w:hAnsi="Arial" w:eastAsia="宋体" w:cs="Arial"/>
          <w:color w:val="000000"/>
          <w:kern w:val="0"/>
          <w:sz w:val="18"/>
          <w:szCs w:val="18"/>
        </w:rPr>
        <w:t>样本中的β-葡聚糖水平</w:t>
      </w:r>
    </w:p>
    <w:p w14:paraId="2D211764">
      <w:pPr>
        <w:widowControl/>
        <w:numPr>
          <w:ilvl w:val="0"/>
          <w:numId w:val="7"/>
        </w:numPr>
        <w:ind w:left="945"/>
        <w:rPr>
          <w:rFonts w:ascii="Arial" w:hAnsi="Arial" w:eastAsia="宋体" w:cs="Arial"/>
          <w:color w:val="000000"/>
          <w:kern w:val="0"/>
          <w:sz w:val="18"/>
          <w:szCs w:val="18"/>
        </w:rPr>
      </w:pPr>
      <w:r>
        <w:rPr>
          <w:rFonts w:ascii="Arial" w:hAnsi="Arial" w:eastAsia="宋体" w:cs="Arial"/>
          <w:color w:val="000000"/>
          <w:kern w:val="0"/>
          <w:sz w:val="18"/>
          <w:szCs w:val="18"/>
        </w:rPr>
        <w:t>试验的重复次数</w:t>
      </w:r>
    </w:p>
    <w:p w14:paraId="698B3031">
      <w:pPr>
        <w:widowControl/>
        <w:numPr>
          <w:ilvl w:val="0"/>
          <w:numId w:val="7"/>
        </w:numPr>
        <w:ind w:left="945"/>
        <w:rPr>
          <w:rFonts w:ascii="Arial" w:hAnsi="Arial" w:eastAsia="宋体" w:cs="Arial"/>
          <w:color w:val="000000"/>
          <w:kern w:val="0"/>
          <w:sz w:val="18"/>
          <w:szCs w:val="18"/>
        </w:rPr>
      </w:pPr>
      <w:r>
        <w:rPr>
          <w:rFonts w:ascii="Arial" w:hAnsi="Arial" w:eastAsia="宋体" w:cs="Arial"/>
          <w:color w:val="000000"/>
          <w:kern w:val="0"/>
          <w:sz w:val="18"/>
          <w:szCs w:val="18"/>
        </w:rPr>
        <w:t>计算干扰的定义或方法</w:t>
      </w:r>
    </w:p>
    <w:p w14:paraId="63EC860E">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确定偏差中任何观察到的趋势（即，阴性或阳性），并说明在存在特定干扰物的情况下观察到的回收率的范围。这种方法比单单列出平均回收率更能提供有用信息。我们建议贵公司说明确定无干扰的标准。</w:t>
      </w:r>
    </w:p>
    <w:p w14:paraId="3874D002">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贵公司可能不需要对文献或其他来源中已经确定的潜在干扰物进行额外的干扰试验。但是，我们建议贵公司在标签中标明这些潜在的干扰物。</w:t>
      </w:r>
    </w:p>
    <w:p w14:paraId="101C76F5">
      <w:pPr>
        <w:widowControl/>
        <w:jc w:val="left"/>
        <w:rPr>
          <w:rFonts w:ascii="Arial" w:hAnsi="Arial" w:eastAsia="宋体" w:cs="Arial"/>
          <w:i/>
          <w:iCs/>
          <w:color w:val="000000"/>
          <w:kern w:val="0"/>
          <w:sz w:val="18"/>
        </w:rPr>
      </w:pPr>
      <w:r>
        <w:rPr>
          <w:rFonts w:ascii="Arial" w:hAnsi="Arial" w:eastAsia="宋体" w:cs="Arial"/>
          <w:i/>
          <w:iCs/>
          <w:color w:val="000000"/>
          <w:kern w:val="0"/>
          <w:sz w:val="18"/>
        </w:rPr>
        <w:br w:type="page"/>
      </w:r>
    </w:p>
    <w:p w14:paraId="745CA807">
      <w:pPr>
        <w:widowControl/>
        <w:spacing w:before="78" w:after="78"/>
        <w:rPr>
          <w:rFonts w:ascii="Arial" w:hAnsi="Arial" w:eastAsia="宋体" w:cs="Arial"/>
          <w:i/>
          <w:iCs/>
          <w:color w:val="000000"/>
          <w:kern w:val="0"/>
          <w:sz w:val="18"/>
        </w:rPr>
      </w:pPr>
      <w:r>
        <w:rPr>
          <w:rFonts w:ascii="Arial" w:hAnsi="Arial" w:eastAsia="宋体" w:cs="Arial"/>
          <w:i/>
          <w:iCs/>
          <w:color w:val="000000"/>
          <w:kern w:val="0"/>
          <w:sz w:val="18"/>
        </w:rPr>
        <w:t>交叉反应性</w:t>
      </w:r>
    </w:p>
    <w:p w14:paraId="1F3BB2EF">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在贵公司的510(k)中纳入通过测量贵公司的器械与其他细菌和真菌细胞壁组分（包括来自革兰氏阴性细菌的脂多糖（LPS），脂磷壁酸（LTA），脂多糖来自革兰氏阳性细菌，酵母甘露聚糖和酵母细胞壁提取物和半乳甘露聚糖）的交叉反应性获得的有关测定特异性的数据。我们建议贵公司说明用于评估交叉反应性的组分的纯度。</w:t>
      </w:r>
    </w:p>
    <w:p w14:paraId="1A367C7F">
      <w:pPr>
        <w:widowControl/>
        <w:spacing w:before="78" w:after="78"/>
        <w:rPr>
          <w:rFonts w:ascii="Arial" w:hAnsi="Arial" w:eastAsia="宋体" w:cs="Arial"/>
          <w:i/>
          <w:iCs/>
          <w:color w:val="000000"/>
          <w:kern w:val="0"/>
          <w:sz w:val="18"/>
        </w:rPr>
      </w:pPr>
      <w:r>
        <w:rPr>
          <w:rFonts w:ascii="Arial" w:hAnsi="Arial" w:eastAsia="宋体" w:cs="Arial"/>
          <w:i/>
          <w:iCs/>
          <w:color w:val="000000"/>
          <w:kern w:val="0"/>
          <w:sz w:val="18"/>
        </w:rPr>
        <w:t>线性</w:t>
      </w:r>
    </w:p>
    <w:p w14:paraId="7CD20E70">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我们建议贵公司通过评估彼此浓度水平已知的样本来表征测定的线性范围。 “定量分析方法的线性评估，已批准指南”（2003）NCCLS 文件 EP6-A说明了用于样本制备和赋值的方案，以及用于说明性能特性的格式。</w:t>
      </w:r>
    </w:p>
    <w:p w14:paraId="6766C8FC">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样本类型和制备、浓度和重复次数。在说明贵公司的验收标准或总结数据时，我们建议贵公司纳入预计线的斜率、截距和置信区间，线性范围和所观察到的或对于各种浓度水平被视为可接受的、偏离预计线的偏差程度（偏差）。通常，通过列出相对于所评估的每个水平的预期值的观察值或可接受值，可以最好地对这些偏差进行说明。</w:t>
      </w:r>
    </w:p>
    <w:p w14:paraId="6D395CFC">
      <w:pPr>
        <w:widowControl/>
        <w:spacing w:before="78" w:after="78"/>
        <w:rPr>
          <w:rFonts w:ascii="Arial" w:hAnsi="Arial" w:eastAsia="宋体" w:cs="Arial"/>
          <w:i/>
          <w:iCs/>
          <w:color w:val="000000"/>
          <w:kern w:val="0"/>
          <w:sz w:val="18"/>
        </w:rPr>
      </w:pPr>
      <w:r>
        <w:rPr>
          <w:rFonts w:ascii="Arial" w:hAnsi="Arial" w:eastAsia="宋体" w:cs="Arial"/>
          <w:i/>
          <w:iCs/>
          <w:color w:val="000000"/>
          <w:kern w:val="0"/>
          <w:sz w:val="18"/>
        </w:rPr>
        <w:t>分析灵敏度</w:t>
      </w:r>
    </w:p>
    <w:p w14:paraId="4CB12FE6">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我们建议贵公司计算测定的分析灵敏度。通常，其定义为可以通过试验可靠测量的最低水平的β-葡聚糖。</w:t>
      </w:r>
    </w:p>
    <w:p w14:paraId="1A037E47">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我们建议贵公司说明在评估中使用的样本类型。贵公司应定义分析灵敏度的测量方法，并提供验收标准或数据总结。我们建议贵公司灵敏度说明如何将低于灵敏度水平的测量值报告给用户。</w:t>
      </w:r>
    </w:p>
    <w:p w14:paraId="131034A6">
      <w:pPr>
        <w:widowControl/>
        <w:spacing w:before="78" w:after="78"/>
        <w:rPr>
          <w:rFonts w:ascii="Arial" w:hAnsi="Arial" w:eastAsia="宋体" w:cs="Arial"/>
          <w:color w:val="000000"/>
          <w:kern w:val="0"/>
          <w:sz w:val="18"/>
          <w:szCs w:val="18"/>
        </w:rPr>
      </w:pPr>
      <w:r>
        <w:rPr>
          <w:rFonts w:ascii="Arial" w:hAnsi="Arial" w:eastAsia="宋体" w:cs="Arial"/>
          <w:i/>
          <w:iCs/>
          <w:color w:val="000000"/>
          <w:kern w:val="0"/>
          <w:sz w:val="18"/>
        </w:rPr>
        <w:t>样本收集和处理条件</w:t>
      </w:r>
    </w:p>
    <w:p w14:paraId="486386F0">
      <w:pPr>
        <w:widowControl/>
        <w:spacing w:before="78" w:after="78"/>
        <w:rPr>
          <w:rFonts w:ascii="Arial" w:hAnsi="Arial" w:eastAsia="宋体" w:cs="Arial"/>
          <w:color w:val="000000"/>
          <w:kern w:val="0"/>
          <w:sz w:val="18"/>
          <w:szCs w:val="18"/>
        </w:rPr>
      </w:pPr>
      <w:r>
        <w:rPr>
          <w:rFonts w:ascii="Arial" w:hAnsi="Arial" w:eastAsia="宋体" w:cs="Arial"/>
          <w:color w:val="000000"/>
          <w:kern w:val="0"/>
          <w:sz w:val="18"/>
          <w:szCs w:val="18"/>
        </w:rPr>
        <w:t>我们建议贵公司通过评估器械是否能够在建议用户使用的存储时间和温度下保持可接受的性能（例如精确性），来证实标签中有关样本储存和运输的声明。例如，一项适当的研究可以包括对在时间、温度或指定数量的冷冻/解冻循环条件下存储的等分试样进行的分析。我们建议贵公司说明在推荐的存储和处理条件下可接受回收率范围的标准。</w:t>
      </w:r>
    </w:p>
    <w:p w14:paraId="036C5208">
      <w:pPr>
        <w:widowControl/>
        <w:spacing w:before="90" w:after="90"/>
        <w:rPr>
          <w:rFonts w:ascii="Arial" w:hAnsi="Arial" w:eastAsia="宋体" w:cs="Arial"/>
          <w:color w:val="000000"/>
          <w:kern w:val="0"/>
          <w:sz w:val="18"/>
          <w:szCs w:val="18"/>
        </w:rPr>
      </w:pPr>
      <w:r>
        <w:rPr>
          <w:rFonts w:ascii="Arial" w:hAnsi="Arial" w:eastAsia="宋体" w:cs="Arial"/>
          <w:b/>
          <w:bCs/>
          <w:color w:val="000000"/>
          <w:kern w:val="0"/>
          <w:sz w:val="29"/>
          <w:szCs w:val="29"/>
        </w:rPr>
        <w:t>7.方法对比</w:t>
      </w:r>
    </w:p>
    <w:p w14:paraId="6D93AE95">
      <w:pPr>
        <w:widowControl/>
        <w:spacing w:before="90" w:after="90"/>
        <w:rPr>
          <w:rFonts w:ascii="Arial" w:hAnsi="Arial" w:eastAsia="宋体" w:cs="Arial"/>
          <w:i/>
          <w:iCs/>
          <w:color w:val="000000"/>
          <w:kern w:val="0"/>
          <w:sz w:val="18"/>
        </w:rPr>
      </w:pPr>
      <w:r>
        <w:rPr>
          <w:rFonts w:ascii="Arial" w:hAnsi="Arial" w:eastAsia="宋体" w:cs="Arial"/>
          <w:i/>
          <w:iCs/>
          <w:color w:val="000000"/>
          <w:kern w:val="0"/>
          <w:sz w:val="18"/>
        </w:rPr>
        <w:t>临床灵敏度</w:t>
      </w:r>
    </w:p>
    <w:p w14:paraId="14867699">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我们建议贵公司将贵公司的测定与创伤性真菌病和真菌血症的临床诊断进行对比，该诊断通过观察临床体征和症状以及使用符合公认的医疗实践的其他诊断方法获得。贵公司可以适当参考欧洲癌症研究和治疗组织（EORTC）的创伤性真菌感染合作小组（IFICG）和国家过敏症和传染病研究所的真菌病研究小组（MSG）的指南，这些指南对已经证实的、可能出现的创伤性真菌疾病的标准进行了详细说明。贵公司的研究人群应包括根据真菌感染的临床体征和症状已确定为阳性和高风险受试者（即由于如血液恶性肿瘤、移植或外科重症监护等潜在病症，对广谱抗生素有中性粒细胞减少、发热或无反应的患者）。与用于评估性能特性的研究一样，在开始临床研究之前，贵公司可以联系微生物学器械部以对贵公司的研究计划进行探讨。</w:t>
      </w:r>
    </w:p>
    <w:p w14:paraId="7D91C6B4">
      <w:pPr>
        <w:widowControl/>
        <w:jc w:val="left"/>
        <w:rPr>
          <w:rFonts w:ascii="Arial" w:hAnsi="Arial" w:eastAsia="宋体" w:cs="Arial"/>
          <w:i/>
          <w:iCs/>
          <w:color w:val="000000"/>
          <w:kern w:val="0"/>
          <w:sz w:val="18"/>
        </w:rPr>
      </w:pPr>
      <w:r>
        <w:rPr>
          <w:rFonts w:ascii="Arial" w:hAnsi="Arial" w:eastAsia="宋体" w:cs="Arial"/>
          <w:i/>
          <w:iCs/>
          <w:color w:val="000000"/>
          <w:kern w:val="0"/>
          <w:sz w:val="18"/>
        </w:rPr>
        <w:br w:type="page"/>
      </w:r>
    </w:p>
    <w:p w14:paraId="05807865">
      <w:pPr>
        <w:widowControl/>
        <w:spacing w:before="90" w:after="90"/>
        <w:rPr>
          <w:rFonts w:ascii="Arial" w:hAnsi="Arial" w:eastAsia="宋体" w:cs="Arial"/>
          <w:i/>
          <w:iCs/>
          <w:color w:val="000000"/>
          <w:kern w:val="0"/>
          <w:sz w:val="18"/>
        </w:rPr>
      </w:pPr>
      <w:r>
        <w:rPr>
          <w:rFonts w:ascii="Arial" w:hAnsi="Arial" w:eastAsia="宋体" w:cs="Arial"/>
          <w:i/>
          <w:iCs/>
          <w:color w:val="000000"/>
          <w:kern w:val="0"/>
          <w:sz w:val="18"/>
        </w:rPr>
        <w:t>临床特异性</w:t>
      </w:r>
    </w:p>
    <w:p w14:paraId="463C9262">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我们建议贵公司对贵公司的β-葡聚糖血清学测定在非垂危但有类似于创伤性真菌血症和真菌病的体征和症状的住院患者中的临床特异性进行评估。我们希望贵公司纳入因真菌感染以外的原因而入院的患者。</w:t>
      </w:r>
    </w:p>
    <w:p w14:paraId="54D0331A">
      <w:pPr>
        <w:widowControl/>
        <w:spacing w:before="90" w:after="90"/>
        <w:rPr>
          <w:rFonts w:ascii="Arial" w:hAnsi="Arial" w:eastAsia="宋体" w:cs="Arial"/>
          <w:color w:val="000000"/>
          <w:kern w:val="0"/>
          <w:sz w:val="18"/>
          <w:szCs w:val="18"/>
        </w:rPr>
      </w:pPr>
      <w:r>
        <w:rPr>
          <w:rFonts w:ascii="Arial" w:hAnsi="Arial" w:eastAsia="宋体" w:cs="Arial"/>
          <w:i/>
          <w:iCs/>
          <w:color w:val="000000"/>
          <w:kern w:val="0"/>
          <w:sz w:val="18"/>
        </w:rPr>
        <w:t>样本选择、纳入和排除标准</w:t>
      </w:r>
    </w:p>
    <w:p w14:paraId="492FD2F7">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我们建议贵公司对患者样本进行评估，其中β-葡聚糖浓度分布在测定的可报告范围内。我们建议贵公司清楚说明如何选择样本，包括排除样本的原因。我们建议贵公司纳入目标人群中的患者（即来自危重患者的血清样本）。</w:t>
      </w:r>
    </w:p>
    <w:p w14:paraId="4ABD1C7B">
      <w:pPr>
        <w:widowControl/>
        <w:spacing w:before="90" w:after="90"/>
        <w:rPr>
          <w:rFonts w:ascii="Arial" w:hAnsi="Arial" w:eastAsia="宋体" w:cs="Arial"/>
          <w:color w:val="000000"/>
          <w:kern w:val="0"/>
          <w:sz w:val="18"/>
          <w:szCs w:val="18"/>
        </w:rPr>
      </w:pPr>
    </w:p>
    <w:p w14:paraId="49C830B0">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样本量是否适当取决于诸如样本的变异性和试验结果的标准偏差等因素。我们建议贵公司提供用于确定研究样本量的统计方法。</w:t>
      </w:r>
    </w:p>
    <w:p w14:paraId="2000B372">
      <w:pPr>
        <w:widowControl/>
        <w:spacing w:before="90" w:after="90"/>
        <w:rPr>
          <w:rFonts w:ascii="Arial" w:hAnsi="Arial" w:eastAsia="宋体" w:cs="Arial"/>
          <w:i/>
          <w:iCs/>
          <w:color w:val="000000"/>
          <w:kern w:val="0"/>
          <w:sz w:val="18"/>
        </w:rPr>
      </w:pPr>
      <w:r>
        <w:rPr>
          <w:rFonts w:ascii="Arial" w:hAnsi="Arial" w:eastAsia="宋体" w:cs="Arial"/>
          <w:i/>
          <w:iCs/>
          <w:color w:val="000000"/>
          <w:kern w:val="0"/>
          <w:sz w:val="18"/>
        </w:rPr>
        <w:t>预期值</w:t>
      </w:r>
    </w:p>
    <w:p w14:paraId="13A62105">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我们建议贵公司对无症状的患者进行评估，以确定健康人群中β-葡聚糖是否存在。我们还建议贵公司从其他住院患者收集数据，其中，这些患者为已垂危但不被认为具有创伤性真菌病和真菌病的风险的患者。我们建议贵公司选择对照组，其年龄和性别分布与选择用于灵敏度研究的患者相似，以便使测定结果中的样本变异性和偏差最小化。</w:t>
      </w:r>
    </w:p>
    <w:p w14:paraId="674D6EA4">
      <w:pPr>
        <w:widowControl/>
        <w:spacing w:before="90" w:after="90"/>
        <w:rPr>
          <w:rFonts w:ascii="Arial" w:hAnsi="Arial" w:eastAsia="宋体" w:cs="Arial"/>
          <w:color w:val="000000"/>
          <w:kern w:val="0"/>
          <w:sz w:val="18"/>
          <w:szCs w:val="18"/>
        </w:rPr>
      </w:pPr>
    </w:p>
    <w:p w14:paraId="209A81C4">
      <w:pPr>
        <w:widowControl/>
        <w:spacing w:before="90" w:after="90"/>
        <w:rPr>
          <w:rFonts w:ascii="Arial" w:hAnsi="Arial" w:eastAsia="宋体" w:cs="Arial"/>
          <w:color w:val="000000"/>
          <w:kern w:val="0"/>
          <w:sz w:val="18"/>
          <w:szCs w:val="18"/>
        </w:rPr>
      </w:pPr>
      <w:r>
        <w:rPr>
          <w:rFonts w:ascii="Arial" w:hAnsi="Arial" w:eastAsia="宋体" w:cs="Arial"/>
          <w:i/>
          <w:iCs/>
          <w:color w:val="000000"/>
          <w:kern w:val="0"/>
          <w:sz w:val="18"/>
        </w:rPr>
        <w:t>结果提交</w:t>
      </w:r>
    </w:p>
    <w:p w14:paraId="23AD209B">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当提交贵公司的研究结果时，我们建议贵公司对比用贵公司的器械获得的β-葡聚糖血清学测定结果与标准检测方法（即血培养、活检标本的组织病理学检查和真菌病和真菌血症的临床诊断的放射学标志）所获得的结果。我们建议贵公司根据临床状态（例如已验证的感染、可能的感染和健康个体）和风险人群（感染真菌的高或低风险）对数据进行分层并分析，如果这些因素有可能导致结果偏差。</w:t>
      </w:r>
    </w:p>
    <w:p w14:paraId="43C8A6CF">
      <w:pPr>
        <w:widowControl/>
        <w:spacing w:before="90" w:after="90"/>
        <w:rPr>
          <w:rFonts w:ascii="Arial" w:hAnsi="Arial" w:eastAsia="宋体" w:cs="Arial"/>
          <w:color w:val="000000"/>
          <w:kern w:val="0"/>
          <w:sz w:val="18"/>
          <w:szCs w:val="18"/>
        </w:rPr>
      </w:pPr>
      <w:r>
        <w:rPr>
          <w:rFonts w:ascii="Arial" w:hAnsi="Arial" w:eastAsia="宋体" w:cs="Arial"/>
          <w:b/>
          <w:bCs/>
          <w:color w:val="000000"/>
          <w:kern w:val="0"/>
          <w:sz w:val="29"/>
          <w:szCs w:val="29"/>
        </w:rPr>
        <w:t>8.标签</w:t>
      </w:r>
    </w:p>
    <w:p w14:paraId="34CE6C2C">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上市前通告应纳入足够详细的标签，以满足21 CFR 807.87（e）的要求。以下建议旨在帮助贵公司制备符合21 CFR 807.87（e）的要求的标签。</w:t>
      </w:r>
      <w:r>
        <w:rPr>
          <w:rFonts w:ascii="Arial" w:hAnsi="Arial" w:eastAsia="宋体" w:cs="Arial"/>
          <w:color w:val="000000"/>
          <w:kern w:val="0"/>
          <w:sz w:val="18"/>
          <w:szCs w:val="18"/>
          <w:vertAlign w:val="superscript"/>
        </w:rPr>
        <w:t>6</w:t>
      </w:r>
    </w:p>
    <w:p w14:paraId="6E18AC3F">
      <w:pPr>
        <w:widowControl/>
        <w:spacing w:before="90" w:after="90"/>
        <w:rPr>
          <w:rFonts w:ascii="Arial" w:hAnsi="Arial" w:eastAsia="宋体" w:cs="Arial"/>
          <w:color w:val="000000"/>
          <w:kern w:val="0"/>
          <w:sz w:val="18"/>
          <w:szCs w:val="18"/>
        </w:rPr>
      </w:pPr>
      <w:r>
        <w:rPr>
          <w:rFonts w:ascii="Arial" w:hAnsi="Arial" w:eastAsia="宋体" w:cs="Arial"/>
          <w:b/>
          <w:bCs/>
          <w:color w:val="000000"/>
          <w:kern w:val="0"/>
          <w:sz w:val="18"/>
        </w:rPr>
        <w:t>使用说明</w:t>
      </w:r>
    </w:p>
    <w:p w14:paraId="43301EEA">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我们建议说明应清晰简明以描述特定器械的技术特征以及该器械如何用于患者。说明应鼓励旨在使用户熟悉器械功能，以及如何以安全有效的方式进行使用的地方/机构培训计划。</w:t>
      </w:r>
    </w:p>
    <w:p w14:paraId="281EC456">
      <w:pPr>
        <w:widowControl/>
        <w:spacing w:before="90" w:after="90"/>
        <w:rPr>
          <w:rFonts w:ascii="Arial" w:hAnsi="Arial" w:eastAsia="宋体" w:cs="Arial"/>
          <w:b/>
          <w:bCs/>
          <w:color w:val="000000"/>
          <w:kern w:val="0"/>
          <w:sz w:val="18"/>
        </w:rPr>
      </w:pPr>
      <w:r>
        <w:rPr>
          <w:rFonts w:ascii="Arial" w:hAnsi="Arial" w:eastAsia="宋体" w:cs="Arial"/>
          <w:b/>
          <w:bCs/>
          <w:color w:val="000000"/>
          <w:kern w:val="0"/>
          <w:sz w:val="18"/>
        </w:rPr>
        <w:t>质量控制</w:t>
      </w:r>
    </w:p>
    <w:p w14:paraId="5C36796D">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352EA883">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为缓解因结果不准确而产生的风险并帮助用户验证测定是否正确执行，我们建议贵公司在标签中提供质量控制建议的详细说明。</w:t>
      </w:r>
    </w:p>
    <w:p w14:paraId="5A0385FA">
      <w:pPr>
        <w:widowControl/>
        <w:spacing w:before="90" w:after="90"/>
        <w:rPr>
          <w:rFonts w:ascii="Arial" w:hAnsi="Arial" w:eastAsia="宋体" w:cs="Arial"/>
          <w:color w:val="000000"/>
          <w:kern w:val="0"/>
          <w:sz w:val="18"/>
          <w:szCs w:val="18"/>
        </w:rPr>
      </w:pPr>
      <w:r>
        <w:rPr>
          <w:rFonts w:ascii="Arial" w:hAnsi="Arial" w:eastAsia="宋体" w:cs="Arial"/>
          <w:b/>
          <w:bCs/>
          <w:color w:val="000000"/>
          <w:kern w:val="0"/>
          <w:sz w:val="18"/>
        </w:rPr>
        <w:t>局限性</w:t>
      </w:r>
    </w:p>
    <w:p w14:paraId="750B0485">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我们建议贵公司说明测定的局限性并在标签中进行声明，具体如下：</w:t>
      </w:r>
    </w:p>
    <w:p w14:paraId="5D307832">
      <w:pPr>
        <w:widowControl/>
        <w:numPr>
          <w:ilvl w:val="0"/>
          <w:numId w:val="8"/>
        </w:numPr>
        <w:ind w:left="225"/>
        <w:rPr>
          <w:rFonts w:ascii="Arial" w:hAnsi="Arial" w:eastAsia="宋体" w:cs="Arial"/>
          <w:color w:val="000000"/>
          <w:kern w:val="0"/>
          <w:sz w:val="18"/>
          <w:szCs w:val="18"/>
        </w:rPr>
      </w:pPr>
      <w:r>
        <w:rPr>
          <w:rFonts w:ascii="Arial" w:hAnsi="Arial" w:eastAsia="宋体" w:cs="Arial"/>
          <w:color w:val="000000"/>
          <w:kern w:val="0"/>
          <w:sz w:val="18"/>
          <w:szCs w:val="18"/>
        </w:rPr>
        <w:t>真菌感染、包裹的组织位置以及某些真菌产生的β-葡聚糖的量可影响该分析物的血清浓度。向血液中提供β-葡聚糖的能力的降低可使检测某些真菌感染的能力降低。隐球菌属（spp。）由于包裹细胞可产生低水平的β-葡聚糖。 目前并不知晓接合菌（包括犁头霉（Absidia），毛霉属和根霉属）是否可产生β-葡聚糖。</w:t>
      </w:r>
    </w:p>
    <w:p w14:paraId="76689705">
      <w:pPr>
        <w:widowControl/>
        <w:numPr>
          <w:ilvl w:val="0"/>
          <w:numId w:val="9"/>
        </w:numPr>
        <w:ind w:left="225"/>
        <w:rPr>
          <w:rFonts w:ascii="Arial" w:hAnsi="Arial" w:eastAsia="宋体" w:cs="Arial"/>
          <w:color w:val="000000"/>
          <w:kern w:val="0"/>
          <w:sz w:val="18"/>
          <w:szCs w:val="18"/>
        </w:rPr>
      </w:pPr>
      <w:r>
        <w:rPr>
          <w:rFonts w:ascii="Arial" w:hAnsi="Arial" w:eastAsia="宋体" w:cs="Arial"/>
          <w:color w:val="000000"/>
          <w:kern w:val="0"/>
          <w:sz w:val="18"/>
          <w:szCs w:val="18"/>
        </w:rPr>
        <w:t>某些健康个体具有升高的β-葡聚糖水平，该水平所属区域不定。 在这种情况下，建议进行额外的试验。</w:t>
      </w:r>
    </w:p>
    <w:p w14:paraId="4DFB7078">
      <w:pPr>
        <w:widowControl/>
        <w:numPr>
          <w:ilvl w:val="0"/>
          <w:numId w:val="10"/>
        </w:numPr>
        <w:ind w:left="225"/>
        <w:rPr>
          <w:rFonts w:ascii="Arial" w:hAnsi="Arial" w:eastAsia="宋体" w:cs="Arial"/>
          <w:color w:val="000000"/>
          <w:kern w:val="0"/>
          <w:sz w:val="18"/>
          <w:szCs w:val="18"/>
        </w:rPr>
      </w:pPr>
      <w:r>
        <w:rPr>
          <w:rFonts w:ascii="Arial" w:hAnsi="Arial" w:eastAsia="宋体" w:cs="Arial"/>
          <w:color w:val="000000"/>
          <w:kern w:val="0"/>
          <w:sz w:val="18"/>
          <w:szCs w:val="18"/>
        </w:rPr>
        <w:t>患者试验的频率将取决于真菌感染的相对风险。 对于有风险的患者，推荐每周至少2至3次的采样率。</w:t>
      </w:r>
    </w:p>
    <w:p w14:paraId="7420EF78">
      <w:pPr>
        <w:widowControl/>
        <w:numPr>
          <w:ilvl w:val="0"/>
          <w:numId w:val="11"/>
        </w:numPr>
        <w:ind w:left="225"/>
        <w:rPr>
          <w:rFonts w:ascii="Arial" w:hAnsi="Arial" w:eastAsia="宋体" w:cs="Arial"/>
          <w:color w:val="000000"/>
          <w:kern w:val="0"/>
          <w:sz w:val="18"/>
          <w:szCs w:val="18"/>
        </w:rPr>
      </w:pPr>
      <w:r>
        <w:rPr>
          <w:rFonts w:ascii="Arial" w:hAnsi="Arial" w:eastAsia="宋体" w:cs="Arial"/>
          <w:color w:val="000000"/>
          <w:kern w:val="0"/>
          <w:sz w:val="18"/>
          <w:szCs w:val="18"/>
        </w:rPr>
        <w:t>在血液透析患者、用某些分级血液制品（例如血清白蛋白和免疫球蛋白）治疗的受试者以及暴露于含β-葡聚糖的纱布的标本（或受试者）中发现假阳性结果。</w:t>
      </w:r>
    </w:p>
    <w:p w14:paraId="5C342E58">
      <w:pPr>
        <w:widowControl/>
        <w:numPr>
          <w:ilvl w:val="0"/>
          <w:numId w:val="12"/>
        </w:numPr>
        <w:ind w:left="225"/>
        <w:rPr>
          <w:rFonts w:ascii="Arial" w:hAnsi="Arial" w:eastAsia="宋体" w:cs="Arial"/>
          <w:color w:val="000000"/>
          <w:kern w:val="0"/>
          <w:sz w:val="18"/>
          <w:szCs w:val="18"/>
        </w:rPr>
      </w:pPr>
      <w:r>
        <w:rPr>
          <w:rFonts w:ascii="Arial" w:hAnsi="Arial" w:eastAsia="宋体" w:cs="Arial"/>
          <w:color w:val="000000"/>
          <w:kern w:val="0"/>
          <w:sz w:val="18"/>
          <w:szCs w:val="18"/>
        </w:rPr>
        <w:t>溶血、脂血症或含有胆红素的样本可能会影响测定性能。</w:t>
      </w:r>
    </w:p>
    <w:p w14:paraId="0E49D559">
      <w:pPr>
        <w:widowControl/>
        <w:numPr>
          <w:ilvl w:val="0"/>
          <w:numId w:val="13"/>
        </w:numPr>
        <w:ind w:left="225"/>
        <w:rPr>
          <w:rFonts w:ascii="Arial" w:hAnsi="Arial" w:eastAsia="宋体" w:cs="Arial"/>
          <w:color w:val="000000"/>
          <w:kern w:val="0"/>
          <w:sz w:val="18"/>
          <w:szCs w:val="18"/>
        </w:rPr>
      </w:pPr>
      <w:r>
        <w:rPr>
          <w:rFonts w:ascii="Arial" w:hAnsi="Arial" w:eastAsia="宋体" w:cs="Arial"/>
          <w:color w:val="000000"/>
          <w:kern w:val="0"/>
          <w:sz w:val="18"/>
          <w:szCs w:val="18"/>
        </w:rPr>
        <w:t>当使用某些纤维素透析膜时，血液透析患者可获得高水平的β-葡聚糖。 用三乙酸纤维素膜或聚甲基丙烯酸甲酯膜的血液透析似乎不影响测定。</w:t>
      </w:r>
    </w:p>
    <w:p w14:paraId="7780A9BD">
      <w:pPr>
        <w:widowControl/>
        <w:numPr>
          <w:ilvl w:val="0"/>
          <w:numId w:val="14"/>
        </w:numPr>
        <w:ind w:left="225"/>
        <w:rPr>
          <w:rFonts w:ascii="Arial" w:hAnsi="Arial" w:eastAsia="宋体" w:cs="Arial"/>
          <w:color w:val="000000"/>
          <w:kern w:val="0"/>
          <w:sz w:val="18"/>
          <w:szCs w:val="18"/>
        </w:rPr>
      </w:pPr>
      <w:r>
        <w:rPr>
          <w:rFonts w:ascii="Arial" w:hAnsi="Arial" w:eastAsia="宋体" w:cs="Arial"/>
          <w:color w:val="000000"/>
          <w:kern w:val="0"/>
          <w:sz w:val="18"/>
          <w:szCs w:val="18"/>
        </w:rPr>
        <w:t>某些外科用纱布和海绵可以过滤高水平的β-葡聚糖，这可能导致β-葡聚糖血清学测定产生瞬时假阳性结果。</w:t>
      </w:r>
    </w:p>
    <w:p w14:paraId="1DFCA19C">
      <w:pPr>
        <w:widowControl/>
        <w:spacing w:before="90" w:after="90"/>
        <w:rPr>
          <w:rFonts w:ascii="Arial" w:hAnsi="Arial" w:eastAsia="宋体" w:cs="Arial"/>
          <w:color w:val="000000"/>
          <w:kern w:val="0"/>
          <w:sz w:val="18"/>
          <w:szCs w:val="18"/>
        </w:rPr>
      </w:pPr>
      <w:r>
        <w:rPr>
          <w:rFonts w:ascii="Arial" w:hAnsi="Arial" w:eastAsia="宋体" w:cs="Arial"/>
          <w:b/>
          <w:bCs/>
          <w:color w:val="000000"/>
          <w:kern w:val="0"/>
          <w:sz w:val="18"/>
        </w:rPr>
        <w:t>警告和预防措施</w:t>
      </w:r>
    </w:p>
    <w:p w14:paraId="0436F89D">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rPr>
        <w:t>我们建议贵公司纳入以下警告和预防措施：</w:t>
      </w:r>
    </w:p>
    <w:p w14:paraId="41C4D8AE">
      <w:pPr>
        <w:widowControl/>
        <w:numPr>
          <w:ilvl w:val="0"/>
          <w:numId w:val="15"/>
        </w:numPr>
        <w:ind w:left="225"/>
        <w:rPr>
          <w:rFonts w:ascii="Arial" w:hAnsi="Arial" w:eastAsia="宋体" w:cs="Arial"/>
          <w:color w:val="000000"/>
          <w:kern w:val="0"/>
          <w:sz w:val="18"/>
          <w:szCs w:val="18"/>
        </w:rPr>
      </w:pPr>
      <w:r>
        <w:rPr>
          <w:rFonts w:ascii="Arial" w:hAnsi="Arial" w:eastAsia="宋体" w:cs="Arial"/>
          <w:color w:val="000000"/>
          <w:kern w:val="0"/>
          <w:sz w:val="18"/>
          <w:szCs w:val="18"/>
        </w:rPr>
        <w:t>建立一个清洁的环境以在其中进行测定。 使用经认证不含干扰水平的β-葡聚糖的材料和测定。 请注意，β-葡聚糖以及来自人体、衣服、容器、水和浮尘的真菌污染可能会干扰β-葡聚糖血清学测定。</w:t>
      </w:r>
    </w:p>
    <w:p w14:paraId="5D07C52C">
      <w:pPr>
        <w:widowControl/>
        <w:numPr>
          <w:ilvl w:val="0"/>
          <w:numId w:val="16"/>
        </w:numPr>
        <w:ind w:left="225"/>
        <w:rPr>
          <w:rFonts w:ascii="Arial" w:hAnsi="Arial" w:eastAsia="宋体" w:cs="Arial"/>
          <w:color w:val="000000"/>
          <w:kern w:val="0"/>
          <w:sz w:val="18"/>
          <w:szCs w:val="18"/>
        </w:rPr>
      </w:pPr>
      <w:r>
        <w:rPr>
          <w:rFonts w:ascii="Arial" w:hAnsi="Arial" w:eastAsia="宋体" w:cs="Arial"/>
          <w:color w:val="000000"/>
          <w:kern w:val="0"/>
          <w:sz w:val="18"/>
          <w:szCs w:val="18"/>
        </w:rPr>
        <w:t>该测定需要极度重视技术和试验环境。对技术人员在测定方法和避免污染方面进行彻底培训对于测定的有效性至关重要。</w:t>
      </w:r>
    </w:p>
    <w:p w14:paraId="1717241F">
      <w:pPr>
        <w:widowControl/>
        <w:numPr>
          <w:ilvl w:val="0"/>
          <w:numId w:val="17"/>
        </w:numPr>
        <w:ind w:left="225"/>
        <w:rPr>
          <w:rFonts w:ascii="Arial" w:hAnsi="Arial" w:eastAsia="宋体" w:cs="Arial"/>
          <w:color w:val="000000"/>
          <w:kern w:val="0"/>
          <w:sz w:val="18"/>
          <w:szCs w:val="18"/>
        </w:rPr>
      </w:pPr>
      <w:r>
        <w:rPr>
          <w:rFonts w:ascii="Arial" w:hAnsi="Arial" w:eastAsia="宋体" w:cs="Arial"/>
          <w:color w:val="000000"/>
          <w:kern w:val="0"/>
          <w:sz w:val="18"/>
          <w:szCs w:val="18"/>
        </w:rPr>
        <w:t>处理患者标本时，请使用合适的防护服和无粉手套。</w:t>
      </w:r>
    </w:p>
    <w:p w14:paraId="6DD1664B">
      <w:pPr>
        <w:widowControl/>
        <w:spacing w:before="360" w:after="360"/>
        <w:rPr>
          <w:rFonts w:ascii="Arial" w:hAnsi="Arial" w:eastAsia="宋体" w:cs="Arial"/>
          <w:kern w:val="0"/>
          <w:sz w:val="24"/>
          <w:szCs w:val="24"/>
        </w:rPr>
      </w:pPr>
      <w:r>
        <w:rPr>
          <w:rFonts w:ascii="Arial" w:hAnsi="Arial" w:eastAsia="宋体" w:cs="Arial"/>
          <w:kern w:val="0"/>
          <w:sz w:val="24"/>
          <w:szCs w:val="24"/>
        </w:rPr>
        <w:pict>
          <v:rect id="_x0000_i1025" o:spt="1" style="height:0.75pt;width:150pt;" fillcolor="#000000" filled="t" stroked="f" coordsize="21600,21600" o:hr="t" o:hrstd="t" o:hrnoshade="t" o:hrpct="0">
            <v:path/>
            <v:fill on="t" focussize="0,0"/>
            <v:stroke on="f"/>
            <v:imagedata o:title=""/>
            <o:lock v:ext="edit"/>
            <w10:wrap type="none"/>
            <w10:anchorlock/>
          </v:rect>
        </w:pict>
      </w:r>
    </w:p>
    <w:p w14:paraId="72E5E3AB">
      <w:pPr>
        <w:widowControl/>
        <w:spacing w:before="90" w:after="90"/>
        <w:rPr>
          <w:rFonts w:ascii="Arial" w:hAnsi="Arial" w:eastAsia="宋体" w:cs="Arial"/>
          <w:color w:val="000000"/>
          <w:kern w:val="0"/>
          <w:sz w:val="18"/>
          <w:szCs w:val="18"/>
        </w:rPr>
      </w:pPr>
      <w:bookmarkStart w:id="6" w:name="f1"/>
      <w:r>
        <w:rPr>
          <w:rFonts w:ascii="Arial" w:hAnsi="Arial" w:eastAsia="宋体" w:cs="Arial"/>
          <w:color w:val="000000"/>
          <w:kern w:val="0"/>
          <w:sz w:val="18"/>
          <w:szCs w:val="18"/>
          <w:vertAlign w:val="superscript"/>
        </w:rPr>
        <w:t> </w:t>
      </w:r>
      <w:bookmarkEnd w:id="6"/>
      <w:r>
        <w:rPr>
          <w:rFonts w:ascii="Arial" w:hAnsi="Arial" w:eastAsia="宋体" w:cs="Arial"/>
          <w:color w:val="000000"/>
          <w:kern w:val="0"/>
          <w:sz w:val="18"/>
          <w:szCs w:val="18"/>
          <w:vertAlign w:val="superscript"/>
        </w:rPr>
        <w:t>1</w:t>
      </w:r>
      <w:r>
        <w:rPr>
          <w:rFonts w:ascii="Arial" w:hAnsi="Arial" w:eastAsia="宋体" w:cs="Arial"/>
          <w:color w:val="000000"/>
          <w:kern w:val="0"/>
          <w:sz w:val="18"/>
          <w:szCs w:val="18"/>
        </w:rPr>
        <w:t xml:space="preserve"> 与21 CFR第866部分子部分D中的其他分类法规不同（其标题使用了术语“试剂”），FDA正使用“测定法”来指代该器械类型，因为该术语可更准确地反映这种类型的器械。</w:t>
      </w:r>
    </w:p>
    <w:p w14:paraId="785C11DA">
      <w:pPr>
        <w:widowControl/>
        <w:spacing w:before="90" w:after="90"/>
        <w:rPr>
          <w:rFonts w:ascii="Arial" w:hAnsi="Arial" w:eastAsia="宋体" w:cs="Arial"/>
          <w:color w:val="000000"/>
          <w:kern w:val="0"/>
          <w:sz w:val="18"/>
          <w:szCs w:val="18"/>
        </w:rPr>
      </w:pPr>
      <w:bookmarkStart w:id="7" w:name="f2"/>
      <w:r>
        <w:rPr>
          <w:rFonts w:ascii="Arial" w:hAnsi="Arial" w:eastAsia="宋体" w:cs="Arial"/>
          <w:color w:val="000000"/>
          <w:kern w:val="0"/>
          <w:sz w:val="18"/>
          <w:szCs w:val="18"/>
          <w:vertAlign w:val="superscript"/>
        </w:rPr>
        <w:t> </w:t>
      </w:r>
      <w:bookmarkEnd w:id="7"/>
      <w:r>
        <w:rPr>
          <w:rFonts w:ascii="Arial" w:hAnsi="Arial" w:eastAsia="宋体" w:cs="Arial"/>
          <w:color w:val="000000"/>
          <w:kern w:val="0"/>
          <w:sz w:val="18"/>
          <w:szCs w:val="18"/>
          <w:vertAlign w:val="superscript"/>
        </w:rPr>
        <w:t>2</w:t>
      </w:r>
      <w:r>
        <w:rPr>
          <w:rFonts w:ascii="Arial" w:hAnsi="Arial" w:eastAsia="宋体" w:cs="Arial"/>
          <w:color w:val="800080"/>
          <w:kern w:val="0"/>
          <w:sz w:val="18"/>
          <w:szCs w:val="18"/>
          <w:u w:val="single"/>
        </w:rPr>
        <w:t>新版510（k）范式</w:t>
      </w:r>
    </w:p>
    <w:p w14:paraId="6739B1D6">
      <w:pPr>
        <w:widowControl/>
        <w:spacing w:before="90" w:after="90"/>
        <w:rPr>
          <w:rFonts w:ascii="Arial" w:hAnsi="Arial" w:eastAsia="宋体" w:cs="Arial"/>
          <w:color w:val="000000"/>
          <w:kern w:val="0"/>
          <w:sz w:val="18"/>
          <w:szCs w:val="18"/>
        </w:rPr>
      </w:pPr>
      <w:bookmarkStart w:id="8" w:name="f3"/>
      <w:r>
        <w:rPr>
          <w:rFonts w:ascii="Arial" w:hAnsi="Arial" w:eastAsia="宋体" w:cs="Arial"/>
          <w:color w:val="000000"/>
          <w:kern w:val="0"/>
          <w:sz w:val="18"/>
          <w:szCs w:val="18"/>
          <w:vertAlign w:val="superscript"/>
        </w:rPr>
        <w:t> </w:t>
      </w:r>
      <w:bookmarkEnd w:id="8"/>
      <w:r>
        <w:rPr>
          <w:rFonts w:ascii="Arial" w:hAnsi="Arial" w:eastAsia="宋体" w:cs="Arial"/>
          <w:color w:val="000000"/>
          <w:kern w:val="0"/>
          <w:sz w:val="18"/>
          <w:szCs w:val="18"/>
          <w:vertAlign w:val="superscript"/>
        </w:rPr>
        <w:t>3</w:t>
      </w:r>
      <w:r>
        <w:rPr>
          <w:rFonts w:ascii="Arial" w:hAnsi="Arial" w:eastAsia="宋体" w:cs="Arial"/>
          <w:color w:val="000000"/>
          <w:kern w:val="0"/>
          <w:sz w:val="18"/>
          <w:szCs w:val="18"/>
        </w:rPr>
        <w:t>有关建议格式，请参见</w:t>
      </w:r>
      <w:r>
        <w:rPr>
          <w:rFonts w:ascii="Arial" w:hAnsi="Arial" w:eastAsia="宋体" w:cs="Arial"/>
          <w:color w:val="800080"/>
          <w:kern w:val="0"/>
          <w:sz w:val="18"/>
          <w:szCs w:val="18"/>
          <w:u w:val="single"/>
        </w:rPr>
        <w:t>适应症表格</w:t>
      </w:r>
      <w:r>
        <w:rPr>
          <w:rFonts w:ascii="Arial" w:hAnsi="Arial" w:eastAsia="宋体" w:cs="Arial"/>
          <w:color w:val="000000"/>
          <w:kern w:val="0"/>
          <w:sz w:val="18"/>
          <w:szCs w:val="18"/>
        </w:rPr>
        <w:t>（PDF文件大小：1.03MB）。</w:t>
      </w:r>
    </w:p>
    <w:p w14:paraId="63B01186">
      <w:pPr>
        <w:widowControl/>
        <w:jc w:val="left"/>
        <w:rPr>
          <w:rFonts w:ascii="Arial" w:hAnsi="Arial" w:eastAsia="宋体" w:cs="Arial"/>
          <w:color w:val="000000"/>
          <w:kern w:val="0"/>
          <w:sz w:val="18"/>
          <w:szCs w:val="18"/>
          <w:vertAlign w:val="superscript"/>
        </w:rPr>
      </w:pPr>
      <w:bookmarkStart w:id="9" w:name="f4"/>
      <w:r>
        <w:rPr>
          <w:rFonts w:ascii="Arial" w:hAnsi="Arial" w:eastAsia="宋体" w:cs="Arial"/>
          <w:color w:val="000000"/>
          <w:kern w:val="0"/>
          <w:sz w:val="18"/>
          <w:szCs w:val="18"/>
          <w:vertAlign w:val="superscript"/>
        </w:rPr>
        <w:br w:type="page"/>
      </w:r>
    </w:p>
    <w:p w14:paraId="5DCA3EB0">
      <w:pPr>
        <w:widowControl/>
        <w:spacing w:before="90" w:after="90"/>
        <w:rPr>
          <w:rFonts w:ascii="Arial" w:hAnsi="Arial" w:eastAsia="宋体" w:cs="Arial"/>
          <w:color w:val="000000"/>
          <w:kern w:val="0"/>
          <w:sz w:val="18"/>
          <w:szCs w:val="18"/>
        </w:rPr>
      </w:pPr>
      <w:r>
        <w:rPr>
          <w:rFonts w:ascii="Arial" w:hAnsi="Arial" w:eastAsia="宋体" w:cs="Arial"/>
          <w:color w:val="000000"/>
          <w:kern w:val="0"/>
          <w:sz w:val="18"/>
          <w:szCs w:val="18"/>
          <w:vertAlign w:val="superscript"/>
        </w:rPr>
        <w:t> </w:t>
      </w:r>
      <w:bookmarkEnd w:id="9"/>
      <w:r>
        <w:rPr>
          <w:rFonts w:ascii="Arial" w:hAnsi="Arial" w:eastAsia="宋体" w:cs="Arial"/>
          <w:color w:val="000000"/>
          <w:kern w:val="0"/>
          <w:sz w:val="18"/>
          <w:szCs w:val="18"/>
          <w:vertAlign w:val="superscript"/>
        </w:rPr>
        <w:t>4</w:t>
      </w:r>
      <w:r>
        <w:rPr>
          <w:rFonts w:ascii="Arial" w:hAnsi="Arial" w:eastAsia="宋体" w:cs="Arial"/>
          <w:color w:val="000000"/>
          <w:kern w:val="0"/>
          <w:sz w:val="18"/>
          <w:szCs w:val="18"/>
        </w:rPr>
        <w:t>如果FDA根据验收标准进行实质等同性测定，则在引入州际商业之前应对本器械进行试验并证明其满足这些验收标准。如果成品器械不满足验收标准，并因此与已批准的510（k）中所述的器械不同，FDA建议提交者应用与用于评估对合法销售器械进行的修改相同的标准（21 CFR 807.81（a） （3））以确定成品器械的上市是否需要批准一份新的510（k）。</w:t>
      </w:r>
    </w:p>
    <w:p w14:paraId="03B2A177">
      <w:pPr>
        <w:widowControl/>
        <w:spacing w:before="90" w:after="90"/>
        <w:rPr>
          <w:rFonts w:ascii="Arial" w:hAnsi="Arial" w:eastAsia="宋体" w:cs="Arial"/>
          <w:color w:val="000000"/>
          <w:kern w:val="0"/>
          <w:sz w:val="18"/>
          <w:szCs w:val="18"/>
        </w:rPr>
      </w:pPr>
      <w:bookmarkStart w:id="10" w:name="f5"/>
      <w:r>
        <w:rPr>
          <w:rFonts w:ascii="Arial" w:hAnsi="Arial" w:eastAsia="宋体" w:cs="Arial"/>
          <w:color w:val="000000"/>
          <w:kern w:val="0"/>
          <w:sz w:val="18"/>
          <w:szCs w:val="18"/>
          <w:vertAlign w:val="superscript"/>
        </w:rPr>
        <w:t> </w:t>
      </w:r>
      <w:bookmarkEnd w:id="10"/>
      <w:r>
        <w:rPr>
          <w:rFonts w:ascii="Arial" w:hAnsi="Arial" w:eastAsia="宋体" w:cs="Arial"/>
          <w:color w:val="000000"/>
          <w:kern w:val="0"/>
          <w:sz w:val="18"/>
          <w:szCs w:val="18"/>
          <w:vertAlign w:val="superscript"/>
        </w:rPr>
        <w:t>5</w:t>
      </w:r>
      <w:r>
        <w:rPr>
          <w:rFonts w:ascii="Arial" w:hAnsi="Arial" w:eastAsia="宋体" w:cs="Arial"/>
          <w:color w:val="000000"/>
          <w:kern w:val="0"/>
          <w:sz w:val="18"/>
          <w:szCs w:val="18"/>
        </w:rPr>
        <w:t>请参见</w:t>
      </w:r>
      <w:r>
        <w:rPr>
          <w:rFonts w:ascii="Arial" w:hAnsi="Arial" w:eastAsia="宋体" w:cs="Arial"/>
          <w:color w:val="800080"/>
          <w:kern w:val="0"/>
          <w:sz w:val="18"/>
          <w:szCs w:val="18"/>
          <w:u w:val="single"/>
        </w:rPr>
        <w:t>符合公认标准声明的必要成分</w:t>
      </w:r>
      <w:r>
        <w:rPr>
          <w:rFonts w:ascii="Arial" w:hAnsi="Arial" w:eastAsia="宋体" w:cs="Arial"/>
          <w:color w:val="000000"/>
          <w:kern w:val="0"/>
          <w:sz w:val="18"/>
          <w:szCs w:val="18"/>
        </w:rPr>
        <w:t>（所有上市前通告[510（K）]提交的筛选清单）。</w:t>
      </w:r>
    </w:p>
    <w:p w14:paraId="639B4D4A">
      <w:pPr>
        <w:widowControl/>
        <w:spacing w:before="90" w:after="90"/>
        <w:rPr>
          <w:rFonts w:ascii="Arial" w:hAnsi="Arial" w:eastAsia="宋体" w:cs="Arial"/>
          <w:color w:val="000000"/>
          <w:kern w:val="0"/>
          <w:sz w:val="18"/>
          <w:szCs w:val="18"/>
        </w:rPr>
      </w:pPr>
      <w:bookmarkStart w:id="11" w:name="f6"/>
      <w:r>
        <w:rPr>
          <w:rFonts w:ascii="Arial" w:hAnsi="Arial" w:eastAsia="宋体" w:cs="Arial"/>
          <w:color w:val="000000"/>
          <w:kern w:val="0"/>
          <w:sz w:val="18"/>
          <w:szCs w:val="18"/>
          <w:vertAlign w:val="superscript"/>
        </w:rPr>
        <w:t> </w:t>
      </w:r>
      <w:bookmarkEnd w:id="11"/>
      <w:r>
        <w:rPr>
          <w:rFonts w:ascii="Arial" w:hAnsi="Arial" w:eastAsia="宋体" w:cs="Arial"/>
          <w:color w:val="000000"/>
          <w:kern w:val="0"/>
          <w:sz w:val="18"/>
          <w:szCs w:val="18"/>
          <w:vertAlign w:val="superscript"/>
        </w:rPr>
        <w:t>6</w:t>
      </w:r>
      <w:r>
        <w:rPr>
          <w:rFonts w:ascii="Arial" w:hAnsi="Arial" w:eastAsia="宋体" w:cs="Arial"/>
          <w:color w:val="000000"/>
          <w:kern w:val="0"/>
          <w:sz w:val="18"/>
          <w:szCs w:val="18"/>
        </w:rPr>
        <w:t xml:space="preserve"> 虽然510（k）文件中无需提供最终标签，但在将医疗器械引入州际商业之前，最终标签必须满足21 CFR 801或21 CFR 809.10的要求。本指南中的标签建议与第801部分和第809.10节的要求一致。</w:t>
      </w:r>
    </w:p>
    <w:p w14:paraId="57F0EA52">
      <w:pPr>
        <w:widowControl/>
        <w:spacing w:before="90" w:after="90"/>
        <w:rPr>
          <w:rFonts w:ascii="Arial" w:hAnsi="Arial" w:eastAsia="宋体" w:cs="Arial"/>
          <w:color w:val="000000"/>
          <w:kern w:val="0"/>
          <w:sz w:val="18"/>
          <w:szCs w:val="18"/>
        </w:rPr>
      </w:pPr>
    </w:p>
    <w:p w14:paraId="505A2ED8">
      <w:pPr>
        <w:rPr>
          <w:rFonts w:ascii="Arial" w:hAnsi="Arial" w:eastAsia="宋体" w:cs="Arial"/>
        </w:rPr>
      </w:pPr>
    </w:p>
    <w:p w14:paraId="74C5B6EB">
      <w:pPr>
        <w:widowControl/>
        <w:jc w:val="left"/>
        <w:rPr>
          <w:rFonts w:hint="eastAsia" w:eastAsia="宋体"/>
          <w:lang w:eastAsia="zh-CN"/>
        </w:rPr>
      </w:pPr>
    </w:p>
    <w:p w14:paraId="6F82F228">
      <w:pPr>
        <w:widowControl/>
        <w:jc w:val="center"/>
        <w:rPr>
          <w:rFonts w:hint="eastAsia" w:eastAsia="宋体"/>
          <w:lang w:eastAsia="zh-CN"/>
        </w:rPr>
      </w:pPr>
    </w:p>
    <w:p w14:paraId="13B7C432">
      <w:pPr>
        <w:widowControl/>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C1BB7"/>
    <w:multiLevelType w:val="multilevel"/>
    <w:tmpl w:val="0C7C1B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F9876C5"/>
    <w:multiLevelType w:val="multilevel"/>
    <w:tmpl w:val="0F9876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FAF2A77"/>
    <w:multiLevelType w:val="multilevel"/>
    <w:tmpl w:val="1FAF2A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28A4401"/>
    <w:multiLevelType w:val="multilevel"/>
    <w:tmpl w:val="228A44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3890775"/>
    <w:multiLevelType w:val="multilevel"/>
    <w:tmpl w:val="2389077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2383D07"/>
    <w:multiLevelType w:val="multilevel"/>
    <w:tmpl w:val="32383D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4780FB9"/>
    <w:multiLevelType w:val="multilevel"/>
    <w:tmpl w:val="34780F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78B202A"/>
    <w:multiLevelType w:val="multilevel"/>
    <w:tmpl w:val="378B20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BB93437"/>
    <w:multiLevelType w:val="multilevel"/>
    <w:tmpl w:val="4BB934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D6A329C"/>
    <w:multiLevelType w:val="multilevel"/>
    <w:tmpl w:val="4D6A32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E0A1E3D"/>
    <w:multiLevelType w:val="multilevel"/>
    <w:tmpl w:val="4E0A1E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0E10A07"/>
    <w:multiLevelType w:val="multilevel"/>
    <w:tmpl w:val="50E10A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C724EB9"/>
    <w:multiLevelType w:val="multilevel"/>
    <w:tmpl w:val="5C724E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01E0D03"/>
    <w:multiLevelType w:val="multilevel"/>
    <w:tmpl w:val="701E0D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70596003"/>
    <w:multiLevelType w:val="multilevel"/>
    <w:tmpl w:val="705960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7413432F"/>
    <w:multiLevelType w:val="multilevel"/>
    <w:tmpl w:val="741343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5054E4"/>
    <w:multiLevelType w:val="multilevel"/>
    <w:tmpl w:val="795054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num>
  <w:num w:numId="2">
    <w:abstractNumId w:val="2"/>
  </w:num>
  <w:num w:numId="3">
    <w:abstractNumId w:val="4"/>
  </w:num>
  <w:num w:numId="4">
    <w:abstractNumId w:val="9"/>
  </w:num>
  <w:num w:numId="5">
    <w:abstractNumId w:val="1"/>
  </w:num>
  <w:num w:numId="6">
    <w:abstractNumId w:val="0"/>
  </w:num>
  <w:num w:numId="7">
    <w:abstractNumId w:val="10"/>
  </w:num>
  <w:num w:numId="8">
    <w:abstractNumId w:val="16"/>
  </w:num>
  <w:num w:numId="9">
    <w:abstractNumId w:val="8"/>
  </w:num>
  <w:num w:numId="10">
    <w:abstractNumId w:val="15"/>
  </w:num>
  <w:num w:numId="11">
    <w:abstractNumId w:val="6"/>
  </w:num>
  <w:num w:numId="12">
    <w:abstractNumId w:val="5"/>
  </w:num>
  <w:num w:numId="13">
    <w:abstractNumId w:val="11"/>
  </w:num>
  <w:num w:numId="14">
    <w:abstractNumId w:val="13"/>
  </w:num>
  <w:num w:numId="15">
    <w:abstractNumId w:val="1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F8"/>
    <w:rsid w:val="00105A10"/>
    <w:rsid w:val="00162C6C"/>
    <w:rsid w:val="00187257"/>
    <w:rsid w:val="0019406E"/>
    <w:rsid w:val="001C0738"/>
    <w:rsid w:val="001E0985"/>
    <w:rsid w:val="00206FFB"/>
    <w:rsid w:val="002354F8"/>
    <w:rsid w:val="002704A7"/>
    <w:rsid w:val="002972BA"/>
    <w:rsid w:val="002B0F38"/>
    <w:rsid w:val="0034486E"/>
    <w:rsid w:val="00344C92"/>
    <w:rsid w:val="003936BF"/>
    <w:rsid w:val="003A3701"/>
    <w:rsid w:val="003B3D1A"/>
    <w:rsid w:val="003F424A"/>
    <w:rsid w:val="003F7B53"/>
    <w:rsid w:val="004758DF"/>
    <w:rsid w:val="004E5003"/>
    <w:rsid w:val="00564FFC"/>
    <w:rsid w:val="005760CD"/>
    <w:rsid w:val="00576D62"/>
    <w:rsid w:val="005D1646"/>
    <w:rsid w:val="005E1ECF"/>
    <w:rsid w:val="005E3BA8"/>
    <w:rsid w:val="00626838"/>
    <w:rsid w:val="00666797"/>
    <w:rsid w:val="00714A6E"/>
    <w:rsid w:val="007209B9"/>
    <w:rsid w:val="00722A00"/>
    <w:rsid w:val="00795C35"/>
    <w:rsid w:val="007D17C0"/>
    <w:rsid w:val="00800AE5"/>
    <w:rsid w:val="00812EF6"/>
    <w:rsid w:val="00817970"/>
    <w:rsid w:val="008621F6"/>
    <w:rsid w:val="00886820"/>
    <w:rsid w:val="009658C1"/>
    <w:rsid w:val="009C5913"/>
    <w:rsid w:val="00A26626"/>
    <w:rsid w:val="00A9663E"/>
    <w:rsid w:val="00AC7ED1"/>
    <w:rsid w:val="00B219FC"/>
    <w:rsid w:val="00B25F31"/>
    <w:rsid w:val="00B829D0"/>
    <w:rsid w:val="00C02B83"/>
    <w:rsid w:val="00C06C39"/>
    <w:rsid w:val="00C3515A"/>
    <w:rsid w:val="00C37F5C"/>
    <w:rsid w:val="00C71A1B"/>
    <w:rsid w:val="00C74026"/>
    <w:rsid w:val="00CC3342"/>
    <w:rsid w:val="00D01B84"/>
    <w:rsid w:val="00D20A5C"/>
    <w:rsid w:val="00D420AF"/>
    <w:rsid w:val="00DB79E9"/>
    <w:rsid w:val="00E05416"/>
    <w:rsid w:val="00F42536"/>
    <w:rsid w:val="7F22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2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21"/>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5"/>
    <w:qFormat/>
    <w:uiPriority w:val="1"/>
    <w:pPr>
      <w:ind w:left="100"/>
      <w:jc w:val="left"/>
    </w:pPr>
    <w:rPr>
      <w:rFonts w:ascii="Times New Roman" w:hAnsi="Times New Roman" w:eastAsia="Times New Roman"/>
      <w:kern w:val="0"/>
      <w:sz w:val="24"/>
      <w:szCs w:val="24"/>
      <w:lang w:eastAsia="en-US"/>
    </w:rPr>
  </w:style>
  <w:style w:type="paragraph" w:styleId="7">
    <w:name w:val="Balloon Text"/>
    <w:basedOn w:val="1"/>
    <w:link w:val="23"/>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basedOn w:val="12"/>
    <w:semiHidden/>
    <w:unhideWhenUsed/>
    <w:qFormat/>
    <w:uiPriority w:val="99"/>
    <w:rPr>
      <w:color w:val="0000FF"/>
      <w:u w:val="single"/>
    </w:r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character" w:customStyle="1" w:styleId="18">
    <w:name w:val="标题 1 Char"/>
    <w:basedOn w:val="12"/>
    <w:link w:val="2"/>
    <w:qFormat/>
    <w:uiPriority w:val="9"/>
    <w:rPr>
      <w:rFonts w:ascii="宋体" w:hAnsi="宋体" w:eastAsia="宋体" w:cs="宋体"/>
      <w:b/>
      <w:bCs/>
      <w:kern w:val="36"/>
      <w:sz w:val="48"/>
      <w:szCs w:val="48"/>
    </w:rPr>
  </w:style>
  <w:style w:type="character" w:customStyle="1" w:styleId="19">
    <w:name w:val="标题 3 Char"/>
    <w:basedOn w:val="12"/>
    <w:link w:val="3"/>
    <w:qFormat/>
    <w:uiPriority w:val="9"/>
    <w:rPr>
      <w:rFonts w:ascii="宋体" w:hAnsi="宋体" w:eastAsia="宋体" w:cs="宋体"/>
      <w:b/>
      <w:bCs/>
      <w:kern w:val="0"/>
      <w:sz w:val="27"/>
      <w:szCs w:val="27"/>
    </w:rPr>
  </w:style>
  <w:style w:type="character" w:customStyle="1" w:styleId="20">
    <w:name w:val="标题 4 Char"/>
    <w:basedOn w:val="12"/>
    <w:link w:val="4"/>
    <w:qFormat/>
    <w:uiPriority w:val="9"/>
    <w:rPr>
      <w:rFonts w:ascii="宋体" w:hAnsi="宋体" w:eastAsia="宋体" w:cs="宋体"/>
      <w:b/>
      <w:bCs/>
      <w:kern w:val="0"/>
      <w:sz w:val="24"/>
      <w:szCs w:val="24"/>
    </w:rPr>
  </w:style>
  <w:style w:type="character" w:customStyle="1" w:styleId="21">
    <w:name w:val="标题 5 Char"/>
    <w:basedOn w:val="12"/>
    <w:link w:val="5"/>
    <w:qFormat/>
    <w:uiPriority w:val="9"/>
    <w:rPr>
      <w:rFonts w:ascii="宋体" w:hAnsi="宋体" w:eastAsia="宋体" w:cs="宋体"/>
      <w:b/>
      <w:bCs/>
      <w:kern w:val="0"/>
      <w:sz w:val="20"/>
      <w:szCs w:val="20"/>
    </w:rPr>
  </w:style>
  <w:style w:type="character" w:customStyle="1" w:styleId="22">
    <w:name w:val="apple-converted-space"/>
    <w:basedOn w:val="12"/>
    <w:qFormat/>
    <w:uiPriority w:val="0"/>
  </w:style>
  <w:style w:type="character" w:customStyle="1" w:styleId="23">
    <w:name w:val="批注框文本 Char"/>
    <w:basedOn w:val="12"/>
    <w:link w:val="7"/>
    <w:semiHidden/>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正文文本 Char"/>
    <w:basedOn w:val="12"/>
    <w:link w:val="6"/>
    <w:qFormat/>
    <w:uiPriority w:val="1"/>
    <w:rPr>
      <w:rFonts w:ascii="Times New Roman" w:hAnsi="Times New Roman" w:eastAsia="Times New Roman"/>
      <w:kern w:val="0"/>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7350</Words>
  <Characters>7879</Characters>
  <Lines>57</Lines>
  <Paragraphs>16</Paragraphs>
  <TotalTime>0</TotalTime>
  <ScaleCrop>false</ScaleCrop>
  <LinksUpToDate>false</LinksUpToDate>
  <CharactersWithSpaces>7957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2017-04-10T12:58:00Z</dcterms:created>
  <dc:creator>pc</dc:creator>
  <cp:lastModifiedBy>太极箫客</cp:lastModifiedBy>
  <dcterms:modified xsi:type="dcterms:W3CDTF">2025-08-14T06:17:59Z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E4C44486D874489AB5DEDA4ACB39A66B_12</vt:lpwstr>
  </property>
</Properties>
</file>