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C17CD">
      <w:pPr>
        <w:snapToGrid w:val="0"/>
        <w:spacing w:line="300" w:lineRule="auto"/>
        <w:rPr>
          <w:rFonts w:ascii="Arial" w:hAnsi="Arial" w:eastAsia="宋体" w:cs="Arial"/>
          <w:b/>
          <w:sz w:val="36"/>
          <w:szCs w:val="36"/>
        </w:rPr>
      </w:pPr>
      <w:bookmarkStart w:id="75" w:name="_GoBack"/>
      <w:bookmarkEnd w:id="75"/>
      <w:r>
        <w:rPr>
          <w:rFonts w:ascii="Arial" w:hAnsi="Arial" w:eastAsia="宋体" w:cs="Arial"/>
          <w:b/>
          <w:sz w:val="36"/>
          <w:szCs w:val="36"/>
        </w:rPr>
        <w:t>行业和食品药品监督管理局工作人员指南</w:t>
      </w:r>
    </w:p>
    <w:p w14:paraId="128BA6A6">
      <w:pPr>
        <w:snapToGrid w:val="0"/>
        <w:spacing w:line="300" w:lineRule="auto"/>
        <w:rPr>
          <w:rFonts w:ascii="Arial" w:hAnsi="Arial" w:eastAsia="宋体" w:cs="Arial"/>
          <w:b/>
          <w:sz w:val="36"/>
          <w:szCs w:val="36"/>
        </w:rPr>
      </w:pPr>
      <w:r>
        <w:rPr>
          <w:rFonts w:ascii="Arial" w:hAnsi="Arial" w:eastAsia="宋体" w:cs="Arial"/>
          <w:b/>
          <w:sz w:val="36"/>
          <w:szCs w:val="36"/>
        </w:rPr>
        <w:t>－</w:t>
      </w:r>
      <w:bookmarkStart w:id="0" w:name="OLE_LINK67"/>
      <w:bookmarkStart w:id="1" w:name="OLE_LINK68"/>
      <w:r>
        <w:rPr>
          <w:rFonts w:ascii="Arial" w:hAnsi="Arial" w:eastAsia="宋体" w:cs="Arial"/>
          <w:b/>
          <w:sz w:val="36"/>
          <w:szCs w:val="36"/>
        </w:rPr>
        <w:t>II类特殊控制指导性文件：心脏同种异体移植物基因表达谱检测系统</w:t>
      </w:r>
    </w:p>
    <w:bookmarkEnd w:id="0"/>
    <w:bookmarkEnd w:id="1"/>
    <w:p w14:paraId="0501C240">
      <w:pPr>
        <w:snapToGrid w:val="0"/>
        <w:spacing w:line="300" w:lineRule="auto"/>
        <w:rPr>
          <w:rFonts w:ascii="Arial" w:hAnsi="Arial" w:eastAsia="宋体" w:cs="Arial"/>
          <w:b/>
        </w:rPr>
      </w:pPr>
      <w:r>
        <w:rPr>
          <w:rFonts w:ascii="Arial" w:hAnsi="Arial" w:eastAsia="宋体" w:cs="Arial"/>
          <w:b/>
        </w:rPr>
        <w:t>发布日期：2009年10月21日</w:t>
      </w:r>
    </w:p>
    <w:p w14:paraId="2DC50966">
      <w:pPr>
        <w:snapToGrid w:val="0"/>
        <w:spacing w:line="300" w:lineRule="auto"/>
        <w:rPr>
          <w:rFonts w:ascii="Arial" w:hAnsi="Arial" w:eastAsia="宋体" w:cs="Arial"/>
        </w:rPr>
      </w:pPr>
    </w:p>
    <w:p w14:paraId="123E42A3">
      <w:pPr>
        <w:snapToGrid w:val="0"/>
        <w:spacing w:line="300" w:lineRule="auto"/>
        <w:rPr>
          <w:rFonts w:ascii="Arial" w:hAnsi="Arial" w:eastAsia="宋体" w:cs="Arial"/>
        </w:rPr>
      </w:pPr>
      <w:r>
        <w:rPr>
          <w:rFonts w:ascii="Arial" w:hAnsi="Arial" w:eastAsia="宋体" w:cs="Arial"/>
        </w:rPr>
        <w:t>若对本文件有疑问，请与Kellie Kelm联系。联系电话：301-796-6145，电子信箱：</w:t>
      </w:r>
      <w:r>
        <w:rPr>
          <w:rFonts w:ascii="Arial" w:hAnsi="Arial" w:eastAsia="宋体" w:cs="Arial"/>
          <w:color w:val="800080"/>
          <w:u w:val="single"/>
        </w:rPr>
        <w:t>kellie.kelm @fda.hhs.gov</w:t>
      </w:r>
      <w:r>
        <w:rPr>
          <w:rFonts w:ascii="Arial" w:hAnsi="Arial" w:eastAsia="宋体" w:cs="Arial"/>
        </w:rPr>
        <w:t>。</w:t>
      </w:r>
    </w:p>
    <w:p w14:paraId="43007ABD">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185420</wp:posOffset>
                </wp:positionV>
                <wp:extent cx="1059815" cy="10528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59873" cy="10529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6BF26A">
                            <w:r>
                              <w:rPr>
                                <w:rFonts w:ascii="Arial" w:hAnsi="Arial" w:eastAsia="宋体" w:cs="Arial"/>
                                <w:color w:val="000000"/>
                                <w:kern w:val="0"/>
                                <w:sz w:val="18"/>
                                <w:szCs w:val="18"/>
                              </w:rPr>
                              <w:drawing>
                                <wp:inline distT="0" distB="0" distL="0" distR="0">
                                  <wp:extent cx="870585" cy="897255"/>
                                  <wp:effectExtent l="0" t="0" r="571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srcRect/>
                                          <a:stretch>
                                            <a:fillRect/>
                                          </a:stretch>
                                        </pic:blipFill>
                                        <pic:spPr>
                                          <a:xfrm>
                                            <a:off x="0" y="0"/>
                                            <a:ext cx="870585" cy="89751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pt;margin-top:14.6pt;height:82.9pt;width:83.45pt;z-index:251659264;mso-width-relative:page;mso-height-relative:page;" filled="f" stroked="f" coordsize="21600,21600" o:gfxdata="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HBrMNkAAAAIAQAADwAAAAAAAAABACAAAAAi&#10;AAAAZHJzL2Rvd25yZXYueG1sUEsBAhQAFAAAAAgAh07iQDfas+lCAgAAdQQAAA4AAAAAAAAAAQAg&#10;AAAAKAEAAGRycy9lMm9Eb2MueG1sUEsFBgAAAAAGAAYAWQEAANwFAAAAAA==&#10;">
                <v:fill on="f" focussize="0,0"/>
                <v:stroke on="f" weight="0.5pt"/>
                <v:imagedata o:title=""/>
                <o:lock v:ext="edit" aspectratio="f"/>
                <v:textbox>
                  <w:txbxContent>
                    <w:p w14:paraId="506BF26A">
                      <w:r>
                        <w:rPr>
                          <w:rFonts w:ascii="Arial" w:hAnsi="Arial" w:eastAsia="宋体" w:cs="Arial"/>
                          <w:color w:val="000000"/>
                          <w:kern w:val="0"/>
                          <w:sz w:val="18"/>
                          <w:szCs w:val="18"/>
                        </w:rPr>
                        <w:drawing>
                          <wp:inline distT="0" distB="0" distL="0" distR="0">
                            <wp:extent cx="870585" cy="897255"/>
                            <wp:effectExtent l="0" t="0" r="571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srcRect/>
                                    <a:stretch>
                                      <a:fillRect/>
                                    </a:stretch>
                                  </pic:blipFill>
                                  <pic:spPr>
                                    <a:xfrm>
                                      <a:off x="0" y="0"/>
                                      <a:ext cx="870585" cy="897510"/>
                                    </a:xfrm>
                                    <a:prstGeom prst="rect">
                                      <a:avLst/>
                                    </a:prstGeom>
                                    <a:noFill/>
                                    <a:ln w="9525">
                                      <a:noFill/>
                                      <a:miter lim="800000"/>
                                      <a:headEnd/>
                                      <a:tailEnd/>
                                    </a:ln>
                                  </pic:spPr>
                                </pic:pic>
                              </a:graphicData>
                            </a:graphic>
                          </wp:inline>
                        </w:drawing>
                      </w:r>
                    </w:p>
                  </w:txbxContent>
                </v:textbox>
              </v:shape>
            </w:pict>
          </mc:Fallback>
        </mc:AlternateContent>
      </w:r>
    </w:p>
    <w:p w14:paraId="703E9923">
      <w:pPr>
        <w:snapToGrid w:val="0"/>
        <w:spacing w:line="300" w:lineRule="auto"/>
        <w:ind w:firstLine="1840" w:firstLineChars="873"/>
        <w:rPr>
          <w:rFonts w:ascii="Arial" w:hAnsi="Arial" w:eastAsia="宋体" w:cs="Arial"/>
          <w:b/>
        </w:rPr>
      </w:pPr>
      <w:r>
        <w:rPr>
          <w:rFonts w:ascii="Arial" w:hAnsi="Arial" w:eastAsia="宋体" w:cs="Arial"/>
          <w:b/>
        </w:rPr>
        <w:t>美国卫生与公众服务部</w:t>
      </w:r>
    </w:p>
    <w:p w14:paraId="74E82481">
      <w:pPr>
        <w:snapToGrid w:val="0"/>
        <w:spacing w:line="300" w:lineRule="auto"/>
        <w:ind w:firstLine="1840" w:firstLineChars="873"/>
        <w:rPr>
          <w:rFonts w:ascii="Arial" w:hAnsi="Arial" w:eastAsia="宋体" w:cs="Arial"/>
          <w:b/>
        </w:rPr>
      </w:pPr>
      <w:r>
        <w:rPr>
          <w:rFonts w:ascii="Arial" w:hAnsi="Arial" w:eastAsia="宋体" w:cs="Arial"/>
          <w:b/>
        </w:rPr>
        <w:t>食品药品监督管理局</w:t>
      </w:r>
    </w:p>
    <w:p w14:paraId="4B9C7DCA">
      <w:pPr>
        <w:snapToGrid w:val="0"/>
        <w:spacing w:line="300" w:lineRule="auto"/>
        <w:ind w:firstLine="1840" w:firstLineChars="873"/>
        <w:rPr>
          <w:rFonts w:ascii="Arial" w:hAnsi="Arial" w:eastAsia="宋体" w:cs="Arial"/>
          <w:b/>
        </w:rPr>
      </w:pPr>
      <w:r>
        <w:rPr>
          <w:rFonts w:ascii="Arial" w:hAnsi="Arial" w:eastAsia="宋体" w:cs="Arial"/>
          <w:b/>
        </w:rPr>
        <w:t>器械与放射健康中心</w:t>
      </w:r>
    </w:p>
    <w:p w14:paraId="2E4820CE">
      <w:pPr>
        <w:snapToGrid w:val="0"/>
        <w:spacing w:line="300" w:lineRule="auto"/>
        <w:ind w:firstLine="1840" w:firstLineChars="873"/>
        <w:rPr>
          <w:rFonts w:ascii="Arial" w:hAnsi="Arial" w:eastAsia="宋体" w:cs="Arial"/>
          <w:b/>
        </w:rPr>
      </w:pPr>
      <w:r>
        <w:rPr>
          <w:rFonts w:ascii="Arial" w:hAnsi="Arial" w:eastAsia="宋体" w:cs="Arial"/>
          <w:b/>
        </w:rPr>
        <w:t>体外诊断器械评估和安全办公室</w:t>
      </w:r>
    </w:p>
    <w:p w14:paraId="4B3562C8">
      <w:pPr>
        <w:snapToGrid w:val="0"/>
        <w:spacing w:line="300" w:lineRule="auto"/>
        <w:ind w:firstLine="1840" w:firstLineChars="873"/>
        <w:rPr>
          <w:rFonts w:ascii="Arial" w:hAnsi="Arial" w:eastAsia="宋体" w:cs="Arial"/>
          <w:b/>
        </w:rPr>
      </w:pPr>
      <w:r>
        <w:rPr>
          <w:rFonts w:ascii="Arial" w:hAnsi="Arial" w:eastAsia="宋体" w:cs="Arial"/>
          <w:b/>
        </w:rPr>
        <w:t>化学和毒理学器械部</w:t>
      </w:r>
    </w:p>
    <w:p w14:paraId="42503DCB">
      <w:pPr>
        <w:snapToGrid w:val="0"/>
        <w:spacing w:line="300" w:lineRule="auto"/>
        <w:rPr>
          <w:rFonts w:ascii="Arial" w:hAnsi="Arial" w:eastAsia="宋体" w:cs="Arial"/>
        </w:rPr>
      </w:pPr>
    </w:p>
    <w:p w14:paraId="7B3B178B">
      <w:pPr>
        <w:snapToGrid w:val="0"/>
        <w:spacing w:line="300" w:lineRule="auto"/>
        <w:rPr>
          <w:rFonts w:ascii="Arial" w:hAnsi="Arial" w:eastAsia="宋体" w:cs="Arial"/>
          <w:b/>
        </w:rPr>
      </w:pPr>
    </w:p>
    <w:p w14:paraId="28558A6F">
      <w:pPr>
        <w:snapToGrid w:val="0"/>
        <w:spacing w:line="300" w:lineRule="auto"/>
        <w:rPr>
          <w:rFonts w:ascii="Arial" w:hAnsi="Arial" w:eastAsia="宋体" w:cs="Arial"/>
        </w:rPr>
      </w:pPr>
      <w:r>
        <w:rPr>
          <w:rFonts w:ascii="Arial" w:hAnsi="Arial" w:eastAsia="宋体" w:cs="Arial"/>
          <w:b/>
        </w:rPr>
        <w:t>前言</w:t>
      </w:r>
    </w:p>
    <w:p w14:paraId="3D37814E">
      <w:pPr>
        <w:snapToGrid w:val="0"/>
        <w:spacing w:line="300" w:lineRule="auto"/>
        <w:rPr>
          <w:rFonts w:ascii="Arial" w:hAnsi="Arial" w:eastAsia="宋体" w:cs="Arial"/>
          <w:b/>
        </w:rPr>
      </w:pPr>
      <w:r>
        <w:rPr>
          <w:rFonts w:ascii="Arial" w:hAnsi="Arial" w:eastAsia="宋体" w:cs="Arial"/>
          <w:b/>
        </w:rPr>
        <w:t>公众评论</w:t>
      </w:r>
    </w:p>
    <w:p w14:paraId="0F6A4D9B">
      <w:pPr>
        <w:snapToGrid w:val="0"/>
        <w:spacing w:line="300" w:lineRule="auto"/>
        <w:rPr>
          <w:rFonts w:ascii="Arial" w:hAnsi="Arial" w:eastAsia="宋体" w:cs="Arial"/>
        </w:rPr>
      </w:pPr>
    </w:p>
    <w:p w14:paraId="6CD203F3">
      <w:pPr>
        <w:snapToGrid w:val="0"/>
        <w:spacing w:line="300" w:lineRule="auto"/>
        <w:rPr>
          <w:rFonts w:ascii="Arial" w:hAnsi="Arial" w:eastAsia="宋体" w:cs="Arial"/>
        </w:rPr>
      </w:pPr>
      <w:r>
        <w:rPr>
          <w:rFonts w:ascii="Arial" w:hAnsi="Arial" w:eastAsia="宋体" w:cs="Arial"/>
        </w:rPr>
        <w:t>若有书面评论和建议可随时提交至食品药品监督管理局文档管理部，供部门审议。通讯地址：5630 Fishers Lane, Room 1061, （HFA-305）, Rockville, MD, 20852。若为电子评论可提交至</w:t>
      </w:r>
      <w:r>
        <w:rPr>
          <w:rFonts w:ascii="Arial" w:hAnsi="Arial" w:eastAsia="宋体" w:cs="Arial"/>
          <w:color w:val="800080"/>
          <w:u w:val="single"/>
        </w:rPr>
        <w:t>http://www.regulations.gov</w:t>
      </w:r>
      <w:r>
        <w:rPr>
          <w:rFonts w:ascii="Arial" w:hAnsi="Arial" w:eastAsia="宋体" w:cs="Arial"/>
        </w:rPr>
        <w:t>网站。提交评论时，请注明文档编号。该编号可在发表于联邦公报的可用性通知中查到。在该通知中宣布本指南已可供利用。可能直到文件下次修订或更新时，评论才会被机构受理。</w:t>
      </w:r>
    </w:p>
    <w:p w14:paraId="2D61A823">
      <w:pPr>
        <w:snapToGrid w:val="0"/>
        <w:spacing w:line="300" w:lineRule="auto"/>
        <w:rPr>
          <w:rFonts w:ascii="Arial" w:hAnsi="Arial" w:eastAsia="宋体" w:cs="Arial"/>
        </w:rPr>
      </w:pPr>
    </w:p>
    <w:p w14:paraId="6E255ED2">
      <w:pPr>
        <w:snapToGrid w:val="0"/>
        <w:spacing w:line="300" w:lineRule="auto"/>
        <w:rPr>
          <w:rFonts w:ascii="Arial" w:hAnsi="Arial" w:eastAsia="宋体" w:cs="Arial"/>
          <w:b/>
        </w:rPr>
      </w:pPr>
      <w:bookmarkStart w:id="2" w:name="OLE_LINK147"/>
      <w:bookmarkStart w:id="3" w:name="OLE_LINK146"/>
      <w:r>
        <w:rPr>
          <w:rFonts w:ascii="Arial" w:hAnsi="Arial" w:eastAsia="宋体" w:cs="Arial"/>
          <w:b/>
        </w:rPr>
        <w:t>其他副本</w:t>
      </w:r>
    </w:p>
    <w:p w14:paraId="148473C4">
      <w:pPr>
        <w:snapToGrid w:val="0"/>
        <w:spacing w:line="300" w:lineRule="auto"/>
        <w:rPr>
          <w:rFonts w:ascii="Arial" w:hAnsi="Arial" w:eastAsia="宋体" w:cs="Arial"/>
        </w:rPr>
      </w:pPr>
    </w:p>
    <w:p w14:paraId="044AB53A">
      <w:pPr>
        <w:snapToGrid w:val="0"/>
        <w:spacing w:line="300" w:lineRule="auto"/>
        <w:rPr>
          <w:rFonts w:ascii="Arial" w:hAnsi="Arial" w:eastAsia="宋体" w:cs="Arial"/>
        </w:rPr>
      </w:pPr>
      <w:r>
        <w:rPr>
          <w:rFonts w:ascii="Arial" w:hAnsi="Arial" w:eastAsia="宋体" w:cs="Arial"/>
        </w:rPr>
        <w:t>其他副本可从网上下载。贵公司还可发送电邮申请至</w:t>
      </w:r>
      <w:r>
        <w:rPr>
          <w:rFonts w:ascii="Arial" w:hAnsi="Arial" w:eastAsia="宋体" w:cs="Arial"/>
          <w:color w:val="800080"/>
          <w:u w:val="single"/>
        </w:rPr>
        <w:t>dsmica@fda.hhs.gov</w:t>
      </w:r>
      <w:r>
        <w:rPr>
          <w:rFonts w:ascii="Arial" w:hAnsi="Arial" w:eastAsia="宋体" w:cs="Arial"/>
        </w:rPr>
        <w:t>获取本指南的电子副本或发送传真申请至301-847-8149获取复印件。请用文档编号1686确认贵公司索取的指南。</w:t>
      </w:r>
      <w:bookmarkEnd w:id="2"/>
      <w:bookmarkEnd w:id="3"/>
    </w:p>
    <w:p w14:paraId="06894A35">
      <w:pPr>
        <w:snapToGrid w:val="0"/>
        <w:spacing w:line="300" w:lineRule="auto"/>
        <w:rPr>
          <w:rFonts w:ascii="Arial" w:hAnsi="Arial" w:eastAsia="宋体" w:cs="Arial"/>
        </w:rPr>
      </w:pPr>
    </w:p>
    <w:p w14:paraId="00D987D5">
      <w:pPr>
        <w:widowControl/>
        <w:jc w:val="left"/>
        <w:rPr>
          <w:rFonts w:ascii="Arial" w:hAnsi="Arial" w:eastAsia="宋体" w:cs="Arial"/>
          <w:b/>
        </w:rPr>
      </w:pPr>
      <w:r>
        <w:rPr>
          <w:rFonts w:ascii="Arial" w:hAnsi="Arial" w:eastAsia="宋体" w:cs="Arial"/>
          <w:b/>
        </w:rPr>
        <w:br w:type="page"/>
      </w:r>
    </w:p>
    <w:p w14:paraId="2919A965">
      <w:pPr>
        <w:snapToGrid w:val="0"/>
        <w:spacing w:line="300" w:lineRule="auto"/>
        <w:rPr>
          <w:rFonts w:ascii="Arial" w:hAnsi="Arial" w:eastAsia="宋体" w:cs="Arial"/>
          <w:b/>
        </w:rPr>
      </w:pPr>
      <w:r>
        <w:rPr>
          <w:rFonts w:ascii="Arial" w:hAnsi="Arial" w:eastAsia="宋体" w:cs="Arial"/>
          <w:b/>
        </w:rPr>
        <w:t>目录</w:t>
      </w:r>
    </w:p>
    <w:p w14:paraId="1B2B49C7">
      <w:pPr>
        <w:snapToGrid w:val="0"/>
        <w:spacing w:line="300" w:lineRule="auto"/>
        <w:rPr>
          <w:rFonts w:ascii="Arial" w:hAnsi="Arial" w:eastAsia="宋体" w:cs="Arial"/>
        </w:rPr>
      </w:pPr>
    </w:p>
    <w:p w14:paraId="7442DA8A">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简介</w:t>
      </w:r>
    </w:p>
    <w:p w14:paraId="09CDFEA6">
      <w:pPr>
        <w:pStyle w:val="12"/>
        <w:numPr>
          <w:ilvl w:val="0"/>
          <w:numId w:val="2"/>
        </w:numPr>
        <w:snapToGrid w:val="0"/>
        <w:spacing w:line="300" w:lineRule="auto"/>
        <w:ind w:firstLineChars="0"/>
        <w:rPr>
          <w:rFonts w:ascii="Arial" w:hAnsi="Arial" w:eastAsia="宋体" w:cs="Arial"/>
        </w:rPr>
      </w:pPr>
      <w:r>
        <w:rPr>
          <w:rFonts w:ascii="Arial" w:hAnsi="Arial" w:eastAsia="宋体" w:cs="Arial"/>
        </w:rPr>
        <w:t>最小负担法</w:t>
      </w:r>
    </w:p>
    <w:p w14:paraId="0DFEFCF0">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背景－上市前通告</w:t>
      </w:r>
    </w:p>
    <w:p w14:paraId="4E04131E">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适用范围</w:t>
      </w:r>
    </w:p>
    <w:p w14:paraId="1228DAE3">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健康风险</w:t>
      </w:r>
    </w:p>
    <w:p w14:paraId="5C24DA72">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器械描述</w:t>
      </w:r>
    </w:p>
    <w:p w14:paraId="355BE820">
      <w:pPr>
        <w:pStyle w:val="12"/>
        <w:numPr>
          <w:ilvl w:val="0"/>
          <w:numId w:val="2"/>
        </w:numPr>
        <w:snapToGrid w:val="0"/>
        <w:spacing w:line="300" w:lineRule="auto"/>
        <w:ind w:firstLineChars="0"/>
        <w:rPr>
          <w:rFonts w:ascii="Arial" w:hAnsi="Arial" w:eastAsia="宋体" w:cs="Arial"/>
        </w:rPr>
      </w:pPr>
      <w:r>
        <w:rPr>
          <w:rFonts w:ascii="Arial" w:hAnsi="Arial" w:eastAsia="宋体" w:cs="Arial"/>
        </w:rPr>
        <w:t>5.A. 预期用途</w:t>
      </w:r>
    </w:p>
    <w:p w14:paraId="00900165">
      <w:pPr>
        <w:pStyle w:val="12"/>
        <w:numPr>
          <w:ilvl w:val="0"/>
          <w:numId w:val="2"/>
        </w:numPr>
        <w:snapToGrid w:val="0"/>
        <w:spacing w:line="300" w:lineRule="auto"/>
        <w:ind w:firstLineChars="0"/>
        <w:rPr>
          <w:rFonts w:ascii="Arial" w:hAnsi="Arial" w:eastAsia="宋体" w:cs="Arial"/>
        </w:rPr>
      </w:pPr>
      <w:r>
        <w:rPr>
          <w:rFonts w:ascii="Arial" w:hAnsi="Arial" w:eastAsia="宋体" w:cs="Arial"/>
        </w:rPr>
        <w:t>5.B. 检测方法</w:t>
      </w:r>
    </w:p>
    <w:p w14:paraId="0BC1B76D">
      <w:pPr>
        <w:pStyle w:val="12"/>
        <w:numPr>
          <w:ilvl w:val="0"/>
          <w:numId w:val="2"/>
        </w:numPr>
        <w:snapToGrid w:val="0"/>
        <w:spacing w:line="300" w:lineRule="auto"/>
        <w:ind w:firstLineChars="0"/>
        <w:rPr>
          <w:rFonts w:ascii="Arial" w:hAnsi="Arial" w:eastAsia="宋体" w:cs="Arial"/>
        </w:rPr>
      </w:pPr>
      <w:r>
        <w:rPr>
          <w:rFonts w:ascii="Arial" w:hAnsi="Arial" w:eastAsia="宋体" w:cs="Arial"/>
        </w:rPr>
        <w:t>5.C. 检测算法</w:t>
      </w:r>
    </w:p>
    <w:p w14:paraId="438EC5EC">
      <w:pPr>
        <w:pStyle w:val="12"/>
        <w:numPr>
          <w:ilvl w:val="0"/>
          <w:numId w:val="2"/>
        </w:numPr>
        <w:snapToGrid w:val="0"/>
        <w:spacing w:line="300" w:lineRule="auto"/>
        <w:ind w:firstLineChars="0"/>
        <w:rPr>
          <w:rFonts w:ascii="Arial" w:hAnsi="Arial" w:eastAsia="宋体" w:cs="Arial"/>
        </w:rPr>
      </w:pPr>
      <w:r>
        <w:rPr>
          <w:rFonts w:ascii="Arial" w:hAnsi="Arial" w:eastAsia="宋体" w:cs="Arial"/>
        </w:rPr>
        <w:t>5.D. 检测结果</w:t>
      </w:r>
    </w:p>
    <w:p w14:paraId="73871E5E">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性能特征</w:t>
      </w:r>
    </w:p>
    <w:p w14:paraId="32165BF1">
      <w:pPr>
        <w:pStyle w:val="12"/>
        <w:numPr>
          <w:ilvl w:val="0"/>
          <w:numId w:val="2"/>
        </w:numPr>
        <w:snapToGrid w:val="0"/>
        <w:spacing w:line="300" w:lineRule="auto"/>
        <w:ind w:firstLineChars="0"/>
        <w:rPr>
          <w:rFonts w:ascii="Arial" w:hAnsi="Arial" w:eastAsia="宋体" w:cs="Arial"/>
        </w:rPr>
      </w:pPr>
      <w:r>
        <w:rPr>
          <w:rFonts w:ascii="Arial" w:hAnsi="Arial" w:eastAsia="宋体" w:cs="Arial"/>
        </w:rPr>
        <w:t>6.A. 分析前因素</w:t>
      </w:r>
    </w:p>
    <w:p w14:paraId="3D6EC708">
      <w:pPr>
        <w:pStyle w:val="12"/>
        <w:numPr>
          <w:ilvl w:val="0"/>
          <w:numId w:val="2"/>
        </w:numPr>
        <w:snapToGrid w:val="0"/>
        <w:spacing w:line="300" w:lineRule="auto"/>
        <w:ind w:firstLineChars="0"/>
        <w:rPr>
          <w:rFonts w:ascii="Arial" w:hAnsi="Arial" w:eastAsia="宋体" w:cs="Arial"/>
        </w:rPr>
      </w:pPr>
      <w:r>
        <w:rPr>
          <w:rFonts w:ascii="Arial" w:hAnsi="Arial" w:eastAsia="宋体" w:cs="Arial"/>
        </w:rPr>
        <w:t>6.B. 质量控制</w:t>
      </w:r>
    </w:p>
    <w:p w14:paraId="4A24251C">
      <w:pPr>
        <w:pStyle w:val="12"/>
        <w:numPr>
          <w:ilvl w:val="0"/>
          <w:numId w:val="2"/>
        </w:numPr>
        <w:snapToGrid w:val="0"/>
        <w:spacing w:line="300" w:lineRule="auto"/>
        <w:ind w:firstLineChars="0"/>
        <w:rPr>
          <w:rFonts w:ascii="Arial" w:hAnsi="Arial" w:eastAsia="宋体" w:cs="Arial"/>
        </w:rPr>
      </w:pPr>
      <w:r>
        <w:rPr>
          <w:rFonts w:ascii="Arial" w:hAnsi="Arial" w:eastAsia="宋体" w:cs="Arial"/>
        </w:rPr>
        <w:t>6.C. 分析性能</w:t>
      </w:r>
    </w:p>
    <w:p w14:paraId="21CE7FFA">
      <w:pPr>
        <w:pStyle w:val="12"/>
        <w:numPr>
          <w:ilvl w:val="0"/>
          <w:numId w:val="2"/>
        </w:numPr>
        <w:snapToGrid w:val="0"/>
        <w:spacing w:line="300" w:lineRule="auto"/>
        <w:ind w:firstLineChars="0"/>
        <w:rPr>
          <w:rFonts w:ascii="Arial" w:hAnsi="Arial" w:eastAsia="宋体" w:cs="Arial"/>
        </w:rPr>
      </w:pPr>
      <w:r>
        <w:rPr>
          <w:rFonts w:ascii="Arial" w:hAnsi="Arial" w:eastAsia="宋体" w:cs="Arial"/>
        </w:rPr>
        <w:t>6.D. 临床确认</w:t>
      </w:r>
    </w:p>
    <w:p w14:paraId="34936E2F">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软件</w:t>
      </w:r>
    </w:p>
    <w:p w14:paraId="29776424">
      <w:pPr>
        <w:pStyle w:val="12"/>
        <w:numPr>
          <w:ilvl w:val="0"/>
          <w:numId w:val="1"/>
        </w:numPr>
        <w:snapToGrid w:val="0"/>
        <w:spacing w:line="300" w:lineRule="auto"/>
        <w:ind w:firstLineChars="0"/>
        <w:rPr>
          <w:rFonts w:ascii="Arial" w:hAnsi="Arial" w:eastAsia="宋体" w:cs="Arial"/>
          <w:color w:val="800080"/>
          <w:u w:val="single"/>
        </w:rPr>
      </w:pPr>
      <w:r>
        <w:rPr>
          <w:rFonts w:ascii="Arial" w:hAnsi="Arial" w:eastAsia="宋体" w:cs="Arial"/>
          <w:color w:val="800080"/>
          <w:u w:val="single"/>
        </w:rPr>
        <w:t>贴标</w:t>
      </w:r>
    </w:p>
    <w:p w14:paraId="1FCB82DD">
      <w:pPr>
        <w:snapToGrid w:val="0"/>
        <w:spacing w:line="300" w:lineRule="auto"/>
        <w:rPr>
          <w:rFonts w:ascii="Arial" w:hAnsi="Arial" w:eastAsia="宋体" w:cs="Arial"/>
        </w:rPr>
      </w:pPr>
    </w:p>
    <w:p w14:paraId="1FE84196">
      <w:pPr>
        <w:snapToGrid w:val="0"/>
        <w:spacing w:line="300" w:lineRule="auto"/>
        <w:rPr>
          <w:rFonts w:ascii="Arial" w:hAnsi="Arial" w:eastAsia="宋体" w:cs="Arial"/>
          <w:b/>
        </w:rPr>
      </w:pPr>
      <w:r>
        <w:rPr>
          <w:rFonts w:ascii="Arial" w:hAnsi="Arial" w:eastAsia="宋体" w:cs="Arial"/>
          <w:b/>
        </w:rPr>
        <w:t>行业和食品药品监督管理局工作人员指南</w:t>
      </w:r>
    </w:p>
    <w:p w14:paraId="793285A1">
      <w:pPr>
        <w:snapToGrid w:val="0"/>
        <w:spacing w:line="300" w:lineRule="auto"/>
        <w:rPr>
          <w:rFonts w:ascii="Arial" w:hAnsi="Arial" w:eastAsia="宋体" w:cs="Arial"/>
          <w:b/>
        </w:rPr>
      </w:pPr>
      <w:r>
        <w:rPr>
          <w:rFonts w:ascii="Arial" w:hAnsi="Arial" w:eastAsia="宋体" w:cs="Arial"/>
          <w:b/>
        </w:rPr>
        <w:t>－II类特殊控制指导性文件：</w:t>
      </w:r>
      <w:bookmarkStart w:id="4" w:name="OLE_LINK64"/>
      <w:bookmarkStart w:id="5" w:name="OLE_LINK63"/>
      <w:r>
        <w:rPr>
          <w:rFonts w:ascii="Arial" w:hAnsi="Arial" w:eastAsia="宋体" w:cs="Arial"/>
          <w:b/>
        </w:rPr>
        <w:t>心脏同种异体移植物基因表达谱检测系统</w:t>
      </w:r>
      <w:bookmarkEnd w:id="4"/>
      <w:bookmarkEnd w:id="5"/>
    </w:p>
    <w:p w14:paraId="6FC71319">
      <w:pPr>
        <w:snapToGrid w:val="0"/>
        <w:spacing w:line="300" w:lineRule="auto"/>
        <w:rPr>
          <w:rFonts w:ascii="Arial" w:hAnsi="Arial" w:eastAsia="宋体" w:cs="Arial"/>
        </w:rPr>
      </w:pPr>
    </w:p>
    <w:p w14:paraId="2851EA17">
      <w:pPr>
        <w:snapToGrid w:val="0"/>
        <w:spacing w:line="300" w:lineRule="auto"/>
        <w:rPr>
          <w:rFonts w:ascii="Arial" w:hAnsi="Arial" w:eastAsia="宋体" w:cs="Arial"/>
          <w:b/>
        </w:rPr>
      </w:pPr>
      <w:r>
        <w:rPr>
          <w:rFonts w:ascii="Arial" w:hAnsi="Arial" w:eastAsia="宋体" w:cs="Arial"/>
          <w:b/>
        </w:rPr>
        <w:t>1. 简介</w:t>
      </w:r>
    </w:p>
    <w:p w14:paraId="053CB5B7">
      <w:pPr>
        <w:snapToGrid w:val="0"/>
        <w:spacing w:line="300" w:lineRule="auto"/>
        <w:rPr>
          <w:rFonts w:ascii="Arial" w:hAnsi="Arial" w:eastAsia="宋体" w:cs="Arial"/>
        </w:rPr>
      </w:pPr>
    </w:p>
    <w:p w14:paraId="0DD359BF">
      <w:pPr>
        <w:snapToGrid w:val="0"/>
        <w:spacing w:line="300" w:lineRule="auto"/>
        <w:rPr>
          <w:rFonts w:ascii="Arial" w:hAnsi="Arial" w:eastAsia="宋体" w:cs="Arial"/>
        </w:rPr>
      </w:pPr>
      <w:r>
        <w:rPr>
          <w:rFonts w:ascii="Arial" w:hAnsi="Arial" w:eastAsia="宋体" w:cs="Arial"/>
        </w:rPr>
        <w:t>本指南是作为特殊控制指导而编制的，目的是支持将</w:t>
      </w:r>
      <w:bookmarkStart w:id="6" w:name="OLE_LINK65"/>
      <w:bookmarkStart w:id="7" w:name="OLE_LINK66"/>
      <w:r>
        <w:rPr>
          <w:rFonts w:ascii="Arial" w:hAnsi="Arial" w:eastAsia="宋体" w:cs="Arial"/>
        </w:rPr>
        <w:t>心脏同种异体移植物（简称移植物）基因表达谱检测系统</w:t>
      </w:r>
      <w:bookmarkEnd w:id="6"/>
      <w:bookmarkEnd w:id="7"/>
      <w:r>
        <w:rPr>
          <w:rFonts w:ascii="Arial" w:hAnsi="Arial" w:eastAsia="宋体" w:cs="Arial"/>
        </w:rPr>
        <w:t>归入II类器械（特殊控制）。</w:t>
      </w:r>
      <w:bookmarkStart w:id="8" w:name="OLE_LINK79"/>
      <w:bookmarkStart w:id="9" w:name="OLE_LINK78"/>
      <w:r>
        <w:rPr>
          <w:rFonts w:ascii="Arial" w:hAnsi="Arial" w:eastAsia="宋体" w:cs="Arial"/>
        </w:rPr>
        <w:t>心脏移植物基因表达谱检测系统是一种器械，其对多个基因的RNA表达水平进行测定，然后将表达信息组合起来生成一个识别标志（模式、分类标志、指数、适用范围），帮助鉴别一种低概率</w:t>
      </w:r>
      <w:bookmarkStart w:id="10" w:name="OLE_LINK14"/>
      <w:bookmarkStart w:id="11" w:name="OLE_LINK12"/>
      <w:bookmarkStart w:id="12" w:name="OLE_LINK13"/>
      <w:r>
        <w:rPr>
          <w:rFonts w:ascii="Arial" w:hAnsi="Arial" w:eastAsia="宋体" w:cs="Arial"/>
        </w:rPr>
        <w:t>急性细胞排斥反应</w:t>
      </w:r>
      <w:bookmarkEnd w:id="10"/>
      <w:bookmarkEnd w:id="11"/>
      <w:bookmarkEnd w:id="12"/>
      <w:r>
        <w:rPr>
          <w:rFonts w:ascii="Arial" w:hAnsi="Arial" w:eastAsia="宋体" w:cs="Arial"/>
        </w:rPr>
        <w:t>（ACR），该反应发生于移植物功能稳定的心脏移植受体中。</w:t>
      </w:r>
    </w:p>
    <w:bookmarkEnd w:id="8"/>
    <w:bookmarkEnd w:id="9"/>
    <w:p w14:paraId="4FFB0402">
      <w:pPr>
        <w:snapToGrid w:val="0"/>
        <w:spacing w:line="300" w:lineRule="auto"/>
        <w:rPr>
          <w:rFonts w:ascii="Arial" w:hAnsi="Arial" w:eastAsia="宋体" w:cs="Arial"/>
        </w:rPr>
      </w:pPr>
    </w:p>
    <w:p w14:paraId="5A8015D5">
      <w:pPr>
        <w:snapToGrid w:val="0"/>
        <w:spacing w:line="300" w:lineRule="auto"/>
        <w:rPr>
          <w:rFonts w:ascii="Arial" w:hAnsi="Arial" w:eastAsia="宋体" w:cs="Arial"/>
        </w:rPr>
      </w:pPr>
      <w:r>
        <w:rPr>
          <w:rFonts w:ascii="Arial" w:hAnsi="Arial" w:eastAsia="宋体" w:cs="Arial"/>
        </w:rPr>
        <w:t>本指南为准备</w:t>
      </w:r>
      <w:bookmarkStart w:id="13" w:name="OLE_LINK2"/>
      <w:bookmarkStart w:id="14" w:name="OLE_LINK1"/>
      <w:r>
        <w:rPr>
          <w:rFonts w:ascii="Arial" w:hAnsi="Arial" w:eastAsia="宋体" w:cs="Arial"/>
        </w:rPr>
        <w:t>心脏移植物基因表达谱检测系统</w:t>
      </w:r>
      <w:bookmarkEnd w:id="13"/>
      <w:bookmarkEnd w:id="14"/>
      <w:r>
        <w:rPr>
          <w:rFonts w:ascii="Arial" w:hAnsi="Arial" w:eastAsia="宋体" w:cs="Arial"/>
        </w:rPr>
        <w:t>上市前通告和贴标的制造商提供了推荐规范。本文件提供的推荐规范适用于RNA表达试剂盒，如实时多聚酶链反应（qRT-PCR）和基因表达微阵列。在临床实践中可将这些试剂盒作为一种辅助手段对移植物功能稳定的心脏移植受体中存在的低概率急性排斥反应进行鉴定。</w:t>
      </w:r>
      <w:bookmarkStart w:id="15" w:name="OLE_LINK10"/>
      <w:bookmarkStart w:id="16" w:name="OLE_LINK11"/>
      <w:r>
        <w:rPr>
          <w:rFonts w:ascii="Arial" w:hAnsi="Arial" w:eastAsia="宋体" w:cs="Arial"/>
        </w:rPr>
        <w:t>心脏移植物基因表达谱检测系统</w:t>
      </w:r>
      <w:bookmarkEnd w:id="15"/>
      <w:bookmarkEnd w:id="16"/>
      <w:r>
        <w:rPr>
          <w:rFonts w:ascii="Arial" w:hAnsi="Arial" w:eastAsia="宋体" w:cs="Arial"/>
        </w:rPr>
        <w:t>利用一种算法处理这些测定并生成一个结果。医生可利用该结果帮助管理功能稳定的心脏移植受体。</w:t>
      </w:r>
    </w:p>
    <w:p w14:paraId="58E4A974">
      <w:pPr>
        <w:snapToGrid w:val="0"/>
        <w:spacing w:line="300" w:lineRule="auto"/>
        <w:rPr>
          <w:rFonts w:ascii="Arial" w:hAnsi="Arial" w:eastAsia="宋体" w:cs="Arial"/>
        </w:rPr>
      </w:pPr>
    </w:p>
    <w:p w14:paraId="0B861871">
      <w:pPr>
        <w:snapToGrid w:val="0"/>
        <w:spacing w:line="300" w:lineRule="auto"/>
        <w:rPr>
          <w:rFonts w:ascii="Arial" w:hAnsi="Arial" w:eastAsia="宋体" w:cs="Arial"/>
        </w:rPr>
      </w:pPr>
      <w:bookmarkStart w:id="17" w:name="OLE_LINK92"/>
      <w:bookmarkStart w:id="18" w:name="OLE_LINK93"/>
      <w:r>
        <w:rPr>
          <w:rFonts w:ascii="Arial" w:hAnsi="Arial" w:eastAsia="宋体" w:cs="Arial"/>
        </w:rPr>
        <w:t>不打算将</w:t>
      </w:r>
      <w:bookmarkStart w:id="19" w:name="OLE_LINK19"/>
      <w:bookmarkStart w:id="20" w:name="OLE_LINK18"/>
      <w:r>
        <w:rPr>
          <w:rFonts w:ascii="Arial" w:hAnsi="Arial" w:eastAsia="宋体" w:cs="Arial"/>
        </w:rPr>
        <w:t>心脏移植物基因表达谱检测系统</w:t>
      </w:r>
      <w:bookmarkEnd w:id="19"/>
      <w:bookmarkEnd w:id="20"/>
      <w:r>
        <w:rPr>
          <w:rFonts w:ascii="Arial" w:hAnsi="Arial" w:eastAsia="宋体" w:cs="Arial"/>
        </w:rPr>
        <w:t>用于急性细胞排斥反应的诊断或治疗反应的预测或检测或为心脏移植受体选择最佳疗法。</w:t>
      </w:r>
    </w:p>
    <w:bookmarkEnd w:id="17"/>
    <w:bookmarkEnd w:id="18"/>
    <w:p w14:paraId="21691015">
      <w:pPr>
        <w:snapToGrid w:val="0"/>
        <w:spacing w:line="300" w:lineRule="auto"/>
        <w:rPr>
          <w:rFonts w:ascii="Arial" w:hAnsi="Arial" w:eastAsia="宋体" w:cs="Arial"/>
        </w:rPr>
      </w:pPr>
    </w:p>
    <w:p w14:paraId="0153F784">
      <w:pPr>
        <w:widowControl/>
        <w:jc w:val="left"/>
        <w:rPr>
          <w:rFonts w:ascii="Arial" w:hAnsi="Arial" w:eastAsia="宋体" w:cs="Arial"/>
        </w:rPr>
      </w:pPr>
      <w:r>
        <w:rPr>
          <w:rFonts w:ascii="Arial" w:hAnsi="Arial" w:eastAsia="宋体" w:cs="Arial"/>
        </w:rPr>
        <w:br w:type="page"/>
      </w:r>
    </w:p>
    <w:p w14:paraId="1311E663">
      <w:pPr>
        <w:snapToGrid w:val="0"/>
        <w:spacing w:line="300" w:lineRule="auto"/>
        <w:rPr>
          <w:rFonts w:ascii="Arial" w:hAnsi="Arial" w:eastAsia="宋体" w:cs="Arial"/>
        </w:rPr>
      </w:pPr>
      <w:r>
        <w:rPr>
          <w:rFonts w:ascii="Arial" w:hAnsi="Arial" w:eastAsia="宋体" w:cs="Arial"/>
        </w:rPr>
        <w:t>本指南与联邦公报的通告同时发布，籍此宣布</w:t>
      </w:r>
      <w:bookmarkStart w:id="21" w:name="OLE_LINK53"/>
      <w:bookmarkStart w:id="22" w:name="OLE_LINK54"/>
      <w:r>
        <w:rPr>
          <w:rFonts w:ascii="Arial" w:hAnsi="Arial" w:eastAsia="宋体" w:cs="Arial"/>
        </w:rPr>
        <w:t>心脏移植物基因表达谱检测系统</w:t>
      </w:r>
      <w:bookmarkEnd w:id="21"/>
      <w:bookmarkEnd w:id="22"/>
      <w:r>
        <w:rPr>
          <w:rFonts w:ascii="Arial" w:hAnsi="Arial" w:eastAsia="宋体" w:cs="Arial"/>
        </w:rPr>
        <w:t>的分类。提交心脏移植物基因表达谱检测系统510（k）上市前通告提交资料的任何公司均需对本特殊控制指南所包含的问题予以妥善解决。公司必须说明其器械解决了本指南确认的安全性和有效性问题。其解决问题的方式既可遵从本指南提供的推荐规范，亦可采用能提供安全性和有效性等同保证的某些其它方法。</w:t>
      </w:r>
    </w:p>
    <w:p w14:paraId="32EE6D4C">
      <w:pPr>
        <w:snapToGrid w:val="0"/>
        <w:spacing w:line="300" w:lineRule="auto"/>
        <w:rPr>
          <w:rFonts w:ascii="Arial" w:hAnsi="Arial" w:eastAsia="宋体" w:cs="Arial"/>
        </w:rPr>
      </w:pPr>
    </w:p>
    <w:p w14:paraId="0C2CA6AB">
      <w:pPr>
        <w:snapToGrid w:val="0"/>
        <w:spacing w:line="300" w:lineRule="auto"/>
        <w:rPr>
          <w:rFonts w:ascii="Arial" w:hAnsi="Arial" w:eastAsia="宋体" w:cs="Arial"/>
          <w:b/>
        </w:rPr>
      </w:pPr>
      <w:r>
        <w:rPr>
          <w:rFonts w:ascii="Arial" w:hAnsi="Arial" w:eastAsia="宋体" w:cs="Arial"/>
          <w:b/>
        </w:rPr>
        <w:t>最小负担法</w:t>
      </w:r>
    </w:p>
    <w:p w14:paraId="07585DC2">
      <w:pPr>
        <w:snapToGrid w:val="0"/>
        <w:spacing w:line="300" w:lineRule="auto"/>
        <w:rPr>
          <w:rFonts w:ascii="Arial" w:hAnsi="Arial" w:eastAsia="宋体" w:cs="Arial"/>
        </w:rPr>
      </w:pPr>
    </w:p>
    <w:p w14:paraId="39AF0210">
      <w:pPr>
        <w:snapToGrid w:val="0"/>
        <w:spacing w:line="300" w:lineRule="auto"/>
        <w:jc w:val="left"/>
        <w:rPr>
          <w:rFonts w:ascii="Arial" w:hAnsi="Arial" w:eastAsia="宋体" w:cs="Arial"/>
        </w:rPr>
      </w:pPr>
      <w:r>
        <w:rPr>
          <w:rFonts w:ascii="Arial" w:hAnsi="Arial" w:eastAsia="宋体" w:cs="Arial"/>
        </w:rPr>
        <w:t>本指南确认的问题是我们认为贵公司的器械能够上市前必须解决的问题。在编制本指南的过程中，我们仔细斟酌了本局决策采用的相关法定标准。另外，我们还斟酌了贵公司在努力遵从本指南并解决我们所确认问题的过程中可能产生的负担。我们认为我们已考虑采用最小负担法解决本指南呈现的问题。然而，如果贵公司认为有负担更小的方法可用于解决这些问题，应遵守“</w:t>
      </w:r>
      <w:r>
        <w:rPr>
          <w:rFonts w:ascii="Arial" w:hAnsi="Arial" w:eastAsia="宋体" w:cs="Arial"/>
          <w:b/>
        </w:rPr>
        <w:t>解决最小负担问题的一个建议方法</w:t>
      </w:r>
      <w:r>
        <w:rPr>
          <w:rFonts w:ascii="Arial" w:hAnsi="Arial" w:eastAsia="宋体" w:cs="Arial"/>
        </w:rPr>
        <w:t>”文件中描述的规程予以实施。该文件可在我们中心的网页上下载：</w:t>
      </w:r>
      <w:r>
        <w:fldChar w:fldCharType="begin"/>
      </w:r>
      <w:r>
        <w:instrText xml:space="preserve"> HYPERLINK "http://www.fda.gov/MedicalDevices/%20DeviceRegulationandGuidance/GuidanceDocuments/ucm085994.htm" </w:instrText>
      </w:r>
      <w:r>
        <w:fldChar w:fldCharType="separate"/>
      </w:r>
      <w:r>
        <w:rPr>
          <w:rStyle w:val="8"/>
          <w:rFonts w:ascii="Arial" w:hAnsi="Arial" w:eastAsia="宋体" w:cs="Arial"/>
          <w:color w:val="800080"/>
        </w:rPr>
        <w:t>http://www.fda.gov/MedicalDevices/ DeviceRegulationandGuidance/GuidanceDocuments/ucm085994.htm</w:t>
      </w:r>
      <w:r>
        <w:rPr>
          <w:rStyle w:val="8"/>
          <w:rFonts w:ascii="Arial" w:hAnsi="Arial" w:eastAsia="宋体" w:cs="Arial"/>
          <w:color w:val="800080"/>
        </w:rPr>
        <w:fldChar w:fldCharType="end"/>
      </w:r>
      <w:r>
        <w:rPr>
          <w:rFonts w:ascii="Arial" w:hAnsi="Arial" w:eastAsia="宋体" w:cs="Arial"/>
        </w:rPr>
        <w:t>。</w:t>
      </w:r>
    </w:p>
    <w:p w14:paraId="08401A41">
      <w:pPr>
        <w:snapToGrid w:val="0"/>
        <w:spacing w:line="300" w:lineRule="auto"/>
        <w:rPr>
          <w:rFonts w:ascii="Arial" w:hAnsi="Arial" w:eastAsia="宋体" w:cs="Arial"/>
        </w:rPr>
      </w:pPr>
    </w:p>
    <w:p w14:paraId="74053718">
      <w:pPr>
        <w:snapToGrid w:val="0"/>
        <w:spacing w:line="300" w:lineRule="auto"/>
        <w:rPr>
          <w:rFonts w:ascii="Arial" w:hAnsi="Arial" w:eastAsia="宋体" w:cs="Arial"/>
          <w:b/>
        </w:rPr>
      </w:pPr>
      <w:r>
        <w:rPr>
          <w:rFonts w:ascii="Arial" w:hAnsi="Arial" w:eastAsia="宋体" w:cs="Arial"/>
          <w:b/>
        </w:rPr>
        <w:t>2. 背景－上市前通告</w:t>
      </w:r>
    </w:p>
    <w:p w14:paraId="1BC3045E">
      <w:pPr>
        <w:snapToGrid w:val="0"/>
        <w:spacing w:line="300" w:lineRule="auto"/>
        <w:rPr>
          <w:rFonts w:ascii="Arial" w:hAnsi="Arial" w:eastAsia="宋体" w:cs="Arial"/>
        </w:rPr>
      </w:pPr>
    </w:p>
    <w:p w14:paraId="622DE491">
      <w:pPr>
        <w:snapToGrid w:val="0"/>
        <w:spacing w:line="300" w:lineRule="auto"/>
        <w:rPr>
          <w:rFonts w:ascii="Arial" w:hAnsi="Arial" w:eastAsia="宋体" w:cs="Arial"/>
        </w:rPr>
      </w:pPr>
      <w:r>
        <w:rPr>
          <w:rFonts w:ascii="Arial" w:hAnsi="Arial" w:eastAsia="宋体" w:cs="Arial"/>
        </w:rPr>
        <w:t>拟销售本属性类型器械的制造商必须</w:t>
      </w:r>
    </w:p>
    <w:p w14:paraId="066BCFB6">
      <w:pPr>
        <w:snapToGrid w:val="0"/>
        <w:spacing w:line="300" w:lineRule="auto"/>
        <w:rPr>
          <w:rFonts w:ascii="Arial" w:hAnsi="Arial" w:eastAsia="宋体" w:cs="Arial"/>
        </w:rPr>
      </w:pPr>
    </w:p>
    <w:p w14:paraId="70C6C02F">
      <w:pPr>
        <w:pStyle w:val="12"/>
        <w:numPr>
          <w:ilvl w:val="0"/>
          <w:numId w:val="3"/>
        </w:numPr>
        <w:snapToGrid w:val="0"/>
        <w:spacing w:line="300" w:lineRule="auto"/>
        <w:ind w:firstLineChars="0"/>
        <w:rPr>
          <w:rFonts w:ascii="Arial" w:hAnsi="Arial" w:eastAsia="宋体" w:cs="Arial"/>
        </w:rPr>
      </w:pPr>
      <w:r>
        <w:rPr>
          <w:rFonts w:ascii="Arial" w:hAnsi="Arial" w:eastAsia="宋体" w:cs="Arial"/>
        </w:rPr>
        <w:t>遵从联邦食品、药品和化妆品法案（简称法案）规定的通用控制要求，包括21 CFR 第807部E子部份描述的上市前通告要求，</w:t>
      </w:r>
    </w:p>
    <w:p w14:paraId="099954CE">
      <w:pPr>
        <w:pStyle w:val="12"/>
        <w:numPr>
          <w:ilvl w:val="0"/>
          <w:numId w:val="3"/>
        </w:numPr>
        <w:snapToGrid w:val="0"/>
        <w:spacing w:line="300" w:lineRule="auto"/>
        <w:ind w:firstLineChars="0"/>
        <w:rPr>
          <w:rFonts w:ascii="Arial" w:hAnsi="Arial" w:eastAsia="宋体" w:cs="Arial"/>
        </w:rPr>
      </w:pPr>
      <w:r>
        <w:rPr>
          <w:rFonts w:ascii="Arial" w:hAnsi="Arial" w:eastAsia="宋体" w:cs="Arial"/>
        </w:rPr>
        <w:t>遵从为本器械制定的特殊控制要求，解决本指南确认的与</w:t>
      </w:r>
      <w:bookmarkStart w:id="23" w:name="OLE_LINK61"/>
      <w:bookmarkStart w:id="24" w:name="OLE_LINK60"/>
      <w:bookmarkStart w:id="25" w:name="OLE_LINK62"/>
      <w:r>
        <w:rPr>
          <w:rFonts w:ascii="Arial" w:hAnsi="Arial" w:eastAsia="宋体" w:cs="Arial"/>
        </w:rPr>
        <w:t>心脏移植物基因表达谱检测系统</w:t>
      </w:r>
      <w:bookmarkEnd w:id="23"/>
      <w:bookmarkEnd w:id="24"/>
      <w:bookmarkEnd w:id="25"/>
      <w:r>
        <w:rPr>
          <w:rFonts w:ascii="Arial" w:hAnsi="Arial" w:eastAsia="宋体" w:cs="Arial"/>
        </w:rPr>
        <w:t>有关的特定健康风险，</w:t>
      </w:r>
    </w:p>
    <w:p w14:paraId="5A150FA0">
      <w:pPr>
        <w:pStyle w:val="12"/>
        <w:numPr>
          <w:ilvl w:val="0"/>
          <w:numId w:val="3"/>
        </w:numPr>
        <w:snapToGrid w:val="0"/>
        <w:spacing w:line="300" w:lineRule="auto"/>
        <w:ind w:firstLineChars="0"/>
        <w:rPr>
          <w:rFonts w:ascii="Arial" w:hAnsi="Arial" w:eastAsia="宋体" w:cs="Arial"/>
        </w:rPr>
      </w:pPr>
      <w:r>
        <w:rPr>
          <w:rFonts w:ascii="Arial" w:hAnsi="Arial" w:eastAsia="宋体" w:cs="Arial"/>
        </w:rPr>
        <w:t>在销售该器械前获得食品药品监督管理局做出的实质等同认定。（亦见21 CFR 807.81和807.87）</w:t>
      </w:r>
    </w:p>
    <w:p w14:paraId="03B2B807">
      <w:pPr>
        <w:snapToGrid w:val="0"/>
        <w:spacing w:line="300" w:lineRule="auto"/>
        <w:rPr>
          <w:rFonts w:ascii="Arial" w:hAnsi="Arial" w:eastAsia="宋体" w:cs="Arial"/>
        </w:rPr>
      </w:pPr>
    </w:p>
    <w:p w14:paraId="448ED9C6">
      <w:pPr>
        <w:snapToGrid w:val="0"/>
        <w:spacing w:line="300" w:lineRule="auto"/>
        <w:rPr>
          <w:rFonts w:ascii="Arial" w:hAnsi="Arial" w:eastAsia="宋体" w:cs="Arial"/>
        </w:rPr>
      </w:pPr>
      <w:r>
        <w:rPr>
          <w:rFonts w:ascii="Arial" w:hAnsi="Arial" w:eastAsia="宋体" w:cs="Arial"/>
        </w:rPr>
        <w:t>食品药品监督管理局认为，特殊控制要求与法案的通用控制要求相结合足以为这些器械的安全性和有效性提供合理保证。本特殊控制指南确认了心脏移植物基因表达谱检测系统的分类规则和产品代码（请参考第3节－适用范围）。本指南在其它部分为制造商提供了处理这些器械相关健康风险的推荐规范。</w:t>
      </w:r>
    </w:p>
    <w:p w14:paraId="0017D013">
      <w:pPr>
        <w:snapToGrid w:val="0"/>
        <w:spacing w:line="300" w:lineRule="auto"/>
        <w:rPr>
          <w:rFonts w:ascii="Arial" w:hAnsi="Arial" w:eastAsia="宋体" w:cs="Arial"/>
        </w:rPr>
      </w:pPr>
    </w:p>
    <w:p w14:paraId="060CF92C">
      <w:pPr>
        <w:snapToGrid w:val="0"/>
        <w:spacing w:line="300" w:lineRule="auto"/>
        <w:rPr>
          <w:rFonts w:ascii="Arial" w:hAnsi="Arial" w:eastAsia="宋体" w:cs="Arial"/>
        </w:rPr>
      </w:pPr>
      <w:r>
        <w:rPr>
          <w:rFonts w:ascii="Arial" w:hAnsi="Arial" w:eastAsia="宋体" w:cs="Arial"/>
        </w:rPr>
        <w:t>本指南在上市前通告提交资料具体内容要求方面弥补了食品药品监督管理局其它文件之不足。贵公司还应参考21 CFR 807.87和题为“</w:t>
      </w:r>
      <w:r>
        <w:rPr>
          <w:rFonts w:ascii="Arial" w:hAnsi="Arial" w:eastAsia="宋体" w:cs="Arial"/>
          <w:b/>
        </w:rPr>
        <w:t>传统和简化510（k）提交资料的格式</w:t>
      </w:r>
      <w:r>
        <w:rPr>
          <w:rFonts w:ascii="Arial" w:hAnsi="Arial" w:eastAsia="宋体" w:cs="Arial"/>
        </w:rPr>
        <w:t>”</w:t>
      </w:r>
      <w:r>
        <w:rPr>
          <w:rFonts w:ascii="Arial" w:hAnsi="Arial" w:eastAsia="宋体" w:cs="Arial"/>
          <w:vertAlign w:val="superscript"/>
        </w:rPr>
        <w:t>1</w:t>
      </w:r>
      <w:r>
        <w:rPr>
          <w:rFonts w:ascii="Arial" w:hAnsi="Arial" w:eastAsia="宋体" w:cs="Arial"/>
        </w:rPr>
        <w:t>的指南。如“</w:t>
      </w:r>
      <w:r>
        <w:rPr>
          <w:rFonts w:ascii="Arial" w:hAnsi="Arial" w:eastAsia="宋体" w:cs="Arial"/>
          <w:b/>
        </w:rPr>
        <w:t>510（k）新范本－在上市前通告中证明实质等同的备选方法</w:t>
      </w:r>
      <w:r>
        <w:rPr>
          <w:rFonts w:ascii="Arial" w:hAnsi="Arial" w:eastAsia="宋体" w:cs="Arial"/>
        </w:rPr>
        <w:t>”所述，</w:t>
      </w:r>
      <w:r>
        <w:rPr>
          <w:rFonts w:ascii="Arial" w:hAnsi="Arial" w:eastAsia="宋体" w:cs="Arial"/>
          <w:vertAlign w:val="superscript"/>
        </w:rPr>
        <w:t>2</w:t>
      </w:r>
      <w:r>
        <w:rPr>
          <w:rFonts w:ascii="Arial" w:hAnsi="Arial" w:eastAsia="宋体" w:cs="Arial"/>
        </w:rPr>
        <w:t>制造商可提交传统、</w:t>
      </w:r>
      <w:bookmarkStart w:id="26" w:name="OLE_LINK69"/>
      <w:bookmarkStart w:id="27" w:name="OLE_LINK70"/>
      <w:r>
        <w:rPr>
          <w:rFonts w:ascii="Arial" w:hAnsi="Arial" w:eastAsia="宋体" w:cs="Arial"/>
        </w:rPr>
        <w:t>简化或</w:t>
      </w:r>
      <w:bookmarkStart w:id="28" w:name="OLE_LINK72"/>
      <w:bookmarkStart w:id="29" w:name="OLE_LINK71"/>
      <w:r>
        <w:rPr>
          <w:rFonts w:ascii="Arial" w:hAnsi="Arial" w:eastAsia="宋体" w:cs="Arial"/>
        </w:rPr>
        <w:t>特别510（k）</w:t>
      </w:r>
      <w:bookmarkEnd w:id="26"/>
      <w:bookmarkEnd w:id="27"/>
      <w:bookmarkEnd w:id="28"/>
      <w:bookmarkEnd w:id="29"/>
      <w:r>
        <w:rPr>
          <w:rFonts w:ascii="Arial" w:hAnsi="Arial" w:eastAsia="宋体" w:cs="Arial"/>
        </w:rPr>
        <w:t>提交资料。存在指南、特殊控制要求已确立或食品药品监督管理局已为本器械确认了相关共识标准时，制造商可选择提交简化510（k）提交资料。考虑对自己已获许可的器械做出某些改进的制造商可提交特别510（k）提交资料。</w:t>
      </w:r>
    </w:p>
    <w:p w14:paraId="335418A7">
      <w:pPr>
        <w:snapToGrid w:val="0"/>
        <w:spacing w:line="300" w:lineRule="auto"/>
        <w:rPr>
          <w:rFonts w:ascii="Arial" w:hAnsi="Arial" w:eastAsia="宋体" w:cs="Arial"/>
        </w:rPr>
      </w:pPr>
    </w:p>
    <w:p w14:paraId="49A72148">
      <w:pPr>
        <w:widowControl/>
        <w:jc w:val="left"/>
        <w:rPr>
          <w:rFonts w:ascii="Arial" w:hAnsi="Arial" w:eastAsia="宋体" w:cs="Arial"/>
          <w:b/>
        </w:rPr>
      </w:pPr>
      <w:r>
        <w:rPr>
          <w:rFonts w:ascii="Arial" w:hAnsi="Arial" w:eastAsia="宋体" w:cs="Arial"/>
          <w:b/>
        </w:rPr>
        <w:br w:type="page"/>
      </w:r>
    </w:p>
    <w:p w14:paraId="34D86A44">
      <w:pPr>
        <w:snapToGrid w:val="0"/>
        <w:spacing w:line="300" w:lineRule="auto"/>
        <w:rPr>
          <w:rFonts w:ascii="Arial" w:hAnsi="Arial" w:eastAsia="宋体" w:cs="Arial"/>
          <w:b/>
        </w:rPr>
      </w:pPr>
      <w:r>
        <w:rPr>
          <w:rFonts w:ascii="Arial" w:hAnsi="Arial" w:eastAsia="宋体" w:cs="Arial"/>
          <w:b/>
        </w:rPr>
        <w:t>3. 适用范围</w:t>
      </w:r>
    </w:p>
    <w:p w14:paraId="1B2345F4">
      <w:pPr>
        <w:snapToGrid w:val="0"/>
        <w:spacing w:line="300" w:lineRule="auto"/>
        <w:rPr>
          <w:rFonts w:ascii="Arial" w:hAnsi="Arial" w:eastAsia="宋体" w:cs="Arial"/>
        </w:rPr>
      </w:pPr>
    </w:p>
    <w:p w14:paraId="6181E1D0">
      <w:pPr>
        <w:snapToGrid w:val="0"/>
        <w:spacing w:line="300" w:lineRule="auto"/>
        <w:rPr>
          <w:rFonts w:ascii="Arial" w:hAnsi="Arial" w:eastAsia="宋体" w:cs="Arial"/>
        </w:rPr>
      </w:pPr>
      <w:r>
        <w:rPr>
          <w:rFonts w:ascii="Arial" w:hAnsi="Arial" w:eastAsia="宋体" w:cs="Arial"/>
        </w:rPr>
        <w:t>本文件的适用范围限于21 CFR 862.1163描述的下列器械（产品代码：OJC）：</w:t>
      </w:r>
    </w:p>
    <w:p w14:paraId="4EC3113E">
      <w:pPr>
        <w:snapToGrid w:val="0"/>
        <w:spacing w:line="300" w:lineRule="auto"/>
        <w:rPr>
          <w:rFonts w:ascii="Arial" w:hAnsi="Arial" w:eastAsia="宋体" w:cs="Arial"/>
        </w:rPr>
      </w:pPr>
    </w:p>
    <w:p w14:paraId="364BDC7F">
      <w:pPr>
        <w:snapToGrid w:val="0"/>
        <w:spacing w:line="300" w:lineRule="auto"/>
        <w:rPr>
          <w:rFonts w:ascii="Arial" w:hAnsi="Arial" w:eastAsia="宋体" w:cs="Arial"/>
        </w:rPr>
      </w:pPr>
      <w:r>
        <w:rPr>
          <w:rFonts w:ascii="Arial" w:hAnsi="Arial" w:eastAsia="宋体" w:cs="Arial"/>
        </w:rPr>
        <w:t>21 CFR 862.1163－</w:t>
      </w:r>
      <w:bookmarkStart w:id="30" w:name="OLE_LINK80"/>
      <w:bookmarkStart w:id="31" w:name="OLE_LINK81"/>
      <w:r>
        <w:rPr>
          <w:rFonts w:ascii="Arial" w:hAnsi="Arial" w:eastAsia="宋体" w:cs="Arial"/>
        </w:rPr>
        <w:t>心脏移植物基因表达谱检测系统</w:t>
      </w:r>
      <w:bookmarkEnd w:id="30"/>
      <w:bookmarkEnd w:id="31"/>
      <w:r>
        <w:rPr>
          <w:rFonts w:ascii="Arial" w:hAnsi="Arial" w:eastAsia="宋体" w:cs="Arial"/>
        </w:rPr>
        <w:t>是一种器械，其对多个基因的RNA表达水平进行测定，然后将表达信息组合起来生成一个识别标志（模式、分类标志、指数、适用范围），帮助鉴别一种低概率急性细胞排斥反应（ACR）。该反应发生于移植物功能稳定的心脏移植受体中。</w:t>
      </w:r>
    </w:p>
    <w:p w14:paraId="1ED8CC93">
      <w:pPr>
        <w:snapToGrid w:val="0"/>
        <w:spacing w:line="300" w:lineRule="auto"/>
        <w:rPr>
          <w:rFonts w:ascii="Arial" w:hAnsi="Arial" w:eastAsia="宋体" w:cs="Arial"/>
        </w:rPr>
      </w:pPr>
    </w:p>
    <w:p w14:paraId="52E2B942">
      <w:pPr>
        <w:snapToGrid w:val="0"/>
        <w:spacing w:line="300" w:lineRule="auto"/>
        <w:rPr>
          <w:rFonts w:ascii="Arial" w:hAnsi="Arial" w:eastAsia="宋体" w:cs="Arial"/>
        </w:rPr>
      </w:pPr>
      <w:bookmarkStart w:id="32" w:name="OLE_LINK88"/>
      <w:bookmarkStart w:id="33" w:name="OLE_LINK89"/>
      <w:r>
        <w:rPr>
          <w:rFonts w:ascii="Arial" w:hAnsi="Arial" w:eastAsia="宋体" w:cs="Arial"/>
        </w:rPr>
        <w:t>心脏移植物基因表达谱检测系统</w:t>
      </w:r>
      <w:bookmarkEnd w:id="32"/>
      <w:bookmarkEnd w:id="33"/>
      <w:r>
        <w:rPr>
          <w:rFonts w:ascii="Arial" w:hAnsi="Arial" w:eastAsia="宋体" w:cs="Arial"/>
        </w:rPr>
        <w:t>可能需要适用于</w:t>
      </w:r>
      <w:bookmarkStart w:id="34" w:name="OLE_LINK83"/>
      <w:bookmarkStart w:id="35" w:name="OLE_LINK84"/>
      <w:bookmarkStart w:id="36" w:name="OLE_LINK87"/>
      <w:r>
        <w:rPr>
          <w:rFonts w:ascii="Arial" w:hAnsi="Arial" w:eastAsia="宋体" w:cs="Arial"/>
        </w:rPr>
        <w:t>临床多路检测系统的仪器配置</w:t>
      </w:r>
      <w:bookmarkEnd w:id="34"/>
      <w:bookmarkEnd w:id="35"/>
      <w:bookmarkEnd w:id="36"/>
      <w:r>
        <w:rPr>
          <w:rFonts w:ascii="Arial" w:hAnsi="Arial" w:eastAsia="宋体" w:cs="Arial"/>
        </w:rPr>
        <w:t>。临床多路检测系统的仪器配置受21 CFR 862.2570监管。此类仪器配置的指导原则可在食品药品监督管理局的“供行业和食品药品监督管理局工作人员用指南II类特殊控制指南：</w:t>
      </w:r>
      <w:bookmarkStart w:id="37" w:name="OLE_LINK91"/>
      <w:bookmarkStart w:id="38" w:name="OLE_LINK90"/>
      <w:r>
        <w:rPr>
          <w:rFonts w:ascii="Arial" w:hAnsi="Arial" w:eastAsia="宋体" w:cs="Arial"/>
        </w:rPr>
        <w:t>临床多路检测系统的仪器配置</w:t>
      </w:r>
      <w:bookmarkEnd w:id="37"/>
      <w:bookmarkEnd w:id="38"/>
      <w:r>
        <w:rPr>
          <w:rFonts w:ascii="Arial" w:hAnsi="Arial" w:eastAsia="宋体" w:cs="Arial"/>
        </w:rPr>
        <w:t>”中找到。</w:t>
      </w:r>
      <w:r>
        <w:rPr>
          <w:rFonts w:ascii="Arial" w:hAnsi="Arial" w:eastAsia="宋体" w:cs="Arial"/>
          <w:vertAlign w:val="superscript"/>
        </w:rPr>
        <w:t>3</w:t>
      </w:r>
      <w:r>
        <w:rPr>
          <w:rFonts w:ascii="Arial" w:hAnsi="Arial" w:eastAsia="宋体" w:cs="Arial"/>
        </w:rPr>
        <w:t>如果在贵公司的心脏移植物基因表达谱检测系统中包含了适合于本试剂盒的临床多路检测系统仪器配置，贵公司可在510（k）提交资料中提交关于本试剂盒和相应仪器配置的信息。如果仪器制造商偏爱只提交关于仪器配置的510（k）提交资料，他们可与试剂盒上市前通告一起提交该文件。</w:t>
      </w:r>
    </w:p>
    <w:p w14:paraId="14799B9D">
      <w:pPr>
        <w:snapToGrid w:val="0"/>
        <w:spacing w:line="300" w:lineRule="auto"/>
        <w:rPr>
          <w:rFonts w:ascii="Arial" w:hAnsi="Arial" w:eastAsia="宋体" w:cs="Arial"/>
        </w:rPr>
      </w:pPr>
    </w:p>
    <w:p w14:paraId="1E2B8D6F">
      <w:pPr>
        <w:snapToGrid w:val="0"/>
        <w:spacing w:line="300" w:lineRule="auto"/>
        <w:rPr>
          <w:rFonts w:ascii="Arial" w:hAnsi="Arial" w:eastAsia="宋体" w:cs="Arial"/>
        </w:rPr>
      </w:pPr>
      <w:r>
        <w:rPr>
          <w:rFonts w:ascii="Arial" w:hAnsi="Arial" w:eastAsia="宋体" w:cs="Arial"/>
        </w:rPr>
        <w:t>不打算将</w:t>
      </w:r>
      <w:bookmarkStart w:id="39" w:name="OLE_LINK97"/>
      <w:bookmarkStart w:id="40" w:name="OLE_LINK96"/>
      <w:r>
        <w:rPr>
          <w:rFonts w:ascii="Arial" w:hAnsi="Arial" w:eastAsia="宋体" w:cs="Arial"/>
        </w:rPr>
        <w:t>心脏移植物基因表达谱检测系统</w:t>
      </w:r>
      <w:bookmarkEnd w:id="39"/>
      <w:bookmarkEnd w:id="40"/>
      <w:r>
        <w:rPr>
          <w:rFonts w:ascii="Arial" w:hAnsi="Arial" w:eastAsia="宋体" w:cs="Arial"/>
        </w:rPr>
        <w:t>用于急性细胞排斥反应的诊断或治疗反应的预测或检测或为心脏移植受体选择最佳疗法。</w:t>
      </w:r>
    </w:p>
    <w:p w14:paraId="2A134445">
      <w:pPr>
        <w:snapToGrid w:val="0"/>
        <w:spacing w:line="300" w:lineRule="auto"/>
        <w:rPr>
          <w:rFonts w:ascii="Arial" w:hAnsi="Arial" w:eastAsia="宋体" w:cs="Arial"/>
        </w:rPr>
      </w:pPr>
    </w:p>
    <w:p w14:paraId="27B938DC">
      <w:pPr>
        <w:snapToGrid w:val="0"/>
        <w:spacing w:line="300" w:lineRule="auto"/>
        <w:rPr>
          <w:rFonts w:ascii="Arial" w:hAnsi="Arial" w:eastAsia="宋体" w:cs="Arial"/>
          <w:b/>
        </w:rPr>
      </w:pPr>
      <w:r>
        <w:rPr>
          <w:rFonts w:ascii="Arial" w:hAnsi="Arial" w:eastAsia="宋体" w:cs="Arial"/>
          <w:b/>
        </w:rPr>
        <w:t>4. 健康风险</w:t>
      </w:r>
    </w:p>
    <w:p w14:paraId="4BB30262">
      <w:pPr>
        <w:snapToGrid w:val="0"/>
        <w:spacing w:line="300" w:lineRule="auto"/>
        <w:rPr>
          <w:rFonts w:ascii="Arial" w:hAnsi="Arial" w:eastAsia="宋体" w:cs="Arial"/>
        </w:rPr>
      </w:pPr>
    </w:p>
    <w:p w14:paraId="170E962E">
      <w:pPr>
        <w:snapToGrid w:val="0"/>
        <w:spacing w:line="300" w:lineRule="auto"/>
        <w:rPr>
          <w:rFonts w:ascii="Arial" w:hAnsi="Arial" w:eastAsia="宋体" w:cs="Arial"/>
        </w:rPr>
      </w:pPr>
      <w:r>
        <w:rPr>
          <w:rFonts w:ascii="Arial" w:hAnsi="Arial" w:eastAsia="宋体" w:cs="Arial"/>
        </w:rPr>
        <w:t>心脏移植物基因表达谱检测系统拟用于移植物功能稳定的心脏移植受体，帮助鉴定发生在他们身上的一种低概率</w:t>
      </w:r>
      <w:bookmarkStart w:id="41" w:name="OLE_LINK98"/>
      <w:bookmarkStart w:id="42" w:name="OLE_LINK99"/>
      <w:r>
        <w:rPr>
          <w:rFonts w:ascii="Arial" w:hAnsi="Arial" w:eastAsia="宋体" w:cs="Arial"/>
        </w:rPr>
        <w:t>急性细胞排斥反应</w:t>
      </w:r>
      <w:bookmarkEnd w:id="41"/>
      <w:bookmarkEnd w:id="42"/>
      <w:r>
        <w:rPr>
          <w:rFonts w:ascii="Arial" w:hAnsi="Arial" w:eastAsia="宋体" w:cs="Arial"/>
        </w:rPr>
        <w:t>。按标示使用本器械失败可导致错误检测结果。假阳性结果可将患者错分到高风险组，而假阴性结果可将患者错分到低风险组。对急性细胞排斥反应的错分可导致不正确的患者管理和伴随而来的心理苦恼以及不准确的咨询和次优的患者治疗。</w:t>
      </w:r>
    </w:p>
    <w:p w14:paraId="6158DF54">
      <w:pPr>
        <w:snapToGrid w:val="0"/>
        <w:spacing w:line="300" w:lineRule="auto"/>
        <w:rPr>
          <w:rFonts w:ascii="Arial" w:hAnsi="Arial" w:eastAsia="宋体" w:cs="Arial"/>
        </w:rPr>
      </w:pPr>
    </w:p>
    <w:p w14:paraId="2755F9FF">
      <w:pPr>
        <w:snapToGrid w:val="0"/>
        <w:spacing w:line="300" w:lineRule="auto"/>
        <w:rPr>
          <w:rFonts w:ascii="Arial" w:hAnsi="Arial" w:eastAsia="宋体" w:cs="Arial"/>
        </w:rPr>
      </w:pPr>
      <w:r>
        <w:rPr>
          <w:rFonts w:ascii="Arial" w:hAnsi="Arial" w:eastAsia="宋体" w:cs="Arial"/>
        </w:rPr>
        <w:t>食品药品监督管理局在下表中确认了通常与使用本器械有关的健康风险。如下表所示，本指南给出了为减轻确认风险而推荐的控制措施。贵公司在提交上市前通告前应做一次风险分析，针对贵公司的器械确认任何其它风险。风险可随所用表达试剂盒的类型、检测产品的预期用途、标本类型和结果使用方法的不同而有所变化。在上市前通告中应对所用风险分析方法做出描述。如果贵公司选择使用备选方法应对本文件确认的风险或确认了本文件所述风险的附加风险，应提供足够细节支持贵公司应对风险所采用的方法。</w:t>
      </w:r>
    </w:p>
    <w:p w14:paraId="5E4DAB9C">
      <w:pPr>
        <w:snapToGrid w:val="0"/>
        <w:spacing w:line="300" w:lineRule="auto"/>
        <w:rPr>
          <w:rFonts w:ascii="Arial" w:hAnsi="Arial" w:eastAsia="宋体" w:cs="Aria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2318"/>
      </w:tblGrid>
      <w:tr w14:paraId="7D19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4F4EFB28">
            <w:pPr>
              <w:snapToGrid w:val="0"/>
              <w:spacing w:line="280" w:lineRule="exact"/>
              <w:rPr>
                <w:rFonts w:ascii="Arial" w:hAnsi="Arial" w:eastAsia="宋体" w:cs="Arial"/>
              </w:rPr>
            </w:pPr>
            <w:bookmarkStart w:id="43" w:name="OLE_LINK117"/>
            <w:bookmarkStart w:id="44" w:name="OLE_LINK38"/>
            <w:bookmarkStart w:id="45" w:name="OLE_LINK35"/>
            <w:bookmarkStart w:id="46" w:name="OLE_LINK112"/>
            <w:bookmarkStart w:id="47" w:name="OLE_LINK113"/>
            <w:bookmarkStart w:id="48" w:name="OLE_LINK116"/>
            <w:r>
              <w:rPr>
                <w:rFonts w:ascii="Arial" w:hAnsi="Arial" w:eastAsia="宋体" w:cs="Arial"/>
              </w:rPr>
              <w:t>确认风险</w:t>
            </w:r>
          </w:p>
        </w:tc>
        <w:tc>
          <w:tcPr>
            <w:tcW w:w="2318" w:type="dxa"/>
          </w:tcPr>
          <w:p w14:paraId="3AFFFB8D">
            <w:pPr>
              <w:snapToGrid w:val="0"/>
              <w:spacing w:line="280" w:lineRule="exact"/>
              <w:rPr>
                <w:rFonts w:ascii="Arial" w:hAnsi="Arial" w:eastAsia="宋体" w:cs="Arial"/>
              </w:rPr>
            </w:pPr>
            <w:r>
              <w:rPr>
                <w:rFonts w:ascii="Arial" w:hAnsi="Arial" w:eastAsia="宋体" w:cs="Arial"/>
              </w:rPr>
              <w:t>建议采取的减缓措施</w:t>
            </w:r>
          </w:p>
        </w:tc>
      </w:tr>
      <w:tr w14:paraId="2FBE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6C65033C">
            <w:pPr>
              <w:snapToGrid w:val="0"/>
              <w:spacing w:line="280" w:lineRule="exact"/>
              <w:rPr>
                <w:rFonts w:ascii="Arial" w:hAnsi="Arial" w:eastAsia="宋体" w:cs="Arial"/>
              </w:rPr>
            </w:pPr>
            <w:r>
              <w:rPr>
                <w:rFonts w:ascii="Arial" w:hAnsi="Arial" w:eastAsia="宋体" w:cs="Arial"/>
              </w:rPr>
              <w:t>未正确使用本检测产品，例如，因试剂、仪器配置、数据管理或软件故障导致结果不准确或缺失。这可导致假阳性结果或假阴性结果与不正确的患者管理（如错分为低概率急性细胞排斥反应可延迟采取适当的临床干预）。</w:t>
            </w:r>
          </w:p>
        </w:tc>
        <w:tc>
          <w:tcPr>
            <w:tcW w:w="2318" w:type="dxa"/>
          </w:tcPr>
          <w:p w14:paraId="2F07BFB0">
            <w:pPr>
              <w:snapToGrid w:val="0"/>
              <w:spacing w:line="280" w:lineRule="exact"/>
              <w:rPr>
                <w:rFonts w:ascii="Arial" w:hAnsi="Arial" w:eastAsia="宋体" w:cs="Arial"/>
              </w:rPr>
            </w:pPr>
            <w:r>
              <w:rPr>
                <w:rFonts w:ascii="Arial" w:hAnsi="Arial" w:eastAsia="宋体" w:cs="Arial"/>
              </w:rPr>
              <w:t>第6-7节</w:t>
            </w:r>
          </w:p>
        </w:tc>
      </w:tr>
      <w:tr w14:paraId="2179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1A38630D">
            <w:pPr>
              <w:snapToGrid w:val="0"/>
              <w:spacing w:line="280" w:lineRule="exact"/>
              <w:rPr>
                <w:rFonts w:ascii="Arial" w:hAnsi="Arial" w:eastAsia="宋体" w:cs="Arial"/>
              </w:rPr>
            </w:pPr>
            <w:r>
              <w:rPr>
                <w:rFonts w:ascii="Arial" w:hAnsi="Arial" w:eastAsia="宋体" w:cs="Arial"/>
              </w:rPr>
              <w:t>未正确解释检测结果</w:t>
            </w:r>
          </w:p>
        </w:tc>
        <w:tc>
          <w:tcPr>
            <w:tcW w:w="2318" w:type="dxa"/>
          </w:tcPr>
          <w:p w14:paraId="3C529F78">
            <w:pPr>
              <w:snapToGrid w:val="0"/>
              <w:spacing w:line="280" w:lineRule="exact"/>
              <w:rPr>
                <w:rFonts w:ascii="Arial" w:hAnsi="Arial" w:eastAsia="宋体" w:cs="Arial"/>
              </w:rPr>
            </w:pPr>
            <w:r>
              <w:rPr>
                <w:rFonts w:ascii="Arial" w:hAnsi="Arial" w:eastAsia="宋体" w:cs="Arial"/>
              </w:rPr>
              <w:t>第5节（见检测结果）和第8节</w:t>
            </w:r>
          </w:p>
        </w:tc>
      </w:tr>
      <w:bookmarkEnd w:id="43"/>
      <w:bookmarkEnd w:id="44"/>
      <w:bookmarkEnd w:id="45"/>
      <w:bookmarkEnd w:id="46"/>
      <w:bookmarkEnd w:id="47"/>
      <w:bookmarkEnd w:id="48"/>
    </w:tbl>
    <w:p w14:paraId="04E7C6B6">
      <w:pPr>
        <w:snapToGrid w:val="0"/>
        <w:spacing w:line="300" w:lineRule="auto"/>
        <w:rPr>
          <w:rFonts w:ascii="Arial" w:hAnsi="Arial" w:eastAsia="宋体" w:cs="Arial"/>
        </w:rPr>
      </w:pPr>
    </w:p>
    <w:p w14:paraId="15E7961B">
      <w:pPr>
        <w:snapToGrid w:val="0"/>
        <w:spacing w:line="300" w:lineRule="auto"/>
        <w:rPr>
          <w:rFonts w:ascii="Arial" w:hAnsi="Arial" w:eastAsia="宋体" w:cs="Arial"/>
          <w:b/>
        </w:rPr>
      </w:pPr>
      <w:r>
        <w:rPr>
          <w:rFonts w:ascii="Arial" w:hAnsi="Arial" w:eastAsia="宋体" w:cs="Arial"/>
          <w:b/>
        </w:rPr>
        <w:t>5. 器械描述</w:t>
      </w:r>
    </w:p>
    <w:p w14:paraId="0237CA4A">
      <w:pPr>
        <w:snapToGrid w:val="0"/>
        <w:spacing w:line="300" w:lineRule="auto"/>
        <w:rPr>
          <w:rFonts w:ascii="Arial" w:hAnsi="Arial" w:eastAsia="宋体" w:cs="Arial"/>
        </w:rPr>
      </w:pPr>
    </w:p>
    <w:p w14:paraId="2D7E710B">
      <w:pPr>
        <w:snapToGrid w:val="0"/>
        <w:spacing w:line="300" w:lineRule="auto"/>
        <w:rPr>
          <w:rFonts w:ascii="Arial" w:hAnsi="Arial" w:eastAsia="宋体" w:cs="Arial"/>
        </w:rPr>
      </w:pPr>
      <w:r>
        <w:rPr>
          <w:rFonts w:ascii="Arial" w:hAnsi="Arial" w:eastAsia="宋体" w:cs="Arial"/>
        </w:rPr>
        <w:t>我们建议贵公司通过上述第3节描述的规则和产品代码确认贵公司的器械。贵公司必须确认一种合法销售的基准器械（21 CFR 807.87（f））。为帮助食品药品监督管理局通过与基准器械相比较高效地对贵公司的器械进行审查，贵公司应在提交资料中包含一个表格。在表格中简要描述基准器械与贵公司器械的相似点和相异点。</w:t>
      </w:r>
    </w:p>
    <w:p w14:paraId="14BA91A0">
      <w:pPr>
        <w:snapToGrid w:val="0"/>
        <w:spacing w:line="300" w:lineRule="auto"/>
        <w:rPr>
          <w:rFonts w:ascii="Arial" w:hAnsi="Arial" w:eastAsia="宋体" w:cs="Arial"/>
        </w:rPr>
      </w:pPr>
    </w:p>
    <w:p w14:paraId="2740EA37">
      <w:pPr>
        <w:snapToGrid w:val="0"/>
        <w:spacing w:line="300" w:lineRule="auto"/>
        <w:rPr>
          <w:rFonts w:ascii="Arial" w:hAnsi="Arial" w:eastAsia="宋体" w:cs="Arial"/>
        </w:rPr>
      </w:pPr>
      <w:r>
        <w:rPr>
          <w:rFonts w:ascii="Arial" w:hAnsi="Arial" w:eastAsia="宋体" w:cs="Arial"/>
        </w:rPr>
        <w:t>对新器械审查的关键问题是具体的预期用途、受检标本类型和所用技术。为对新器械做出适当描述，除下列描述性信息外，贵公司可适当提供经过同行评议、与本器械所用技术有关的文献参考书目。</w:t>
      </w:r>
    </w:p>
    <w:p w14:paraId="77330427">
      <w:pPr>
        <w:snapToGrid w:val="0"/>
        <w:spacing w:line="300" w:lineRule="auto"/>
        <w:rPr>
          <w:rFonts w:ascii="Arial" w:hAnsi="Arial" w:eastAsia="宋体" w:cs="Arial"/>
        </w:rPr>
      </w:pPr>
    </w:p>
    <w:p w14:paraId="1077EA63">
      <w:pPr>
        <w:snapToGrid w:val="0"/>
        <w:spacing w:line="300" w:lineRule="auto"/>
        <w:rPr>
          <w:rFonts w:ascii="Arial" w:hAnsi="Arial" w:eastAsia="宋体" w:cs="Arial"/>
        </w:rPr>
      </w:pPr>
      <w:r>
        <w:rPr>
          <w:rFonts w:ascii="Arial" w:hAnsi="Arial" w:eastAsia="宋体" w:cs="Arial"/>
        </w:rPr>
        <w:t>为对贵公司的心脏移植物基因表达谱检测系统的特征做出适当描述，贵公司应在提交资料中包含下列描述性信息。</w:t>
      </w:r>
    </w:p>
    <w:p w14:paraId="43A9E06C">
      <w:pPr>
        <w:snapToGrid w:val="0"/>
        <w:spacing w:line="300" w:lineRule="auto"/>
        <w:rPr>
          <w:rFonts w:ascii="Arial" w:hAnsi="Arial" w:eastAsia="宋体" w:cs="Arial"/>
        </w:rPr>
      </w:pPr>
    </w:p>
    <w:p w14:paraId="70C66518">
      <w:pPr>
        <w:snapToGrid w:val="0"/>
        <w:spacing w:line="300" w:lineRule="auto"/>
        <w:rPr>
          <w:rFonts w:ascii="Arial" w:hAnsi="Arial" w:eastAsia="宋体" w:cs="Arial"/>
          <w:b/>
        </w:rPr>
      </w:pPr>
      <w:r>
        <w:rPr>
          <w:rFonts w:ascii="Arial" w:hAnsi="Arial" w:eastAsia="宋体" w:cs="Arial"/>
          <w:b/>
        </w:rPr>
        <w:t>5.A. 预期用途</w:t>
      </w:r>
    </w:p>
    <w:p w14:paraId="2D479D9E">
      <w:pPr>
        <w:snapToGrid w:val="0"/>
        <w:spacing w:line="300" w:lineRule="auto"/>
        <w:rPr>
          <w:rFonts w:ascii="Arial" w:hAnsi="Arial" w:eastAsia="宋体" w:cs="Arial"/>
        </w:rPr>
      </w:pPr>
    </w:p>
    <w:p w14:paraId="23EB11DE">
      <w:pPr>
        <w:snapToGrid w:val="0"/>
        <w:spacing w:line="300" w:lineRule="auto"/>
        <w:rPr>
          <w:rFonts w:ascii="Arial" w:hAnsi="Arial" w:eastAsia="宋体" w:cs="Arial"/>
        </w:rPr>
      </w:pPr>
      <w:bookmarkStart w:id="49" w:name="OLE_LINK85"/>
      <w:bookmarkStart w:id="50" w:name="OLE_LINK82"/>
      <w:r>
        <w:rPr>
          <w:rFonts w:ascii="Arial" w:hAnsi="Arial" w:eastAsia="宋体" w:cs="Arial"/>
        </w:rPr>
        <w:t>在预期用途部分应对本检测方法的检测对象、使用本检测方法的临床指征和拟使用本检测方法的具体人群做出详细描述。在本部分应包含对患者适</w:t>
      </w:r>
      <w:bookmarkStart w:id="51" w:name="OLE_LINK114"/>
      <w:bookmarkStart w:id="52" w:name="OLE_LINK115"/>
      <w:r>
        <w:rPr>
          <w:rFonts w:ascii="Arial" w:hAnsi="Arial" w:eastAsia="宋体" w:cs="Arial"/>
        </w:rPr>
        <w:t>用的</w:t>
      </w:r>
      <w:bookmarkEnd w:id="51"/>
      <w:bookmarkEnd w:id="52"/>
      <w:r>
        <w:rPr>
          <w:rFonts w:ascii="Arial" w:hAnsi="Arial" w:eastAsia="宋体" w:cs="Arial"/>
        </w:rPr>
        <w:t>临床和人口统计描述（如性别、移植物功能稳定性、移植后时间）。器械的临床性能就是从他们身上得以证实的。在预期用途部分应对本检测方法是定性或定量做出详细描述。如果计划在一个单一实验室使用本检测方法，在预期用途部分应包含该信息。</w:t>
      </w:r>
    </w:p>
    <w:bookmarkEnd w:id="49"/>
    <w:bookmarkEnd w:id="50"/>
    <w:p w14:paraId="6BDC7605">
      <w:pPr>
        <w:snapToGrid w:val="0"/>
        <w:spacing w:line="300" w:lineRule="auto"/>
        <w:rPr>
          <w:rFonts w:ascii="Arial" w:hAnsi="Arial" w:eastAsia="宋体" w:cs="Arial"/>
        </w:rPr>
      </w:pPr>
    </w:p>
    <w:p w14:paraId="0EE65FCA">
      <w:pPr>
        <w:snapToGrid w:val="0"/>
        <w:spacing w:line="300" w:lineRule="auto"/>
        <w:rPr>
          <w:rFonts w:ascii="Arial" w:hAnsi="Arial" w:eastAsia="宋体" w:cs="Arial"/>
          <w:b/>
        </w:rPr>
      </w:pPr>
      <w:r>
        <w:rPr>
          <w:rFonts w:ascii="Arial" w:hAnsi="Arial" w:eastAsia="宋体" w:cs="Arial"/>
          <w:b/>
        </w:rPr>
        <w:t>5.B. 检测方法</w:t>
      </w:r>
    </w:p>
    <w:p w14:paraId="63482DB5">
      <w:pPr>
        <w:snapToGrid w:val="0"/>
        <w:spacing w:line="300" w:lineRule="auto"/>
        <w:rPr>
          <w:rFonts w:ascii="Arial" w:hAnsi="Arial" w:eastAsia="宋体" w:cs="Arial"/>
        </w:rPr>
      </w:pPr>
    </w:p>
    <w:p w14:paraId="00C9C798">
      <w:pPr>
        <w:snapToGrid w:val="0"/>
        <w:spacing w:line="300" w:lineRule="auto"/>
        <w:rPr>
          <w:rFonts w:ascii="Arial" w:hAnsi="Arial" w:eastAsia="宋体" w:cs="Arial"/>
        </w:rPr>
      </w:pPr>
      <w:r>
        <w:rPr>
          <w:rFonts w:ascii="Arial" w:hAnsi="Arial" w:eastAsia="宋体" w:cs="Arial"/>
        </w:rPr>
        <w:t>贵公司应对贵公司器械使用的方法做出详细描述。例如，贵公司应对适用于贵公司器械的下列元素做出描述：</w:t>
      </w:r>
    </w:p>
    <w:p w14:paraId="7528FB5D">
      <w:pPr>
        <w:snapToGrid w:val="0"/>
        <w:spacing w:line="300" w:lineRule="auto"/>
        <w:rPr>
          <w:rFonts w:ascii="Arial" w:hAnsi="Arial" w:eastAsia="宋体" w:cs="Arial"/>
        </w:rPr>
      </w:pPr>
    </w:p>
    <w:p w14:paraId="2B4BA277">
      <w:pPr>
        <w:pStyle w:val="12"/>
        <w:numPr>
          <w:ilvl w:val="0"/>
          <w:numId w:val="4"/>
        </w:numPr>
        <w:snapToGrid w:val="0"/>
        <w:spacing w:line="300" w:lineRule="auto"/>
        <w:ind w:firstLineChars="0"/>
        <w:rPr>
          <w:rFonts w:ascii="Arial" w:hAnsi="Arial" w:eastAsia="宋体" w:cs="Arial"/>
        </w:rPr>
      </w:pPr>
      <w:r>
        <w:rPr>
          <w:rFonts w:ascii="Arial" w:hAnsi="Arial" w:eastAsia="宋体" w:cs="Arial"/>
        </w:rPr>
        <w:t>检测平台（如qRT-PCR或表达阵列）。</w:t>
      </w:r>
    </w:p>
    <w:p w14:paraId="770CB8B9">
      <w:pPr>
        <w:pStyle w:val="12"/>
        <w:numPr>
          <w:ilvl w:val="0"/>
          <w:numId w:val="4"/>
        </w:numPr>
        <w:snapToGrid w:val="0"/>
        <w:spacing w:line="300" w:lineRule="auto"/>
        <w:ind w:firstLineChars="0"/>
        <w:rPr>
          <w:rFonts w:ascii="Arial" w:hAnsi="Arial" w:eastAsia="宋体" w:cs="Arial"/>
        </w:rPr>
      </w:pPr>
      <w:r>
        <w:rPr>
          <w:rFonts w:ascii="Arial" w:hAnsi="Arial" w:eastAsia="宋体" w:cs="Arial"/>
        </w:rPr>
        <w:t>表达阵列或其它适用的空间固定平台的构成和空间布局。</w:t>
      </w:r>
    </w:p>
    <w:p w14:paraId="5FBDA497">
      <w:pPr>
        <w:pStyle w:val="12"/>
        <w:numPr>
          <w:ilvl w:val="0"/>
          <w:numId w:val="4"/>
        </w:numPr>
        <w:snapToGrid w:val="0"/>
        <w:spacing w:line="300" w:lineRule="auto"/>
        <w:ind w:firstLineChars="0"/>
        <w:rPr>
          <w:rFonts w:ascii="Arial" w:hAnsi="Arial" w:eastAsia="宋体" w:cs="Arial"/>
        </w:rPr>
      </w:pPr>
      <w:r>
        <w:rPr>
          <w:rFonts w:ascii="Arial" w:hAnsi="Arial" w:eastAsia="宋体" w:cs="Arial"/>
        </w:rPr>
        <w:t>对试剂盒成分尤其是标准化和质控所用基因之类参数的描述。</w:t>
      </w:r>
    </w:p>
    <w:p w14:paraId="5D12EB1B">
      <w:pPr>
        <w:pStyle w:val="12"/>
        <w:numPr>
          <w:ilvl w:val="0"/>
          <w:numId w:val="4"/>
        </w:numPr>
        <w:snapToGrid w:val="0"/>
        <w:spacing w:line="300" w:lineRule="auto"/>
        <w:ind w:firstLineChars="0"/>
        <w:rPr>
          <w:rFonts w:ascii="Arial" w:hAnsi="Arial" w:eastAsia="宋体" w:cs="Arial"/>
        </w:rPr>
      </w:pPr>
      <w:r>
        <w:rPr>
          <w:rFonts w:ascii="Arial" w:hAnsi="Arial" w:eastAsia="宋体" w:cs="Arial"/>
        </w:rPr>
        <w:t>贵公司如何评价标本残留或污染的可能性</w:t>
      </w:r>
    </w:p>
    <w:p w14:paraId="3FCC3653">
      <w:pPr>
        <w:pStyle w:val="12"/>
        <w:numPr>
          <w:ilvl w:val="0"/>
          <w:numId w:val="4"/>
        </w:numPr>
        <w:snapToGrid w:val="0"/>
        <w:spacing w:line="300" w:lineRule="auto"/>
        <w:ind w:firstLineChars="0"/>
        <w:rPr>
          <w:rFonts w:ascii="Arial" w:hAnsi="Arial" w:eastAsia="宋体" w:cs="Arial"/>
        </w:rPr>
      </w:pPr>
      <w:r>
        <w:rPr>
          <w:rFonts w:ascii="Arial" w:hAnsi="Arial" w:eastAsia="宋体" w:cs="Arial"/>
        </w:rPr>
        <w:t>本试剂盒的限制因素（如杂交的饱和水平、最大循环数）。</w:t>
      </w:r>
    </w:p>
    <w:p w14:paraId="68E375B8">
      <w:pPr>
        <w:pStyle w:val="12"/>
        <w:numPr>
          <w:ilvl w:val="0"/>
          <w:numId w:val="4"/>
        </w:numPr>
        <w:snapToGrid w:val="0"/>
        <w:spacing w:line="300" w:lineRule="auto"/>
        <w:ind w:firstLineChars="0"/>
        <w:rPr>
          <w:rFonts w:ascii="Arial" w:hAnsi="Arial" w:eastAsia="宋体" w:cs="Arial"/>
        </w:rPr>
      </w:pPr>
      <w:r>
        <w:rPr>
          <w:rFonts w:ascii="Arial" w:hAnsi="Arial" w:eastAsia="宋体" w:cs="Arial"/>
        </w:rPr>
        <w:t>关于表达阵列：</w:t>
      </w:r>
    </w:p>
    <w:p w14:paraId="00A26218">
      <w:pPr>
        <w:pStyle w:val="12"/>
        <w:numPr>
          <w:ilvl w:val="0"/>
          <w:numId w:val="5"/>
        </w:numPr>
        <w:snapToGrid w:val="0"/>
        <w:spacing w:line="300" w:lineRule="auto"/>
        <w:ind w:firstLineChars="0"/>
        <w:rPr>
          <w:rFonts w:ascii="Arial" w:hAnsi="Arial" w:eastAsia="宋体" w:cs="Arial"/>
        </w:rPr>
      </w:pPr>
      <w:r>
        <w:rPr>
          <w:rFonts w:ascii="Arial" w:hAnsi="Arial" w:eastAsia="宋体" w:cs="Arial"/>
        </w:rPr>
        <w:t>将探针材料附着到固体表面所用的方法。</w:t>
      </w:r>
    </w:p>
    <w:p w14:paraId="6CD32BCA">
      <w:pPr>
        <w:pStyle w:val="12"/>
        <w:numPr>
          <w:ilvl w:val="0"/>
          <w:numId w:val="5"/>
        </w:numPr>
        <w:snapToGrid w:val="0"/>
        <w:spacing w:line="300" w:lineRule="auto"/>
        <w:ind w:firstLineChars="0"/>
        <w:rPr>
          <w:rFonts w:ascii="Arial" w:hAnsi="Arial" w:eastAsia="宋体" w:cs="Arial"/>
        </w:rPr>
      </w:pPr>
      <w:r>
        <w:rPr>
          <w:rFonts w:ascii="Arial" w:hAnsi="Arial" w:eastAsia="宋体" w:cs="Arial"/>
        </w:rPr>
        <w:t>杂交条件、洗脱步骤和干燥条件（如温度、时长）。</w:t>
      </w:r>
    </w:p>
    <w:p w14:paraId="5F264BF2">
      <w:pPr>
        <w:pStyle w:val="12"/>
        <w:numPr>
          <w:ilvl w:val="0"/>
          <w:numId w:val="4"/>
        </w:numPr>
        <w:snapToGrid w:val="0"/>
        <w:spacing w:line="300" w:lineRule="auto"/>
        <w:ind w:firstLineChars="0"/>
        <w:rPr>
          <w:rFonts w:ascii="Arial" w:hAnsi="Arial" w:eastAsia="宋体" w:cs="Arial"/>
        </w:rPr>
      </w:pPr>
      <w:r>
        <w:rPr>
          <w:rFonts w:ascii="Arial" w:hAnsi="Arial" w:eastAsia="宋体" w:cs="Arial"/>
        </w:rPr>
        <w:t>探针与针对序列的特异性，尤其是存在假基因或序列相关基因时。</w:t>
      </w:r>
    </w:p>
    <w:p w14:paraId="1B8A6D7D">
      <w:pPr>
        <w:pStyle w:val="12"/>
        <w:numPr>
          <w:ilvl w:val="0"/>
          <w:numId w:val="4"/>
        </w:numPr>
        <w:snapToGrid w:val="0"/>
        <w:spacing w:line="300" w:lineRule="auto"/>
        <w:ind w:firstLineChars="0"/>
        <w:rPr>
          <w:rFonts w:ascii="Arial" w:hAnsi="Arial" w:eastAsia="宋体" w:cs="Arial"/>
        </w:rPr>
      </w:pPr>
      <w:r>
        <w:rPr>
          <w:rFonts w:ascii="Arial" w:hAnsi="Arial" w:eastAsia="宋体" w:cs="Arial"/>
        </w:rPr>
        <w:t>标本采集要求</w:t>
      </w:r>
    </w:p>
    <w:p w14:paraId="3B5C99F6">
      <w:pPr>
        <w:pStyle w:val="12"/>
        <w:numPr>
          <w:ilvl w:val="0"/>
          <w:numId w:val="4"/>
        </w:numPr>
        <w:snapToGrid w:val="0"/>
        <w:spacing w:line="300" w:lineRule="auto"/>
        <w:ind w:firstLineChars="0"/>
        <w:rPr>
          <w:rFonts w:ascii="Arial" w:hAnsi="Arial" w:eastAsia="宋体" w:cs="Arial"/>
        </w:rPr>
      </w:pPr>
      <w:r>
        <w:rPr>
          <w:rFonts w:ascii="Arial" w:hAnsi="Arial" w:eastAsia="宋体" w:cs="Arial"/>
        </w:rPr>
        <w:t>从标本采集时间到标本加工前的处理方法。</w:t>
      </w:r>
    </w:p>
    <w:p w14:paraId="23F0654C">
      <w:pPr>
        <w:pStyle w:val="12"/>
        <w:numPr>
          <w:ilvl w:val="0"/>
          <w:numId w:val="4"/>
        </w:numPr>
        <w:snapToGrid w:val="0"/>
        <w:spacing w:line="300" w:lineRule="auto"/>
        <w:ind w:firstLineChars="0"/>
        <w:rPr>
          <w:rFonts w:ascii="Arial" w:hAnsi="Arial" w:eastAsia="宋体" w:cs="Arial"/>
        </w:rPr>
      </w:pPr>
      <w:r>
        <w:rPr>
          <w:rFonts w:ascii="Arial" w:hAnsi="Arial" w:eastAsia="宋体" w:cs="Arial"/>
        </w:rPr>
        <w:t>贵公司向用户演示、提供或推荐的RNA提取方法。</w:t>
      </w:r>
    </w:p>
    <w:p w14:paraId="60644D18">
      <w:pPr>
        <w:pStyle w:val="12"/>
        <w:numPr>
          <w:ilvl w:val="0"/>
          <w:numId w:val="4"/>
        </w:numPr>
        <w:snapToGrid w:val="0"/>
        <w:spacing w:line="300" w:lineRule="auto"/>
        <w:ind w:firstLineChars="0"/>
        <w:rPr>
          <w:rFonts w:ascii="Arial" w:hAnsi="Arial" w:eastAsia="宋体" w:cs="Arial"/>
        </w:rPr>
      </w:pPr>
      <w:r>
        <w:rPr>
          <w:rFonts w:ascii="Arial" w:hAnsi="Arial" w:eastAsia="宋体" w:cs="Arial"/>
        </w:rPr>
        <w:t>确保RNA在标本提取物中完整性的方法。</w:t>
      </w:r>
    </w:p>
    <w:p w14:paraId="1BA1B522">
      <w:pPr>
        <w:pStyle w:val="12"/>
        <w:numPr>
          <w:ilvl w:val="0"/>
          <w:numId w:val="4"/>
        </w:numPr>
        <w:snapToGrid w:val="0"/>
        <w:spacing w:line="300" w:lineRule="auto"/>
        <w:ind w:firstLineChars="0"/>
        <w:rPr>
          <w:rFonts w:ascii="Arial" w:hAnsi="Arial" w:eastAsia="宋体" w:cs="Arial"/>
        </w:rPr>
      </w:pPr>
      <w:r>
        <w:rPr>
          <w:rFonts w:ascii="Arial" w:hAnsi="Arial" w:eastAsia="宋体" w:cs="Arial"/>
        </w:rPr>
        <w:t>提供或推荐供使用的试剂成分及其在系统中的功能（如缓冲液、酶、荧光染料、化学发光试剂、其它信号放大/扩增试剂）。</w:t>
      </w:r>
    </w:p>
    <w:p w14:paraId="5707E174">
      <w:pPr>
        <w:pStyle w:val="12"/>
        <w:numPr>
          <w:ilvl w:val="0"/>
          <w:numId w:val="4"/>
        </w:numPr>
        <w:snapToGrid w:val="0"/>
        <w:spacing w:line="300" w:lineRule="auto"/>
        <w:ind w:firstLineChars="0"/>
        <w:rPr>
          <w:rFonts w:ascii="Arial" w:hAnsi="Arial" w:eastAsia="宋体" w:cs="Arial"/>
        </w:rPr>
      </w:pPr>
      <w:r>
        <w:rPr>
          <w:rFonts w:ascii="Arial" w:hAnsi="Arial" w:eastAsia="宋体" w:cs="Arial"/>
        </w:rPr>
        <w:t>贵公司的器械所需的仪器配置，包括组件及其在系统中的功能。</w:t>
      </w:r>
    </w:p>
    <w:p w14:paraId="36174D94">
      <w:pPr>
        <w:pStyle w:val="12"/>
        <w:numPr>
          <w:ilvl w:val="0"/>
          <w:numId w:val="4"/>
        </w:numPr>
        <w:snapToGrid w:val="0"/>
        <w:spacing w:line="300" w:lineRule="auto"/>
        <w:ind w:firstLineChars="0"/>
        <w:rPr>
          <w:rFonts w:ascii="Arial" w:hAnsi="Arial" w:eastAsia="宋体" w:cs="Arial"/>
        </w:rPr>
      </w:pPr>
      <w:r>
        <w:rPr>
          <w:rFonts w:ascii="Arial" w:hAnsi="Arial" w:eastAsia="宋体" w:cs="Arial"/>
        </w:rPr>
        <w:t>仪器配置产生的输出类型和系统参数（如测定范围）。</w:t>
      </w:r>
    </w:p>
    <w:p w14:paraId="7896FE55">
      <w:pPr>
        <w:pStyle w:val="12"/>
        <w:numPr>
          <w:ilvl w:val="0"/>
          <w:numId w:val="4"/>
        </w:numPr>
        <w:snapToGrid w:val="0"/>
        <w:spacing w:line="300" w:lineRule="auto"/>
        <w:ind w:firstLineChars="0"/>
        <w:rPr>
          <w:rFonts w:ascii="Arial" w:hAnsi="Arial" w:eastAsia="宋体" w:cs="Arial"/>
        </w:rPr>
      </w:pPr>
      <w:r>
        <w:rPr>
          <w:rFonts w:ascii="Arial" w:hAnsi="Arial" w:eastAsia="宋体" w:cs="Arial"/>
        </w:rPr>
        <w:t>从原始数据至最终结果的计算路径（如原始信号如何转换为最终检测结果）。其中包括足够的用于确认和处理数据集中缺失值和显著问题的软件控制措施。对进行标准化时的背景调整做出描述。</w:t>
      </w:r>
    </w:p>
    <w:p w14:paraId="1C578A9E">
      <w:pPr>
        <w:pStyle w:val="12"/>
        <w:numPr>
          <w:ilvl w:val="0"/>
          <w:numId w:val="4"/>
        </w:numPr>
        <w:snapToGrid w:val="0"/>
        <w:spacing w:line="300" w:lineRule="auto"/>
        <w:ind w:firstLineChars="0"/>
        <w:rPr>
          <w:rFonts w:ascii="Arial" w:hAnsi="Arial" w:eastAsia="宋体" w:cs="Arial"/>
        </w:rPr>
      </w:pPr>
      <w:r>
        <w:rPr>
          <w:rFonts w:ascii="Arial" w:hAnsi="Arial" w:eastAsia="宋体" w:cs="Arial"/>
        </w:rPr>
        <w:t>贵公司向用户推荐或提供的外部对照。</w:t>
      </w:r>
    </w:p>
    <w:p w14:paraId="31835B5C">
      <w:pPr>
        <w:pStyle w:val="12"/>
        <w:numPr>
          <w:ilvl w:val="0"/>
          <w:numId w:val="4"/>
        </w:numPr>
        <w:snapToGrid w:val="0"/>
        <w:spacing w:line="300" w:lineRule="auto"/>
        <w:ind w:firstLineChars="0"/>
        <w:rPr>
          <w:rFonts w:ascii="Arial" w:hAnsi="Arial" w:eastAsia="宋体" w:cs="Arial"/>
        </w:rPr>
      </w:pPr>
      <w:r>
        <w:rPr>
          <w:rFonts w:ascii="Arial" w:hAnsi="Arial" w:eastAsia="宋体" w:cs="Arial"/>
        </w:rPr>
        <w:t>内部对照及对它们在系统中具体功能的描述。</w:t>
      </w:r>
    </w:p>
    <w:p w14:paraId="76AFF89E">
      <w:pPr>
        <w:pStyle w:val="12"/>
        <w:numPr>
          <w:ilvl w:val="0"/>
          <w:numId w:val="4"/>
        </w:numPr>
        <w:snapToGrid w:val="0"/>
        <w:spacing w:line="300" w:lineRule="auto"/>
        <w:ind w:firstLineChars="0"/>
        <w:rPr>
          <w:rFonts w:ascii="Arial" w:hAnsi="Arial" w:eastAsia="宋体" w:cs="Arial"/>
        </w:rPr>
      </w:pPr>
      <w:r>
        <w:rPr>
          <w:rFonts w:ascii="Arial" w:hAnsi="Arial" w:eastAsia="宋体" w:cs="Arial"/>
        </w:rPr>
        <w:t>经过同行评议的描述检测方法的相关文献参考书目（如果适用的话）。</w:t>
      </w:r>
    </w:p>
    <w:p w14:paraId="6C457F06">
      <w:pPr>
        <w:pStyle w:val="12"/>
        <w:numPr>
          <w:ilvl w:val="0"/>
          <w:numId w:val="4"/>
        </w:numPr>
        <w:snapToGrid w:val="0"/>
        <w:spacing w:line="300" w:lineRule="auto"/>
        <w:ind w:firstLineChars="0"/>
        <w:rPr>
          <w:rFonts w:ascii="Arial" w:hAnsi="Arial" w:eastAsia="宋体" w:cs="Arial"/>
        </w:rPr>
      </w:pPr>
      <w:r>
        <w:rPr>
          <w:rFonts w:ascii="Arial" w:hAnsi="Arial" w:eastAsia="宋体" w:cs="Arial"/>
        </w:rPr>
        <w:t>非标准设备或方法的插图或照片（如果适用的话）。</w:t>
      </w:r>
    </w:p>
    <w:p w14:paraId="2D0BFBDA">
      <w:pPr>
        <w:snapToGrid w:val="0"/>
        <w:spacing w:line="300" w:lineRule="auto"/>
        <w:rPr>
          <w:rFonts w:ascii="Arial" w:hAnsi="Arial" w:eastAsia="宋体" w:cs="Arial"/>
        </w:rPr>
      </w:pPr>
    </w:p>
    <w:p w14:paraId="70725D82">
      <w:pPr>
        <w:snapToGrid w:val="0"/>
        <w:spacing w:line="300" w:lineRule="auto"/>
        <w:rPr>
          <w:rFonts w:ascii="Arial" w:hAnsi="Arial" w:eastAsia="宋体" w:cs="Arial"/>
        </w:rPr>
      </w:pPr>
      <w:r>
        <w:rPr>
          <w:rFonts w:ascii="Arial" w:hAnsi="Arial" w:eastAsia="宋体" w:cs="Arial"/>
        </w:rPr>
        <w:t>在适用于贵公司器械的情况下，贵公司应对用来应对下列问题的质控设计规范做出描述：</w:t>
      </w:r>
    </w:p>
    <w:p w14:paraId="3488EF20">
      <w:pPr>
        <w:snapToGrid w:val="0"/>
        <w:spacing w:line="300" w:lineRule="auto"/>
        <w:rPr>
          <w:rFonts w:ascii="Arial" w:hAnsi="Arial" w:eastAsia="宋体" w:cs="Arial"/>
        </w:rPr>
      </w:pPr>
    </w:p>
    <w:p w14:paraId="69740F0B">
      <w:pPr>
        <w:pStyle w:val="12"/>
        <w:numPr>
          <w:ilvl w:val="0"/>
          <w:numId w:val="4"/>
        </w:numPr>
        <w:snapToGrid w:val="0"/>
        <w:spacing w:line="300" w:lineRule="auto"/>
        <w:ind w:firstLineChars="0"/>
        <w:rPr>
          <w:rFonts w:ascii="Arial" w:hAnsi="Arial" w:eastAsia="宋体" w:cs="Arial"/>
        </w:rPr>
      </w:pPr>
      <w:r>
        <w:rPr>
          <w:rFonts w:ascii="Arial" w:hAnsi="Arial" w:eastAsia="宋体" w:cs="Arial"/>
        </w:rPr>
        <w:t>正确布局和</w:t>
      </w:r>
      <w:r>
        <w:rPr>
          <w:rFonts w:hint="eastAsia" w:ascii="Arial" w:hAnsi="Arial" w:eastAsia="宋体" w:cs="Arial"/>
        </w:rPr>
        <w:t>试剂盒特征的同一性</w:t>
      </w:r>
      <w:r>
        <w:rPr>
          <w:rFonts w:ascii="Arial" w:hAnsi="Arial" w:eastAsia="宋体" w:cs="Arial"/>
        </w:rPr>
        <w:t>（如探针）（适用时）。</w:t>
      </w:r>
    </w:p>
    <w:p w14:paraId="5369B38C">
      <w:pPr>
        <w:pStyle w:val="12"/>
        <w:numPr>
          <w:ilvl w:val="0"/>
          <w:numId w:val="4"/>
        </w:numPr>
        <w:snapToGrid w:val="0"/>
        <w:spacing w:line="300" w:lineRule="auto"/>
        <w:ind w:firstLineChars="0"/>
        <w:rPr>
          <w:rFonts w:ascii="Arial" w:hAnsi="Arial" w:eastAsia="宋体" w:cs="Arial"/>
        </w:rPr>
      </w:pPr>
      <w:r>
        <w:rPr>
          <w:rFonts w:ascii="Arial" w:hAnsi="Arial" w:eastAsia="宋体" w:cs="Arial"/>
        </w:rPr>
        <w:t>对靶分子将接触多个不同探针的多路检测，特异性和非特异性探针交叉杂交的可能性。</w:t>
      </w:r>
    </w:p>
    <w:p w14:paraId="0BA6B6EE">
      <w:pPr>
        <w:pStyle w:val="12"/>
        <w:numPr>
          <w:ilvl w:val="0"/>
          <w:numId w:val="4"/>
        </w:numPr>
        <w:snapToGrid w:val="0"/>
        <w:spacing w:line="300" w:lineRule="auto"/>
        <w:ind w:firstLineChars="0"/>
        <w:rPr>
          <w:rFonts w:ascii="Arial" w:hAnsi="Arial" w:eastAsia="宋体" w:cs="Arial"/>
        </w:rPr>
      </w:pPr>
      <w:r>
        <w:rPr>
          <w:rFonts w:ascii="Arial" w:hAnsi="Arial" w:eastAsia="宋体" w:cs="Arial"/>
        </w:rPr>
        <w:t>探针交叉污染的预防，适用于生产过程中处理许多探针的多路检测。</w:t>
      </w:r>
    </w:p>
    <w:p w14:paraId="3DA479C1">
      <w:pPr>
        <w:snapToGrid w:val="0"/>
        <w:spacing w:line="300" w:lineRule="auto"/>
        <w:rPr>
          <w:rFonts w:ascii="Arial" w:hAnsi="Arial" w:eastAsia="宋体" w:cs="Arial"/>
        </w:rPr>
      </w:pPr>
    </w:p>
    <w:p w14:paraId="7E1963D5">
      <w:pPr>
        <w:snapToGrid w:val="0"/>
        <w:spacing w:line="300" w:lineRule="auto"/>
        <w:rPr>
          <w:rFonts w:ascii="Arial" w:hAnsi="Arial" w:eastAsia="宋体" w:cs="Arial"/>
          <w:b/>
        </w:rPr>
      </w:pPr>
      <w:r>
        <w:rPr>
          <w:rFonts w:ascii="Arial" w:hAnsi="Arial" w:eastAsia="宋体" w:cs="Arial"/>
          <w:b/>
        </w:rPr>
        <w:t>5.C. 检测算法</w:t>
      </w:r>
    </w:p>
    <w:p w14:paraId="114198D6">
      <w:pPr>
        <w:snapToGrid w:val="0"/>
        <w:spacing w:line="300" w:lineRule="auto"/>
        <w:rPr>
          <w:rFonts w:ascii="Arial" w:hAnsi="Arial" w:eastAsia="宋体" w:cs="Arial"/>
        </w:rPr>
      </w:pPr>
    </w:p>
    <w:p w14:paraId="7D1FD943">
      <w:pPr>
        <w:snapToGrid w:val="0"/>
        <w:spacing w:line="300" w:lineRule="auto"/>
        <w:rPr>
          <w:rFonts w:ascii="Arial" w:hAnsi="Arial" w:eastAsia="宋体" w:cs="Arial"/>
        </w:rPr>
      </w:pPr>
      <w:r>
        <w:rPr>
          <w:rFonts w:ascii="Arial" w:hAnsi="Arial" w:eastAsia="宋体" w:cs="Arial"/>
        </w:rPr>
        <w:t>在这些类型的检测系统中用来确定急性细胞排斥反应的算法常常可能是新奇、专有和复杂的且属于本检测系统的最关键元素。如果适用的话，贵公司应提供下列内容：</w:t>
      </w:r>
    </w:p>
    <w:p w14:paraId="2A8DDCB6">
      <w:pPr>
        <w:snapToGrid w:val="0"/>
        <w:spacing w:line="300" w:lineRule="auto"/>
        <w:rPr>
          <w:rFonts w:ascii="Arial" w:hAnsi="Arial" w:eastAsia="宋体" w:cs="Arial"/>
        </w:rPr>
      </w:pPr>
    </w:p>
    <w:p w14:paraId="36CE28AA">
      <w:pPr>
        <w:pStyle w:val="12"/>
        <w:numPr>
          <w:ilvl w:val="0"/>
          <w:numId w:val="4"/>
        </w:numPr>
        <w:snapToGrid w:val="0"/>
        <w:spacing w:line="300" w:lineRule="auto"/>
        <w:ind w:firstLineChars="0"/>
        <w:rPr>
          <w:rFonts w:ascii="Arial" w:hAnsi="Arial" w:eastAsia="宋体" w:cs="Arial"/>
        </w:rPr>
      </w:pPr>
      <w:r>
        <w:rPr>
          <w:rFonts w:ascii="Arial" w:hAnsi="Arial" w:eastAsia="宋体" w:cs="Arial"/>
        </w:rPr>
        <w:t>对算法结构和实施的详细描述。</w:t>
      </w:r>
    </w:p>
    <w:p w14:paraId="141B58C8">
      <w:pPr>
        <w:pStyle w:val="12"/>
        <w:numPr>
          <w:ilvl w:val="0"/>
          <w:numId w:val="4"/>
        </w:numPr>
        <w:snapToGrid w:val="0"/>
        <w:spacing w:line="300" w:lineRule="auto"/>
        <w:ind w:firstLineChars="0"/>
        <w:rPr>
          <w:rFonts w:ascii="Arial" w:hAnsi="Arial" w:eastAsia="宋体" w:cs="Arial"/>
        </w:rPr>
      </w:pPr>
      <w:r>
        <w:rPr>
          <w:rFonts w:ascii="Arial" w:hAnsi="Arial" w:eastAsia="宋体" w:cs="Arial"/>
        </w:rPr>
        <w:t>对数据集的详细描述。采用该数据集发现并确认贵公司的检测使用的模式和</w:t>
      </w:r>
      <w:r>
        <w:rPr>
          <w:rFonts w:hint="eastAsia" w:ascii="Arial" w:hAnsi="Arial" w:eastAsia="宋体" w:cs="Arial"/>
        </w:rPr>
        <w:t>分类因子</w:t>
      </w:r>
      <w:r>
        <w:rPr>
          <w:rFonts w:ascii="Arial" w:hAnsi="Arial" w:eastAsia="宋体" w:cs="Arial"/>
        </w:rPr>
        <w:t>（常常分别称之为“培训”和独立“检测”数据集），其中包括用来选择标本的原则、样本含量的统计学依据和构建数据集时贵公司做出的任何假设。相关数据就是从这些标本中产生的（如临床病史、人口统计信息、基质、地理来源）。在培训数据集中拥有标本的患者可能不是检测数据集的合适参加者。</w:t>
      </w:r>
    </w:p>
    <w:p w14:paraId="5A141D1C">
      <w:pPr>
        <w:pStyle w:val="12"/>
        <w:numPr>
          <w:ilvl w:val="0"/>
          <w:numId w:val="4"/>
        </w:numPr>
        <w:snapToGrid w:val="0"/>
        <w:spacing w:line="300" w:lineRule="auto"/>
        <w:ind w:firstLineChars="0"/>
        <w:rPr>
          <w:rFonts w:ascii="Arial" w:hAnsi="Arial" w:eastAsia="宋体" w:cs="Arial"/>
        </w:rPr>
      </w:pPr>
      <w:r>
        <w:rPr>
          <w:rFonts w:ascii="Arial" w:hAnsi="Arial" w:eastAsia="宋体" w:cs="Arial"/>
        </w:rPr>
        <w:t>对性能测定值（采用独立临床数据集进行内部确认和外部确认）和如何获得这些测定值的详细描述。</w:t>
      </w:r>
    </w:p>
    <w:p w14:paraId="7FF46474">
      <w:pPr>
        <w:snapToGrid w:val="0"/>
        <w:spacing w:line="300" w:lineRule="auto"/>
        <w:rPr>
          <w:rFonts w:ascii="Arial" w:hAnsi="Arial" w:eastAsia="宋体" w:cs="Arial"/>
        </w:rPr>
      </w:pPr>
    </w:p>
    <w:p w14:paraId="4B833E6E">
      <w:pPr>
        <w:snapToGrid w:val="0"/>
        <w:spacing w:line="300" w:lineRule="auto"/>
        <w:rPr>
          <w:rFonts w:ascii="Arial" w:hAnsi="Arial" w:eastAsia="宋体" w:cs="Arial"/>
        </w:rPr>
      </w:pPr>
      <w:r>
        <w:rPr>
          <w:rFonts w:ascii="Arial" w:hAnsi="Arial" w:eastAsia="宋体" w:cs="Arial"/>
        </w:rPr>
        <w:t>某些情况下，本器械和算法在产品开发期间会随时间演化。贵公司应提供采用贵公司器械的最终器械和最终算法获得的数据。</w:t>
      </w:r>
    </w:p>
    <w:p w14:paraId="445C6F32">
      <w:pPr>
        <w:snapToGrid w:val="0"/>
        <w:spacing w:line="300" w:lineRule="auto"/>
        <w:rPr>
          <w:rFonts w:ascii="Arial" w:hAnsi="Arial" w:eastAsia="宋体" w:cs="Arial"/>
        </w:rPr>
      </w:pPr>
    </w:p>
    <w:p w14:paraId="24BF8790">
      <w:pPr>
        <w:widowControl/>
        <w:jc w:val="left"/>
        <w:rPr>
          <w:rFonts w:ascii="Arial" w:hAnsi="Arial" w:eastAsia="宋体" w:cs="Arial"/>
          <w:b/>
        </w:rPr>
      </w:pPr>
      <w:r>
        <w:rPr>
          <w:rFonts w:ascii="Arial" w:hAnsi="Arial" w:eastAsia="宋体" w:cs="Arial"/>
          <w:b/>
        </w:rPr>
        <w:br w:type="page"/>
      </w:r>
    </w:p>
    <w:p w14:paraId="13BA70B8">
      <w:pPr>
        <w:snapToGrid w:val="0"/>
        <w:spacing w:line="300" w:lineRule="auto"/>
        <w:rPr>
          <w:rFonts w:ascii="Arial" w:hAnsi="Arial" w:eastAsia="宋体" w:cs="Arial"/>
          <w:b/>
        </w:rPr>
      </w:pPr>
      <w:r>
        <w:rPr>
          <w:rFonts w:ascii="Arial" w:hAnsi="Arial" w:eastAsia="宋体" w:cs="Arial"/>
          <w:b/>
        </w:rPr>
        <w:t>5.D. 检测结果</w:t>
      </w:r>
    </w:p>
    <w:p w14:paraId="079DDDBA">
      <w:pPr>
        <w:snapToGrid w:val="0"/>
        <w:spacing w:line="300" w:lineRule="auto"/>
        <w:rPr>
          <w:rFonts w:ascii="Arial" w:hAnsi="Arial" w:eastAsia="宋体" w:cs="Arial"/>
        </w:rPr>
      </w:pPr>
    </w:p>
    <w:p w14:paraId="45FC6E23">
      <w:pPr>
        <w:snapToGrid w:val="0"/>
        <w:spacing w:line="300" w:lineRule="auto"/>
        <w:rPr>
          <w:rFonts w:ascii="Arial" w:hAnsi="Arial" w:eastAsia="宋体" w:cs="Arial"/>
        </w:rPr>
      </w:pPr>
      <w:r>
        <w:rPr>
          <w:rFonts w:ascii="Arial" w:hAnsi="Arial" w:eastAsia="宋体" w:cs="Arial"/>
        </w:rPr>
        <w:t>贵公司应提供为临床医生生成的检测报告实例（如打印件）。在报告中应包含足够信息，允许订货医生或其他医疗保健专业人员对结果进行解释。检测报告应参考临床确认数据集中的检测性能。检测报告中包含的统计概要应与应当与使用的检验方法一致。例如，采用阴性预测值对急性细胞排斥反应的概率进行定量并采用阳性预测值对其进行补充。如果适用的话，在报告中可包含采用临床确认数据集计算的其它描述性信息（如本检测方法的灵敏度和特异度）。</w:t>
      </w:r>
    </w:p>
    <w:p w14:paraId="0D89F119">
      <w:pPr>
        <w:snapToGrid w:val="0"/>
        <w:spacing w:line="300" w:lineRule="auto"/>
        <w:rPr>
          <w:rFonts w:ascii="Arial" w:hAnsi="Arial" w:eastAsia="宋体" w:cs="Arial"/>
        </w:rPr>
      </w:pPr>
    </w:p>
    <w:p w14:paraId="5FFE1864">
      <w:pPr>
        <w:snapToGrid w:val="0"/>
        <w:spacing w:line="300" w:lineRule="auto"/>
        <w:rPr>
          <w:rFonts w:ascii="Arial" w:hAnsi="Arial" w:eastAsia="宋体" w:cs="Arial"/>
          <w:b/>
        </w:rPr>
      </w:pPr>
      <w:r>
        <w:rPr>
          <w:rFonts w:ascii="Arial" w:hAnsi="Arial" w:eastAsia="宋体" w:cs="Arial"/>
          <w:b/>
        </w:rPr>
        <w:t>6. 性能特征</w:t>
      </w:r>
    </w:p>
    <w:p w14:paraId="3B1558CC">
      <w:pPr>
        <w:snapToGrid w:val="0"/>
        <w:spacing w:line="300" w:lineRule="auto"/>
        <w:rPr>
          <w:rFonts w:ascii="Arial" w:hAnsi="Arial" w:eastAsia="宋体" w:cs="Arial"/>
        </w:rPr>
      </w:pPr>
    </w:p>
    <w:p w14:paraId="27E526A5">
      <w:pPr>
        <w:snapToGrid w:val="0"/>
        <w:spacing w:line="300" w:lineRule="auto"/>
        <w:rPr>
          <w:rFonts w:ascii="Arial" w:hAnsi="Arial" w:eastAsia="宋体" w:cs="Arial"/>
        </w:rPr>
      </w:pPr>
      <w:r>
        <w:rPr>
          <w:rFonts w:ascii="Arial" w:hAnsi="Arial" w:eastAsia="宋体" w:cs="Arial"/>
        </w:rPr>
        <w:t>贵公司应在510（k）提交资料中对贵公司用来评价下述每种性能特征的研究设计做出详细描述。</w:t>
      </w:r>
    </w:p>
    <w:p w14:paraId="430F18B6">
      <w:pPr>
        <w:snapToGrid w:val="0"/>
        <w:spacing w:line="300" w:lineRule="auto"/>
        <w:rPr>
          <w:rFonts w:ascii="Arial" w:hAnsi="Arial" w:eastAsia="宋体" w:cs="Arial"/>
        </w:rPr>
      </w:pPr>
    </w:p>
    <w:p w14:paraId="3DAA542F">
      <w:pPr>
        <w:snapToGrid w:val="0"/>
        <w:spacing w:line="300" w:lineRule="auto"/>
        <w:rPr>
          <w:rFonts w:ascii="Arial" w:hAnsi="Arial" w:eastAsia="宋体" w:cs="Arial"/>
          <w:b/>
        </w:rPr>
      </w:pPr>
      <w:r>
        <w:rPr>
          <w:rFonts w:ascii="Arial" w:hAnsi="Arial" w:eastAsia="宋体" w:cs="Arial"/>
          <w:b/>
        </w:rPr>
        <w:t>6.A. 分析前因素</w:t>
      </w:r>
    </w:p>
    <w:p w14:paraId="247C72BC">
      <w:pPr>
        <w:snapToGrid w:val="0"/>
        <w:spacing w:line="300" w:lineRule="auto"/>
        <w:rPr>
          <w:rFonts w:ascii="Arial" w:hAnsi="Arial" w:eastAsia="宋体" w:cs="Arial"/>
        </w:rPr>
      </w:pPr>
    </w:p>
    <w:p w14:paraId="655F005E">
      <w:pPr>
        <w:snapToGrid w:val="0"/>
        <w:spacing w:line="300" w:lineRule="auto"/>
        <w:rPr>
          <w:rFonts w:ascii="Arial" w:hAnsi="Arial" w:eastAsia="宋体" w:cs="Arial"/>
        </w:rPr>
      </w:pPr>
      <w:r>
        <w:rPr>
          <w:rFonts w:ascii="Arial" w:hAnsi="Arial" w:eastAsia="宋体" w:cs="Arial"/>
        </w:rPr>
        <w:t>对下列分析前因素的审议对高质量基因组检测来说具有决定性意义。</w:t>
      </w:r>
    </w:p>
    <w:p w14:paraId="5ECB0F84">
      <w:pPr>
        <w:snapToGrid w:val="0"/>
        <w:spacing w:line="300" w:lineRule="auto"/>
        <w:rPr>
          <w:rFonts w:ascii="Arial" w:hAnsi="Arial" w:eastAsia="宋体" w:cs="Arial"/>
        </w:rPr>
      </w:pPr>
    </w:p>
    <w:p w14:paraId="4A0966B0">
      <w:pPr>
        <w:snapToGrid w:val="0"/>
        <w:spacing w:line="300" w:lineRule="auto"/>
        <w:rPr>
          <w:rFonts w:ascii="Arial" w:hAnsi="Arial" w:eastAsia="宋体" w:cs="Arial"/>
          <w:b/>
          <w:i/>
        </w:rPr>
      </w:pPr>
      <w:r>
        <w:rPr>
          <w:rFonts w:ascii="Arial" w:hAnsi="Arial" w:eastAsia="宋体" w:cs="Arial"/>
          <w:b/>
          <w:i/>
        </w:rPr>
        <w:t>标本采集</w:t>
      </w:r>
    </w:p>
    <w:p w14:paraId="5F07BC22">
      <w:pPr>
        <w:snapToGrid w:val="0"/>
        <w:spacing w:line="300" w:lineRule="auto"/>
        <w:rPr>
          <w:rFonts w:ascii="Arial" w:hAnsi="Arial" w:eastAsia="宋体" w:cs="Arial"/>
        </w:rPr>
      </w:pPr>
    </w:p>
    <w:p w14:paraId="4D9792DC">
      <w:pPr>
        <w:snapToGrid w:val="0"/>
        <w:spacing w:line="300" w:lineRule="auto"/>
        <w:rPr>
          <w:rFonts w:ascii="Arial" w:hAnsi="Arial" w:eastAsia="宋体" w:cs="Arial"/>
        </w:rPr>
      </w:pPr>
      <w:r>
        <w:rPr>
          <w:rFonts w:ascii="Arial" w:hAnsi="Arial" w:eastAsia="宋体" w:cs="Arial"/>
        </w:rPr>
        <w:t>贵公司应采用按试剂盒标签推荐方式（如采集、储存、运输方法）处理的标本对贵公司推荐的标本采集、运输和储存选项的诸方面</w:t>
      </w:r>
      <w:bookmarkStart w:id="53" w:name="OLE_LINK3"/>
      <w:bookmarkStart w:id="54" w:name="OLE_LINK4"/>
      <w:r>
        <w:rPr>
          <w:rFonts w:ascii="Arial" w:hAnsi="Arial" w:eastAsia="宋体" w:cs="Arial"/>
        </w:rPr>
        <w:t>（如采血管类型、RNA保存固定剂）</w:t>
      </w:r>
      <w:bookmarkEnd w:id="53"/>
      <w:bookmarkEnd w:id="54"/>
      <w:r>
        <w:rPr>
          <w:rFonts w:ascii="Arial" w:hAnsi="Arial" w:eastAsia="宋体" w:cs="Arial"/>
        </w:rPr>
        <w:t>进行评价。评价内容包括对标本采集和RNA稳定（如采用冷冻、固定或其它方法）间的容许耗时可产生一致可接受标本的确认。贵公司应确认贵公司详细描述的运输条件足以确保标本的完整性并确定可接受的运输可变限度（如在途时间、所需冷冻剂的数量）。</w:t>
      </w:r>
    </w:p>
    <w:p w14:paraId="144F7A8F">
      <w:pPr>
        <w:snapToGrid w:val="0"/>
        <w:spacing w:line="300" w:lineRule="auto"/>
        <w:rPr>
          <w:rFonts w:ascii="Arial" w:hAnsi="Arial" w:eastAsia="宋体" w:cs="Arial"/>
        </w:rPr>
      </w:pPr>
    </w:p>
    <w:p w14:paraId="3071AF4A">
      <w:pPr>
        <w:snapToGrid w:val="0"/>
        <w:spacing w:line="300" w:lineRule="auto"/>
        <w:rPr>
          <w:rFonts w:ascii="Arial" w:hAnsi="Arial" w:eastAsia="宋体" w:cs="Arial"/>
        </w:rPr>
      </w:pPr>
      <w:r>
        <w:rPr>
          <w:rFonts w:ascii="Arial" w:hAnsi="Arial" w:eastAsia="宋体" w:cs="Arial"/>
        </w:rPr>
        <w:t>贵公司对适当储存条件的确认应包括标本和RNA提取产品两方面。</w:t>
      </w:r>
    </w:p>
    <w:p w14:paraId="0C852753">
      <w:pPr>
        <w:snapToGrid w:val="0"/>
        <w:spacing w:line="300" w:lineRule="auto"/>
        <w:rPr>
          <w:rFonts w:ascii="Arial" w:hAnsi="Arial" w:eastAsia="宋体" w:cs="Arial"/>
        </w:rPr>
      </w:pPr>
    </w:p>
    <w:p w14:paraId="6D8D8099">
      <w:pPr>
        <w:snapToGrid w:val="0"/>
        <w:spacing w:line="300" w:lineRule="auto"/>
        <w:rPr>
          <w:rFonts w:ascii="Arial" w:hAnsi="Arial" w:eastAsia="宋体" w:cs="Arial"/>
          <w:b/>
          <w:i/>
        </w:rPr>
      </w:pPr>
      <w:r>
        <w:rPr>
          <w:rFonts w:ascii="Arial" w:hAnsi="Arial" w:eastAsia="宋体" w:cs="Arial"/>
          <w:b/>
          <w:i/>
        </w:rPr>
        <w:t>RNA提取</w:t>
      </w:r>
    </w:p>
    <w:p w14:paraId="3CDE0926">
      <w:pPr>
        <w:snapToGrid w:val="0"/>
        <w:spacing w:line="300" w:lineRule="auto"/>
        <w:rPr>
          <w:rFonts w:ascii="Arial" w:hAnsi="Arial" w:eastAsia="宋体" w:cs="Arial"/>
        </w:rPr>
      </w:pPr>
    </w:p>
    <w:p w14:paraId="27D17D8B">
      <w:pPr>
        <w:snapToGrid w:val="0"/>
        <w:spacing w:line="300" w:lineRule="auto"/>
        <w:rPr>
          <w:rFonts w:ascii="Arial" w:hAnsi="Arial" w:eastAsia="宋体" w:cs="Arial"/>
        </w:rPr>
      </w:pPr>
      <w:r>
        <w:rPr>
          <w:rFonts w:ascii="Arial" w:hAnsi="Arial" w:eastAsia="宋体" w:cs="Arial"/>
        </w:rPr>
        <w:t>如果贵公司打算在贵公司的试剂盒中提供用于RNA提取和制备的试剂，贵公司应对分析前流程的每个步骤对再现性、准确度和产品稳定性的影响做出确认并在510（k）提交资料中对贵公司的研究设计和结果做出描述。在贵公司的外部场所研究（如再现性、方法比较）中应包含对分析前流程的评价。</w:t>
      </w:r>
    </w:p>
    <w:p w14:paraId="2AB7B0BA">
      <w:pPr>
        <w:snapToGrid w:val="0"/>
        <w:spacing w:line="300" w:lineRule="auto"/>
        <w:rPr>
          <w:rFonts w:ascii="Arial" w:hAnsi="Arial" w:eastAsia="宋体" w:cs="Arial"/>
        </w:rPr>
      </w:pPr>
    </w:p>
    <w:p w14:paraId="154E82B0">
      <w:pPr>
        <w:snapToGrid w:val="0"/>
        <w:spacing w:line="300" w:lineRule="auto"/>
        <w:rPr>
          <w:rFonts w:ascii="Arial" w:hAnsi="Arial" w:eastAsia="宋体" w:cs="Arial"/>
        </w:rPr>
      </w:pPr>
      <w:r>
        <w:rPr>
          <w:rFonts w:ascii="Arial" w:hAnsi="Arial" w:eastAsia="宋体" w:cs="Arial"/>
        </w:rPr>
        <w:t>如果贵公司不打算在贵公司的试剂盒中提供用于RNA提取和制备的试剂，贵公司应适当提供技术规范确保RNA质量足以产生正确的检测结果。技术规范的具体内容包括OD260/OD280比值、核糖体RNA比值（28S/18S）和RNA完整性测定。贵公司不应推荐任何仅供研究用（RUO）试剂。</w:t>
      </w:r>
    </w:p>
    <w:p w14:paraId="07AECD87">
      <w:pPr>
        <w:snapToGrid w:val="0"/>
        <w:spacing w:line="300" w:lineRule="auto"/>
        <w:rPr>
          <w:rFonts w:ascii="Arial" w:hAnsi="Arial" w:eastAsia="宋体" w:cs="Arial"/>
        </w:rPr>
      </w:pPr>
    </w:p>
    <w:p w14:paraId="48A8D959">
      <w:pPr>
        <w:widowControl/>
        <w:jc w:val="left"/>
        <w:rPr>
          <w:rFonts w:ascii="Arial" w:hAnsi="Arial" w:eastAsia="宋体" w:cs="Arial"/>
          <w:b/>
        </w:rPr>
      </w:pPr>
      <w:r>
        <w:rPr>
          <w:rFonts w:ascii="Arial" w:hAnsi="Arial" w:eastAsia="宋体" w:cs="Arial"/>
          <w:b/>
        </w:rPr>
        <w:br w:type="page"/>
      </w:r>
    </w:p>
    <w:p w14:paraId="4893098E">
      <w:pPr>
        <w:snapToGrid w:val="0"/>
        <w:spacing w:line="300" w:lineRule="auto"/>
        <w:rPr>
          <w:rFonts w:ascii="Arial" w:hAnsi="Arial" w:eastAsia="宋体" w:cs="Arial"/>
          <w:b/>
        </w:rPr>
      </w:pPr>
      <w:r>
        <w:rPr>
          <w:rFonts w:ascii="Arial" w:hAnsi="Arial" w:eastAsia="宋体" w:cs="Arial"/>
          <w:b/>
        </w:rPr>
        <w:t>6.B. 质量控制</w:t>
      </w:r>
    </w:p>
    <w:p w14:paraId="16F52891">
      <w:pPr>
        <w:snapToGrid w:val="0"/>
        <w:spacing w:line="300" w:lineRule="auto"/>
        <w:rPr>
          <w:rFonts w:ascii="Arial" w:hAnsi="Arial" w:eastAsia="宋体" w:cs="Arial"/>
        </w:rPr>
      </w:pPr>
    </w:p>
    <w:p w14:paraId="67057CBD">
      <w:pPr>
        <w:snapToGrid w:val="0"/>
        <w:spacing w:line="300" w:lineRule="auto"/>
        <w:rPr>
          <w:rFonts w:ascii="Arial" w:hAnsi="Arial" w:eastAsia="宋体" w:cs="Arial"/>
        </w:rPr>
      </w:pPr>
      <w:r>
        <w:rPr>
          <w:rFonts w:ascii="Arial" w:hAnsi="Arial" w:eastAsia="宋体" w:cs="Arial"/>
        </w:rPr>
        <w:t>对这种类型的心脏移植物基因表达谱检测系统应考虑实施几个水平的质控。对照应提供关于1）标本质量，2）RNA质量、数量和纯度与3）流程质量的信息。流程质控应能反映整个流程，包括但不限于RNA提取、RNA纯化、cDNA合成、扩增、杂交、扫描/检测和标准化（适用时）。</w:t>
      </w:r>
    </w:p>
    <w:p w14:paraId="1DE17022">
      <w:pPr>
        <w:snapToGrid w:val="0"/>
        <w:spacing w:line="300" w:lineRule="auto"/>
        <w:rPr>
          <w:rFonts w:ascii="Arial" w:hAnsi="Arial" w:eastAsia="宋体" w:cs="Arial"/>
        </w:rPr>
      </w:pPr>
    </w:p>
    <w:p w14:paraId="703E4F82">
      <w:pPr>
        <w:snapToGrid w:val="0"/>
        <w:spacing w:line="300" w:lineRule="auto"/>
        <w:rPr>
          <w:rFonts w:ascii="Arial" w:hAnsi="Arial" w:eastAsia="宋体" w:cs="Arial"/>
        </w:rPr>
      </w:pPr>
      <w:r>
        <w:rPr>
          <w:rFonts w:ascii="Arial" w:hAnsi="Arial" w:eastAsia="宋体" w:cs="Arial"/>
        </w:rPr>
        <w:t>为充分挑战本系统并应对测定范围（尤其临床危急值附近）的再现性，对照的构成和RNA浓度应与标本相接近。</w:t>
      </w:r>
    </w:p>
    <w:p w14:paraId="00C90B2A">
      <w:pPr>
        <w:snapToGrid w:val="0"/>
        <w:spacing w:line="300" w:lineRule="auto"/>
        <w:rPr>
          <w:rFonts w:ascii="Arial" w:hAnsi="Arial" w:eastAsia="宋体" w:cs="Arial"/>
        </w:rPr>
      </w:pPr>
    </w:p>
    <w:p w14:paraId="6F82D388">
      <w:pPr>
        <w:snapToGrid w:val="0"/>
        <w:spacing w:line="300" w:lineRule="auto"/>
        <w:rPr>
          <w:rFonts w:ascii="Arial" w:hAnsi="Arial" w:eastAsia="宋体" w:cs="Arial"/>
        </w:rPr>
      </w:pPr>
      <w:r>
        <w:rPr>
          <w:rFonts w:ascii="Arial" w:hAnsi="Arial" w:eastAsia="宋体" w:cs="Arial"/>
        </w:rPr>
        <w:t>贵公司应对有关质控和校准的下列信息做出描述：</w:t>
      </w:r>
    </w:p>
    <w:p w14:paraId="417D0C73">
      <w:pPr>
        <w:snapToGrid w:val="0"/>
        <w:spacing w:line="300" w:lineRule="auto"/>
        <w:rPr>
          <w:rFonts w:ascii="Arial" w:hAnsi="Arial" w:eastAsia="宋体" w:cs="Arial"/>
        </w:rPr>
      </w:pPr>
    </w:p>
    <w:p w14:paraId="1E60ED87">
      <w:pPr>
        <w:pStyle w:val="12"/>
        <w:numPr>
          <w:ilvl w:val="0"/>
          <w:numId w:val="6"/>
        </w:numPr>
        <w:snapToGrid w:val="0"/>
        <w:spacing w:line="300" w:lineRule="auto"/>
        <w:ind w:firstLineChars="0"/>
        <w:rPr>
          <w:rFonts w:ascii="Arial" w:hAnsi="Arial" w:eastAsia="宋体" w:cs="Arial"/>
        </w:rPr>
      </w:pPr>
      <w:r>
        <w:rPr>
          <w:rFonts w:ascii="Arial" w:hAnsi="Arial" w:eastAsia="宋体" w:cs="Arial"/>
        </w:rPr>
        <w:t>贵公司随系统附带或推荐的各种对照的性质和功能。这些对照应能帮助用户判定所有步骤和关键反应是否正常进行且无污染或交叉杂交。</w:t>
      </w:r>
    </w:p>
    <w:p w14:paraId="5AA47C89">
      <w:pPr>
        <w:pStyle w:val="12"/>
        <w:numPr>
          <w:ilvl w:val="0"/>
          <w:numId w:val="6"/>
        </w:numPr>
        <w:snapToGrid w:val="0"/>
        <w:spacing w:line="300" w:lineRule="auto"/>
        <w:ind w:firstLineChars="0"/>
        <w:rPr>
          <w:rFonts w:ascii="Arial" w:hAnsi="Arial" w:eastAsia="宋体" w:cs="Arial"/>
        </w:rPr>
      </w:pPr>
      <w:r>
        <w:rPr>
          <w:rFonts w:ascii="Arial" w:hAnsi="Arial" w:eastAsia="宋体" w:cs="Arial"/>
        </w:rPr>
        <w:t>贵公司用于赋值（相对值或绝对值）及确认对照和校准品的方法（如果适用的话）。</w:t>
      </w:r>
    </w:p>
    <w:p w14:paraId="059878BE">
      <w:pPr>
        <w:pStyle w:val="12"/>
        <w:numPr>
          <w:ilvl w:val="0"/>
          <w:numId w:val="6"/>
        </w:numPr>
        <w:snapToGrid w:val="0"/>
        <w:spacing w:line="300" w:lineRule="auto"/>
        <w:ind w:firstLineChars="0"/>
        <w:rPr>
          <w:rFonts w:ascii="Arial" w:hAnsi="Arial" w:eastAsia="宋体" w:cs="Arial"/>
        </w:rPr>
      </w:pPr>
      <w:r>
        <w:rPr>
          <w:rFonts w:ascii="Arial" w:hAnsi="Arial" w:eastAsia="宋体" w:cs="Arial"/>
        </w:rPr>
        <w:t>可用来检测仪器配置满足所要求技术规范失败的控制参数。</w:t>
      </w:r>
    </w:p>
    <w:p w14:paraId="1995DB02">
      <w:pPr>
        <w:snapToGrid w:val="0"/>
        <w:spacing w:line="300" w:lineRule="auto"/>
        <w:rPr>
          <w:rFonts w:ascii="Arial" w:hAnsi="Arial" w:eastAsia="宋体" w:cs="Arial"/>
        </w:rPr>
      </w:pPr>
    </w:p>
    <w:p w14:paraId="7E644988">
      <w:pPr>
        <w:snapToGrid w:val="0"/>
        <w:spacing w:line="300" w:lineRule="auto"/>
        <w:rPr>
          <w:rFonts w:ascii="Arial" w:hAnsi="Arial" w:eastAsia="宋体" w:cs="Arial"/>
          <w:b/>
        </w:rPr>
      </w:pPr>
      <w:r>
        <w:rPr>
          <w:rFonts w:ascii="Arial" w:hAnsi="Arial" w:eastAsia="宋体" w:cs="Arial"/>
          <w:b/>
        </w:rPr>
        <w:t>6.C. 分析性能</w:t>
      </w:r>
    </w:p>
    <w:p w14:paraId="7EB17075">
      <w:pPr>
        <w:snapToGrid w:val="0"/>
        <w:spacing w:line="300" w:lineRule="auto"/>
        <w:rPr>
          <w:rFonts w:ascii="Arial" w:hAnsi="Arial" w:eastAsia="宋体" w:cs="Arial"/>
        </w:rPr>
      </w:pPr>
    </w:p>
    <w:p w14:paraId="70AFC6C7">
      <w:pPr>
        <w:snapToGrid w:val="0"/>
        <w:spacing w:line="300" w:lineRule="auto"/>
        <w:rPr>
          <w:rFonts w:ascii="Arial" w:hAnsi="Arial" w:eastAsia="宋体" w:cs="Arial"/>
        </w:rPr>
      </w:pPr>
      <w:r>
        <w:rPr>
          <w:rFonts w:ascii="Arial" w:hAnsi="Arial" w:eastAsia="宋体" w:cs="Arial"/>
        </w:rPr>
        <w:t>进行所有分析性能研究时均应采用贵公司器械的最终版本而不是原型。贵公司应对试剂盒的性能做出评价，其中包括RNA提取。这些RNA包括了贵公司为贵公司的试剂盒推荐的所有来源的RNA（如全血、组织、外周血单个核细胞溶解产物）。我们建议贵公司对下列性能特征做出描述：</w:t>
      </w:r>
    </w:p>
    <w:p w14:paraId="77E822AD">
      <w:pPr>
        <w:snapToGrid w:val="0"/>
        <w:spacing w:line="300" w:lineRule="auto"/>
        <w:rPr>
          <w:rFonts w:ascii="Arial" w:hAnsi="Arial" w:eastAsia="宋体" w:cs="Arial"/>
        </w:rPr>
      </w:pPr>
    </w:p>
    <w:p w14:paraId="2AF9AB90">
      <w:pPr>
        <w:snapToGrid w:val="0"/>
        <w:spacing w:line="300" w:lineRule="auto"/>
        <w:rPr>
          <w:rFonts w:ascii="Arial" w:hAnsi="Arial" w:eastAsia="宋体" w:cs="Arial"/>
          <w:b/>
        </w:rPr>
      </w:pPr>
      <w:r>
        <w:rPr>
          <w:rFonts w:ascii="Arial" w:hAnsi="Arial" w:eastAsia="宋体" w:cs="Arial"/>
          <w:b/>
        </w:rPr>
        <w:t>标本要求</w:t>
      </w:r>
    </w:p>
    <w:p w14:paraId="025C7682">
      <w:pPr>
        <w:snapToGrid w:val="0"/>
        <w:spacing w:line="300" w:lineRule="auto"/>
        <w:rPr>
          <w:rFonts w:ascii="Arial" w:hAnsi="Arial" w:eastAsia="宋体" w:cs="Arial"/>
        </w:rPr>
      </w:pPr>
    </w:p>
    <w:p w14:paraId="1EFFF1A5">
      <w:pPr>
        <w:snapToGrid w:val="0"/>
        <w:spacing w:line="300" w:lineRule="auto"/>
        <w:rPr>
          <w:rFonts w:ascii="Arial" w:hAnsi="Arial" w:eastAsia="宋体" w:cs="Arial"/>
        </w:rPr>
      </w:pPr>
      <w:r>
        <w:rPr>
          <w:rFonts w:ascii="Arial" w:hAnsi="Arial" w:eastAsia="宋体" w:cs="Arial"/>
        </w:rPr>
        <w:t>贵公司应确认贵公司详细描述的标本要求足以在贵公司声明的准确度和精密度标准范围内确认贵公司试剂盒的诊断模式或分类因子。贵公司应确定：</w:t>
      </w:r>
    </w:p>
    <w:p w14:paraId="290B02D1">
      <w:pPr>
        <w:snapToGrid w:val="0"/>
        <w:spacing w:line="300" w:lineRule="auto"/>
        <w:rPr>
          <w:rFonts w:ascii="Arial" w:hAnsi="Arial" w:eastAsia="宋体" w:cs="Arial"/>
        </w:rPr>
      </w:pPr>
    </w:p>
    <w:p w14:paraId="35B4996E">
      <w:pPr>
        <w:pStyle w:val="12"/>
        <w:numPr>
          <w:ilvl w:val="0"/>
          <w:numId w:val="7"/>
        </w:numPr>
        <w:snapToGrid w:val="0"/>
        <w:spacing w:line="300" w:lineRule="auto"/>
        <w:ind w:firstLineChars="0"/>
        <w:rPr>
          <w:rFonts w:ascii="Arial" w:hAnsi="Arial" w:eastAsia="宋体" w:cs="Arial"/>
        </w:rPr>
      </w:pPr>
      <w:r>
        <w:rPr>
          <w:rFonts w:ascii="Arial" w:hAnsi="Arial" w:eastAsia="宋体" w:cs="Arial"/>
        </w:rPr>
        <w:t>用贵公司的器械进行可接受的测定所需的最小样本含量。</w:t>
      </w:r>
    </w:p>
    <w:p w14:paraId="375D20B4">
      <w:pPr>
        <w:pStyle w:val="12"/>
        <w:numPr>
          <w:ilvl w:val="0"/>
          <w:numId w:val="7"/>
        </w:numPr>
        <w:snapToGrid w:val="0"/>
        <w:spacing w:line="300" w:lineRule="auto"/>
        <w:ind w:firstLineChars="0"/>
        <w:rPr>
          <w:rFonts w:ascii="Arial" w:hAnsi="Arial" w:eastAsia="宋体" w:cs="Arial"/>
        </w:rPr>
      </w:pPr>
      <w:r>
        <w:rPr>
          <w:rFonts w:ascii="Arial" w:hAnsi="Arial" w:eastAsia="宋体" w:cs="Arial"/>
        </w:rPr>
        <w:t>本试剂盒的RNA/cDNA浓度检测下限和上限。在这个浓度范围内，本器械可给出具有给定准确度和精密度的可靠结果。</w:t>
      </w:r>
    </w:p>
    <w:p w14:paraId="326EC8FE">
      <w:pPr>
        <w:snapToGrid w:val="0"/>
        <w:spacing w:line="300" w:lineRule="auto"/>
        <w:rPr>
          <w:rFonts w:ascii="Arial" w:hAnsi="Arial" w:eastAsia="宋体" w:cs="Arial"/>
        </w:rPr>
      </w:pPr>
    </w:p>
    <w:p w14:paraId="4150280F">
      <w:pPr>
        <w:snapToGrid w:val="0"/>
        <w:spacing w:line="300" w:lineRule="auto"/>
        <w:rPr>
          <w:rFonts w:ascii="Arial" w:hAnsi="Arial" w:eastAsia="宋体" w:cs="Arial"/>
        </w:rPr>
      </w:pPr>
      <w:r>
        <w:rPr>
          <w:rFonts w:ascii="Arial" w:hAnsi="Arial" w:eastAsia="宋体" w:cs="Arial"/>
        </w:rPr>
        <w:t>对采用复杂算法生成识别标志（模式或分类因子或指数）的试剂盒来说，RNA浓度的上限和下限不应影响精密度测定所标示的检测结果。</w:t>
      </w:r>
    </w:p>
    <w:p w14:paraId="4849CBDE">
      <w:pPr>
        <w:snapToGrid w:val="0"/>
        <w:spacing w:line="300" w:lineRule="auto"/>
        <w:rPr>
          <w:rFonts w:ascii="Arial" w:hAnsi="Arial" w:eastAsia="宋体" w:cs="Arial"/>
        </w:rPr>
      </w:pPr>
    </w:p>
    <w:p w14:paraId="49FFC7ED">
      <w:pPr>
        <w:snapToGrid w:val="0"/>
        <w:spacing w:line="300" w:lineRule="auto"/>
        <w:rPr>
          <w:rFonts w:ascii="Arial" w:hAnsi="Arial" w:eastAsia="宋体" w:cs="Arial"/>
          <w:b/>
        </w:rPr>
      </w:pPr>
      <w:r>
        <w:rPr>
          <w:rFonts w:ascii="Arial" w:hAnsi="Arial" w:eastAsia="宋体" w:cs="Arial"/>
          <w:b/>
        </w:rPr>
        <w:t>分析特异度/干扰情况</w:t>
      </w:r>
    </w:p>
    <w:p w14:paraId="0EBF20B4">
      <w:pPr>
        <w:snapToGrid w:val="0"/>
        <w:spacing w:line="300" w:lineRule="auto"/>
        <w:rPr>
          <w:rFonts w:ascii="Arial" w:hAnsi="Arial" w:eastAsia="宋体" w:cs="Arial"/>
        </w:rPr>
      </w:pPr>
    </w:p>
    <w:p w14:paraId="5CE4B533">
      <w:pPr>
        <w:snapToGrid w:val="0"/>
        <w:spacing w:line="300" w:lineRule="auto"/>
        <w:rPr>
          <w:rFonts w:ascii="Arial" w:hAnsi="Arial" w:eastAsia="宋体" w:cs="Arial"/>
        </w:rPr>
      </w:pPr>
      <w:r>
        <w:rPr>
          <w:rFonts w:ascii="Arial" w:hAnsi="Arial" w:eastAsia="宋体" w:cs="Arial"/>
        </w:rPr>
        <w:t>在适用情况下，贵公司应对贵公司的器械发生非特异扩增、非特异杂交和交叉杂交的可能性做出评价。</w:t>
      </w:r>
    </w:p>
    <w:p w14:paraId="4BE5C262">
      <w:pPr>
        <w:snapToGrid w:val="0"/>
        <w:spacing w:line="300" w:lineRule="auto"/>
        <w:rPr>
          <w:rFonts w:ascii="Arial" w:hAnsi="Arial" w:eastAsia="宋体" w:cs="Arial"/>
        </w:rPr>
      </w:pPr>
    </w:p>
    <w:p w14:paraId="40A77DF3">
      <w:pPr>
        <w:widowControl/>
        <w:jc w:val="left"/>
        <w:rPr>
          <w:rFonts w:ascii="Arial" w:hAnsi="Arial" w:eastAsia="宋体" w:cs="Arial"/>
        </w:rPr>
      </w:pPr>
      <w:r>
        <w:rPr>
          <w:rFonts w:ascii="Arial" w:hAnsi="Arial" w:eastAsia="宋体" w:cs="Arial"/>
        </w:rPr>
        <w:br w:type="page"/>
      </w:r>
    </w:p>
    <w:p w14:paraId="63603757">
      <w:pPr>
        <w:snapToGrid w:val="0"/>
        <w:spacing w:line="300" w:lineRule="auto"/>
        <w:rPr>
          <w:rFonts w:ascii="Arial" w:hAnsi="Arial" w:eastAsia="宋体" w:cs="Arial"/>
        </w:rPr>
      </w:pPr>
      <w:r>
        <w:rPr>
          <w:rFonts w:ascii="Arial" w:hAnsi="Arial" w:eastAsia="宋体" w:cs="Arial"/>
        </w:rPr>
        <w:t>标本中可能存在潜在干扰物质。在标本采集和制备过程中亦可引入潜在干扰物质（如脂血症、溶血、标本肝素化）。因此，贵公司的RNA技术规范应足以排除任何潜在干扰物质的影响。</w:t>
      </w:r>
    </w:p>
    <w:p w14:paraId="528FE2FD">
      <w:pPr>
        <w:snapToGrid w:val="0"/>
        <w:spacing w:line="300" w:lineRule="auto"/>
        <w:rPr>
          <w:rFonts w:ascii="Arial" w:hAnsi="Arial" w:eastAsia="宋体" w:cs="Arial"/>
        </w:rPr>
      </w:pPr>
    </w:p>
    <w:p w14:paraId="4AA265D3">
      <w:pPr>
        <w:snapToGrid w:val="0"/>
        <w:spacing w:line="300" w:lineRule="auto"/>
        <w:rPr>
          <w:rFonts w:ascii="Arial" w:hAnsi="Arial" w:eastAsia="宋体" w:cs="Arial"/>
          <w:b/>
          <w:i/>
        </w:rPr>
      </w:pPr>
      <w:r>
        <w:rPr>
          <w:rFonts w:ascii="Arial" w:hAnsi="Arial" w:eastAsia="宋体" w:cs="Arial"/>
          <w:b/>
          <w:i/>
        </w:rPr>
        <w:t>临界值</w:t>
      </w:r>
    </w:p>
    <w:p w14:paraId="3260288C">
      <w:pPr>
        <w:snapToGrid w:val="0"/>
        <w:spacing w:line="300" w:lineRule="auto"/>
        <w:rPr>
          <w:rFonts w:ascii="Arial" w:hAnsi="Arial" w:eastAsia="宋体" w:cs="Arial"/>
        </w:rPr>
      </w:pPr>
    </w:p>
    <w:p w14:paraId="4E582FCE">
      <w:pPr>
        <w:snapToGrid w:val="0"/>
        <w:spacing w:line="300" w:lineRule="auto"/>
        <w:rPr>
          <w:rFonts w:ascii="Arial" w:hAnsi="Arial" w:eastAsia="宋体" w:cs="Arial"/>
        </w:rPr>
      </w:pPr>
      <w:r>
        <w:rPr>
          <w:rFonts w:ascii="Arial" w:hAnsi="Arial" w:eastAsia="宋体" w:cs="Arial"/>
        </w:rPr>
        <w:t>在贵公司的提交资料中，贵公司应对如何确定和确认临界值做出解释。确认研究中使用的临界值应在确认前确定。我们建议贵公司选择的临界值应能在假阴性和真阴性检测结果间提供一个可接受的风险/效益平衡（如高/低概率急性细胞排斥反应）。贵公司应采用适当的统计方法确认贵公司预期用途的临界值。如果本试剂盒存在模糊地带，贵公司应对如何确定模糊地带的限值做出解释。贵公司应采用既定临界值（和模糊地带，若有的话）在与贵公司器械的规定预期用途一致的独立人群中对贵公司器械的性能做出确认。</w:t>
      </w:r>
    </w:p>
    <w:p w14:paraId="49796EEB">
      <w:pPr>
        <w:snapToGrid w:val="0"/>
        <w:spacing w:line="300" w:lineRule="auto"/>
        <w:rPr>
          <w:rFonts w:ascii="Arial" w:hAnsi="Arial" w:eastAsia="宋体" w:cs="Arial"/>
        </w:rPr>
      </w:pPr>
    </w:p>
    <w:p w14:paraId="65326994">
      <w:pPr>
        <w:snapToGrid w:val="0"/>
        <w:spacing w:line="300" w:lineRule="auto"/>
        <w:rPr>
          <w:rFonts w:ascii="Arial" w:hAnsi="Arial" w:eastAsia="宋体" w:cs="Arial"/>
          <w:b/>
          <w:i/>
        </w:rPr>
      </w:pPr>
      <w:r>
        <w:rPr>
          <w:rFonts w:ascii="Arial" w:hAnsi="Arial" w:eastAsia="宋体" w:cs="Arial"/>
          <w:b/>
          <w:i/>
        </w:rPr>
        <w:t>精密度（</w:t>
      </w:r>
      <w:bookmarkStart w:id="55" w:name="OLE_LINK55"/>
      <w:bookmarkStart w:id="56" w:name="OLE_LINK56"/>
      <w:r>
        <w:rPr>
          <w:rFonts w:ascii="Arial" w:hAnsi="Arial" w:eastAsia="宋体" w:cs="Arial"/>
          <w:b/>
          <w:i/>
        </w:rPr>
        <w:t>可重复性/再现性</w:t>
      </w:r>
      <w:bookmarkEnd w:id="55"/>
      <w:bookmarkEnd w:id="56"/>
      <w:r>
        <w:rPr>
          <w:rFonts w:ascii="Arial" w:hAnsi="Arial" w:eastAsia="宋体" w:cs="Arial"/>
          <w:b/>
          <w:i/>
        </w:rPr>
        <w:t>）</w:t>
      </w:r>
    </w:p>
    <w:p w14:paraId="18D40BF9">
      <w:pPr>
        <w:snapToGrid w:val="0"/>
        <w:spacing w:line="300" w:lineRule="auto"/>
        <w:rPr>
          <w:rFonts w:ascii="Arial" w:hAnsi="Arial" w:eastAsia="宋体" w:cs="Arial"/>
        </w:rPr>
      </w:pPr>
    </w:p>
    <w:p w14:paraId="7BFDDC92">
      <w:pPr>
        <w:snapToGrid w:val="0"/>
        <w:spacing w:line="300" w:lineRule="auto"/>
        <w:rPr>
          <w:rFonts w:ascii="Arial" w:hAnsi="Arial" w:eastAsia="宋体" w:cs="Arial"/>
        </w:rPr>
      </w:pPr>
      <w:r>
        <w:rPr>
          <w:rFonts w:ascii="Arial" w:hAnsi="Arial" w:eastAsia="宋体" w:cs="Arial"/>
        </w:rPr>
        <w:t>贵公司应提供可证明贵公司系统精密度（即可重复性/再现性）的数据。临床实验室标准研究所文件“临床化学检测器械精密度性能评价”（</w:t>
      </w:r>
      <w:bookmarkStart w:id="57" w:name="OLE_LINK57"/>
      <w:r>
        <w:rPr>
          <w:rFonts w:ascii="Arial" w:hAnsi="Arial" w:eastAsia="宋体" w:cs="Arial"/>
        </w:rPr>
        <w:t>临床实验室标准研究所操作指南EP5-A</w:t>
      </w:r>
      <w:bookmarkEnd w:id="57"/>
      <w:r>
        <w:rPr>
          <w:rFonts w:ascii="Arial" w:hAnsi="Arial" w:eastAsia="宋体" w:cs="Arial"/>
        </w:rPr>
        <w:t>）和“定性检测性能评价用户方案”（临床实验室标准研究所操作指南EP-12A）中包含的操作指南对制定实验设计、计算方法和确立性能声明的格式可能是有益的。理论上，在精密度研究中贵公司应确认所有来源的测定变异。贵公司应确定贵公司的分类因子或分值在贵公司的预期用途人群中可能要遇到的临床标本范围内是可充分再现的。贵公司应加以考虑的影响精密度的其它因素包括下列逐项：</w:t>
      </w:r>
    </w:p>
    <w:p w14:paraId="41AEA270">
      <w:pPr>
        <w:snapToGrid w:val="0"/>
        <w:spacing w:line="300" w:lineRule="auto"/>
        <w:rPr>
          <w:rFonts w:ascii="Arial" w:hAnsi="Arial" w:eastAsia="宋体" w:cs="Arial"/>
        </w:rPr>
      </w:pPr>
    </w:p>
    <w:p w14:paraId="75FF9150">
      <w:pPr>
        <w:pStyle w:val="12"/>
        <w:numPr>
          <w:ilvl w:val="0"/>
          <w:numId w:val="8"/>
        </w:numPr>
        <w:snapToGrid w:val="0"/>
        <w:spacing w:line="300" w:lineRule="auto"/>
        <w:ind w:firstLineChars="0"/>
        <w:rPr>
          <w:rFonts w:ascii="Arial" w:hAnsi="Arial" w:eastAsia="宋体" w:cs="Arial"/>
        </w:rPr>
      </w:pPr>
      <w:r>
        <w:rPr>
          <w:rFonts w:ascii="Arial" w:hAnsi="Arial" w:eastAsia="宋体" w:cs="Arial"/>
        </w:rPr>
        <w:t>确保再现性检测中使用的标本是在检测场所采用贵公司计划在试剂盒标签中推荐的规程对临床标本（如从全血中获得的外周血单个核细胞溶解产物）进行处理后获得的。</w:t>
      </w:r>
    </w:p>
    <w:p w14:paraId="705BCC91">
      <w:pPr>
        <w:pStyle w:val="12"/>
        <w:numPr>
          <w:ilvl w:val="0"/>
          <w:numId w:val="8"/>
        </w:numPr>
        <w:snapToGrid w:val="0"/>
        <w:spacing w:line="300" w:lineRule="auto"/>
        <w:ind w:firstLineChars="0"/>
        <w:rPr>
          <w:rFonts w:ascii="Arial" w:hAnsi="Arial" w:eastAsia="宋体" w:cs="Arial"/>
        </w:rPr>
      </w:pPr>
      <w:r>
        <w:rPr>
          <w:rFonts w:ascii="Arial" w:hAnsi="Arial" w:eastAsia="宋体" w:cs="Arial"/>
        </w:rPr>
        <w:t>是否打算在一个以上实验室进行本测定（包括在3个或3个以上场所，每个场所均有多个操作人员进行操作）。操作人员应能在教育和经验方面反映本试剂盒潜在用户的实际情况。贵公司对操作人员提供的培训在程度上应与销售本检测产品后贵公司打算对用户进行的培训相同。</w:t>
      </w:r>
    </w:p>
    <w:p w14:paraId="2F637A6D">
      <w:pPr>
        <w:pStyle w:val="12"/>
        <w:numPr>
          <w:ilvl w:val="0"/>
          <w:numId w:val="8"/>
        </w:numPr>
        <w:snapToGrid w:val="0"/>
        <w:spacing w:line="300" w:lineRule="auto"/>
        <w:ind w:firstLineChars="0"/>
        <w:rPr>
          <w:rFonts w:ascii="Arial" w:hAnsi="Arial" w:eastAsia="宋体" w:cs="Arial"/>
        </w:rPr>
      </w:pPr>
      <w:r>
        <w:rPr>
          <w:rFonts w:ascii="Arial" w:hAnsi="Arial" w:eastAsia="宋体" w:cs="Arial"/>
        </w:rPr>
        <w:t>是否打算在单一实验室进行本测定（包括由来自该实验室的多个操作人员进行操作）。</w:t>
      </w:r>
    </w:p>
    <w:p w14:paraId="4B9F9466">
      <w:pPr>
        <w:pStyle w:val="12"/>
        <w:numPr>
          <w:ilvl w:val="0"/>
          <w:numId w:val="8"/>
        </w:numPr>
        <w:snapToGrid w:val="0"/>
        <w:spacing w:line="300" w:lineRule="auto"/>
        <w:ind w:firstLineChars="0"/>
        <w:rPr>
          <w:rFonts w:ascii="Arial" w:hAnsi="Arial" w:eastAsia="宋体" w:cs="Arial"/>
        </w:rPr>
      </w:pPr>
      <w:r>
        <w:rPr>
          <w:rFonts w:ascii="Arial" w:hAnsi="Arial" w:eastAsia="宋体" w:cs="Arial"/>
        </w:rPr>
        <w:t>包含多个产品批次（如多批试剂、用于RT-PCR的多批引物和探针、多批表达阵列）和多台仪器。</w:t>
      </w:r>
    </w:p>
    <w:p w14:paraId="574E955E">
      <w:pPr>
        <w:pStyle w:val="12"/>
        <w:numPr>
          <w:ilvl w:val="0"/>
          <w:numId w:val="8"/>
        </w:numPr>
        <w:snapToGrid w:val="0"/>
        <w:spacing w:line="300" w:lineRule="auto"/>
        <w:ind w:firstLineChars="0"/>
        <w:rPr>
          <w:rFonts w:ascii="Arial" w:hAnsi="Arial" w:eastAsia="宋体" w:cs="Arial"/>
        </w:rPr>
      </w:pPr>
      <w:r>
        <w:rPr>
          <w:rFonts w:ascii="Arial" w:hAnsi="Arial" w:eastAsia="宋体" w:cs="Arial"/>
        </w:rPr>
        <w:t>使用适当的检测标本。这些标本应能代表本检测方法能检测的每类标本（如高概率、低概率和，模糊地带，如果适用的话）。</w:t>
      </w:r>
    </w:p>
    <w:p w14:paraId="562CDD67">
      <w:pPr>
        <w:pStyle w:val="12"/>
        <w:numPr>
          <w:ilvl w:val="0"/>
          <w:numId w:val="8"/>
        </w:numPr>
        <w:snapToGrid w:val="0"/>
        <w:spacing w:line="300" w:lineRule="auto"/>
        <w:ind w:firstLineChars="0"/>
        <w:rPr>
          <w:rFonts w:ascii="Arial" w:hAnsi="Arial" w:eastAsia="宋体" w:cs="Arial"/>
        </w:rPr>
      </w:pPr>
      <w:r>
        <w:rPr>
          <w:rFonts w:ascii="Arial" w:hAnsi="Arial" w:eastAsia="宋体" w:cs="Arial"/>
        </w:rPr>
        <w:t>如果适用的话，进行染料-反转实验，确保染料掺入无偏差。</w:t>
      </w:r>
    </w:p>
    <w:p w14:paraId="6E8CE371">
      <w:pPr>
        <w:pStyle w:val="12"/>
        <w:numPr>
          <w:ilvl w:val="0"/>
          <w:numId w:val="8"/>
        </w:numPr>
        <w:snapToGrid w:val="0"/>
        <w:spacing w:line="300" w:lineRule="auto"/>
        <w:ind w:firstLineChars="0"/>
        <w:rPr>
          <w:rFonts w:ascii="Arial" w:hAnsi="Arial" w:eastAsia="宋体" w:cs="Arial"/>
        </w:rPr>
      </w:pPr>
      <w:r>
        <w:rPr>
          <w:rFonts w:ascii="Arial" w:hAnsi="Arial" w:eastAsia="宋体" w:cs="Arial"/>
        </w:rPr>
        <w:t>如果适用的话，</w:t>
      </w:r>
      <w:r>
        <w:rPr>
          <w:rFonts w:hint="eastAsia" w:ascii="Arial" w:hAnsi="Arial" w:eastAsia="宋体" w:cs="Arial"/>
        </w:rPr>
        <w:t>证明标本贴标规程的再现性</w:t>
      </w:r>
      <w:r>
        <w:rPr>
          <w:rFonts w:ascii="Arial" w:hAnsi="Arial" w:eastAsia="宋体" w:cs="Arial"/>
        </w:rPr>
        <w:t>。</w:t>
      </w:r>
    </w:p>
    <w:p w14:paraId="3B1B9A87">
      <w:pPr>
        <w:snapToGrid w:val="0"/>
        <w:spacing w:line="300" w:lineRule="auto"/>
        <w:rPr>
          <w:rFonts w:ascii="Arial" w:hAnsi="Arial" w:eastAsia="宋体" w:cs="Arial"/>
        </w:rPr>
      </w:pPr>
    </w:p>
    <w:p w14:paraId="74253DF5">
      <w:pPr>
        <w:snapToGrid w:val="0"/>
        <w:spacing w:line="300" w:lineRule="auto"/>
        <w:rPr>
          <w:rFonts w:ascii="Arial" w:hAnsi="Arial" w:eastAsia="宋体" w:cs="Arial"/>
        </w:rPr>
      </w:pPr>
      <w:r>
        <w:rPr>
          <w:rFonts w:ascii="Arial" w:hAnsi="Arial" w:eastAsia="宋体" w:cs="Arial"/>
        </w:rPr>
        <w:t>在贵公司510（k）提交资料的研究设计描述中，贵公司应对评价期间哪些因素（如仪器校准、试剂批次和操作人员）保持不变、哪些因素有所变化做出确认并对用来评价这些数据的计算方法和统计分析方法做出描述。如果贵公司的试剂盒有适用的外部对照材料，除实际临床标本外，应将此类材料包含在贵公司的精密度研究中。</w:t>
      </w:r>
    </w:p>
    <w:p w14:paraId="5A7C6610">
      <w:pPr>
        <w:snapToGrid w:val="0"/>
        <w:spacing w:line="300" w:lineRule="auto"/>
        <w:rPr>
          <w:rFonts w:ascii="Arial" w:hAnsi="Arial" w:eastAsia="宋体" w:cs="Arial"/>
        </w:rPr>
      </w:pPr>
    </w:p>
    <w:p w14:paraId="6BC7A8DC">
      <w:pPr>
        <w:snapToGrid w:val="0"/>
        <w:spacing w:line="300" w:lineRule="auto"/>
        <w:rPr>
          <w:rFonts w:ascii="Arial" w:hAnsi="Arial" w:eastAsia="宋体" w:cs="Arial"/>
          <w:b/>
          <w:i/>
        </w:rPr>
      </w:pPr>
      <w:r>
        <w:rPr>
          <w:rFonts w:ascii="Arial" w:hAnsi="Arial" w:eastAsia="宋体" w:cs="Arial"/>
          <w:b/>
          <w:i/>
        </w:rPr>
        <w:t>稳定性研究</w:t>
      </w:r>
    </w:p>
    <w:p w14:paraId="367FF216">
      <w:pPr>
        <w:snapToGrid w:val="0"/>
        <w:spacing w:line="300" w:lineRule="auto"/>
        <w:rPr>
          <w:rFonts w:ascii="Arial" w:hAnsi="Arial" w:eastAsia="宋体" w:cs="Arial"/>
        </w:rPr>
      </w:pPr>
    </w:p>
    <w:p w14:paraId="2771399A">
      <w:pPr>
        <w:snapToGrid w:val="0"/>
        <w:spacing w:line="300" w:lineRule="auto"/>
        <w:rPr>
          <w:rFonts w:ascii="Arial" w:hAnsi="Arial" w:eastAsia="宋体" w:cs="Arial"/>
        </w:rPr>
      </w:pPr>
      <w:r>
        <w:rPr>
          <w:rFonts w:ascii="Arial" w:hAnsi="Arial" w:eastAsia="宋体" w:cs="Arial"/>
        </w:rPr>
        <w:t>贵公司应对确定试剂和仪器实时稳定性的研究设计做出描述。如果适用的话，贵公司还应对确定加速稳定性的实验设计、应激测试条件和结果做出描述。对每项研究，贵公司均应对如何选择判定标准值做出描述。</w:t>
      </w:r>
    </w:p>
    <w:p w14:paraId="53C0F162">
      <w:pPr>
        <w:snapToGrid w:val="0"/>
        <w:spacing w:line="300" w:lineRule="auto"/>
        <w:rPr>
          <w:rFonts w:ascii="Arial" w:hAnsi="Arial" w:eastAsia="宋体" w:cs="Arial"/>
        </w:rPr>
      </w:pPr>
    </w:p>
    <w:p w14:paraId="3701615A">
      <w:pPr>
        <w:snapToGrid w:val="0"/>
        <w:spacing w:line="300" w:lineRule="auto"/>
        <w:rPr>
          <w:rFonts w:ascii="Arial" w:hAnsi="Arial" w:eastAsia="宋体" w:cs="Arial"/>
          <w:b/>
          <w:i/>
        </w:rPr>
      </w:pPr>
      <w:r>
        <w:rPr>
          <w:rFonts w:ascii="Arial" w:hAnsi="Arial" w:eastAsia="宋体" w:cs="Arial"/>
          <w:b/>
          <w:i/>
        </w:rPr>
        <w:t>仪器配置确认</w:t>
      </w:r>
    </w:p>
    <w:p w14:paraId="076BC9DB">
      <w:pPr>
        <w:snapToGrid w:val="0"/>
        <w:spacing w:line="300" w:lineRule="auto"/>
        <w:rPr>
          <w:rFonts w:ascii="Arial" w:hAnsi="Arial" w:eastAsia="宋体" w:cs="Arial"/>
        </w:rPr>
      </w:pPr>
    </w:p>
    <w:p w14:paraId="33C851A4">
      <w:pPr>
        <w:snapToGrid w:val="0"/>
        <w:spacing w:line="300" w:lineRule="auto"/>
        <w:rPr>
          <w:rFonts w:ascii="Arial" w:hAnsi="Arial" w:eastAsia="宋体" w:cs="Arial"/>
        </w:rPr>
      </w:pPr>
      <w:r>
        <w:rPr>
          <w:rFonts w:ascii="Arial" w:hAnsi="Arial" w:eastAsia="宋体" w:cs="Arial"/>
        </w:rPr>
        <w:t>关于对多个信号进行测定和分类的仪器和系统以及以前未获许可的其它复杂实验室仪器配置，可查阅指南“II类特殊控制指南：临床多路检测系统的仪器配置</w:t>
      </w:r>
      <w:r>
        <w:rPr>
          <w:rFonts w:ascii="Arial" w:hAnsi="Arial" w:eastAsia="宋体" w:cs="Arial"/>
          <w:vertAlign w:val="superscript"/>
        </w:rPr>
        <w:t>3</w:t>
      </w:r>
      <w:r>
        <w:rPr>
          <w:rFonts w:ascii="Arial" w:hAnsi="Arial" w:eastAsia="宋体" w:cs="Arial"/>
        </w:rPr>
        <w:t>”获取贵公司为支持仪器许可应提供的数据类型的细节。</w:t>
      </w:r>
    </w:p>
    <w:p w14:paraId="4FF6A2D8">
      <w:pPr>
        <w:snapToGrid w:val="0"/>
        <w:spacing w:line="300" w:lineRule="auto"/>
        <w:rPr>
          <w:rFonts w:ascii="Arial" w:hAnsi="Arial" w:eastAsia="宋体" w:cs="Arial"/>
        </w:rPr>
      </w:pPr>
    </w:p>
    <w:p w14:paraId="5629B0B3">
      <w:pPr>
        <w:snapToGrid w:val="0"/>
        <w:spacing w:line="300" w:lineRule="auto"/>
        <w:rPr>
          <w:rFonts w:ascii="Arial" w:hAnsi="Arial" w:eastAsia="宋体" w:cs="Arial"/>
          <w:b/>
        </w:rPr>
      </w:pPr>
      <w:r>
        <w:rPr>
          <w:rFonts w:ascii="Arial" w:hAnsi="Arial" w:eastAsia="宋体" w:cs="Arial"/>
          <w:b/>
        </w:rPr>
        <w:t>6.D. 临床确认</w:t>
      </w:r>
    </w:p>
    <w:p w14:paraId="37571072">
      <w:pPr>
        <w:snapToGrid w:val="0"/>
        <w:spacing w:line="300" w:lineRule="auto"/>
        <w:rPr>
          <w:rFonts w:ascii="Arial" w:hAnsi="Arial" w:eastAsia="宋体" w:cs="Arial"/>
        </w:rPr>
      </w:pPr>
    </w:p>
    <w:p w14:paraId="720833E6">
      <w:pPr>
        <w:snapToGrid w:val="0"/>
        <w:spacing w:line="300" w:lineRule="auto"/>
        <w:rPr>
          <w:rFonts w:ascii="Arial" w:hAnsi="Arial" w:eastAsia="宋体" w:cs="Arial"/>
        </w:rPr>
      </w:pPr>
      <w:r>
        <w:rPr>
          <w:rFonts w:ascii="Arial" w:hAnsi="Arial" w:eastAsia="宋体" w:cs="Arial"/>
        </w:rPr>
        <w:t>贵公司应提供临床研究数据支持贵公司器械的适用指征和声明。临床确认研究应使用取自预期用途人群且与贵公司用来开发识别标志（模式或分类因子或指数）的标本无关的患者标本。贵公司应对每项临床研究的研究方案（包括纳入和排除标准、研究终点、判定标准、研究设计、统计分析计划和样本含量的统计学依据）和这些研究如何支持建议预期用途做出描述。贵公司应提交临床确认研究得到的原始数据和处理后数据（即最终检测结果）。</w:t>
      </w:r>
    </w:p>
    <w:p w14:paraId="7DFF8046">
      <w:pPr>
        <w:snapToGrid w:val="0"/>
        <w:spacing w:line="300" w:lineRule="auto"/>
        <w:rPr>
          <w:rFonts w:ascii="Arial" w:hAnsi="Arial" w:eastAsia="宋体" w:cs="Arial"/>
        </w:rPr>
      </w:pPr>
    </w:p>
    <w:p w14:paraId="1CA835EB">
      <w:pPr>
        <w:snapToGrid w:val="0"/>
        <w:spacing w:line="300" w:lineRule="auto"/>
        <w:rPr>
          <w:rFonts w:ascii="Arial" w:hAnsi="Arial" w:eastAsia="宋体" w:cs="Arial"/>
        </w:rPr>
      </w:pPr>
      <w:r>
        <w:rPr>
          <w:rFonts w:ascii="Arial" w:hAnsi="Arial" w:eastAsia="宋体" w:cs="Arial"/>
        </w:rPr>
        <w:t>对临床确认研究来说，确认数据库应由从不同地理位置的至少3个不同临床中心采集的临床标本组成。</w:t>
      </w:r>
      <w:bookmarkStart w:id="58" w:name="OLE_LINK5"/>
      <w:bookmarkStart w:id="59" w:name="OLE_LINK6"/>
      <w:r>
        <w:rPr>
          <w:rFonts w:ascii="Arial" w:hAnsi="Arial" w:eastAsia="宋体" w:cs="Arial"/>
        </w:rPr>
        <w:t>在美国人</w:t>
      </w:r>
      <w:bookmarkEnd w:id="58"/>
      <w:bookmarkEnd w:id="59"/>
      <w:r>
        <w:rPr>
          <w:rFonts w:ascii="Arial" w:hAnsi="Arial" w:eastAsia="宋体" w:cs="Arial"/>
        </w:rPr>
        <w:t>群中进行这些研究更为可取。如果在美国之外进行这些研究，贵公司应用文件证明贵公司的研究与美国的临床实践和人口统计信息的关联性。</w:t>
      </w:r>
    </w:p>
    <w:p w14:paraId="3D4224C9">
      <w:pPr>
        <w:snapToGrid w:val="0"/>
        <w:spacing w:line="300" w:lineRule="auto"/>
        <w:rPr>
          <w:rFonts w:ascii="Arial" w:hAnsi="Arial" w:eastAsia="宋体" w:cs="Arial"/>
        </w:rPr>
      </w:pPr>
    </w:p>
    <w:p w14:paraId="5723E977">
      <w:pPr>
        <w:snapToGrid w:val="0"/>
        <w:spacing w:line="300" w:lineRule="auto"/>
        <w:rPr>
          <w:rFonts w:ascii="Arial" w:hAnsi="Arial" w:eastAsia="宋体" w:cs="Arial"/>
        </w:rPr>
      </w:pPr>
      <w:r>
        <w:rPr>
          <w:rFonts w:ascii="Arial" w:hAnsi="Arial" w:eastAsia="宋体" w:cs="Arial"/>
        </w:rPr>
        <w:t>如果贵公司具体器械的临床有效性得到既定科学框架和大量充分证据的支持，那么，贵公司可提交经过同行评议的参考文献支持贵公司的声明。这些文献包含了对适当人群进行检测的多项研究。如果参考文献不能充分支持贵公司的适用指征，贵公司应开展研究支持对贵公司器械的声明。</w:t>
      </w:r>
    </w:p>
    <w:p w14:paraId="2797E23F">
      <w:pPr>
        <w:snapToGrid w:val="0"/>
        <w:spacing w:line="300" w:lineRule="auto"/>
        <w:rPr>
          <w:rFonts w:ascii="Arial" w:hAnsi="Arial" w:eastAsia="宋体" w:cs="Arial"/>
        </w:rPr>
      </w:pPr>
      <w:r>
        <w:rPr>
          <w:rFonts w:ascii="Arial" w:hAnsi="Arial" w:eastAsia="宋体" w:cs="Arial"/>
        </w:rPr>
        <w:t>如果采取适当措施确认了研究集中的任何偏差并消除或大幅减轻了这些偏差，对前瞻性收集的储存标本进行回顾性分析可能是可接受的。我们建议贵公司与食品药品监督管理局讨论贵公司提出的具体研究并确定其是否适当。</w:t>
      </w:r>
    </w:p>
    <w:p w14:paraId="1A511A07">
      <w:pPr>
        <w:snapToGrid w:val="0"/>
        <w:spacing w:line="300" w:lineRule="auto"/>
        <w:rPr>
          <w:rFonts w:ascii="Arial" w:hAnsi="Arial" w:eastAsia="宋体" w:cs="Arial"/>
        </w:rPr>
      </w:pPr>
    </w:p>
    <w:p w14:paraId="1A6686F0">
      <w:pPr>
        <w:snapToGrid w:val="0"/>
        <w:spacing w:line="300" w:lineRule="auto"/>
        <w:rPr>
          <w:rFonts w:ascii="Arial" w:hAnsi="Arial" w:eastAsia="宋体" w:cs="Arial"/>
          <w:b/>
          <w:i/>
        </w:rPr>
      </w:pPr>
      <w:r>
        <w:rPr>
          <w:rFonts w:ascii="Arial" w:hAnsi="Arial" w:eastAsia="宋体" w:cs="Arial"/>
          <w:b/>
          <w:i/>
        </w:rPr>
        <w:t>与临床结果比较的准确度：</w:t>
      </w:r>
    </w:p>
    <w:p w14:paraId="4BA5EC6A">
      <w:pPr>
        <w:snapToGrid w:val="0"/>
        <w:spacing w:line="300" w:lineRule="auto"/>
        <w:rPr>
          <w:rFonts w:ascii="Arial" w:hAnsi="Arial" w:eastAsia="宋体" w:cs="Arial"/>
        </w:rPr>
      </w:pPr>
    </w:p>
    <w:p w14:paraId="043DB590">
      <w:pPr>
        <w:snapToGrid w:val="0"/>
        <w:spacing w:line="300" w:lineRule="auto"/>
        <w:rPr>
          <w:rFonts w:ascii="Arial" w:hAnsi="Arial" w:eastAsia="宋体" w:cs="Arial"/>
        </w:rPr>
      </w:pPr>
      <w:r>
        <w:rPr>
          <w:rFonts w:ascii="Arial" w:hAnsi="Arial" w:eastAsia="宋体" w:cs="Arial"/>
          <w:i/>
        </w:rPr>
        <w:t>临床事实：</w:t>
      </w:r>
      <w:r>
        <w:rPr>
          <w:rFonts w:ascii="Arial" w:hAnsi="Arial" w:eastAsia="宋体" w:cs="Arial"/>
        </w:rPr>
        <w:t>为允许食品药品监督管理局对贵公司的器械进行评估，贵公司应对在临床确认研究获得所有患者的临床结局测定值和获得这些测定值所用方法做出说明。</w:t>
      </w:r>
    </w:p>
    <w:p w14:paraId="2EF94DCA">
      <w:pPr>
        <w:snapToGrid w:val="0"/>
        <w:spacing w:line="300" w:lineRule="auto"/>
        <w:rPr>
          <w:rFonts w:ascii="Arial" w:hAnsi="Arial" w:eastAsia="宋体" w:cs="Arial"/>
        </w:rPr>
      </w:pPr>
    </w:p>
    <w:p w14:paraId="3A50643B">
      <w:pPr>
        <w:snapToGrid w:val="0"/>
        <w:spacing w:line="300" w:lineRule="auto"/>
        <w:rPr>
          <w:rFonts w:ascii="Arial" w:hAnsi="Arial" w:eastAsia="宋体" w:cs="Arial"/>
        </w:rPr>
      </w:pPr>
      <w:r>
        <w:rPr>
          <w:rFonts w:ascii="Arial" w:hAnsi="Arial" w:eastAsia="宋体" w:cs="Arial"/>
          <w:i/>
        </w:rPr>
        <w:t>终点：</w:t>
      </w:r>
      <w:r>
        <w:rPr>
          <w:rFonts w:ascii="Arial" w:hAnsi="Arial" w:eastAsia="宋体" w:cs="Arial"/>
        </w:rPr>
        <w:t>贵公司应对贵公司器械适合的临床终点（如活检分值、急性细胞排斥反应缺如或存在）做出描述。这些终点应支持本器械的预期用途。适当的性能测定指标可包括（举例）：1）</w:t>
      </w:r>
      <w:bookmarkStart w:id="60" w:name="OLE_LINK9"/>
      <w:bookmarkStart w:id="61" w:name="OLE_LINK15"/>
      <w:r>
        <w:rPr>
          <w:rFonts w:ascii="Arial" w:hAnsi="Arial" w:eastAsia="宋体" w:cs="Arial"/>
        </w:rPr>
        <w:t>急性细胞排斥反应的阴性预测值，</w:t>
      </w:r>
      <w:bookmarkEnd w:id="60"/>
      <w:bookmarkEnd w:id="61"/>
      <w:r>
        <w:rPr>
          <w:rFonts w:ascii="Arial" w:hAnsi="Arial" w:eastAsia="宋体" w:cs="Arial"/>
        </w:rPr>
        <w:t>2）急性细胞排斥反应的阳性预测值，（3）检测前的急性细胞排斥反应流行率，4）受试者工作特征（ROC）曲线下面积（AUC）。</w:t>
      </w:r>
    </w:p>
    <w:p w14:paraId="1338576A">
      <w:pPr>
        <w:snapToGrid w:val="0"/>
        <w:spacing w:line="300" w:lineRule="auto"/>
        <w:rPr>
          <w:rFonts w:ascii="Arial" w:hAnsi="Arial" w:eastAsia="宋体" w:cs="Arial"/>
        </w:rPr>
      </w:pPr>
    </w:p>
    <w:p w14:paraId="10EC3C4D">
      <w:pPr>
        <w:snapToGrid w:val="0"/>
        <w:spacing w:line="300" w:lineRule="auto"/>
        <w:rPr>
          <w:rFonts w:ascii="Arial" w:hAnsi="Arial" w:eastAsia="宋体" w:cs="Arial"/>
        </w:rPr>
      </w:pPr>
      <w:r>
        <w:rPr>
          <w:rFonts w:ascii="Arial" w:hAnsi="Arial" w:eastAsia="宋体" w:cs="Arial"/>
          <w:i/>
        </w:rPr>
        <w:t>确认策略：</w:t>
      </w:r>
      <w:r>
        <w:rPr>
          <w:rFonts w:ascii="Arial" w:hAnsi="Arial" w:eastAsia="宋体" w:cs="Arial"/>
        </w:rPr>
        <w:t>贵公司应对用来确认基因识别标志的方法做出描述。在描述中应包含临床方案和统计分析计划。临床数据应为一个新数据集，其不是从以前在基因识别标志开发过程中使用的患者中获得的。数据集中的患者还应代表本器械的预期用途人群。用来分析确认研究所得数据的统计技术应适应本研究预先确定的相关终点（如对低概率急性细胞排斥反应的识别）。进行确认研究前，应在研究方案中包含具有重大临床意义的性能目标和用于证实这些目标已得以实现的详细的统计分析计划。请注意统计方法依赖于在设计贵公司的确认研究前应对其合理性进行检查的假设。例如，如果使用来自同一患者的多个标本，那么，统计分析就不应假设对这些标本的检测结果在统计学上是独立的。相反，对这些数据应采用与这种重复测定设计相一致的方式进行分析。</w:t>
      </w:r>
    </w:p>
    <w:p w14:paraId="385AA9B2">
      <w:pPr>
        <w:snapToGrid w:val="0"/>
        <w:spacing w:line="300" w:lineRule="auto"/>
        <w:rPr>
          <w:rFonts w:ascii="Arial" w:hAnsi="Arial" w:eastAsia="宋体" w:cs="Arial"/>
        </w:rPr>
      </w:pPr>
    </w:p>
    <w:p w14:paraId="61156E65">
      <w:pPr>
        <w:snapToGrid w:val="0"/>
        <w:spacing w:line="300" w:lineRule="auto"/>
        <w:rPr>
          <w:rFonts w:ascii="Arial" w:hAnsi="Arial" w:eastAsia="宋体" w:cs="Arial"/>
        </w:rPr>
      </w:pPr>
      <w:r>
        <w:rPr>
          <w:rFonts w:ascii="Arial" w:hAnsi="Arial" w:eastAsia="宋体" w:cs="Arial"/>
        </w:rPr>
        <w:t>在贵公司的510（k）提交资料中，贵公司应提供该临床确认研究的概要，其中包括该研究中患者的描述性统计量及与贵公司的终点相关的不正确结果（如假阳性、假阴性）的概率估计值。贵公司应对贵公司报告的每个性能统计指标报告95％可信区间。阴性预测值和阳性预测值性能将会受到该临床确认研究中急性细胞排斥反应流行率的影响。因此，贵公司应报告目标终点的流行率。</w:t>
      </w:r>
    </w:p>
    <w:p w14:paraId="60E86097">
      <w:pPr>
        <w:snapToGrid w:val="0"/>
        <w:spacing w:line="300" w:lineRule="auto"/>
        <w:rPr>
          <w:rFonts w:ascii="Arial" w:hAnsi="Arial" w:eastAsia="宋体" w:cs="Arial"/>
        </w:rPr>
      </w:pPr>
    </w:p>
    <w:p w14:paraId="141DE450">
      <w:pPr>
        <w:snapToGrid w:val="0"/>
        <w:spacing w:line="300" w:lineRule="auto"/>
        <w:rPr>
          <w:rFonts w:ascii="Arial" w:hAnsi="Arial" w:eastAsia="宋体" w:cs="Arial"/>
        </w:rPr>
      </w:pPr>
      <w:r>
        <w:rPr>
          <w:rFonts w:hint="eastAsia" w:ascii="Arial" w:hAnsi="Arial" w:eastAsia="宋体" w:cs="Arial"/>
        </w:rPr>
        <w:t>如果适用的话，贵公司应报告本检测方法在风险层（如年龄、移植物功能的稳定性、移植后时间和急性细胞排斥反应的基线危险因素，如果常规使用的话，还有炎症标志物）范围内的统计性能，证实贵公司的检测方法增加了在评估是否发生急性细胞排斥反应过程中常规使用的临床变量的数值。或者，可仅根据临床变量逐个将本检测方法的性能与急性细胞排斥反应状态最佳分类因子的性能进行比较。（可能适合亦可能不适合的第</w:t>
      </w:r>
      <w:r>
        <w:rPr>
          <w:rFonts w:ascii="Arial" w:hAnsi="Arial" w:eastAsia="宋体" w:cs="Arial"/>
        </w:rPr>
        <w:t>3</w:t>
      </w:r>
      <w:r>
        <w:rPr>
          <w:rFonts w:hint="eastAsia" w:ascii="Arial" w:hAnsi="Arial" w:eastAsia="宋体" w:cs="Arial"/>
        </w:rPr>
        <w:t>个方法是：在急性细胞排斥反应状态的一个统计回归模型中，将本检测方法添加到预先规定的临床预测因子中时，显示有统计学意义的性能增加。）</w:t>
      </w:r>
    </w:p>
    <w:p w14:paraId="11A52D31">
      <w:pPr>
        <w:snapToGrid w:val="0"/>
        <w:spacing w:line="300" w:lineRule="auto"/>
        <w:rPr>
          <w:rFonts w:ascii="Arial" w:hAnsi="Arial" w:eastAsia="宋体" w:cs="Arial"/>
        </w:rPr>
      </w:pPr>
    </w:p>
    <w:p w14:paraId="5496FB6B">
      <w:pPr>
        <w:snapToGrid w:val="0"/>
        <w:spacing w:line="300" w:lineRule="auto"/>
        <w:rPr>
          <w:rFonts w:ascii="Arial" w:hAnsi="Arial" w:eastAsia="宋体" w:cs="Arial"/>
        </w:rPr>
      </w:pPr>
      <w:r>
        <w:rPr>
          <w:rFonts w:ascii="Arial" w:hAnsi="Arial" w:eastAsia="宋体" w:cs="Arial"/>
        </w:rPr>
        <w:t>适合审议的临床信息可随相关研究组而变化。我们建议贵公司在开展研究前与食品药品监督管理局讨论贵公司提出的具体研究。</w:t>
      </w:r>
    </w:p>
    <w:p w14:paraId="3A491289">
      <w:pPr>
        <w:snapToGrid w:val="0"/>
        <w:spacing w:line="300" w:lineRule="auto"/>
        <w:rPr>
          <w:rFonts w:ascii="Arial" w:hAnsi="Arial" w:eastAsia="宋体" w:cs="Arial"/>
        </w:rPr>
      </w:pPr>
    </w:p>
    <w:p w14:paraId="79F73520">
      <w:pPr>
        <w:snapToGrid w:val="0"/>
        <w:spacing w:line="300" w:lineRule="auto"/>
        <w:rPr>
          <w:rFonts w:ascii="Arial" w:hAnsi="Arial" w:eastAsia="宋体" w:cs="Arial"/>
          <w:b/>
        </w:rPr>
      </w:pPr>
      <w:r>
        <w:rPr>
          <w:rFonts w:ascii="Arial" w:hAnsi="Arial" w:eastAsia="宋体" w:cs="Arial"/>
          <w:b/>
        </w:rPr>
        <w:t>研究标本</w:t>
      </w:r>
    </w:p>
    <w:p w14:paraId="52B83BEC">
      <w:pPr>
        <w:snapToGrid w:val="0"/>
        <w:spacing w:line="300" w:lineRule="auto"/>
        <w:rPr>
          <w:rFonts w:ascii="Arial" w:hAnsi="Arial" w:eastAsia="宋体" w:cs="Arial"/>
        </w:rPr>
      </w:pPr>
    </w:p>
    <w:p w14:paraId="43305028">
      <w:pPr>
        <w:snapToGrid w:val="0"/>
        <w:spacing w:line="300" w:lineRule="auto"/>
        <w:rPr>
          <w:rFonts w:ascii="Arial" w:hAnsi="Arial" w:eastAsia="宋体" w:cs="Arial"/>
          <w:spacing w:val="-4"/>
        </w:rPr>
      </w:pPr>
      <w:r>
        <w:rPr>
          <w:rFonts w:ascii="Arial" w:hAnsi="Arial" w:eastAsia="宋体" w:cs="Arial"/>
          <w:spacing w:val="-4"/>
        </w:rPr>
        <w:t>虽然偏爱前瞻性标本，但是如果没有采集或选择偏差且患者的病史和相应结果信息可用的话，在贵公司的临床确认研究中亦可使用信息描述良好的库存标本。</w:t>
      </w:r>
      <w:r>
        <w:rPr>
          <w:rFonts w:ascii="Arial" w:hAnsi="Arial" w:eastAsia="宋体" w:cs="Arial"/>
          <w:spacing w:val="-4"/>
          <w:vertAlign w:val="superscript"/>
        </w:rPr>
        <w:t>4</w:t>
      </w:r>
      <w:r>
        <w:rPr>
          <w:rFonts w:ascii="Arial" w:hAnsi="Arial" w:eastAsia="宋体" w:cs="Arial"/>
          <w:spacing w:val="-4"/>
        </w:rPr>
        <w:t>贵公司应对选择（纳入/排除）标准做出充分描述并对标本的任何相关特点或局限性做出详细描述（前瞻性或库存标本）。贵公司应对患者的人口统计信息、疾病特点以及相应结果在预期用途人群和研究人群中的流行率做出描述。贵公司选择标本的方式应能将偏差来源（如标本完整性和储存时间）控制在最低程度。我们建议贵公司在采用库存标本开展关键研究前与食品药品监督管理局进行协商。</w:t>
      </w:r>
    </w:p>
    <w:p w14:paraId="779102D4">
      <w:pPr>
        <w:snapToGrid w:val="0"/>
        <w:spacing w:line="300" w:lineRule="auto"/>
        <w:rPr>
          <w:rFonts w:ascii="Arial" w:hAnsi="Arial" w:eastAsia="宋体" w:cs="Arial"/>
        </w:rPr>
      </w:pPr>
    </w:p>
    <w:p w14:paraId="4703CCA9">
      <w:pPr>
        <w:snapToGrid w:val="0"/>
        <w:spacing w:line="300" w:lineRule="auto"/>
        <w:rPr>
          <w:rFonts w:ascii="Arial" w:hAnsi="Arial" w:eastAsia="宋体" w:cs="Arial"/>
        </w:rPr>
      </w:pPr>
      <w:r>
        <w:rPr>
          <w:rFonts w:ascii="Arial" w:hAnsi="Arial" w:eastAsia="宋体" w:cs="Arial"/>
        </w:rPr>
        <w:t>贵公司应使用来自贵公司在预期用途中声称的所有基质中的标本（冰冻标本或用任何核酸防腐剂采集的标本）证实从临床材料中可获得正确结果。样本含量是否合适取决于本检测方法的精密度/再现性、干扰情况和其它性能特征等因素。我们建议贵公司提供使用统计方法的依据支持贵公司研究的样本含量。对贵公司在临床研究中使用的标本，贵公司应提供数据证明回顾性检测标本的储存和运输未影响测定结果。</w:t>
      </w:r>
    </w:p>
    <w:p w14:paraId="59E8AB43">
      <w:pPr>
        <w:snapToGrid w:val="0"/>
        <w:spacing w:line="300" w:lineRule="auto"/>
        <w:rPr>
          <w:rFonts w:ascii="Arial" w:hAnsi="Arial" w:eastAsia="宋体" w:cs="Arial"/>
          <w:b/>
        </w:rPr>
      </w:pPr>
      <w:r>
        <w:rPr>
          <w:rFonts w:ascii="Arial" w:hAnsi="Arial" w:eastAsia="宋体" w:cs="Arial"/>
          <w:b/>
        </w:rPr>
        <w:t>7. 软件</w:t>
      </w:r>
    </w:p>
    <w:p w14:paraId="18B7CDE9">
      <w:pPr>
        <w:snapToGrid w:val="0"/>
        <w:spacing w:line="300" w:lineRule="auto"/>
        <w:rPr>
          <w:rFonts w:ascii="Arial" w:hAnsi="Arial" w:eastAsia="宋体" w:cs="Arial"/>
        </w:rPr>
      </w:pPr>
    </w:p>
    <w:p w14:paraId="58ACDFE5">
      <w:pPr>
        <w:snapToGrid w:val="0"/>
        <w:spacing w:line="300" w:lineRule="auto"/>
        <w:rPr>
          <w:rFonts w:ascii="Arial" w:hAnsi="Arial" w:eastAsia="宋体" w:cs="Arial"/>
        </w:rPr>
      </w:pPr>
      <w:r>
        <w:rPr>
          <w:rFonts w:ascii="Arial" w:hAnsi="Arial" w:eastAsia="宋体" w:cs="Arial"/>
        </w:rPr>
        <w:t>如果贵公司的系统中包含了软件，贵公司应按影响程度提供详细信息。（见：</w:t>
      </w:r>
      <w:r>
        <w:rPr>
          <w:rFonts w:ascii="Arial" w:hAnsi="Arial" w:eastAsia="宋体" w:cs="Arial"/>
          <w:b/>
        </w:rPr>
        <w:t>医疗器械所含软件上市前通告提交资料内容指导</w:t>
      </w:r>
      <w:r>
        <w:rPr>
          <w:rFonts w:ascii="Arial" w:hAnsi="Arial" w:eastAsia="宋体" w:cs="Arial"/>
          <w:color w:val="800080"/>
          <w:u w:val="single"/>
          <w:vertAlign w:val="superscript"/>
        </w:rPr>
        <w:t>5</w:t>
      </w:r>
      <w:r>
        <w:rPr>
          <w:rFonts w:ascii="Arial" w:hAnsi="Arial" w:eastAsia="宋体" w:cs="Arial"/>
        </w:rPr>
        <w:t>）在采取减轻危害的措施前，贵公司应判定软件对患者的影响程度。在临床实践中，医疗保健提供者如果没有得到准确信息，软件缺陷就会对患者间接造成影响并可能导致伤害，因此将这种类型的体外诊断器械对患者的影响视为中等程度。</w:t>
      </w:r>
    </w:p>
    <w:p w14:paraId="5E7A1A0F">
      <w:pPr>
        <w:snapToGrid w:val="0"/>
        <w:spacing w:line="300" w:lineRule="auto"/>
        <w:rPr>
          <w:rFonts w:ascii="Arial" w:hAnsi="Arial" w:eastAsia="宋体" w:cs="Arial"/>
        </w:rPr>
      </w:pPr>
    </w:p>
    <w:p w14:paraId="5C1C26E2">
      <w:pPr>
        <w:snapToGrid w:val="0"/>
        <w:spacing w:line="300" w:lineRule="auto"/>
        <w:rPr>
          <w:rFonts w:ascii="Arial" w:hAnsi="Arial" w:eastAsia="宋体" w:cs="Arial"/>
        </w:rPr>
      </w:pPr>
      <w:r>
        <w:rPr>
          <w:rFonts w:ascii="Arial" w:hAnsi="Arial" w:eastAsia="宋体" w:cs="Arial"/>
        </w:rPr>
        <w:t>在准备软件证明文件供食品药品监督管理局审查时，贵公司应酌情包含下列信息：</w:t>
      </w:r>
    </w:p>
    <w:p w14:paraId="758B1928">
      <w:pPr>
        <w:snapToGrid w:val="0"/>
        <w:spacing w:line="300" w:lineRule="auto"/>
        <w:rPr>
          <w:rFonts w:ascii="Arial" w:hAnsi="Arial" w:eastAsia="宋体" w:cs="Arial"/>
        </w:rPr>
      </w:pPr>
    </w:p>
    <w:p w14:paraId="32E67238">
      <w:pPr>
        <w:pStyle w:val="12"/>
        <w:numPr>
          <w:ilvl w:val="0"/>
          <w:numId w:val="9"/>
        </w:numPr>
        <w:snapToGrid w:val="0"/>
        <w:spacing w:line="300" w:lineRule="auto"/>
        <w:ind w:firstLineChars="0"/>
        <w:jc w:val="left"/>
        <w:rPr>
          <w:rFonts w:ascii="Arial" w:hAnsi="Arial" w:eastAsia="宋体" w:cs="Arial"/>
        </w:rPr>
      </w:pPr>
      <w:r>
        <w:rPr>
          <w:rFonts w:ascii="Arial" w:hAnsi="Arial" w:eastAsia="宋体" w:cs="Arial"/>
        </w:rPr>
        <w:t>对软件设计的全面描述。在贵公司的软件中不应包含为支持超预期用途使用而专门设计的实用程序。在贵公司的设计中还应考虑隐私和安全问题。http://aspe.os.dhhs.gov/admnsimp网站介绍了健康保险流通与责任法案（HIPAA）。在这个网站可以找到有关这些问题的一些信息。</w:t>
      </w:r>
    </w:p>
    <w:p w14:paraId="5085D291">
      <w:pPr>
        <w:pStyle w:val="12"/>
        <w:numPr>
          <w:ilvl w:val="0"/>
          <w:numId w:val="9"/>
        </w:numPr>
        <w:snapToGrid w:val="0"/>
        <w:spacing w:line="300" w:lineRule="auto"/>
        <w:ind w:firstLineChars="0"/>
        <w:rPr>
          <w:rFonts w:ascii="Arial" w:hAnsi="Arial" w:eastAsia="宋体" w:cs="Arial"/>
        </w:rPr>
      </w:pPr>
      <w:r>
        <w:rPr>
          <w:rFonts w:ascii="Arial" w:hAnsi="Arial" w:eastAsia="宋体" w:cs="Arial"/>
        </w:rPr>
        <w:t>危害分析。根据器械设计的关键思想和子系统组件任何故障的影响（如不正确的患者报告、仪器故障和操作人员安全有关的信号检测和分析、数据储存、系统通信和网络安全）进行危害分析。</w:t>
      </w:r>
    </w:p>
    <w:p w14:paraId="45768130">
      <w:pPr>
        <w:pStyle w:val="12"/>
        <w:numPr>
          <w:ilvl w:val="0"/>
          <w:numId w:val="9"/>
        </w:numPr>
        <w:snapToGrid w:val="0"/>
        <w:spacing w:line="300" w:lineRule="auto"/>
        <w:ind w:firstLineChars="0"/>
        <w:rPr>
          <w:rFonts w:ascii="Arial" w:hAnsi="Arial" w:eastAsia="宋体" w:cs="Arial"/>
        </w:rPr>
      </w:pPr>
      <w:r>
        <w:rPr>
          <w:rFonts w:ascii="Arial" w:hAnsi="Arial" w:eastAsia="宋体" w:cs="Arial"/>
        </w:rPr>
        <w:t>对软件版本进行的全面验证和确认（V&amp;V）工作的证明文件。该软件版本要提交监管机构供证明实质等同之用。贵公司还应提交有关测定软件与所有仪器配置软件兼容性的确认信息。</w:t>
      </w:r>
    </w:p>
    <w:p w14:paraId="5E880AA1">
      <w:pPr>
        <w:pStyle w:val="12"/>
        <w:numPr>
          <w:ilvl w:val="0"/>
          <w:numId w:val="9"/>
        </w:numPr>
        <w:snapToGrid w:val="0"/>
        <w:spacing w:line="300" w:lineRule="auto"/>
        <w:ind w:firstLineChars="0"/>
        <w:rPr>
          <w:rFonts w:ascii="Arial" w:hAnsi="Arial" w:eastAsia="宋体" w:cs="Arial"/>
        </w:rPr>
      </w:pPr>
      <w:r>
        <w:rPr>
          <w:rFonts w:ascii="Arial" w:hAnsi="Arial" w:eastAsia="宋体" w:cs="Arial"/>
        </w:rPr>
        <w:t>如果贵公司包含在</w:t>
      </w:r>
      <w:bookmarkStart w:id="62" w:name="OLE_LINK21"/>
      <w:bookmarkStart w:id="63" w:name="OLE_LINK22"/>
      <w:r>
        <w:rPr>
          <w:rFonts w:ascii="Arial" w:hAnsi="Arial" w:eastAsia="宋体" w:cs="Arial"/>
        </w:rPr>
        <w:t>510（k）提交资料中</w:t>
      </w:r>
      <w:bookmarkEnd w:id="62"/>
      <w:bookmarkEnd w:id="63"/>
      <w:r>
        <w:rPr>
          <w:rFonts w:ascii="Arial" w:hAnsi="Arial" w:eastAsia="宋体" w:cs="Arial"/>
        </w:rPr>
        <w:t>的信息是基于发布版本以外的某个版本，贵公司应在510（k）提交资料中确认两者的所有差异并详细描述这些差异（包括未得到解决的所有异常情况）如何影响本器械的安全性和有效性。</w:t>
      </w:r>
    </w:p>
    <w:p w14:paraId="68A7697C">
      <w:pPr>
        <w:snapToGrid w:val="0"/>
        <w:spacing w:line="300" w:lineRule="auto"/>
        <w:rPr>
          <w:rFonts w:ascii="Arial" w:hAnsi="Arial" w:eastAsia="宋体" w:cs="Arial"/>
        </w:rPr>
      </w:pPr>
    </w:p>
    <w:p w14:paraId="0F2A5EBB">
      <w:pPr>
        <w:snapToGrid w:val="0"/>
        <w:spacing w:line="300" w:lineRule="auto"/>
        <w:rPr>
          <w:rFonts w:ascii="Arial" w:hAnsi="Arial" w:eastAsia="宋体" w:cs="Arial"/>
        </w:rPr>
      </w:pPr>
      <w:r>
        <w:rPr>
          <w:rFonts w:ascii="Arial" w:hAnsi="Arial" w:eastAsia="宋体" w:cs="Arial"/>
        </w:rPr>
        <w:t>为帮助贵公司在与食品药品监督管理局法规一致的软件生命周期良好规范指引下开发和维护贵公司的器械，我们额外提供了下列参考文献。</w:t>
      </w:r>
    </w:p>
    <w:p w14:paraId="789E7644">
      <w:pPr>
        <w:snapToGrid w:val="0"/>
        <w:spacing w:line="300" w:lineRule="auto"/>
        <w:rPr>
          <w:rFonts w:ascii="Arial" w:hAnsi="Arial" w:eastAsia="宋体" w:cs="Arial"/>
        </w:rPr>
      </w:pPr>
    </w:p>
    <w:p w14:paraId="3EDC64C0">
      <w:pPr>
        <w:pStyle w:val="12"/>
        <w:numPr>
          <w:ilvl w:val="0"/>
          <w:numId w:val="10"/>
        </w:numPr>
        <w:snapToGrid w:val="0"/>
        <w:spacing w:line="300" w:lineRule="auto"/>
        <w:ind w:firstLineChars="0"/>
        <w:rPr>
          <w:rFonts w:ascii="Arial" w:hAnsi="Arial" w:eastAsia="宋体" w:cs="Arial"/>
        </w:rPr>
      </w:pPr>
      <w:r>
        <w:rPr>
          <w:rFonts w:ascii="Arial" w:hAnsi="Arial" w:eastAsia="宋体" w:cs="Arial"/>
        </w:rPr>
        <w:t>软件确认通则；行业和食品药品监督管理局工作人员最终指南。</w:t>
      </w:r>
      <w:r>
        <w:rPr>
          <w:rFonts w:ascii="Arial" w:hAnsi="Arial" w:eastAsia="宋体" w:cs="Arial"/>
          <w:vertAlign w:val="superscript"/>
        </w:rPr>
        <w:t>6</w:t>
      </w:r>
    </w:p>
    <w:p w14:paraId="18908FF7">
      <w:pPr>
        <w:pStyle w:val="12"/>
        <w:numPr>
          <w:ilvl w:val="0"/>
          <w:numId w:val="10"/>
        </w:numPr>
        <w:snapToGrid w:val="0"/>
        <w:spacing w:line="300" w:lineRule="auto"/>
        <w:ind w:firstLineChars="0"/>
        <w:rPr>
          <w:rFonts w:ascii="Arial" w:hAnsi="Arial" w:eastAsia="宋体" w:cs="Arial"/>
        </w:rPr>
      </w:pPr>
      <w:r>
        <w:rPr>
          <w:rFonts w:ascii="Arial" w:hAnsi="Arial" w:eastAsia="宋体" w:cs="Arial"/>
        </w:rPr>
        <w:t>医疗器械中现有软件使用指导；最终指南。可在食品药品监督管理局的网页上下载。</w:t>
      </w:r>
      <w:r>
        <w:rPr>
          <w:rFonts w:ascii="Arial" w:hAnsi="Arial" w:eastAsia="宋体" w:cs="Arial"/>
          <w:vertAlign w:val="superscript"/>
        </w:rPr>
        <w:t>7</w:t>
      </w:r>
    </w:p>
    <w:p w14:paraId="69C3784B">
      <w:pPr>
        <w:pStyle w:val="12"/>
        <w:numPr>
          <w:ilvl w:val="0"/>
          <w:numId w:val="10"/>
        </w:numPr>
        <w:snapToGrid w:val="0"/>
        <w:spacing w:line="300" w:lineRule="auto"/>
        <w:ind w:firstLineChars="0"/>
        <w:rPr>
          <w:rFonts w:ascii="Arial" w:hAnsi="Arial" w:eastAsia="宋体" w:cs="Arial"/>
        </w:rPr>
      </w:pPr>
      <w:r>
        <w:rPr>
          <w:rFonts w:ascii="Arial" w:hAnsi="Arial" w:eastAsia="宋体" w:cs="Arial"/>
        </w:rPr>
        <w:t>21 CFR 820.30 C子部份－质量体系法规的设计控制。</w:t>
      </w:r>
    </w:p>
    <w:p w14:paraId="703766F5">
      <w:pPr>
        <w:pStyle w:val="12"/>
        <w:numPr>
          <w:ilvl w:val="0"/>
          <w:numId w:val="10"/>
        </w:numPr>
        <w:snapToGrid w:val="0"/>
        <w:spacing w:line="300" w:lineRule="auto"/>
        <w:ind w:firstLineChars="0"/>
        <w:rPr>
          <w:rFonts w:ascii="Arial" w:hAnsi="Arial" w:eastAsia="宋体" w:cs="Arial"/>
        </w:rPr>
      </w:pPr>
      <w:r>
        <w:rPr>
          <w:rFonts w:ascii="Arial" w:hAnsi="Arial" w:eastAsia="宋体" w:cs="Arial"/>
        </w:rPr>
        <w:t>ISO 14971-1；医疗器械－风险管理－第1部：风险分析应用程序。</w:t>
      </w:r>
    </w:p>
    <w:p w14:paraId="0D9E423E">
      <w:pPr>
        <w:pStyle w:val="12"/>
        <w:numPr>
          <w:ilvl w:val="0"/>
          <w:numId w:val="10"/>
        </w:numPr>
        <w:snapToGrid w:val="0"/>
        <w:spacing w:line="300" w:lineRule="auto"/>
        <w:ind w:firstLineChars="0"/>
        <w:rPr>
          <w:rFonts w:ascii="Arial" w:hAnsi="Arial" w:eastAsia="宋体" w:cs="Arial"/>
        </w:rPr>
      </w:pPr>
      <w:r>
        <w:rPr>
          <w:rFonts w:ascii="Arial" w:hAnsi="Arial" w:eastAsia="宋体" w:cs="Arial"/>
        </w:rPr>
        <w:t>AAMI SW68:2001；医疗器械软件－软件生命周期流程</w:t>
      </w:r>
    </w:p>
    <w:p w14:paraId="5CE35866">
      <w:pPr>
        <w:snapToGrid w:val="0"/>
        <w:spacing w:line="300" w:lineRule="auto"/>
        <w:rPr>
          <w:rFonts w:ascii="Arial" w:hAnsi="Arial" w:eastAsia="宋体" w:cs="Arial"/>
        </w:rPr>
      </w:pPr>
    </w:p>
    <w:p w14:paraId="2A7CD3EF">
      <w:pPr>
        <w:snapToGrid w:val="0"/>
        <w:spacing w:line="300" w:lineRule="auto"/>
        <w:rPr>
          <w:rFonts w:ascii="Arial" w:hAnsi="Arial" w:eastAsia="宋体" w:cs="Arial"/>
          <w:b/>
        </w:rPr>
      </w:pPr>
      <w:r>
        <w:rPr>
          <w:rFonts w:ascii="Arial" w:hAnsi="Arial" w:eastAsia="宋体" w:cs="Arial"/>
          <w:b/>
        </w:rPr>
        <w:t>8. 贴标</w:t>
      </w:r>
    </w:p>
    <w:p w14:paraId="2D6A2826">
      <w:pPr>
        <w:snapToGrid w:val="0"/>
        <w:spacing w:line="300" w:lineRule="auto"/>
        <w:rPr>
          <w:rFonts w:ascii="Arial" w:hAnsi="Arial" w:eastAsia="宋体" w:cs="Arial"/>
        </w:rPr>
      </w:pPr>
    </w:p>
    <w:p w14:paraId="57446D99">
      <w:pPr>
        <w:snapToGrid w:val="0"/>
        <w:spacing w:line="300" w:lineRule="auto"/>
        <w:rPr>
          <w:rFonts w:ascii="Arial" w:hAnsi="Arial" w:eastAsia="宋体" w:cs="Arial"/>
        </w:rPr>
      </w:pPr>
      <w:r>
        <w:rPr>
          <w:rFonts w:ascii="Arial" w:hAnsi="Arial" w:eastAsia="宋体" w:cs="Arial"/>
        </w:rPr>
        <w:t>上市前通告中必须包含符合21 CFR 807.87（e）要求、有足够细节的贴标。在将体外诊断器械引入州际贸易前，其最终标签亦必须遵从21 CFR 809.10的要求。提供下列推荐规范的目的是帮助贵公司准备符合这些要求的贴标。</w:t>
      </w:r>
    </w:p>
    <w:p w14:paraId="06D43488">
      <w:pPr>
        <w:snapToGrid w:val="0"/>
        <w:spacing w:line="300" w:lineRule="auto"/>
        <w:rPr>
          <w:rFonts w:ascii="Arial" w:hAnsi="Arial" w:eastAsia="宋体" w:cs="Arial"/>
        </w:rPr>
      </w:pPr>
    </w:p>
    <w:p w14:paraId="3DA15475">
      <w:pPr>
        <w:snapToGrid w:val="0"/>
        <w:spacing w:line="300" w:lineRule="auto"/>
        <w:rPr>
          <w:rFonts w:ascii="Arial" w:hAnsi="Arial" w:eastAsia="宋体" w:cs="Arial"/>
        </w:rPr>
      </w:pPr>
      <w:bookmarkStart w:id="64" w:name="OLE_LINK76"/>
      <w:bookmarkStart w:id="65" w:name="OLE_LINK75"/>
      <w:r>
        <w:rPr>
          <w:rFonts w:ascii="Arial" w:hAnsi="Arial" w:eastAsia="宋体" w:cs="Arial"/>
        </w:rPr>
        <w:t>如果</w:t>
      </w:r>
      <w:r>
        <w:rPr>
          <w:rFonts w:ascii="Arial" w:hAnsi="Arial" w:eastAsia="宋体" w:cs="Arial"/>
          <w:bCs/>
        </w:rPr>
        <w:t>一个实验室</w:t>
      </w:r>
      <w:r>
        <w:rPr>
          <w:rFonts w:ascii="Arial" w:hAnsi="Arial" w:eastAsia="宋体" w:cs="Arial"/>
        </w:rPr>
        <w:t>拟采用不随包装器械分发包装说明书的检测产品</w:t>
      </w:r>
      <w:r>
        <w:rPr>
          <w:rFonts w:ascii="Arial" w:hAnsi="Arial" w:eastAsia="宋体" w:cs="Arial"/>
          <w:bCs/>
        </w:rPr>
        <w:t>进行检测，</w:t>
      </w:r>
      <w:r>
        <w:rPr>
          <w:rFonts w:ascii="Arial" w:hAnsi="Arial" w:eastAsia="宋体" w:cs="Arial"/>
        </w:rPr>
        <w:t>制造商应向用户提供510（k）概要和/或决策概要文件的参考文献链接。这些文件以检测报告表格形式张贴在公众可进入的食品药品监督管理局510（k）数据库。</w:t>
      </w:r>
    </w:p>
    <w:p w14:paraId="26B127BC">
      <w:pPr>
        <w:snapToGrid w:val="0"/>
        <w:spacing w:line="300" w:lineRule="auto"/>
        <w:rPr>
          <w:rFonts w:ascii="Arial" w:hAnsi="Arial" w:eastAsia="宋体" w:cs="Arial"/>
        </w:rPr>
      </w:pPr>
    </w:p>
    <w:bookmarkEnd w:id="64"/>
    <w:bookmarkEnd w:id="65"/>
    <w:p w14:paraId="7A83BEF7">
      <w:pPr>
        <w:snapToGrid w:val="0"/>
        <w:spacing w:line="300" w:lineRule="auto"/>
        <w:rPr>
          <w:rFonts w:ascii="Arial" w:hAnsi="Arial" w:eastAsia="宋体" w:cs="Arial"/>
          <w:b/>
        </w:rPr>
      </w:pPr>
      <w:r>
        <w:rPr>
          <w:rFonts w:ascii="Arial" w:hAnsi="Arial" w:eastAsia="宋体" w:cs="Arial"/>
          <w:b/>
        </w:rPr>
        <w:t>预期用途</w:t>
      </w:r>
    </w:p>
    <w:p w14:paraId="7D1480C2">
      <w:pPr>
        <w:snapToGrid w:val="0"/>
        <w:spacing w:line="300" w:lineRule="auto"/>
        <w:rPr>
          <w:rFonts w:ascii="Arial" w:hAnsi="Arial" w:eastAsia="宋体" w:cs="Arial"/>
        </w:rPr>
      </w:pPr>
    </w:p>
    <w:p w14:paraId="4275EF6A">
      <w:pPr>
        <w:snapToGrid w:val="0"/>
        <w:spacing w:line="300" w:lineRule="auto"/>
        <w:rPr>
          <w:rFonts w:ascii="Arial" w:hAnsi="Arial" w:eastAsia="宋体" w:cs="Arial"/>
        </w:rPr>
      </w:pPr>
      <w:r>
        <w:rPr>
          <w:rFonts w:ascii="Arial" w:hAnsi="Arial" w:eastAsia="宋体" w:cs="Arial"/>
          <w:bCs/>
        </w:rPr>
        <w:t>贵公司必须对产品的预期用途做出详细描述（</w:t>
      </w:r>
      <w:r>
        <w:rPr>
          <w:rFonts w:ascii="Arial" w:hAnsi="Arial" w:eastAsia="宋体" w:cs="Arial"/>
        </w:rPr>
        <w:t>21 CFR 809.10（a）（2）, （b）（2）</w:t>
      </w:r>
      <w:r>
        <w:rPr>
          <w:rFonts w:ascii="Arial" w:hAnsi="Arial" w:eastAsia="宋体" w:cs="Arial"/>
          <w:bCs/>
        </w:rPr>
        <w:t>）。</w:t>
      </w:r>
      <w:r>
        <w:rPr>
          <w:rFonts w:ascii="Arial" w:hAnsi="Arial" w:eastAsia="宋体" w:cs="Arial"/>
        </w:rPr>
        <w:t>在预期用途部分应对本检测方法的检测对象、使用本检测方法的临床指征和拟使用本检测方法的具体人群做出详细描述。在本部分应包含对患者的描述（如性别、年龄、临床稳定</w:t>
      </w:r>
      <w:bookmarkStart w:id="66" w:name="OLE_LINK86"/>
      <w:bookmarkStart w:id="67" w:name="OLE_LINK94"/>
      <w:r>
        <w:rPr>
          <w:rFonts w:ascii="Arial" w:hAnsi="Arial" w:eastAsia="宋体" w:cs="Arial"/>
        </w:rPr>
        <w:t>性、移植后时间、当前治疗方案）。</w:t>
      </w:r>
      <w:bookmarkEnd w:id="66"/>
      <w:bookmarkEnd w:id="67"/>
      <w:r>
        <w:rPr>
          <w:rFonts w:ascii="Arial" w:hAnsi="Arial" w:eastAsia="宋体" w:cs="Arial"/>
        </w:rPr>
        <w:t>在预期用途部分应对本检测方法是定性或定量做出详细描述。如果计划在一个实验室使用本检测方法，在预期用途部分应包含该信息。</w:t>
      </w:r>
    </w:p>
    <w:p w14:paraId="396C2B4D">
      <w:pPr>
        <w:snapToGrid w:val="0"/>
        <w:spacing w:line="300" w:lineRule="auto"/>
        <w:rPr>
          <w:rFonts w:ascii="Arial" w:hAnsi="Arial" w:eastAsia="宋体" w:cs="Arial"/>
        </w:rPr>
      </w:pPr>
    </w:p>
    <w:p w14:paraId="38370645">
      <w:pPr>
        <w:snapToGrid w:val="0"/>
        <w:spacing w:line="300" w:lineRule="auto"/>
        <w:rPr>
          <w:rFonts w:ascii="Arial" w:hAnsi="Arial" w:eastAsia="宋体" w:cs="Arial"/>
          <w:b/>
        </w:rPr>
      </w:pPr>
      <w:r>
        <w:rPr>
          <w:rFonts w:ascii="Arial" w:hAnsi="Arial" w:eastAsia="宋体" w:cs="Arial"/>
          <w:b/>
        </w:rPr>
        <w:t>通用规程</w:t>
      </w:r>
    </w:p>
    <w:p w14:paraId="73029EC1">
      <w:pPr>
        <w:snapToGrid w:val="0"/>
        <w:spacing w:line="300" w:lineRule="auto"/>
        <w:rPr>
          <w:rFonts w:ascii="Arial" w:hAnsi="Arial" w:eastAsia="宋体" w:cs="Arial"/>
        </w:rPr>
      </w:pPr>
    </w:p>
    <w:p w14:paraId="5C3F4B93">
      <w:pPr>
        <w:snapToGrid w:val="0"/>
        <w:spacing w:line="300" w:lineRule="auto"/>
        <w:rPr>
          <w:rFonts w:ascii="Arial" w:hAnsi="Arial" w:eastAsia="宋体" w:cs="Arial"/>
        </w:rPr>
      </w:pPr>
      <w:r>
        <w:rPr>
          <w:rFonts w:ascii="Arial" w:hAnsi="Arial" w:eastAsia="宋体" w:cs="Arial"/>
        </w:rPr>
        <w:t>贵公司应在贴标中包含对分析规程的综合描述，从医生采样、分析过程到结果报告一应俱全。</w:t>
      </w:r>
    </w:p>
    <w:p w14:paraId="0C62EAC9">
      <w:pPr>
        <w:snapToGrid w:val="0"/>
        <w:spacing w:line="300" w:lineRule="auto"/>
        <w:rPr>
          <w:rFonts w:ascii="Arial" w:hAnsi="Arial" w:eastAsia="宋体" w:cs="Arial"/>
        </w:rPr>
      </w:pPr>
    </w:p>
    <w:p w14:paraId="657614F3">
      <w:pPr>
        <w:snapToGrid w:val="0"/>
        <w:spacing w:line="300" w:lineRule="auto"/>
        <w:rPr>
          <w:rFonts w:ascii="Arial" w:hAnsi="Arial" w:eastAsia="宋体" w:cs="Arial"/>
          <w:b/>
          <w:bCs/>
        </w:rPr>
      </w:pPr>
      <w:r>
        <w:rPr>
          <w:rFonts w:ascii="Arial" w:hAnsi="Arial" w:eastAsia="宋体" w:cs="Arial"/>
          <w:b/>
          <w:bCs/>
        </w:rPr>
        <w:t>使用说明</w:t>
      </w:r>
    </w:p>
    <w:p w14:paraId="5D0FBDAE">
      <w:pPr>
        <w:snapToGrid w:val="0"/>
        <w:spacing w:line="300" w:lineRule="auto"/>
        <w:rPr>
          <w:rFonts w:ascii="Arial" w:hAnsi="Arial" w:eastAsia="宋体" w:cs="Arial"/>
          <w:bCs/>
        </w:rPr>
      </w:pPr>
    </w:p>
    <w:p w14:paraId="33CC405A">
      <w:pPr>
        <w:snapToGrid w:val="0"/>
        <w:spacing w:line="300" w:lineRule="auto"/>
        <w:rPr>
          <w:rFonts w:ascii="Arial" w:hAnsi="Arial" w:eastAsia="宋体" w:cs="Arial"/>
          <w:bCs/>
        </w:rPr>
      </w:pPr>
      <w:r>
        <w:rPr>
          <w:rFonts w:ascii="Arial" w:hAnsi="Arial" w:eastAsia="宋体" w:cs="Arial"/>
          <w:bCs/>
        </w:rPr>
        <w:t>贵公司必须对推荐规程提供分步概述（</w:t>
      </w:r>
      <w:r>
        <w:rPr>
          <w:rFonts w:ascii="Arial" w:hAnsi="Arial" w:eastAsia="宋体" w:cs="Arial"/>
        </w:rPr>
        <w:t>21 CFR 809.10（b）（8）</w:t>
      </w:r>
      <w:r>
        <w:rPr>
          <w:rFonts w:ascii="Arial" w:hAnsi="Arial" w:eastAsia="宋体" w:cs="Arial"/>
          <w:bCs/>
        </w:rPr>
        <w:t>）。贵公司应提供清晰、简洁的使用说明。在使用说明中应对具体器械的技术特征和如何使用本器械做出描述。在使用说明中应鼓励用户熟悉本器械的特色并掌握安全、有效的使用方法。</w:t>
      </w:r>
    </w:p>
    <w:p w14:paraId="3BAE7042">
      <w:pPr>
        <w:snapToGrid w:val="0"/>
        <w:spacing w:line="300" w:lineRule="auto"/>
        <w:rPr>
          <w:rFonts w:ascii="Arial" w:hAnsi="Arial" w:eastAsia="宋体" w:cs="Arial"/>
          <w:bCs/>
        </w:rPr>
      </w:pPr>
    </w:p>
    <w:p w14:paraId="4AE07F37">
      <w:pPr>
        <w:snapToGrid w:val="0"/>
        <w:spacing w:line="300" w:lineRule="auto"/>
        <w:rPr>
          <w:rFonts w:ascii="Arial" w:hAnsi="Arial" w:eastAsia="宋体" w:cs="Arial"/>
        </w:rPr>
      </w:pPr>
      <w:r>
        <w:rPr>
          <w:rFonts w:ascii="Arial" w:hAnsi="Arial" w:eastAsia="宋体" w:cs="Arial"/>
        </w:rPr>
        <w:t>贵公司应在使用说明中包含标本处理和储存说明。贵公司应对在贵公司向用户推荐的打开和密闭储存条件下器械的稳定性（即保质期测定）做出描述。</w:t>
      </w:r>
    </w:p>
    <w:p w14:paraId="044847F8">
      <w:pPr>
        <w:snapToGrid w:val="0"/>
        <w:spacing w:line="300" w:lineRule="auto"/>
        <w:rPr>
          <w:rFonts w:ascii="Arial" w:hAnsi="Arial" w:eastAsia="宋体" w:cs="Arial"/>
        </w:rPr>
      </w:pPr>
    </w:p>
    <w:p w14:paraId="3FD3E91D">
      <w:pPr>
        <w:snapToGrid w:val="0"/>
        <w:spacing w:line="300" w:lineRule="auto"/>
        <w:rPr>
          <w:rFonts w:ascii="Arial" w:hAnsi="Arial" w:eastAsia="宋体" w:cs="Arial"/>
          <w:b/>
          <w:bCs/>
        </w:rPr>
      </w:pPr>
      <w:r>
        <w:rPr>
          <w:rFonts w:ascii="Arial" w:hAnsi="Arial" w:eastAsia="宋体" w:cs="Arial"/>
          <w:b/>
          <w:bCs/>
        </w:rPr>
        <w:t>质量控制</w:t>
      </w:r>
    </w:p>
    <w:p w14:paraId="52EBA6FC">
      <w:pPr>
        <w:snapToGrid w:val="0"/>
        <w:spacing w:line="300" w:lineRule="auto"/>
        <w:rPr>
          <w:rFonts w:ascii="Arial" w:hAnsi="Arial" w:eastAsia="宋体" w:cs="Arial"/>
          <w:bCs/>
        </w:rPr>
      </w:pPr>
    </w:p>
    <w:p w14:paraId="03249B3C">
      <w:pPr>
        <w:snapToGrid w:val="0"/>
        <w:spacing w:line="300" w:lineRule="auto"/>
        <w:rPr>
          <w:rFonts w:ascii="Arial" w:hAnsi="Arial" w:eastAsia="宋体" w:cs="Arial"/>
          <w:bCs/>
        </w:rPr>
      </w:pPr>
      <w:r>
        <w:rPr>
          <w:rFonts w:ascii="Arial" w:hAnsi="Arial" w:eastAsia="宋体" w:cs="Arial"/>
          <w:bCs/>
        </w:rPr>
        <w:t>在对规程的分步概述中必须包含各种质控规程的细节和所需材料以及校准细节（21 CFR 809.10（b）（8）（v）和21 CFR 809.10（b）（8）（vi））。贵公司应在包装说明书中提供质控推荐规范。在推荐规范中应包含对试剂盒使用哪种对照和对照材料预期结果的清晰说明。</w:t>
      </w:r>
    </w:p>
    <w:p w14:paraId="5F8F1642">
      <w:pPr>
        <w:snapToGrid w:val="0"/>
        <w:spacing w:line="300" w:lineRule="auto"/>
        <w:rPr>
          <w:rFonts w:ascii="Arial" w:hAnsi="Arial" w:eastAsia="宋体" w:cs="Arial"/>
          <w:bCs/>
        </w:rPr>
      </w:pPr>
    </w:p>
    <w:p w14:paraId="52A25230">
      <w:pPr>
        <w:snapToGrid w:val="0"/>
        <w:spacing w:line="300" w:lineRule="auto"/>
        <w:rPr>
          <w:rFonts w:ascii="Arial" w:hAnsi="Arial" w:eastAsia="宋体" w:cs="Arial"/>
        </w:rPr>
      </w:pPr>
      <w:r>
        <w:rPr>
          <w:rFonts w:ascii="Arial" w:hAnsi="Arial" w:eastAsia="宋体" w:cs="Arial"/>
          <w:b/>
        </w:rPr>
        <w:t>注意事项、警告信息和局限性</w:t>
      </w:r>
    </w:p>
    <w:p w14:paraId="39C04597">
      <w:pPr>
        <w:snapToGrid w:val="0"/>
        <w:spacing w:line="300" w:lineRule="auto"/>
        <w:rPr>
          <w:rFonts w:ascii="Arial" w:hAnsi="Arial" w:eastAsia="宋体" w:cs="Arial"/>
          <w:b/>
          <w:bCs/>
        </w:rPr>
      </w:pPr>
    </w:p>
    <w:p w14:paraId="7A4714C8">
      <w:pPr>
        <w:snapToGrid w:val="0"/>
        <w:spacing w:line="300" w:lineRule="auto"/>
        <w:rPr>
          <w:rFonts w:ascii="Arial" w:hAnsi="Arial" w:eastAsia="宋体" w:cs="Arial"/>
        </w:rPr>
      </w:pPr>
      <w:r>
        <w:rPr>
          <w:rFonts w:ascii="Arial" w:hAnsi="Arial" w:eastAsia="宋体" w:cs="Arial"/>
        </w:rPr>
        <w:t>贵公司必须在贴标中包含对规程局限性的陈述（21 CFR 809.10（b）（10））。我们建议贵公司在贴标中对任何测定局限性做出清晰描述并包含医生订购本检测产品前需知道的相应局限性和警告信息。</w:t>
      </w:r>
    </w:p>
    <w:p w14:paraId="1FFC65DC">
      <w:pPr>
        <w:snapToGrid w:val="0"/>
        <w:spacing w:line="300" w:lineRule="auto"/>
        <w:rPr>
          <w:rFonts w:ascii="Arial" w:hAnsi="Arial" w:eastAsia="宋体" w:cs="Arial"/>
        </w:rPr>
      </w:pPr>
    </w:p>
    <w:p w14:paraId="0E620A71">
      <w:pPr>
        <w:snapToGrid w:val="0"/>
        <w:spacing w:line="300" w:lineRule="auto"/>
        <w:rPr>
          <w:rFonts w:ascii="Arial" w:hAnsi="Arial" w:eastAsia="宋体" w:cs="Arial"/>
        </w:rPr>
      </w:pPr>
      <w:r>
        <w:rPr>
          <w:rFonts w:ascii="Arial" w:hAnsi="Arial" w:eastAsia="宋体" w:cs="Arial"/>
        </w:rPr>
        <w:t>除与贵公司的测定有关的任何局限性和警告信息外，在心脏移植物基因表达谱检测系统中应包含下列局限性：</w:t>
      </w:r>
    </w:p>
    <w:p w14:paraId="381FCD24">
      <w:pPr>
        <w:snapToGrid w:val="0"/>
        <w:spacing w:line="300" w:lineRule="auto"/>
        <w:rPr>
          <w:rFonts w:ascii="Arial" w:hAnsi="Arial" w:eastAsia="宋体" w:cs="Arial"/>
        </w:rPr>
      </w:pPr>
    </w:p>
    <w:p w14:paraId="20EB2265">
      <w:pPr>
        <w:pStyle w:val="12"/>
        <w:numPr>
          <w:ilvl w:val="0"/>
          <w:numId w:val="11"/>
        </w:numPr>
        <w:snapToGrid w:val="0"/>
        <w:spacing w:line="300" w:lineRule="auto"/>
        <w:ind w:firstLineChars="0"/>
        <w:rPr>
          <w:rFonts w:ascii="Arial" w:hAnsi="Arial" w:eastAsia="宋体" w:cs="Arial"/>
        </w:rPr>
      </w:pPr>
      <w:r>
        <w:rPr>
          <w:rFonts w:ascii="Arial" w:hAnsi="Arial" w:eastAsia="宋体" w:cs="Arial"/>
        </w:rPr>
        <w:t>本测定的结果不应用于诊断而应与标准临床评估结果结合使用。</w:t>
      </w:r>
    </w:p>
    <w:p w14:paraId="056C469B">
      <w:pPr>
        <w:pStyle w:val="12"/>
        <w:numPr>
          <w:ilvl w:val="0"/>
          <w:numId w:val="11"/>
        </w:numPr>
        <w:snapToGrid w:val="0"/>
        <w:spacing w:line="300" w:lineRule="auto"/>
        <w:ind w:firstLineChars="0"/>
        <w:rPr>
          <w:rFonts w:ascii="Arial" w:hAnsi="Arial" w:eastAsia="宋体" w:cs="Arial"/>
        </w:rPr>
      </w:pPr>
      <w:r>
        <w:rPr>
          <w:rFonts w:ascii="Arial" w:hAnsi="Arial" w:eastAsia="宋体" w:cs="Arial"/>
        </w:rPr>
        <w:t>本测定的结果不应用于预测对治疗方案的反应或选择最佳治疗方案。</w:t>
      </w:r>
    </w:p>
    <w:p w14:paraId="4BD8FDAF">
      <w:pPr>
        <w:pStyle w:val="12"/>
        <w:numPr>
          <w:ilvl w:val="0"/>
          <w:numId w:val="11"/>
        </w:numPr>
        <w:snapToGrid w:val="0"/>
        <w:spacing w:line="300" w:lineRule="auto"/>
        <w:ind w:firstLineChars="0"/>
        <w:rPr>
          <w:rFonts w:ascii="Arial" w:hAnsi="Arial" w:eastAsia="宋体" w:cs="Arial"/>
        </w:rPr>
      </w:pPr>
      <w:r>
        <w:rPr>
          <w:rFonts w:ascii="Arial" w:hAnsi="Arial" w:eastAsia="宋体" w:cs="Arial"/>
        </w:rPr>
        <w:t>本测定的结果不应用于排除治疗方案。</w:t>
      </w:r>
    </w:p>
    <w:p w14:paraId="50BA69BD">
      <w:pPr>
        <w:pStyle w:val="12"/>
        <w:numPr>
          <w:ilvl w:val="0"/>
          <w:numId w:val="11"/>
        </w:numPr>
        <w:snapToGrid w:val="0"/>
        <w:spacing w:line="300" w:lineRule="auto"/>
        <w:ind w:firstLineChars="0"/>
        <w:rPr>
          <w:rFonts w:ascii="Arial" w:hAnsi="Arial" w:eastAsia="宋体" w:cs="Arial"/>
        </w:rPr>
      </w:pPr>
      <w:r>
        <w:rPr>
          <w:rFonts w:ascii="Arial" w:hAnsi="Arial" w:eastAsia="宋体" w:cs="Arial"/>
        </w:rPr>
        <w:t>用于说明这些结果局限于研究中使用的患者标本池的一个陈述。</w:t>
      </w:r>
    </w:p>
    <w:p w14:paraId="4F465349">
      <w:pPr>
        <w:snapToGrid w:val="0"/>
        <w:spacing w:line="300" w:lineRule="auto"/>
        <w:rPr>
          <w:rFonts w:ascii="Arial" w:hAnsi="Arial" w:eastAsia="宋体" w:cs="Arial"/>
        </w:rPr>
      </w:pPr>
    </w:p>
    <w:p w14:paraId="7C4EEFA3">
      <w:pPr>
        <w:widowControl/>
        <w:jc w:val="left"/>
        <w:rPr>
          <w:rFonts w:ascii="Arial" w:hAnsi="Arial" w:eastAsia="宋体" w:cs="Arial"/>
          <w:b/>
          <w:bCs/>
        </w:rPr>
      </w:pPr>
      <w:r>
        <w:rPr>
          <w:rFonts w:ascii="Arial" w:hAnsi="Arial" w:eastAsia="宋体" w:cs="Arial"/>
          <w:b/>
          <w:bCs/>
        </w:rPr>
        <w:br w:type="page"/>
      </w:r>
    </w:p>
    <w:p w14:paraId="3A38340A">
      <w:pPr>
        <w:snapToGrid w:val="0"/>
        <w:spacing w:line="300" w:lineRule="auto"/>
        <w:rPr>
          <w:rFonts w:ascii="Arial" w:hAnsi="Arial" w:eastAsia="宋体" w:cs="Arial"/>
          <w:b/>
          <w:bCs/>
        </w:rPr>
      </w:pPr>
      <w:r>
        <w:rPr>
          <w:rFonts w:ascii="Arial" w:hAnsi="Arial" w:eastAsia="宋体" w:cs="Arial"/>
          <w:b/>
          <w:bCs/>
        </w:rPr>
        <w:t>性能特征</w:t>
      </w:r>
    </w:p>
    <w:p w14:paraId="3E1C3308">
      <w:pPr>
        <w:snapToGrid w:val="0"/>
        <w:spacing w:line="300" w:lineRule="auto"/>
        <w:rPr>
          <w:rFonts w:ascii="Arial" w:hAnsi="Arial" w:eastAsia="宋体" w:cs="Arial"/>
          <w:bCs/>
        </w:rPr>
      </w:pPr>
    </w:p>
    <w:p w14:paraId="47F3B716">
      <w:pPr>
        <w:snapToGrid w:val="0"/>
        <w:spacing w:line="300" w:lineRule="auto"/>
        <w:rPr>
          <w:rFonts w:ascii="Arial" w:hAnsi="Arial" w:eastAsia="宋体" w:cs="Arial"/>
        </w:rPr>
      </w:pPr>
      <w:r>
        <w:rPr>
          <w:rFonts w:ascii="Arial" w:hAnsi="Arial" w:eastAsia="宋体" w:cs="Arial"/>
        </w:rPr>
        <w:t>贵公司必须在贴标中包含本测定的具体性能特征（21 CFR 809.10（b）（12））。贵公司必须在包装说明书中包含第6节描述的对研究设计和研究结果的概述，该概述可帮助用户理解检测结果。在本部分应包含对临床（即医疗）和分析（即技术）性能特征的描述。在临床性能特征部分应包含对临床确认研究的概述。在分析性能特征部分应包含对结果和这些研究所用方法的描述。</w:t>
      </w:r>
    </w:p>
    <w:p w14:paraId="3B3DF135">
      <w:pPr>
        <w:snapToGrid w:val="0"/>
        <w:spacing w:line="300" w:lineRule="auto"/>
        <w:rPr>
          <w:rFonts w:ascii="Arial" w:hAnsi="Arial" w:eastAsia="宋体" w:cs="Arial"/>
        </w:rPr>
      </w:pPr>
    </w:p>
    <w:p w14:paraId="3540C239">
      <w:pPr>
        <w:snapToGrid w:val="0"/>
        <w:spacing w:line="300" w:lineRule="auto"/>
        <w:rPr>
          <w:rFonts w:ascii="Arial" w:hAnsi="Arial" w:eastAsia="宋体" w:cs="Arial"/>
          <w:b/>
        </w:rPr>
      </w:pPr>
      <w:r>
        <w:rPr>
          <w:rFonts w:ascii="Arial" w:hAnsi="Arial" w:eastAsia="宋体" w:cs="Arial"/>
          <w:b/>
        </w:rPr>
        <w:t>结果解释</w:t>
      </w:r>
    </w:p>
    <w:p w14:paraId="1581F943">
      <w:pPr>
        <w:snapToGrid w:val="0"/>
        <w:spacing w:line="300" w:lineRule="auto"/>
        <w:rPr>
          <w:rFonts w:ascii="Arial" w:hAnsi="Arial" w:eastAsia="宋体" w:cs="Arial"/>
          <w:bCs/>
        </w:rPr>
      </w:pPr>
    </w:p>
    <w:p w14:paraId="4FB338B5">
      <w:pPr>
        <w:snapToGrid w:val="0"/>
        <w:spacing w:line="300" w:lineRule="auto"/>
        <w:rPr>
          <w:rFonts w:ascii="Arial" w:hAnsi="Arial" w:eastAsia="宋体" w:cs="Arial"/>
          <w:bCs/>
        </w:rPr>
      </w:pPr>
      <w:r>
        <w:rPr>
          <w:rFonts w:ascii="Arial" w:hAnsi="Arial" w:eastAsia="宋体" w:cs="Arial"/>
          <w:bCs/>
        </w:rPr>
        <w:t>贵公司应对用来表达患者特异性结果的“分类”、“模式”、“分值”或“指数”做出清晰定义。检测报告中引用的性能指标（如急性细胞排斥反应的阴性预测值）应建立在对本器械进行临床确认的临床实验得出的结果之上。</w:t>
      </w:r>
    </w:p>
    <w:p w14:paraId="3F85863D">
      <w:pPr>
        <w:snapToGrid w:val="0"/>
        <w:spacing w:line="300" w:lineRule="auto"/>
        <w:rPr>
          <w:rFonts w:ascii="Arial" w:hAnsi="Arial" w:eastAsia="宋体" w:cs="Arial"/>
          <w:bCs/>
        </w:rPr>
      </w:pPr>
    </w:p>
    <w:p w14:paraId="3C391BFD">
      <w:pPr>
        <w:snapToGrid w:val="0"/>
        <w:spacing w:line="300" w:lineRule="auto"/>
        <w:rPr>
          <w:rFonts w:ascii="Arial" w:hAnsi="Arial" w:eastAsia="宋体" w:cs="Arial"/>
          <w:b/>
        </w:rPr>
      </w:pPr>
      <w:r>
        <w:rPr>
          <w:rFonts w:ascii="Arial" w:hAnsi="Arial" w:eastAsia="宋体" w:cs="Arial"/>
          <w:b/>
        </w:rPr>
        <w:t>期望值</w:t>
      </w:r>
    </w:p>
    <w:p w14:paraId="1A462975">
      <w:pPr>
        <w:snapToGrid w:val="0"/>
        <w:spacing w:line="300" w:lineRule="auto"/>
        <w:rPr>
          <w:rFonts w:ascii="Arial" w:hAnsi="Arial" w:eastAsia="宋体" w:cs="Arial"/>
        </w:rPr>
      </w:pPr>
    </w:p>
    <w:p w14:paraId="2FE13543">
      <w:pPr>
        <w:snapToGrid w:val="0"/>
        <w:spacing w:line="300" w:lineRule="auto"/>
        <w:rPr>
          <w:rFonts w:ascii="Arial" w:hAnsi="Arial" w:eastAsia="宋体" w:cs="Arial"/>
        </w:rPr>
      </w:pPr>
      <w:r>
        <w:rPr>
          <w:rFonts w:ascii="Arial" w:hAnsi="Arial" w:eastAsia="宋体" w:cs="Arial"/>
        </w:rPr>
        <w:t>贵公司必须对本检测的期望值做出规定并指出如何确立该期望值以及确立该期望值所用的人群（21 CFR 809.10（b）（11））。在对人群的描述中应包含标本数、年龄、性别和人口统计等信息。贵公司应在本部分包含对结果的解释（如分值“15”意味着…）。</w:t>
      </w:r>
    </w:p>
    <w:p w14:paraId="545BCD07">
      <w:pPr>
        <w:snapToGrid w:val="0"/>
        <w:spacing w:line="300" w:lineRule="auto"/>
        <w:rPr>
          <w:rFonts w:ascii="Arial" w:hAnsi="Arial" w:eastAsia="宋体" w:cs="Arial"/>
        </w:rPr>
      </w:pPr>
    </w:p>
    <w:p w14:paraId="529FBB45">
      <w:pPr>
        <w:snapToGrid w:val="0"/>
        <w:spacing w:line="300" w:lineRule="auto"/>
        <w:rPr>
          <w:rFonts w:ascii="Arial" w:hAnsi="Arial" w:eastAsia="宋体" w:cs="Arial"/>
        </w:rPr>
      </w:pPr>
      <w:r>
        <w:rPr>
          <w:rFonts w:ascii="Arial" w:hAnsi="Arial" w:eastAsia="宋体" w:cs="Arial"/>
        </w:rPr>
        <w:t>________________________________________</w:t>
      </w:r>
    </w:p>
    <w:p w14:paraId="285EBC18">
      <w:pPr>
        <w:snapToGrid w:val="0"/>
        <w:spacing w:line="300" w:lineRule="auto"/>
        <w:rPr>
          <w:rFonts w:ascii="Arial" w:hAnsi="Arial" w:eastAsia="宋体" w:cs="Arial"/>
        </w:rPr>
      </w:pPr>
    </w:p>
    <w:p w14:paraId="77F1E358">
      <w:pPr>
        <w:snapToGrid w:val="0"/>
        <w:spacing w:line="300" w:lineRule="auto"/>
        <w:jc w:val="left"/>
        <w:rPr>
          <w:rFonts w:ascii="Arial" w:hAnsi="Arial" w:eastAsia="宋体" w:cs="Arial"/>
        </w:rPr>
      </w:pPr>
      <w:bookmarkStart w:id="68" w:name="ft1"/>
      <w:r>
        <w:rPr>
          <w:rFonts w:ascii="Arial" w:hAnsi="Arial" w:eastAsia="宋体" w:cs="Arial"/>
          <w:vertAlign w:val="superscript"/>
        </w:rPr>
        <w:t>1</w:t>
      </w:r>
      <w:bookmarkEnd w:id="68"/>
      <w:r>
        <w:rPr>
          <w:rFonts w:ascii="Arial" w:hAnsi="Arial" w:eastAsia="宋体" w:cs="Arial"/>
        </w:rPr>
        <w:t> </w:t>
      </w:r>
      <w:r>
        <w:fldChar w:fldCharType="begin"/>
      </w:r>
      <w:r>
        <w:instrText xml:space="preserve"> HYPERLINK "http://www.fda.gov/MedicalDevices/DeviceRegulationandGuidance/GuidanceDocuments/ucm084365.htm" </w:instrText>
      </w:r>
      <w:r>
        <w:fldChar w:fldCharType="separate"/>
      </w:r>
      <w:r>
        <w:rPr>
          <w:rStyle w:val="8"/>
          <w:rFonts w:ascii="Arial" w:hAnsi="Arial" w:eastAsia="宋体" w:cs="Arial"/>
          <w:color w:val="800080"/>
        </w:rPr>
        <w:t>http://www.fda.gov/MedicalDevices/ DeviceRegulationandGuidance/GuidanceDocuments/ ucm084365.htm</w:t>
      </w:r>
      <w:r>
        <w:rPr>
          <w:rStyle w:val="8"/>
          <w:rFonts w:ascii="Arial" w:hAnsi="Arial" w:eastAsia="宋体" w:cs="Arial"/>
          <w:color w:val="800080"/>
        </w:rPr>
        <w:fldChar w:fldCharType="end"/>
      </w:r>
    </w:p>
    <w:p w14:paraId="03665351">
      <w:pPr>
        <w:snapToGrid w:val="0"/>
        <w:spacing w:line="300" w:lineRule="auto"/>
        <w:jc w:val="left"/>
        <w:rPr>
          <w:rStyle w:val="8"/>
          <w:color w:val="800080"/>
        </w:rPr>
      </w:pPr>
      <w:bookmarkStart w:id="69" w:name="ft2"/>
      <w:r>
        <w:rPr>
          <w:rFonts w:ascii="Arial" w:hAnsi="Arial" w:eastAsia="宋体" w:cs="Arial"/>
          <w:vertAlign w:val="superscript"/>
        </w:rPr>
        <w:t>2</w:t>
      </w:r>
      <w:bookmarkEnd w:id="69"/>
      <w:r>
        <w:rPr>
          <w:rFonts w:ascii="Arial" w:hAnsi="Arial" w:eastAsia="宋体" w:cs="Arial"/>
        </w:rPr>
        <w:t> </w:t>
      </w:r>
      <w:r>
        <w:fldChar w:fldCharType="begin"/>
      </w:r>
      <w:r>
        <w:instrText xml:space="preserve"> HYPERLINK "http://www.fda.gov/MedicalDevices/DeviceRegulationandGuidance/GuidanceDocuments/ucm080187.htm" </w:instrText>
      </w:r>
      <w:r>
        <w:fldChar w:fldCharType="separate"/>
      </w:r>
      <w:r>
        <w:rPr>
          <w:rStyle w:val="8"/>
          <w:rFonts w:ascii="Arial" w:hAnsi="Arial" w:eastAsia="宋体" w:cs="Arial"/>
          <w:color w:val="800080"/>
        </w:rPr>
        <w:t>http://www.fda.gov/MedicalDevices/ DeviceRegulationandGuidance/GuidanceDocuments/ ucm080187.htm</w:t>
      </w:r>
      <w:r>
        <w:rPr>
          <w:rStyle w:val="8"/>
          <w:rFonts w:ascii="Arial" w:hAnsi="Arial" w:eastAsia="宋体" w:cs="Arial"/>
          <w:color w:val="800080"/>
        </w:rPr>
        <w:fldChar w:fldCharType="end"/>
      </w:r>
    </w:p>
    <w:p w14:paraId="77A1CB72">
      <w:pPr>
        <w:snapToGrid w:val="0"/>
        <w:spacing w:line="300" w:lineRule="auto"/>
        <w:jc w:val="left"/>
        <w:rPr>
          <w:rFonts w:ascii="Arial" w:hAnsi="Arial" w:eastAsia="宋体" w:cs="Arial"/>
        </w:rPr>
      </w:pPr>
      <w:bookmarkStart w:id="70" w:name="ft3"/>
      <w:r>
        <w:rPr>
          <w:rFonts w:ascii="Arial" w:hAnsi="Arial" w:eastAsia="宋体" w:cs="Arial"/>
          <w:vertAlign w:val="superscript"/>
        </w:rPr>
        <w:t>3</w:t>
      </w:r>
      <w:bookmarkEnd w:id="70"/>
      <w:r>
        <w:rPr>
          <w:rFonts w:ascii="Arial" w:hAnsi="Arial" w:eastAsia="宋体" w:cs="Arial"/>
        </w:rPr>
        <w:t> </w:t>
      </w:r>
      <w:r>
        <w:fldChar w:fldCharType="begin"/>
      </w:r>
      <w:r>
        <w:instrText xml:space="preserve"> HYPERLINK "http://www.fda.gov/MedicalDevices/DeviceRegulationandGuidance/GuidanceDocuments/ucm077819.htm" </w:instrText>
      </w:r>
      <w:r>
        <w:fldChar w:fldCharType="separate"/>
      </w:r>
      <w:r>
        <w:rPr>
          <w:rStyle w:val="8"/>
          <w:rFonts w:ascii="Arial" w:hAnsi="Arial" w:eastAsia="宋体" w:cs="Arial"/>
          <w:color w:val="800080"/>
        </w:rPr>
        <w:t>http://www.fda.gov/MedicalDevices/ DeviceRegulationandGuidance/GuidanceDocuments/ ucm077819.htm</w:t>
      </w:r>
      <w:r>
        <w:rPr>
          <w:rStyle w:val="8"/>
          <w:rFonts w:ascii="Arial" w:hAnsi="Arial" w:eastAsia="宋体" w:cs="Arial"/>
          <w:color w:val="800080"/>
        </w:rPr>
        <w:fldChar w:fldCharType="end"/>
      </w:r>
    </w:p>
    <w:p w14:paraId="153A637A">
      <w:pPr>
        <w:snapToGrid w:val="0"/>
        <w:spacing w:line="300" w:lineRule="auto"/>
        <w:jc w:val="left"/>
        <w:rPr>
          <w:rFonts w:ascii="Arial" w:hAnsi="Arial" w:eastAsia="宋体" w:cs="Arial"/>
        </w:rPr>
      </w:pPr>
      <w:bookmarkStart w:id="71" w:name="ft4"/>
      <w:r>
        <w:rPr>
          <w:rFonts w:ascii="Arial" w:hAnsi="Arial" w:eastAsia="宋体" w:cs="Arial"/>
          <w:vertAlign w:val="superscript"/>
        </w:rPr>
        <w:t>4</w:t>
      </w:r>
      <w:bookmarkEnd w:id="71"/>
      <w:r>
        <w:rPr>
          <w:rFonts w:ascii="Arial" w:hAnsi="Arial" w:eastAsia="宋体" w:cs="Arial"/>
        </w:rPr>
        <w:t>见：关于采用不可分别辨识的剩余人体标本进行体外诊断器械研究时知情同意的指南， </w:t>
      </w:r>
      <w:r>
        <w:fldChar w:fldCharType="begin"/>
      </w:r>
      <w:r>
        <w:instrText xml:space="preserve"> HYPERLINK "http://www.fda.gov/MedicalDevices/DeviceRegulationandGuidance/GuidanceDocuments/ucm078384.htm" </w:instrText>
      </w:r>
      <w:r>
        <w:fldChar w:fldCharType="separate"/>
      </w:r>
      <w:r>
        <w:rPr>
          <w:rStyle w:val="8"/>
          <w:rFonts w:ascii="Arial" w:hAnsi="Arial" w:eastAsia="宋体" w:cs="Arial"/>
          <w:color w:val="800080"/>
        </w:rPr>
        <w:t>http://www.fda.gov/MedicalDevices/ DeviceRegulationandGuidance/GuidanceDocuments/ ucm078384.htm</w:t>
      </w:r>
      <w:r>
        <w:rPr>
          <w:rStyle w:val="8"/>
          <w:rFonts w:ascii="Arial" w:hAnsi="Arial" w:eastAsia="宋体" w:cs="Arial"/>
          <w:color w:val="800080"/>
        </w:rPr>
        <w:fldChar w:fldCharType="end"/>
      </w:r>
    </w:p>
    <w:p w14:paraId="3B041531">
      <w:pPr>
        <w:snapToGrid w:val="0"/>
        <w:spacing w:line="300" w:lineRule="auto"/>
        <w:jc w:val="left"/>
        <w:rPr>
          <w:rFonts w:ascii="Arial" w:hAnsi="Arial" w:eastAsia="宋体" w:cs="Arial"/>
        </w:rPr>
      </w:pPr>
      <w:bookmarkStart w:id="72" w:name="ft5"/>
      <w:r>
        <w:rPr>
          <w:rFonts w:ascii="Arial" w:hAnsi="Arial" w:eastAsia="宋体" w:cs="Arial"/>
          <w:vertAlign w:val="superscript"/>
        </w:rPr>
        <w:t>5</w:t>
      </w:r>
      <w:bookmarkEnd w:id="72"/>
      <w:r>
        <w:rPr>
          <w:rFonts w:ascii="Arial" w:hAnsi="Arial" w:eastAsia="宋体" w:cs="Arial"/>
        </w:rPr>
        <w:t> </w:t>
      </w:r>
      <w:r>
        <w:fldChar w:fldCharType="begin"/>
      </w:r>
      <w:r>
        <w:instrText xml:space="preserve"> HYPERLINK "http://www.fda.gov/MedicalDevices/DeviceRegulationandGuidance/GuidanceDocuments/ucm089543.htm" </w:instrText>
      </w:r>
      <w:r>
        <w:fldChar w:fldCharType="separate"/>
      </w:r>
      <w:r>
        <w:rPr>
          <w:rStyle w:val="8"/>
          <w:rFonts w:ascii="Arial" w:hAnsi="Arial" w:eastAsia="宋体" w:cs="Arial"/>
          <w:color w:val="800080"/>
        </w:rPr>
        <w:t>http://www.fda.gov/MedicalDevices/ DeviceRegulationandGuidance/GuidanceDocuments/ ucm089543.htm</w:t>
      </w:r>
      <w:r>
        <w:rPr>
          <w:rStyle w:val="8"/>
          <w:rFonts w:ascii="Arial" w:hAnsi="Arial" w:eastAsia="宋体" w:cs="Arial"/>
          <w:color w:val="800080"/>
        </w:rPr>
        <w:fldChar w:fldCharType="end"/>
      </w:r>
    </w:p>
    <w:p w14:paraId="23F3A5A3">
      <w:pPr>
        <w:snapToGrid w:val="0"/>
        <w:spacing w:line="300" w:lineRule="auto"/>
        <w:jc w:val="left"/>
        <w:rPr>
          <w:rStyle w:val="8"/>
          <w:color w:val="800080"/>
        </w:rPr>
      </w:pPr>
      <w:bookmarkStart w:id="73" w:name="ft6"/>
      <w:r>
        <w:rPr>
          <w:rFonts w:ascii="Arial" w:hAnsi="Arial" w:eastAsia="宋体" w:cs="Arial"/>
          <w:vertAlign w:val="superscript"/>
        </w:rPr>
        <w:t>6</w:t>
      </w:r>
      <w:bookmarkEnd w:id="73"/>
      <w:r>
        <w:rPr>
          <w:rFonts w:ascii="Arial" w:hAnsi="Arial" w:eastAsia="宋体" w:cs="Arial"/>
        </w:rPr>
        <w:t> </w:t>
      </w:r>
      <w:r>
        <w:fldChar w:fldCharType="begin"/>
      </w:r>
      <w:r>
        <w:instrText xml:space="preserve"> HYPERLINK "http://www.fda.gov/downloads/MedicalDevices/DeviceRegulationandGuidance/GuidanceDocuments/UCM085371.pdf" </w:instrText>
      </w:r>
      <w:r>
        <w:fldChar w:fldCharType="separate"/>
      </w:r>
      <w:r>
        <w:rPr>
          <w:rStyle w:val="8"/>
          <w:rFonts w:ascii="Arial" w:hAnsi="Arial" w:eastAsia="宋体" w:cs="Arial"/>
          <w:color w:val="800080"/>
        </w:rPr>
        <w:t>http://www.fda.gov/downloads/ MedicalDevices/DeviceRegulationandGuidance/ GuidanceDocuments/UCM085371.pdf</w:t>
      </w:r>
      <w:r>
        <w:rPr>
          <w:rStyle w:val="8"/>
          <w:rFonts w:ascii="Arial" w:hAnsi="Arial" w:eastAsia="宋体" w:cs="Arial"/>
          <w:color w:val="800080"/>
        </w:rPr>
        <w:fldChar w:fldCharType="end"/>
      </w:r>
    </w:p>
    <w:p w14:paraId="3DBF869E">
      <w:pPr>
        <w:snapToGrid w:val="0"/>
        <w:spacing w:line="300" w:lineRule="auto"/>
        <w:jc w:val="left"/>
        <w:rPr>
          <w:rFonts w:ascii="Arial" w:hAnsi="Arial" w:eastAsia="宋体" w:cs="Arial"/>
        </w:rPr>
      </w:pPr>
      <w:bookmarkStart w:id="74" w:name="ft7"/>
      <w:r>
        <w:rPr>
          <w:rFonts w:ascii="Arial" w:hAnsi="Arial" w:eastAsia="宋体" w:cs="Arial"/>
          <w:vertAlign w:val="superscript"/>
        </w:rPr>
        <w:t>7</w:t>
      </w:r>
      <w:bookmarkEnd w:id="74"/>
      <w:r>
        <w:rPr>
          <w:rFonts w:ascii="Arial" w:hAnsi="Arial" w:eastAsia="宋体" w:cs="Arial"/>
        </w:rPr>
        <w:t> </w:t>
      </w:r>
      <w:r>
        <w:fldChar w:fldCharType="begin"/>
      </w:r>
      <w:r>
        <w:instrText xml:space="preserve"> HYPERLINK "http://www.fda.gov/MedicalDevices/DeviceRegulationandGuidance/GuidanceDocuments/ucm073778.htm" </w:instrText>
      </w:r>
      <w:r>
        <w:fldChar w:fldCharType="separate"/>
      </w:r>
      <w:r>
        <w:rPr>
          <w:rStyle w:val="8"/>
          <w:rFonts w:ascii="Arial" w:hAnsi="Arial" w:eastAsia="宋体" w:cs="Arial"/>
          <w:color w:val="800080"/>
        </w:rPr>
        <w:t>http://www.fda.gov/MedicalDevices/ DeviceRegulationandGuidance/GuidanceDocuments/ ucm073778.htm</w:t>
      </w:r>
      <w:r>
        <w:rPr>
          <w:rStyle w:val="8"/>
          <w:rFonts w:ascii="Arial" w:hAnsi="Arial" w:eastAsia="宋体" w:cs="Arial"/>
          <w:color w:val="800080"/>
        </w:rPr>
        <w:fldChar w:fldCharType="end"/>
      </w:r>
    </w:p>
    <w:p w14:paraId="66EAE43D">
      <w:pPr>
        <w:snapToGrid w:val="0"/>
        <w:spacing w:line="300" w:lineRule="auto"/>
        <w:rPr>
          <w:rFonts w:ascii="Arial" w:hAnsi="Arial" w:eastAsia="宋体" w:cs="Arial"/>
        </w:rPr>
      </w:pPr>
    </w:p>
    <w:p w14:paraId="2C0501FC">
      <w:pPr>
        <w:snapToGrid w:val="0"/>
        <w:spacing w:line="300" w:lineRule="auto"/>
        <w:rPr>
          <w:rFonts w:ascii="Arial" w:hAnsi="Arial" w:eastAsia="宋体" w:cs="Arial"/>
        </w:rPr>
      </w:pPr>
    </w:p>
    <w:p w14:paraId="675B1978">
      <w:pPr>
        <w:snapToGrid w:val="0"/>
        <w:spacing w:line="300" w:lineRule="auto"/>
        <w:rPr>
          <w:rFonts w:ascii="Arial" w:hAnsi="Arial" w:eastAsia="宋体" w:cs="Arial"/>
        </w:rPr>
      </w:pPr>
    </w:p>
    <w:p w14:paraId="70F3C74C">
      <w:pPr>
        <w:snapToGrid w:val="0"/>
        <w:spacing w:line="300" w:lineRule="auto"/>
        <w:rPr>
          <w:rFonts w:ascii="Arial" w:hAnsi="Arial" w:eastAsia="宋体" w:cs="Arial"/>
        </w:rPr>
      </w:pPr>
    </w:p>
    <w:p w14:paraId="68CD74AE">
      <w:pPr>
        <w:snapToGrid w:val="0"/>
        <w:spacing w:line="300" w:lineRule="auto"/>
        <w:rPr>
          <w:rFonts w:hint="eastAsia" w:eastAsia="宋体"/>
          <w:lang w:eastAsia="zh-CN"/>
        </w:rPr>
      </w:pPr>
    </w:p>
    <w:p w14:paraId="57B22BE9">
      <w:pPr>
        <w:snapToGrid w:val="0"/>
        <w:spacing w:line="300" w:lineRule="auto"/>
        <w:jc w:val="center"/>
        <w:rPr>
          <w:rFonts w:hint="eastAsia" w:eastAsia="宋体"/>
          <w:lang w:eastAsia="zh-CN"/>
        </w:rPr>
      </w:pPr>
    </w:p>
    <w:p w14:paraId="5E39FF9D">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85361"/>
    <w:multiLevelType w:val="multilevel"/>
    <w:tmpl w:val="00B85361"/>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A116DC2"/>
    <w:multiLevelType w:val="multilevel"/>
    <w:tmpl w:val="0A116DC2"/>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D453847"/>
    <w:multiLevelType w:val="multilevel"/>
    <w:tmpl w:val="0D453847"/>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E386806"/>
    <w:multiLevelType w:val="multilevel"/>
    <w:tmpl w:val="2E386806"/>
    <w:lvl w:ilvl="0" w:tentative="0">
      <w:start w:val="1"/>
      <w:numFmt w:val="decimal"/>
      <w:lvlText w:val="%1."/>
      <w:lvlJc w:val="left"/>
      <w:pPr>
        <w:ind w:left="360" w:hanging="360"/>
      </w:pPr>
      <w:rPr>
        <w:rFonts w:hint="default"/>
        <w:color w:val="auto"/>
      </w:rPr>
    </w:lvl>
    <w:lvl w:ilvl="1" w:tentative="0">
      <w:start w:val="8"/>
      <w:numFmt w:val="bullet"/>
      <w:lvlText w:val=""/>
      <w:lvlJc w:val="left"/>
      <w:pPr>
        <w:ind w:left="780" w:hanging="360"/>
      </w:pPr>
      <w:rPr>
        <w:rFonts w:hint="default" w:ascii="Wingdings" w:hAnsi="Wingdings"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A160F1"/>
    <w:multiLevelType w:val="multilevel"/>
    <w:tmpl w:val="3AA160F1"/>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C3D7EA8"/>
    <w:multiLevelType w:val="multilevel"/>
    <w:tmpl w:val="4C3D7EA8"/>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35F7EC4"/>
    <w:multiLevelType w:val="multilevel"/>
    <w:tmpl w:val="635F7EC4"/>
    <w:lvl w:ilvl="0" w:tentative="0">
      <w:start w:val="1"/>
      <w:numFmt w:val="bullet"/>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39D373D"/>
    <w:multiLevelType w:val="multilevel"/>
    <w:tmpl w:val="639D373D"/>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5E263F7"/>
    <w:multiLevelType w:val="multilevel"/>
    <w:tmpl w:val="65E263F7"/>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8B10FE4"/>
    <w:multiLevelType w:val="multilevel"/>
    <w:tmpl w:val="68B10FE4"/>
    <w:lvl w:ilvl="0" w:tentative="0">
      <w:start w:val="1"/>
      <w:numFmt w:val="bullet"/>
      <w:lvlText w:val="○"/>
      <w:lvlJc w:val="left"/>
      <w:pPr>
        <w:ind w:left="630" w:hanging="420"/>
      </w:pPr>
      <w:rPr>
        <w:rFonts w:hint="default" w:ascii="Arial" w:hAnsi="Arial"/>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0">
    <w:nsid w:val="7E491074"/>
    <w:multiLevelType w:val="multilevel"/>
    <w:tmpl w:val="7E491074"/>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9"/>
  </w:num>
  <w:num w:numId="3">
    <w:abstractNumId w:val="2"/>
  </w:num>
  <w:num w:numId="4">
    <w:abstractNumId w:val="4"/>
  </w:num>
  <w:num w:numId="5">
    <w:abstractNumId w:val="6"/>
  </w:num>
  <w:num w:numId="6">
    <w:abstractNumId w:val="8"/>
  </w:num>
  <w:num w:numId="7">
    <w:abstractNumId w:val="7"/>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5B"/>
    <w:rsid w:val="00003E09"/>
    <w:rsid w:val="000053F1"/>
    <w:rsid w:val="00012665"/>
    <w:rsid w:val="0001538A"/>
    <w:rsid w:val="0002252B"/>
    <w:rsid w:val="00023953"/>
    <w:rsid w:val="000271A6"/>
    <w:rsid w:val="000323EF"/>
    <w:rsid w:val="00033325"/>
    <w:rsid w:val="00034964"/>
    <w:rsid w:val="00046570"/>
    <w:rsid w:val="0004723B"/>
    <w:rsid w:val="00047C7A"/>
    <w:rsid w:val="000527BE"/>
    <w:rsid w:val="00060145"/>
    <w:rsid w:val="00071597"/>
    <w:rsid w:val="000810ED"/>
    <w:rsid w:val="00082006"/>
    <w:rsid w:val="00084069"/>
    <w:rsid w:val="0008457D"/>
    <w:rsid w:val="0008619B"/>
    <w:rsid w:val="00086B65"/>
    <w:rsid w:val="000A4EDD"/>
    <w:rsid w:val="000B2A96"/>
    <w:rsid w:val="000B74A1"/>
    <w:rsid w:val="000C2E8F"/>
    <w:rsid w:val="000C40BA"/>
    <w:rsid w:val="000D58E5"/>
    <w:rsid w:val="000E0044"/>
    <w:rsid w:val="001026AC"/>
    <w:rsid w:val="001032AC"/>
    <w:rsid w:val="00105175"/>
    <w:rsid w:val="00115521"/>
    <w:rsid w:val="00124E12"/>
    <w:rsid w:val="001324E8"/>
    <w:rsid w:val="0013436D"/>
    <w:rsid w:val="00150BE2"/>
    <w:rsid w:val="0015623D"/>
    <w:rsid w:val="00162287"/>
    <w:rsid w:val="00164A83"/>
    <w:rsid w:val="00166380"/>
    <w:rsid w:val="00167999"/>
    <w:rsid w:val="00173602"/>
    <w:rsid w:val="00174A72"/>
    <w:rsid w:val="001758D1"/>
    <w:rsid w:val="00176AFA"/>
    <w:rsid w:val="00176B77"/>
    <w:rsid w:val="0017716B"/>
    <w:rsid w:val="00184E59"/>
    <w:rsid w:val="001901CC"/>
    <w:rsid w:val="00191699"/>
    <w:rsid w:val="00192140"/>
    <w:rsid w:val="00194605"/>
    <w:rsid w:val="001A5DC3"/>
    <w:rsid w:val="001A6619"/>
    <w:rsid w:val="001B2229"/>
    <w:rsid w:val="001B5A85"/>
    <w:rsid w:val="001B5D91"/>
    <w:rsid w:val="001C1873"/>
    <w:rsid w:val="001E1632"/>
    <w:rsid w:val="001F44CC"/>
    <w:rsid w:val="00201A4B"/>
    <w:rsid w:val="002026C4"/>
    <w:rsid w:val="00205488"/>
    <w:rsid w:val="00214063"/>
    <w:rsid w:val="002156C3"/>
    <w:rsid w:val="00216C32"/>
    <w:rsid w:val="00221A6D"/>
    <w:rsid w:val="0022389A"/>
    <w:rsid w:val="00225736"/>
    <w:rsid w:val="00233AB5"/>
    <w:rsid w:val="00241241"/>
    <w:rsid w:val="00244FFA"/>
    <w:rsid w:val="00255ED6"/>
    <w:rsid w:val="00264E23"/>
    <w:rsid w:val="00272262"/>
    <w:rsid w:val="002833C0"/>
    <w:rsid w:val="002915C3"/>
    <w:rsid w:val="002927FC"/>
    <w:rsid w:val="002966CD"/>
    <w:rsid w:val="002A10EF"/>
    <w:rsid w:val="002A1EC4"/>
    <w:rsid w:val="002B5849"/>
    <w:rsid w:val="002B7D97"/>
    <w:rsid w:val="002C20EA"/>
    <w:rsid w:val="002D0DEE"/>
    <w:rsid w:val="002D53DF"/>
    <w:rsid w:val="002D6077"/>
    <w:rsid w:val="002E17B0"/>
    <w:rsid w:val="002E2525"/>
    <w:rsid w:val="002E4A85"/>
    <w:rsid w:val="002E4D9B"/>
    <w:rsid w:val="002F42E9"/>
    <w:rsid w:val="002F62DD"/>
    <w:rsid w:val="002F7107"/>
    <w:rsid w:val="00304C03"/>
    <w:rsid w:val="00317B61"/>
    <w:rsid w:val="00334E36"/>
    <w:rsid w:val="00341A3F"/>
    <w:rsid w:val="003470F6"/>
    <w:rsid w:val="00354F25"/>
    <w:rsid w:val="00356945"/>
    <w:rsid w:val="00356EAD"/>
    <w:rsid w:val="00364742"/>
    <w:rsid w:val="003666FC"/>
    <w:rsid w:val="0037258D"/>
    <w:rsid w:val="003738EC"/>
    <w:rsid w:val="00393151"/>
    <w:rsid w:val="003A3170"/>
    <w:rsid w:val="003A3A55"/>
    <w:rsid w:val="003B4D21"/>
    <w:rsid w:val="003C521F"/>
    <w:rsid w:val="003C6551"/>
    <w:rsid w:val="003C7EAE"/>
    <w:rsid w:val="003D1760"/>
    <w:rsid w:val="003D7D42"/>
    <w:rsid w:val="003E3018"/>
    <w:rsid w:val="003E3EFD"/>
    <w:rsid w:val="003F2FFC"/>
    <w:rsid w:val="004009D1"/>
    <w:rsid w:val="00403BCD"/>
    <w:rsid w:val="004109C5"/>
    <w:rsid w:val="00413809"/>
    <w:rsid w:val="0042190C"/>
    <w:rsid w:val="00425D7F"/>
    <w:rsid w:val="0043536B"/>
    <w:rsid w:val="0043655C"/>
    <w:rsid w:val="00437779"/>
    <w:rsid w:val="00444C95"/>
    <w:rsid w:val="00447296"/>
    <w:rsid w:val="004502B2"/>
    <w:rsid w:val="00450A09"/>
    <w:rsid w:val="004523A5"/>
    <w:rsid w:val="00454C4B"/>
    <w:rsid w:val="00456027"/>
    <w:rsid w:val="00464233"/>
    <w:rsid w:val="00475C3E"/>
    <w:rsid w:val="0047731A"/>
    <w:rsid w:val="00485839"/>
    <w:rsid w:val="0049104B"/>
    <w:rsid w:val="004931DF"/>
    <w:rsid w:val="004938CE"/>
    <w:rsid w:val="004939C8"/>
    <w:rsid w:val="00494C2E"/>
    <w:rsid w:val="00496713"/>
    <w:rsid w:val="004A34B0"/>
    <w:rsid w:val="004B1245"/>
    <w:rsid w:val="004B27C1"/>
    <w:rsid w:val="004B387D"/>
    <w:rsid w:val="004C381F"/>
    <w:rsid w:val="004C5F27"/>
    <w:rsid w:val="004D1A6D"/>
    <w:rsid w:val="004D3826"/>
    <w:rsid w:val="004D7325"/>
    <w:rsid w:val="004E1036"/>
    <w:rsid w:val="004F58FF"/>
    <w:rsid w:val="004F5BCB"/>
    <w:rsid w:val="004F75ED"/>
    <w:rsid w:val="00500E02"/>
    <w:rsid w:val="005110C8"/>
    <w:rsid w:val="0052056F"/>
    <w:rsid w:val="005231A1"/>
    <w:rsid w:val="005327CA"/>
    <w:rsid w:val="0054015E"/>
    <w:rsid w:val="00545AE1"/>
    <w:rsid w:val="005521AF"/>
    <w:rsid w:val="00555F7F"/>
    <w:rsid w:val="0056134C"/>
    <w:rsid w:val="00573EEF"/>
    <w:rsid w:val="00581287"/>
    <w:rsid w:val="0058643A"/>
    <w:rsid w:val="00586E2D"/>
    <w:rsid w:val="00594A34"/>
    <w:rsid w:val="00595533"/>
    <w:rsid w:val="005B085B"/>
    <w:rsid w:val="005B2844"/>
    <w:rsid w:val="005B6032"/>
    <w:rsid w:val="005C6F16"/>
    <w:rsid w:val="005D3664"/>
    <w:rsid w:val="005D3C8C"/>
    <w:rsid w:val="005D62C3"/>
    <w:rsid w:val="005D7E34"/>
    <w:rsid w:val="005E0A07"/>
    <w:rsid w:val="005E142D"/>
    <w:rsid w:val="005E3149"/>
    <w:rsid w:val="005E3725"/>
    <w:rsid w:val="005E5DAD"/>
    <w:rsid w:val="005E76F1"/>
    <w:rsid w:val="005E7819"/>
    <w:rsid w:val="005F1BA9"/>
    <w:rsid w:val="0060056F"/>
    <w:rsid w:val="006062B6"/>
    <w:rsid w:val="00613463"/>
    <w:rsid w:val="00620038"/>
    <w:rsid w:val="0062072E"/>
    <w:rsid w:val="00622EB3"/>
    <w:rsid w:val="0062343E"/>
    <w:rsid w:val="006237C7"/>
    <w:rsid w:val="00647CEA"/>
    <w:rsid w:val="006658C8"/>
    <w:rsid w:val="00680817"/>
    <w:rsid w:val="006862D1"/>
    <w:rsid w:val="00690022"/>
    <w:rsid w:val="0069128D"/>
    <w:rsid w:val="00692616"/>
    <w:rsid w:val="0069412A"/>
    <w:rsid w:val="006978B1"/>
    <w:rsid w:val="006A1BA7"/>
    <w:rsid w:val="006B29CC"/>
    <w:rsid w:val="006C7B75"/>
    <w:rsid w:val="00710FA3"/>
    <w:rsid w:val="00711DFC"/>
    <w:rsid w:val="00716C95"/>
    <w:rsid w:val="007172AE"/>
    <w:rsid w:val="00731D1C"/>
    <w:rsid w:val="00736157"/>
    <w:rsid w:val="00751969"/>
    <w:rsid w:val="00751C4E"/>
    <w:rsid w:val="00752375"/>
    <w:rsid w:val="007546A7"/>
    <w:rsid w:val="00756FBB"/>
    <w:rsid w:val="0075700C"/>
    <w:rsid w:val="0075723F"/>
    <w:rsid w:val="00763E09"/>
    <w:rsid w:val="007736C9"/>
    <w:rsid w:val="00786AB8"/>
    <w:rsid w:val="007A5855"/>
    <w:rsid w:val="007B168B"/>
    <w:rsid w:val="007B2970"/>
    <w:rsid w:val="007B2C8E"/>
    <w:rsid w:val="007B5737"/>
    <w:rsid w:val="007B6AB2"/>
    <w:rsid w:val="007C58DB"/>
    <w:rsid w:val="007D53D3"/>
    <w:rsid w:val="007E29B4"/>
    <w:rsid w:val="007E29BB"/>
    <w:rsid w:val="007E507A"/>
    <w:rsid w:val="007F394F"/>
    <w:rsid w:val="00801B30"/>
    <w:rsid w:val="008041FC"/>
    <w:rsid w:val="00805614"/>
    <w:rsid w:val="0081786F"/>
    <w:rsid w:val="00825A51"/>
    <w:rsid w:val="00833438"/>
    <w:rsid w:val="00847B61"/>
    <w:rsid w:val="008520BA"/>
    <w:rsid w:val="00865214"/>
    <w:rsid w:val="008671B1"/>
    <w:rsid w:val="00871C1E"/>
    <w:rsid w:val="00871C51"/>
    <w:rsid w:val="008723B2"/>
    <w:rsid w:val="008767E5"/>
    <w:rsid w:val="00881024"/>
    <w:rsid w:val="00896D7B"/>
    <w:rsid w:val="00897E81"/>
    <w:rsid w:val="008A0446"/>
    <w:rsid w:val="008A346F"/>
    <w:rsid w:val="008A3E61"/>
    <w:rsid w:val="008A56E7"/>
    <w:rsid w:val="008B10FC"/>
    <w:rsid w:val="008B452B"/>
    <w:rsid w:val="008B4AFD"/>
    <w:rsid w:val="008D51F9"/>
    <w:rsid w:val="008E69AD"/>
    <w:rsid w:val="00900C66"/>
    <w:rsid w:val="0090517D"/>
    <w:rsid w:val="00914FD2"/>
    <w:rsid w:val="0093598E"/>
    <w:rsid w:val="00937EB8"/>
    <w:rsid w:val="00937FD9"/>
    <w:rsid w:val="009412FD"/>
    <w:rsid w:val="00941423"/>
    <w:rsid w:val="00941508"/>
    <w:rsid w:val="00954309"/>
    <w:rsid w:val="009558F6"/>
    <w:rsid w:val="00956359"/>
    <w:rsid w:val="00957541"/>
    <w:rsid w:val="009627C1"/>
    <w:rsid w:val="00963554"/>
    <w:rsid w:val="009744B9"/>
    <w:rsid w:val="009876C4"/>
    <w:rsid w:val="00992C83"/>
    <w:rsid w:val="00993225"/>
    <w:rsid w:val="009A08EE"/>
    <w:rsid w:val="009B315F"/>
    <w:rsid w:val="009B35E7"/>
    <w:rsid w:val="009C3FCB"/>
    <w:rsid w:val="009D262D"/>
    <w:rsid w:val="009D3426"/>
    <w:rsid w:val="009D3E88"/>
    <w:rsid w:val="009E116E"/>
    <w:rsid w:val="009E6587"/>
    <w:rsid w:val="009F1E48"/>
    <w:rsid w:val="009F4EB3"/>
    <w:rsid w:val="009F5E46"/>
    <w:rsid w:val="009F5F8F"/>
    <w:rsid w:val="00A222F9"/>
    <w:rsid w:val="00A27E53"/>
    <w:rsid w:val="00A3125A"/>
    <w:rsid w:val="00A31723"/>
    <w:rsid w:val="00A3210F"/>
    <w:rsid w:val="00A332DC"/>
    <w:rsid w:val="00A36659"/>
    <w:rsid w:val="00A57FF6"/>
    <w:rsid w:val="00A628E9"/>
    <w:rsid w:val="00A63E34"/>
    <w:rsid w:val="00A71DF0"/>
    <w:rsid w:val="00A83EE6"/>
    <w:rsid w:val="00A94C73"/>
    <w:rsid w:val="00AA46F5"/>
    <w:rsid w:val="00AB0D8F"/>
    <w:rsid w:val="00AB1E3C"/>
    <w:rsid w:val="00AD0257"/>
    <w:rsid w:val="00AD30EB"/>
    <w:rsid w:val="00AD3A8D"/>
    <w:rsid w:val="00AE0E55"/>
    <w:rsid w:val="00AF3C7D"/>
    <w:rsid w:val="00B03358"/>
    <w:rsid w:val="00B05ECE"/>
    <w:rsid w:val="00B063AE"/>
    <w:rsid w:val="00B06A74"/>
    <w:rsid w:val="00B1660D"/>
    <w:rsid w:val="00B21B59"/>
    <w:rsid w:val="00B242C5"/>
    <w:rsid w:val="00B24525"/>
    <w:rsid w:val="00B369DD"/>
    <w:rsid w:val="00B417A7"/>
    <w:rsid w:val="00B43658"/>
    <w:rsid w:val="00B50D25"/>
    <w:rsid w:val="00B51C12"/>
    <w:rsid w:val="00B51C7F"/>
    <w:rsid w:val="00B62883"/>
    <w:rsid w:val="00B70A28"/>
    <w:rsid w:val="00B80EBF"/>
    <w:rsid w:val="00B940E5"/>
    <w:rsid w:val="00B948A2"/>
    <w:rsid w:val="00B95659"/>
    <w:rsid w:val="00BB1424"/>
    <w:rsid w:val="00BB45F4"/>
    <w:rsid w:val="00BB59B0"/>
    <w:rsid w:val="00BB72BF"/>
    <w:rsid w:val="00BC3E35"/>
    <w:rsid w:val="00BC482D"/>
    <w:rsid w:val="00BC4CCF"/>
    <w:rsid w:val="00BC62FF"/>
    <w:rsid w:val="00BD214E"/>
    <w:rsid w:val="00BD754F"/>
    <w:rsid w:val="00BE6F54"/>
    <w:rsid w:val="00BF0B64"/>
    <w:rsid w:val="00BF4DB8"/>
    <w:rsid w:val="00C130EA"/>
    <w:rsid w:val="00C27253"/>
    <w:rsid w:val="00C347E4"/>
    <w:rsid w:val="00C3645A"/>
    <w:rsid w:val="00C40494"/>
    <w:rsid w:val="00C40F9F"/>
    <w:rsid w:val="00C4136F"/>
    <w:rsid w:val="00C4241B"/>
    <w:rsid w:val="00C42ED3"/>
    <w:rsid w:val="00C42EF5"/>
    <w:rsid w:val="00C5083E"/>
    <w:rsid w:val="00C52022"/>
    <w:rsid w:val="00C5314F"/>
    <w:rsid w:val="00C61059"/>
    <w:rsid w:val="00C62850"/>
    <w:rsid w:val="00C63D43"/>
    <w:rsid w:val="00C70692"/>
    <w:rsid w:val="00C743AC"/>
    <w:rsid w:val="00C75B66"/>
    <w:rsid w:val="00C811B4"/>
    <w:rsid w:val="00C834CA"/>
    <w:rsid w:val="00C853E8"/>
    <w:rsid w:val="00C87D30"/>
    <w:rsid w:val="00C975A0"/>
    <w:rsid w:val="00CA6930"/>
    <w:rsid w:val="00CA7218"/>
    <w:rsid w:val="00CB3576"/>
    <w:rsid w:val="00CB6C05"/>
    <w:rsid w:val="00CF0E44"/>
    <w:rsid w:val="00CF4662"/>
    <w:rsid w:val="00D053CC"/>
    <w:rsid w:val="00D11D5E"/>
    <w:rsid w:val="00D12049"/>
    <w:rsid w:val="00D12C31"/>
    <w:rsid w:val="00D21322"/>
    <w:rsid w:val="00D2763E"/>
    <w:rsid w:val="00D27A83"/>
    <w:rsid w:val="00D35782"/>
    <w:rsid w:val="00D37A96"/>
    <w:rsid w:val="00D44C8A"/>
    <w:rsid w:val="00D50DFE"/>
    <w:rsid w:val="00D660EC"/>
    <w:rsid w:val="00D72AEA"/>
    <w:rsid w:val="00D77EF9"/>
    <w:rsid w:val="00D80B37"/>
    <w:rsid w:val="00D851A3"/>
    <w:rsid w:val="00D858A1"/>
    <w:rsid w:val="00D91477"/>
    <w:rsid w:val="00D97FF3"/>
    <w:rsid w:val="00DB69E1"/>
    <w:rsid w:val="00DC41C8"/>
    <w:rsid w:val="00DD231F"/>
    <w:rsid w:val="00DD2A92"/>
    <w:rsid w:val="00DD3982"/>
    <w:rsid w:val="00DD4B10"/>
    <w:rsid w:val="00DD60A5"/>
    <w:rsid w:val="00DE022A"/>
    <w:rsid w:val="00DE0794"/>
    <w:rsid w:val="00DE7EAB"/>
    <w:rsid w:val="00DF30E3"/>
    <w:rsid w:val="00E016B9"/>
    <w:rsid w:val="00E101EB"/>
    <w:rsid w:val="00E10C72"/>
    <w:rsid w:val="00E16E6A"/>
    <w:rsid w:val="00E2439A"/>
    <w:rsid w:val="00E33217"/>
    <w:rsid w:val="00E34F5A"/>
    <w:rsid w:val="00E3615A"/>
    <w:rsid w:val="00E47176"/>
    <w:rsid w:val="00E50D06"/>
    <w:rsid w:val="00E514B9"/>
    <w:rsid w:val="00E5457C"/>
    <w:rsid w:val="00E55193"/>
    <w:rsid w:val="00E6471A"/>
    <w:rsid w:val="00E650F6"/>
    <w:rsid w:val="00E70BDA"/>
    <w:rsid w:val="00E85A84"/>
    <w:rsid w:val="00E871AF"/>
    <w:rsid w:val="00EA11BB"/>
    <w:rsid w:val="00EB13DC"/>
    <w:rsid w:val="00EB4BE0"/>
    <w:rsid w:val="00EB4F0C"/>
    <w:rsid w:val="00EC11D3"/>
    <w:rsid w:val="00ED10B4"/>
    <w:rsid w:val="00ED3678"/>
    <w:rsid w:val="00ED7F57"/>
    <w:rsid w:val="00EE61DA"/>
    <w:rsid w:val="00EF2203"/>
    <w:rsid w:val="00EF57B4"/>
    <w:rsid w:val="00F12DF4"/>
    <w:rsid w:val="00F13634"/>
    <w:rsid w:val="00F2299E"/>
    <w:rsid w:val="00F24155"/>
    <w:rsid w:val="00F34C58"/>
    <w:rsid w:val="00F43C03"/>
    <w:rsid w:val="00F459E6"/>
    <w:rsid w:val="00F46E5B"/>
    <w:rsid w:val="00F47B10"/>
    <w:rsid w:val="00F5444D"/>
    <w:rsid w:val="00F7765D"/>
    <w:rsid w:val="00F80286"/>
    <w:rsid w:val="00F91E9D"/>
    <w:rsid w:val="00F91F9D"/>
    <w:rsid w:val="00FA06F7"/>
    <w:rsid w:val="00FA61DA"/>
    <w:rsid w:val="00FB31FA"/>
    <w:rsid w:val="00FB40B1"/>
    <w:rsid w:val="00FC7B39"/>
    <w:rsid w:val="00FD43B9"/>
    <w:rsid w:val="00FE1CA5"/>
    <w:rsid w:val="00FF1935"/>
    <w:rsid w:val="00FF4B85"/>
    <w:rsid w:val="0BA70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14</Pages>
  <Words>11340</Words>
  <Characters>12749</Characters>
  <Lines>99</Lines>
  <Paragraphs>27</Paragraphs>
  <TotalTime>1</TotalTime>
  <ScaleCrop>false</ScaleCrop>
  <LinksUpToDate>false</LinksUpToDate>
  <CharactersWithSpaces>12843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2017-04-10T10:10:00Z</dcterms:created>
  <dc:creator>BH</dc:creator>
  <cp:lastModifiedBy>太极箫客</cp:lastModifiedBy>
  <dcterms:modified xsi:type="dcterms:W3CDTF">2025-08-14T06:17:56Z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195D23B04DDB43AEA99CFA66F83BAC19_12</vt:lpwstr>
  </property>
</Properties>
</file>