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29AF3">
      <w:pPr>
        <w:widowControl/>
        <w:snapToGrid w:val="0"/>
        <w:spacing w:before="90" w:after="90" w:line="300" w:lineRule="auto"/>
        <w:rPr>
          <w:rFonts w:ascii="Arial" w:hAnsi="Arial" w:eastAsia="宋体" w:cs="Arial"/>
          <w:color w:val="000000"/>
          <w:kern w:val="0"/>
          <w:sz w:val="18"/>
          <w:szCs w:val="18"/>
        </w:rPr>
      </w:pPr>
      <w:bookmarkStart w:id="16" w:name="_GoBack"/>
      <w:bookmarkEnd w:id="16"/>
      <w:r>
        <w:rPr>
          <w:rFonts w:ascii="Arial" w:hAnsi="Arial" w:eastAsia="宋体" w:cs="Arial"/>
          <w:b/>
          <w:bCs/>
          <w:color w:val="484138"/>
          <w:kern w:val="36"/>
          <w:sz w:val="36"/>
          <w:szCs w:val="36"/>
        </w:rPr>
        <w:t>II类特殊控制指导性文件：因子V Leiden DNA突变检测系统-行业和FDA工作人员指南</w:t>
      </w:r>
    </w:p>
    <w:p w14:paraId="7EDF42C7">
      <w:pPr>
        <w:widowControl/>
        <w:snapToGrid w:val="0"/>
        <w:spacing w:before="90" w:after="90" w:line="300" w:lineRule="auto"/>
        <w:rPr>
          <w:rFonts w:ascii="Arial" w:hAnsi="Arial" w:eastAsia="宋体" w:cs="Arial"/>
          <w:b/>
          <w:bCs/>
          <w:color w:val="000000"/>
          <w:kern w:val="0"/>
          <w:sz w:val="18"/>
        </w:rPr>
      </w:pPr>
      <w:r>
        <w:rPr>
          <w:rFonts w:ascii="Arial" w:hAnsi="Arial" w:eastAsia="宋体" w:cs="Arial"/>
          <w:b/>
          <w:bCs/>
          <w:color w:val="000000"/>
          <w:kern w:val="0"/>
          <w:sz w:val="18"/>
        </w:rPr>
        <w:t>文件发布日期：2004年3月16日</w:t>
      </w:r>
    </w:p>
    <w:p w14:paraId="5611B8B7">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有关本指南的问题，请联系Yun-Fu Hu，电话：301-796-6170，电子邮箱：</w:t>
      </w:r>
      <w:r>
        <w:rPr>
          <w:rFonts w:ascii="Arial" w:hAnsi="Arial" w:eastAsia="宋体" w:cs="Arial"/>
          <w:color w:val="800080"/>
          <w:kern w:val="0"/>
          <w:sz w:val="18"/>
          <w:szCs w:val="18"/>
        </w:rPr>
        <w:t>yun-fu.hu@fda.hhs.gov</w:t>
      </w:r>
    </w:p>
    <w:tbl>
      <w:tblPr>
        <w:tblStyle w:val="10"/>
        <w:tblW w:w="4900" w:type="pct"/>
        <w:tblCellSpacing w:w="0" w:type="dxa"/>
        <w:tblInd w:w="0" w:type="dxa"/>
        <w:tblLayout w:type="autofit"/>
        <w:tblCellMar>
          <w:top w:w="75" w:type="dxa"/>
          <w:left w:w="75" w:type="dxa"/>
          <w:bottom w:w="75" w:type="dxa"/>
          <w:right w:w="75" w:type="dxa"/>
        </w:tblCellMar>
      </w:tblPr>
      <w:tblGrid>
        <w:gridCol w:w="8287"/>
      </w:tblGrid>
      <w:tr w14:paraId="61F3EDBF">
        <w:tblPrEx>
          <w:tblCellMar>
            <w:top w:w="75" w:type="dxa"/>
            <w:left w:w="75" w:type="dxa"/>
            <w:bottom w:w="75" w:type="dxa"/>
            <w:right w:w="75" w:type="dxa"/>
          </w:tblCellMar>
        </w:tblPrEx>
        <w:trPr>
          <w:trHeight w:val="1665" w:hRule="atLeast"/>
          <w:tblCellSpacing w:w="0" w:type="dxa"/>
        </w:trPr>
        <w:tc>
          <w:tcPr>
            <w:tcW w:w="0" w:type="auto"/>
            <w:shd w:val="clear" w:color="auto" w:fill="auto"/>
          </w:tcPr>
          <w:tbl>
            <w:tblPr>
              <w:tblStyle w:val="10"/>
              <w:tblW w:w="4900" w:type="pct"/>
              <w:tblCellSpacing w:w="0" w:type="dxa"/>
              <w:tblInd w:w="0" w:type="dxa"/>
              <w:tblLayout w:type="autofit"/>
              <w:tblCellMar>
                <w:top w:w="75" w:type="dxa"/>
                <w:left w:w="75" w:type="dxa"/>
                <w:bottom w:w="75" w:type="dxa"/>
                <w:right w:w="75" w:type="dxa"/>
              </w:tblCellMar>
            </w:tblPr>
            <w:tblGrid>
              <w:gridCol w:w="1650"/>
              <w:gridCol w:w="6324"/>
            </w:tblGrid>
            <w:tr w14:paraId="22ACC350">
              <w:trPr>
                <w:trHeight w:val="1665" w:hRule="atLeast"/>
                <w:tblCellSpacing w:w="0" w:type="dxa"/>
              </w:trPr>
              <w:tc>
                <w:tcPr>
                  <w:tcW w:w="0" w:type="auto"/>
                  <w:shd w:val="clear" w:color="auto" w:fill="auto"/>
                </w:tcPr>
                <w:p w14:paraId="00E81808">
                  <w:pPr>
                    <w:widowControl/>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c>
              <w:tc>
                <w:tcPr>
                  <w:tcW w:w="9525" w:type="dxa"/>
                  <w:shd w:val="clear" w:color="auto" w:fill="auto"/>
                </w:tcPr>
                <w:p w14:paraId="428B85CB">
                  <w:pPr>
                    <w:widowControl/>
                    <w:snapToGrid w:val="0"/>
                    <w:spacing w:before="67" w:after="156" w:afterLines="50" w:line="300" w:lineRule="auto"/>
                    <w:rPr>
                      <w:rFonts w:ascii="Arial" w:hAnsi="Arial" w:eastAsia="宋体" w:cs="Arial"/>
                      <w:b/>
                      <w:bCs/>
                      <w:kern w:val="0"/>
                      <w:sz w:val="24"/>
                      <w:szCs w:val="24"/>
                    </w:rPr>
                  </w:pPr>
                  <w:r>
                    <w:rPr>
                      <w:rFonts w:hint="eastAsia" w:ascii="Arial" w:hAnsi="Arial" w:eastAsia="宋体" w:cs="Arial"/>
                      <w:b/>
                      <w:bCs/>
                      <w:kern w:val="0"/>
                      <w:sz w:val="24"/>
                      <w:szCs w:val="24"/>
                    </w:rPr>
                    <w:t>美国卫生与公众服务部</w:t>
                  </w:r>
                </w:p>
                <w:p w14:paraId="3A392EF0">
                  <w:pPr>
                    <w:widowControl/>
                    <w:snapToGrid w:val="0"/>
                    <w:spacing w:before="67" w:after="156" w:afterLines="50" w:line="300" w:lineRule="auto"/>
                    <w:rPr>
                      <w:rFonts w:ascii="Arial" w:hAnsi="Arial" w:eastAsia="宋体" w:cs="Arial"/>
                      <w:b/>
                      <w:bCs/>
                      <w:kern w:val="0"/>
                      <w:sz w:val="24"/>
                      <w:szCs w:val="24"/>
                    </w:rPr>
                  </w:pPr>
                  <w:r>
                    <w:rPr>
                      <w:rFonts w:ascii="Arial" w:hAnsi="Arial" w:eastAsia="宋体" w:cs="Arial"/>
                      <w:b/>
                      <w:bCs/>
                      <w:kern w:val="0"/>
                      <w:sz w:val="24"/>
                      <w:szCs w:val="24"/>
                    </w:rPr>
                    <w:t>食品药品监督管理局</w:t>
                  </w:r>
                </w:p>
                <w:p w14:paraId="3ECA73FF">
                  <w:pPr>
                    <w:widowControl/>
                    <w:snapToGrid w:val="0"/>
                    <w:spacing w:before="67" w:after="156" w:afterLines="50" w:line="300" w:lineRule="auto"/>
                    <w:rPr>
                      <w:rFonts w:ascii="Arial" w:hAnsi="Arial" w:eastAsia="宋体" w:cs="Arial"/>
                      <w:b/>
                      <w:bCs/>
                      <w:kern w:val="0"/>
                      <w:sz w:val="24"/>
                      <w:szCs w:val="24"/>
                    </w:rPr>
                  </w:pPr>
                  <w:r>
                    <w:rPr>
                      <w:rFonts w:ascii="Arial" w:hAnsi="Arial" w:eastAsia="宋体" w:cs="Arial"/>
                      <w:b/>
                      <w:bCs/>
                      <w:kern w:val="0"/>
                      <w:sz w:val="24"/>
                      <w:szCs w:val="24"/>
                    </w:rPr>
                    <w:t>器械</w:t>
                  </w:r>
                  <w:r>
                    <w:rPr>
                      <w:rFonts w:hint="eastAsia" w:ascii="Arial" w:hAnsi="Arial" w:eastAsia="宋体" w:cs="Arial"/>
                      <w:b/>
                      <w:bCs/>
                      <w:kern w:val="0"/>
                      <w:sz w:val="24"/>
                      <w:szCs w:val="24"/>
                    </w:rPr>
                    <w:t>与</w:t>
                  </w:r>
                  <w:r>
                    <w:rPr>
                      <w:rFonts w:ascii="Arial" w:hAnsi="Arial" w:eastAsia="宋体" w:cs="Arial"/>
                      <w:b/>
                      <w:bCs/>
                      <w:kern w:val="0"/>
                      <w:sz w:val="24"/>
                      <w:szCs w:val="24"/>
                    </w:rPr>
                    <w:t>放射</w:t>
                  </w:r>
                  <w:r>
                    <w:rPr>
                      <w:rFonts w:hint="eastAsia" w:ascii="Arial" w:hAnsi="Arial" w:eastAsia="宋体" w:cs="Arial"/>
                      <w:b/>
                      <w:bCs/>
                      <w:kern w:val="0"/>
                      <w:sz w:val="24"/>
                      <w:szCs w:val="24"/>
                    </w:rPr>
                    <w:t>健康</w:t>
                  </w:r>
                  <w:r>
                    <w:rPr>
                      <w:rFonts w:ascii="Arial" w:hAnsi="Arial" w:eastAsia="宋体" w:cs="Arial"/>
                      <w:b/>
                      <w:bCs/>
                      <w:kern w:val="0"/>
                      <w:sz w:val="24"/>
                      <w:szCs w:val="24"/>
                    </w:rPr>
                    <w:t>中心</w:t>
                  </w:r>
                </w:p>
                <w:p w14:paraId="77D0CA0F">
                  <w:pPr>
                    <w:widowControl/>
                    <w:snapToGrid w:val="0"/>
                    <w:spacing w:before="67" w:after="156" w:afterLines="50" w:line="300" w:lineRule="auto"/>
                    <w:rPr>
                      <w:rFonts w:ascii="Arial" w:hAnsi="Arial" w:eastAsia="宋体" w:cs="Arial"/>
                      <w:b/>
                      <w:bCs/>
                      <w:kern w:val="0"/>
                      <w:sz w:val="24"/>
                      <w:szCs w:val="24"/>
                    </w:rPr>
                  </w:pPr>
                  <w:r>
                    <w:rPr>
                      <w:rFonts w:ascii="Arial" w:hAnsi="Arial" w:eastAsia="宋体" w:cs="Arial"/>
                      <w:b/>
                      <w:bCs/>
                      <w:kern w:val="0"/>
                      <w:sz w:val="24"/>
                      <w:szCs w:val="24"/>
                    </w:rPr>
                    <w:t>免疫学和血液学器械部</w:t>
                  </w:r>
                </w:p>
                <w:p w14:paraId="1FE4AC25">
                  <w:pPr>
                    <w:widowControl/>
                    <w:snapToGrid w:val="0"/>
                    <w:spacing w:before="67" w:after="156" w:afterLines="50" w:line="300" w:lineRule="auto"/>
                    <w:rPr>
                      <w:rFonts w:ascii="Arial" w:hAnsi="Arial" w:eastAsia="宋体" w:cs="Arial"/>
                      <w:kern w:val="0"/>
                      <w:sz w:val="24"/>
                      <w:szCs w:val="24"/>
                    </w:rPr>
                  </w:pPr>
                  <w:r>
                    <w:rPr>
                      <w:rFonts w:ascii="Arial" w:hAnsi="Arial" w:eastAsia="宋体" w:cs="Arial"/>
                      <w:b/>
                      <w:bCs/>
                      <w:kern w:val="0"/>
                      <w:sz w:val="24"/>
                      <w:szCs w:val="24"/>
                    </w:rPr>
                    <w:t>体外诊断器械评价和安全办公室</w:t>
                  </w:r>
                </w:p>
              </w:tc>
            </w:tr>
          </w:tbl>
          <w:p w14:paraId="58CD8C8F">
            <w:pPr>
              <w:widowControl/>
              <w:snapToGrid w:val="0"/>
              <w:spacing w:after="156" w:afterLines="50" w:line="300" w:lineRule="auto"/>
              <w:outlineLvl w:val="3"/>
              <w:rPr>
                <w:rFonts w:ascii="Arial" w:hAnsi="Arial" w:eastAsia="宋体" w:cs="Arial"/>
                <w:b/>
                <w:bCs/>
                <w:color w:val="000000"/>
                <w:kern w:val="0"/>
                <w:sz w:val="22"/>
              </w:rPr>
            </w:pPr>
            <w:r>
              <w:rPr>
                <w:rFonts w:ascii="Arial" w:hAnsi="Arial" w:eastAsia="宋体" w:cs="Arial"/>
                <w:b/>
                <w:bCs/>
                <w:color w:val="000000"/>
                <w:kern w:val="0"/>
                <w:sz w:val="22"/>
              </w:rPr>
              <w:t>前言</w:t>
            </w:r>
          </w:p>
          <w:p w14:paraId="60962223">
            <w:pPr>
              <w:widowControl/>
              <w:snapToGrid w:val="0"/>
              <w:spacing w:after="156" w:afterLines="50" w:line="300" w:lineRule="auto"/>
              <w:outlineLvl w:val="4"/>
              <w:rPr>
                <w:rFonts w:ascii="Arial" w:hAnsi="Arial" w:eastAsia="宋体" w:cs="Arial"/>
                <w:b/>
                <w:bCs/>
                <w:color w:val="000000"/>
                <w:kern w:val="0"/>
                <w:sz w:val="20"/>
                <w:szCs w:val="20"/>
              </w:rPr>
            </w:pPr>
            <w:r>
              <w:rPr>
                <w:rFonts w:ascii="Arial" w:hAnsi="Arial" w:eastAsia="宋体" w:cs="Arial"/>
                <w:b/>
                <w:bCs/>
                <w:color w:val="000000"/>
                <w:kern w:val="0"/>
                <w:sz w:val="20"/>
                <w:szCs w:val="20"/>
              </w:rPr>
              <w:t>公共评论：</w:t>
            </w:r>
          </w:p>
          <w:p w14:paraId="6A85AFD0">
            <w:pPr>
              <w:widowControl/>
              <w:jc w:val="left"/>
              <w:rPr>
                <w:rFonts w:ascii="宋体" w:hAnsi="宋体" w:eastAsia="宋体" w:cs="宋体"/>
                <w:kern w:val="0"/>
                <w:sz w:val="24"/>
                <w:szCs w:val="24"/>
              </w:rPr>
            </w:pPr>
            <w:r>
              <w:rPr>
                <w:rFonts w:ascii="Arial" w:hAnsi="Arial" w:eastAsia="宋体" w:cs="Arial"/>
                <w:color w:val="000000"/>
                <w:kern w:val="0"/>
                <w:sz w:val="18"/>
                <w:szCs w:val="18"/>
              </w:rPr>
              <w:t>贵公司可以随时提交书面评论和建议至食品药品监督管理局，</w:t>
            </w:r>
            <w:r>
              <w:rPr>
                <w:rFonts w:hint="eastAsia" w:ascii="Arial" w:hAnsi="Arial" w:eastAsia="宋体" w:cs="Arial"/>
                <w:color w:val="000000"/>
                <w:kern w:val="0"/>
                <w:sz w:val="18"/>
                <w:szCs w:val="18"/>
              </w:rPr>
              <w:t>文档</w:t>
            </w:r>
            <w:r>
              <w:rPr>
                <w:rFonts w:ascii="Arial" w:hAnsi="Arial" w:eastAsia="宋体" w:cs="Arial"/>
                <w:color w:val="000000"/>
                <w:kern w:val="0"/>
                <w:sz w:val="18"/>
                <w:szCs w:val="18"/>
              </w:rPr>
              <w:t>管理部（5630 Fishers Lane，Room 1061，（HFA-305），Rockville，MD，20852）</w:t>
            </w:r>
            <w:r>
              <w:rPr>
                <w:rFonts w:hint="eastAsia" w:ascii="Arial" w:hAnsi="Arial" w:eastAsia="宋体" w:cs="Arial"/>
                <w:color w:val="000000"/>
                <w:kern w:val="0"/>
                <w:sz w:val="18"/>
                <w:szCs w:val="18"/>
              </w:rPr>
              <w:t>，供部门审议</w:t>
            </w:r>
            <w:r>
              <w:rPr>
                <w:rFonts w:ascii="Arial" w:hAnsi="Arial" w:eastAsia="宋体" w:cs="Arial"/>
                <w:color w:val="000000"/>
                <w:kern w:val="0"/>
                <w:sz w:val="18"/>
                <w:szCs w:val="18"/>
              </w:rPr>
              <w:t>。此外，电子评论请提交至</w:t>
            </w:r>
            <w:r>
              <w:rPr>
                <w:rFonts w:ascii="Arial" w:hAnsi="Arial" w:eastAsia="宋体" w:cs="Arial"/>
                <w:color w:val="800080"/>
                <w:kern w:val="0"/>
                <w:sz w:val="18"/>
                <w:szCs w:val="18"/>
                <w:u w:val="single"/>
              </w:rPr>
              <w:t>Regulations.gov</w:t>
            </w:r>
            <w:r>
              <w:rPr>
                <w:rFonts w:ascii="Arial" w:hAnsi="Arial" w:eastAsia="宋体" w:cs="Arial"/>
                <w:color w:val="000000"/>
                <w:kern w:val="0"/>
                <w:sz w:val="18"/>
                <w:szCs w:val="18"/>
              </w:rPr>
              <w:t>。所有评论应注明案卷编号，该编号位于宣布提供指南的联邦公报通告中。</w:t>
            </w:r>
            <w:r>
              <w:rPr>
                <w:rFonts w:hint="eastAsia" w:ascii="Arial" w:hAnsi="Arial" w:eastAsia="宋体" w:cs="Arial"/>
                <w:color w:val="000000"/>
                <w:kern w:val="0"/>
                <w:sz w:val="18"/>
                <w:szCs w:val="18"/>
              </w:rPr>
              <w:t>可能直到文件下次修订或更新时，评论才会被机构受理。</w:t>
            </w:r>
          </w:p>
          <w:p w14:paraId="205ED39D">
            <w:pPr>
              <w:widowControl/>
              <w:snapToGrid w:val="0"/>
              <w:spacing w:before="86" w:after="156" w:afterLines="50" w:line="300" w:lineRule="auto"/>
              <w:rPr>
                <w:rFonts w:ascii="Arial" w:hAnsi="Arial" w:eastAsia="宋体" w:cs="Arial"/>
                <w:color w:val="000000"/>
                <w:kern w:val="0"/>
                <w:sz w:val="18"/>
                <w:szCs w:val="18"/>
              </w:rPr>
            </w:pPr>
          </w:p>
          <w:p w14:paraId="3400DA29">
            <w:pPr>
              <w:widowControl/>
              <w:snapToGrid w:val="0"/>
              <w:spacing w:after="156" w:afterLines="50" w:line="300" w:lineRule="auto"/>
              <w:outlineLvl w:val="4"/>
              <w:rPr>
                <w:rFonts w:ascii="Arial" w:hAnsi="Arial" w:eastAsia="宋体" w:cs="Arial"/>
                <w:b/>
                <w:bCs/>
                <w:color w:val="000000"/>
                <w:kern w:val="0"/>
                <w:sz w:val="20"/>
                <w:szCs w:val="20"/>
              </w:rPr>
            </w:pPr>
            <w:r>
              <w:rPr>
                <w:rFonts w:ascii="Arial" w:hAnsi="Arial" w:eastAsia="宋体" w:cs="Arial"/>
                <w:b/>
                <w:bCs/>
                <w:color w:val="000000"/>
                <w:kern w:val="0"/>
                <w:sz w:val="20"/>
                <w:szCs w:val="20"/>
              </w:rPr>
              <w:t>其他副本</w:t>
            </w:r>
          </w:p>
          <w:p w14:paraId="5D6C18F6">
            <w:pPr>
              <w:widowControl/>
              <w:snapToGrid w:val="0"/>
              <w:spacing w:before="90" w:after="156" w:afterLines="50" w:line="300" w:lineRule="auto"/>
              <w:rPr>
                <w:rFonts w:ascii="Arial" w:hAnsi="Arial" w:eastAsia="宋体" w:cs="Arial"/>
                <w:color w:val="000000"/>
                <w:spacing w:val="-2"/>
                <w:kern w:val="0"/>
                <w:sz w:val="18"/>
                <w:szCs w:val="18"/>
              </w:rPr>
            </w:pPr>
            <w:r>
              <w:rPr>
                <w:rFonts w:ascii="Arial" w:hAnsi="Arial" w:eastAsia="宋体" w:cs="Arial"/>
                <w:color w:val="000000"/>
                <w:spacing w:val="-2"/>
                <w:kern w:val="0"/>
                <w:sz w:val="18"/>
                <w:szCs w:val="18"/>
              </w:rPr>
              <w:t>其他副本可从互联网获得。</w:t>
            </w:r>
            <w:r>
              <w:fldChar w:fldCharType="begin"/>
            </w:r>
            <w:r>
              <w:instrText xml:space="preserve"> HYPERLINK "mailto:您还可以发送电子邮件请求至todsmica@fda.hhs.gov" </w:instrText>
            </w:r>
            <w:r>
              <w:fldChar w:fldCharType="separate"/>
            </w:r>
            <w:r>
              <w:rPr>
                <w:rFonts w:hint="eastAsia" w:ascii="Arial" w:hAnsi="Arial" w:eastAsia="宋体" w:cs="Arial"/>
                <w:color w:val="000000"/>
                <w:spacing w:val="-2"/>
                <w:kern w:val="0"/>
                <w:sz w:val="18"/>
                <w:szCs w:val="18"/>
              </w:rPr>
              <w:t>贵公司还可以发送电子邮件请求至</w:t>
            </w:r>
            <w:r>
              <w:rPr>
                <w:rFonts w:hint="eastAsia" w:ascii="Arial" w:hAnsi="Arial" w:eastAsia="宋体" w:cs="Arial"/>
                <w:color w:val="800080"/>
                <w:spacing w:val="-2"/>
                <w:kern w:val="0"/>
                <w:sz w:val="18"/>
                <w:szCs w:val="18"/>
                <w:u w:val="single"/>
              </w:rPr>
              <w:t>todsmica@fda.hhs.gov</w:t>
            </w:r>
            <w:r>
              <w:rPr>
                <w:rFonts w:hint="eastAsia" w:ascii="Arial" w:hAnsi="Arial" w:eastAsia="宋体" w:cs="Arial"/>
                <w:color w:val="800080"/>
                <w:spacing w:val="-2"/>
                <w:kern w:val="0"/>
                <w:sz w:val="18"/>
                <w:szCs w:val="18"/>
                <w:u w:val="single"/>
              </w:rPr>
              <w:fldChar w:fldCharType="end"/>
            </w:r>
            <w:r>
              <w:rPr>
                <w:rFonts w:ascii="Arial" w:hAnsi="Arial" w:eastAsia="宋体" w:cs="Arial"/>
                <w:color w:val="000000"/>
                <w:spacing w:val="-2"/>
                <w:kern w:val="0"/>
                <w:sz w:val="18"/>
                <w:szCs w:val="18"/>
              </w:rPr>
              <w:t>以接受本指南的电子副本或发送传真请求到301-827-8149以接受硬拷贝。请使用文件编号（1236）来标识贵公司所要求获得的指南。</w:t>
            </w:r>
          </w:p>
          <w:p w14:paraId="170673C8">
            <w:pPr>
              <w:widowControl/>
              <w:snapToGrid w:val="0"/>
              <w:spacing w:before="86" w:after="156" w:afterLines="50" w:line="300" w:lineRule="auto"/>
              <w:rPr>
                <w:rFonts w:ascii="Arial" w:hAnsi="Arial" w:eastAsia="宋体" w:cs="Arial"/>
                <w:b/>
                <w:color w:val="000000"/>
                <w:kern w:val="0"/>
                <w:sz w:val="18"/>
                <w:szCs w:val="18"/>
              </w:rPr>
            </w:pPr>
            <w:r>
              <w:rPr>
                <w:rFonts w:ascii="Arial" w:hAnsi="Arial" w:eastAsia="宋体" w:cs="Arial"/>
                <w:b/>
                <w:color w:val="000000"/>
                <w:kern w:val="0"/>
                <w:sz w:val="18"/>
                <w:szCs w:val="18"/>
              </w:rPr>
              <w:t>目录</w:t>
            </w:r>
          </w:p>
          <w:p w14:paraId="6D946E09">
            <w:pPr>
              <w:widowControl/>
              <w:snapToGrid w:val="0"/>
              <w:spacing w:before="86" w:after="156" w:afterLines="50" w:line="300" w:lineRule="auto"/>
              <w:rPr>
                <w:rFonts w:ascii="Arial" w:hAnsi="Arial" w:eastAsia="宋体" w:cs="Arial"/>
                <w:color w:val="800080"/>
                <w:kern w:val="0"/>
                <w:sz w:val="18"/>
                <w:szCs w:val="18"/>
                <w:u w:val="single"/>
              </w:rPr>
            </w:pPr>
            <w:r>
              <w:rPr>
                <w:rFonts w:ascii="Arial" w:hAnsi="Arial" w:eastAsia="宋体" w:cs="Arial"/>
                <w:color w:val="800080"/>
                <w:kern w:val="0"/>
                <w:sz w:val="18"/>
                <w:szCs w:val="18"/>
                <w:u w:val="single"/>
              </w:rPr>
              <w:br w:type="textWrapping"/>
            </w:r>
            <w:r>
              <w:rPr>
                <w:rFonts w:ascii="Arial" w:hAnsi="Arial" w:eastAsia="宋体" w:cs="Arial"/>
                <w:kern w:val="0"/>
                <w:sz w:val="18"/>
                <w:szCs w:val="18"/>
              </w:rPr>
              <w:t>1.</w:t>
            </w:r>
            <w:r>
              <w:rPr>
                <w:rFonts w:ascii="Arial" w:hAnsi="Arial" w:eastAsia="宋体" w:cs="Arial"/>
                <w:color w:val="800080"/>
                <w:kern w:val="0"/>
                <w:sz w:val="18"/>
                <w:szCs w:val="18"/>
                <w:u w:val="single"/>
              </w:rPr>
              <w:t>引言</w:t>
            </w:r>
            <w:r>
              <w:rPr>
                <w:rFonts w:ascii="Arial" w:hAnsi="Arial" w:eastAsia="宋体" w:cs="Arial"/>
                <w:color w:val="800080"/>
                <w:kern w:val="0"/>
                <w:sz w:val="18"/>
                <w:szCs w:val="18"/>
                <w:u w:val="single"/>
              </w:rPr>
              <w:br w:type="textWrapping"/>
            </w:r>
            <w:r>
              <w:rPr>
                <w:rFonts w:ascii="Arial" w:hAnsi="Arial" w:eastAsia="宋体" w:cs="Arial"/>
                <w:kern w:val="0"/>
                <w:sz w:val="18"/>
                <w:szCs w:val="18"/>
              </w:rPr>
              <w:t>2.</w:t>
            </w:r>
            <w:r>
              <w:rPr>
                <w:rFonts w:ascii="Arial" w:hAnsi="Arial" w:eastAsia="宋体" w:cs="Arial"/>
                <w:color w:val="800080"/>
                <w:kern w:val="0"/>
                <w:sz w:val="18"/>
                <w:szCs w:val="18"/>
                <w:u w:val="single"/>
              </w:rPr>
              <w:t> 背景</w:t>
            </w:r>
            <w:r>
              <w:rPr>
                <w:rFonts w:ascii="Arial" w:hAnsi="Arial" w:eastAsia="宋体" w:cs="Arial"/>
                <w:color w:val="800080"/>
                <w:kern w:val="0"/>
                <w:sz w:val="18"/>
                <w:szCs w:val="18"/>
                <w:u w:val="single"/>
              </w:rPr>
              <w:br w:type="textWrapping"/>
            </w:r>
            <w:r>
              <w:rPr>
                <w:rFonts w:ascii="Arial" w:hAnsi="Arial" w:eastAsia="宋体" w:cs="Arial"/>
                <w:kern w:val="0"/>
                <w:sz w:val="18"/>
                <w:szCs w:val="18"/>
              </w:rPr>
              <w:t>3.</w:t>
            </w:r>
            <w:r>
              <w:rPr>
                <w:rFonts w:ascii="Arial" w:hAnsi="Arial" w:eastAsia="宋体" w:cs="Arial"/>
                <w:color w:val="800080"/>
                <w:kern w:val="0"/>
                <w:sz w:val="18"/>
                <w:szCs w:val="18"/>
                <w:u w:val="single"/>
              </w:rPr>
              <w:t>简化510（k）</w:t>
            </w:r>
            <w:r>
              <w:rPr>
                <w:rFonts w:hint="eastAsia" w:ascii="Arial" w:hAnsi="Arial" w:eastAsia="宋体" w:cs="Arial"/>
                <w:color w:val="800080"/>
                <w:kern w:val="0"/>
                <w:sz w:val="18"/>
                <w:szCs w:val="18"/>
                <w:u w:val="single"/>
              </w:rPr>
              <w:t>提交资料</w:t>
            </w:r>
            <w:r>
              <w:rPr>
                <w:rFonts w:ascii="Arial" w:hAnsi="Arial" w:eastAsia="宋体" w:cs="Arial"/>
                <w:color w:val="800080"/>
                <w:kern w:val="0"/>
                <w:sz w:val="18"/>
                <w:szCs w:val="18"/>
                <w:u w:val="single"/>
              </w:rPr>
              <w:t>的内容与格式</w:t>
            </w:r>
            <w:r>
              <w:rPr>
                <w:rFonts w:ascii="Arial" w:hAnsi="Arial" w:eastAsia="宋体" w:cs="Arial"/>
                <w:color w:val="800080"/>
                <w:kern w:val="0"/>
                <w:sz w:val="18"/>
                <w:szCs w:val="18"/>
                <w:u w:val="single"/>
              </w:rPr>
              <w:br w:type="textWrapping"/>
            </w:r>
            <w:r>
              <w:rPr>
                <w:rFonts w:ascii="Arial" w:hAnsi="Arial" w:eastAsia="宋体" w:cs="Arial"/>
                <w:kern w:val="0"/>
                <w:sz w:val="18"/>
                <w:szCs w:val="18"/>
              </w:rPr>
              <w:t>4.</w:t>
            </w:r>
            <w:r>
              <w:rPr>
                <w:rFonts w:ascii="Arial" w:hAnsi="Arial" w:eastAsia="宋体" w:cs="Arial"/>
                <w:color w:val="800080"/>
                <w:kern w:val="0"/>
                <w:sz w:val="18"/>
                <w:szCs w:val="18"/>
                <w:u w:val="single"/>
              </w:rPr>
              <w:t> 范围</w:t>
            </w:r>
            <w:r>
              <w:rPr>
                <w:rFonts w:ascii="Arial" w:hAnsi="Arial" w:eastAsia="宋体" w:cs="Arial"/>
                <w:color w:val="800080"/>
                <w:kern w:val="0"/>
                <w:sz w:val="18"/>
                <w:szCs w:val="18"/>
                <w:u w:val="single"/>
              </w:rPr>
              <w:br w:type="textWrapping"/>
            </w:r>
            <w:r>
              <w:rPr>
                <w:rFonts w:ascii="Arial" w:hAnsi="Arial" w:eastAsia="宋体" w:cs="Arial"/>
                <w:kern w:val="0"/>
                <w:sz w:val="18"/>
                <w:szCs w:val="18"/>
              </w:rPr>
              <w:t>5. </w:t>
            </w:r>
            <w:r>
              <w:rPr>
                <w:rFonts w:ascii="Arial" w:hAnsi="Arial" w:eastAsia="宋体" w:cs="Arial"/>
                <w:color w:val="800080"/>
                <w:kern w:val="0"/>
                <w:sz w:val="18"/>
                <w:szCs w:val="18"/>
                <w:u w:val="single"/>
              </w:rPr>
              <w:t>健康风险</w:t>
            </w:r>
            <w:r>
              <w:rPr>
                <w:rFonts w:ascii="Arial" w:hAnsi="Arial" w:eastAsia="宋体" w:cs="Arial"/>
                <w:color w:val="800080"/>
                <w:kern w:val="0"/>
                <w:sz w:val="18"/>
                <w:szCs w:val="18"/>
                <w:u w:val="single"/>
              </w:rPr>
              <w:br w:type="textWrapping"/>
            </w:r>
            <w:r>
              <w:rPr>
                <w:rFonts w:ascii="Arial" w:hAnsi="Arial" w:eastAsia="宋体" w:cs="Arial"/>
                <w:kern w:val="0"/>
                <w:sz w:val="18"/>
                <w:szCs w:val="18"/>
              </w:rPr>
              <w:t>6. </w:t>
            </w:r>
            <w:r>
              <w:rPr>
                <w:rFonts w:ascii="Arial" w:hAnsi="Arial" w:eastAsia="宋体" w:cs="Arial"/>
                <w:color w:val="800080"/>
                <w:kern w:val="0"/>
                <w:sz w:val="18"/>
                <w:szCs w:val="18"/>
                <w:u w:val="single"/>
              </w:rPr>
              <w:t>性能特性</w:t>
            </w:r>
          </w:p>
          <w:p w14:paraId="724E39D1">
            <w:pPr>
              <w:widowControl/>
              <w:snapToGrid w:val="0"/>
              <w:spacing w:before="86" w:after="156" w:afterLines="50" w:line="300" w:lineRule="auto"/>
              <w:rPr>
                <w:rFonts w:ascii="Arial" w:hAnsi="Arial" w:eastAsia="宋体" w:cs="Arial"/>
                <w:color w:val="800080"/>
                <w:kern w:val="0"/>
                <w:sz w:val="18"/>
                <w:szCs w:val="18"/>
                <w:u w:val="single"/>
              </w:rPr>
            </w:pPr>
            <w:r>
              <w:rPr>
                <w:rFonts w:ascii="Arial" w:hAnsi="Arial" w:eastAsia="宋体" w:cs="Arial"/>
                <w:kern w:val="0"/>
                <w:sz w:val="18"/>
                <w:szCs w:val="18"/>
              </w:rPr>
              <w:t>A. </w:t>
            </w:r>
            <w:r>
              <w:rPr>
                <w:rFonts w:ascii="Arial" w:hAnsi="Arial" w:eastAsia="宋体" w:cs="Arial"/>
                <w:color w:val="800080"/>
                <w:kern w:val="0"/>
                <w:sz w:val="18"/>
                <w:szCs w:val="18"/>
                <w:u w:val="single"/>
              </w:rPr>
              <w:t>试验或器械的预期用途或适应症</w:t>
            </w:r>
            <w:r>
              <w:rPr>
                <w:rFonts w:ascii="Arial" w:hAnsi="Arial" w:eastAsia="宋体" w:cs="Arial"/>
                <w:color w:val="800080"/>
                <w:kern w:val="0"/>
                <w:sz w:val="18"/>
                <w:szCs w:val="18"/>
                <w:u w:val="single"/>
              </w:rPr>
              <w:br w:type="textWrapping"/>
            </w:r>
            <w:r>
              <w:rPr>
                <w:rFonts w:ascii="Arial" w:hAnsi="Arial" w:eastAsia="宋体" w:cs="Arial"/>
                <w:kern w:val="0"/>
                <w:sz w:val="18"/>
                <w:szCs w:val="18"/>
              </w:rPr>
              <w:t>B.</w:t>
            </w:r>
            <w:r>
              <w:rPr>
                <w:rFonts w:ascii="Arial" w:hAnsi="Arial" w:eastAsia="宋体" w:cs="Arial"/>
                <w:color w:val="800080"/>
                <w:kern w:val="0"/>
                <w:sz w:val="18"/>
                <w:szCs w:val="18"/>
                <w:u w:val="single"/>
              </w:rPr>
              <w:t>分析前因素</w:t>
            </w:r>
            <w:r>
              <w:rPr>
                <w:rFonts w:ascii="Arial" w:hAnsi="Arial" w:eastAsia="宋体" w:cs="Arial"/>
                <w:color w:val="800080"/>
                <w:kern w:val="0"/>
                <w:sz w:val="18"/>
                <w:szCs w:val="18"/>
                <w:u w:val="single"/>
              </w:rPr>
              <w:br w:type="textWrapping"/>
            </w:r>
            <w:r>
              <w:rPr>
                <w:rFonts w:ascii="Arial" w:hAnsi="Arial" w:eastAsia="宋体" w:cs="Arial"/>
                <w:kern w:val="0"/>
                <w:sz w:val="18"/>
                <w:szCs w:val="18"/>
              </w:rPr>
              <w:t>C.</w:t>
            </w:r>
            <w:r>
              <w:rPr>
                <w:rFonts w:ascii="Arial" w:hAnsi="Arial" w:eastAsia="宋体" w:cs="Arial"/>
                <w:color w:val="800080"/>
                <w:kern w:val="0"/>
                <w:sz w:val="18"/>
                <w:szCs w:val="18"/>
                <w:u w:val="single"/>
              </w:rPr>
              <w:t>分析因素</w:t>
            </w:r>
          </w:p>
          <w:p w14:paraId="3E0CEC28">
            <w:pPr>
              <w:widowControl/>
              <w:snapToGrid w:val="0"/>
              <w:spacing w:before="86" w:after="156" w:afterLines="50" w:line="300" w:lineRule="auto"/>
              <w:rPr>
                <w:rFonts w:ascii="Arial" w:hAnsi="Arial" w:eastAsia="宋体" w:cs="Arial"/>
                <w:color w:val="800080"/>
                <w:kern w:val="0"/>
                <w:sz w:val="18"/>
                <w:szCs w:val="18"/>
                <w:u w:val="single"/>
              </w:rPr>
            </w:pPr>
            <w:r>
              <w:rPr>
                <w:rFonts w:ascii="Arial" w:hAnsi="Arial" w:eastAsia="宋体" w:cs="Arial"/>
                <w:kern w:val="0"/>
                <w:sz w:val="18"/>
                <w:szCs w:val="18"/>
              </w:rPr>
              <w:t>7. </w:t>
            </w:r>
            <w:r>
              <w:rPr>
                <w:rFonts w:ascii="Arial" w:hAnsi="Arial" w:eastAsia="宋体" w:cs="Arial"/>
                <w:color w:val="800080"/>
                <w:kern w:val="0"/>
                <w:sz w:val="18"/>
                <w:szCs w:val="18"/>
                <w:u w:val="single"/>
              </w:rPr>
              <w:t>方法比较</w:t>
            </w:r>
            <w:r>
              <w:rPr>
                <w:rFonts w:ascii="Arial" w:hAnsi="Arial" w:eastAsia="宋体" w:cs="Arial"/>
                <w:color w:val="800080"/>
                <w:kern w:val="0"/>
                <w:sz w:val="18"/>
                <w:szCs w:val="18"/>
                <w:u w:val="single"/>
              </w:rPr>
              <w:br w:type="textWrapping"/>
            </w:r>
            <w:r>
              <w:rPr>
                <w:rFonts w:ascii="Arial" w:hAnsi="Arial" w:eastAsia="宋体" w:cs="Arial"/>
                <w:kern w:val="0"/>
                <w:sz w:val="18"/>
                <w:szCs w:val="18"/>
              </w:rPr>
              <w:t>8. </w:t>
            </w:r>
            <w:r>
              <w:rPr>
                <w:rFonts w:ascii="Arial" w:hAnsi="Arial" w:eastAsia="宋体" w:cs="Arial"/>
                <w:color w:val="800080"/>
                <w:kern w:val="0"/>
                <w:sz w:val="18"/>
                <w:szCs w:val="18"/>
                <w:u w:val="single"/>
              </w:rPr>
              <w:t>标签</w:t>
            </w:r>
          </w:p>
          <w:p w14:paraId="10CC7D4C">
            <w:pPr>
              <w:widowControl/>
              <w:snapToGrid w:val="0"/>
              <w:spacing w:before="86" w:after="156" w:afterLines="50" w:line="300" w:lineRule="auto"/>
              <w:rPr>
                <w:rFonts w:ascii="Arial" w:hAnsi="Arial" w:eastAsia="宋体" w:cs="Arial"/>
                <w:color w:val="000000"/>
                <w:kern w:val="0"/>
                <w:sz w:val="18"/>
                <w:szCs w:val="18"/>
              </w:rPr>
            </w:pPr>
          </w:p>
          <w:p w14:paraId="0FEF7A05">
            <w:pPr>
              <w:widowControl/>
              <w:snapToGrid w:val="0"/>
              <w:spacing w:before="86" w:after="156" w:afterLines="50" w:line="300" w:lineRule="auto"/>
              <w:rPr>
                <w:rFonts w:ascii="Arial" w:hAnsi="Arial" w:eastAsia="宋体" w:cs="Arial"/>
                <w:b/>
                <w:bCs/>
                <w:color w:val="000000"/>
                <w:kern w:val="0"/>
                <w:sz w:val="23"/>
                <w:szCs w:val="23"/>
              </w:rPr>
            </w:pPr>
            <w:r>
              <w:rPr>
                <w:rFonts w:ascii="Arial" w:hAnsi="Arial" w:eastAsia="宋体" w:cs="Arial"/>
                <w:b/>
                <w:bCs/>
                <w:color w:val="000000"/>
                <w:kern w:val="0"/>
                <w:sz w:val="23"/>
                <w:szCs w:val="23"/>
              </w:rPr>
              <w:t>行业和FDA工作人员指南</w:t>
            </w:r>
          </w:p>
          <w:p w14:paraId="4492DB01">
            <w:pPr>
              <w:widowControl/>
              <w:snapToGrid w:val="0"/>
              <w:spacing w:before="360"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pict>
                <v:rect id="_x0000_i1025" o:spt="1" style="height:0.75pt;width:0pt;" fillcolor="#A0A0A0" filled="t" stroked="f" coordsize="21600,21600" o:hr="t" o:hrstd="t" o:hrnoshade="t" o:hralign="center">
                  <v:path/>
                  <v:fill on="t" focussize="0,0"/>
                  <v:stroke on="f"/>
                  <v:imagedata o:title=""/>
                  <o:lock v:ext="edit"/>
                  <w10:wrap type="none"/>
                  <w10:anchorlock/>
                </v:rect>
              </w:pict>
            </w:r>
          </w:p>
          <w:p w14:paraId="044095C6">
            <w:pPr>
              <w:widowControl/>
              <w:snapToGrid w:val="0"/>
              <w:spacing w:before="86" w:after="156" w:afterLines="50" w:line="300" w:lineRule="auto"/>
              <w:rPr>
                <w:rFonts w:ascii="Arial" w:hAnsi="Arial" w:eastAsia="宋体" w:cs="Arial"/>
                <w:b/>
                <w:bCs/>
                <w:color w:val="000000"/>
                <w:kern w:val="0"/>
                <w:sz w:val="23"/>
                <w:szCs w:val="23"/>
              </w:rPr>
            </w:pPr>
            <w:r>
              <w:rPr>
                <w:rFonts w:ascii="Arial" w:hAnsi="Arial" w:eastAsia="宋体" w:cs="Arial"/>
                <w:b/>
                <w:bCs/>
                <w:color w:val="000000"/>
                <w:kern w:val="0"/>
                <w:sz w:val="23"/>
                <w:szCs w:val="23"/>
              </w:rPr>
              <w:t>II类特别控制指导性文件：因子V Leiden DNA突变检测系统</w:t>
            </w:r>
          </w:p>
          <w:p w14:paraId="3CBE85F3">
            <w:pPr>
              <w:widowControl/>
              <w:snapToGrid w:val="0"/>
              <w:spacing w:after="156" w:afterLines="50" w:line="300" w:lineRule="auto"/>
              <w:outlineLvl w:val="2"/>
              <w:rPr>
                <w:rFonts w:ascii="Arial" w:hAnsi="Arial" w:eastAsia="宋体" w:cs="Arial"/>
                <w:b/>
                <w:bCs/>
                <w:color w:val="000000"/>
                <w:kern w:val="0"/>
                <w:sz w:val="23"/>
                <w:szCs w:val="23"/>
              </w:rPr>
            </w:pPr>
          </w:p>
          <w:p w14:paraId="74259DE1">
            <w:pPr>
              <w:widowControl/>
              <w:snapToGrid w:val="0"/>
              <w:spacing w:after="156" w:afterLines="50" w:line="300" w:lineRule="auto"/>
              <w:outlineLvl w:val="3"/>
              <w:rPr>
                <w:rFonts w:ascii="Arial" w:hAnsi="Arial" w:eastAsia="宋体" w:cs="Arial"/>
                <w:b/>
                <w:bCs/>
                <w:color w:val="000000"/>
                <w:kern w:val="0"/>
                <w:sz w:val="22"/>
              </w:rPr>
            </w:pPr>
            <w:bookmarkStart w:id="0" w:name="1"/>
            <w:r>
              <w:rPr>
                <w:rFonts w:ascii="Arial" w:hAnsi="Arial" w:eastAsia="宋体" w:cs="Arial"/>
                <w:b/>
                <w:bCs/>
                <w:color w:val="000000"/>
                <w:kern w:val="0"/>
                <w:sz w:val="22"/>
              </w:rPr>
              <w:t xml:space="preserve">1. </w:t>
            </w:r>
            <w:bookmarkEnd w:id="0"/>
            <w:r>
              <w:rPr>
                <w:rFonts w:ascii="Arial" w:hAnsi="Arial" w:eastAsia="宋体" w:cs="Arial"/>
                <w:b/>
                <w:bCs/>
                <w:color w:val="000000"/>
                <w:kern w:val="0"/>
                <w:sz w:val="22"/>
              </w:rPr>
              <w:t>引言</w:t>
            </w:r>
          </w:p>
          <w:p w14:paraId="03FE2CB7">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本指南作为特殊控制指南而编制，以支持将因子V Leiden（FVL）DNA突变检测系统分类为II类（特殊控制）。本文件不涉及III类（高风险）遗传试验的提交资料，尽管本文所述的许多分析原则可能适用于这些提交资料。FVL突变的遗传试验是可能由不同的试剂和工具组成的器械（具体取决于器械的最终配置），其可以包括聚合酶链反应（PCR）引物、杂交基质、热循环仪、成像仪和软件包。这些器械旨在帮助对具有疑似血栓形成倾向的个体进行诊断。本文件不涉及适用于单独诊断目的、产前筛选或人群的大规模筛选的试验。</w:t>
            </w:r>
          </w:p>
          <w:p w14:paraId="49061CC8">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本指南与联邦公报通告一起发布以宣布因子V Leiden突变检测系统的分类。在对器械进行分类的最终规则生效之后，任何为因子V Leiden突变检测系统提交510（k）上市前通告的公司都需要处理本特殊控制指导性文件中涉及的问题。但是，该公司只需表明，其器械符合本指南的建议，或以某种其他方式提供安全性和有效性的同等保证。</w:t>
            </w:r>
          </w:p>
          <w:p w14:paraId="01E4A613">
            <w:pPr>
              <w:widowControl/>
              <w:snapToGrid w:val="0"/>
              <w:spacing w:before="90"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该公司必须证明，其器械已通过满足本指南的建议或通过提供等同的安全性和有效性保证的其他方法解决了本指南中确定的安全性和有效性问题。</w:t>
            </w:r>
          </w:p>
          <w:p w14:paraId="3459A19E">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b/>
                <w:bCs/>
                <w:color w:val="000000"/>
                <w:kern w:val="0"/>
                <w:sz w:val="20"/>
                <w:szCs w:val="20"/>
              </w:rPr>
              <w:t>最小负担法</w:t>
            </w:r>
          </w:p>
          <w:p w14:paraId="2B3EC725">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指导性文件中确定的问题代表我们认为在贵公司的器械可上市之前需要解决的问题。在制定本指南时，我们仔细考虑了相关法定标准以便于本审查机构做出决定。我们还考虑了贵公司尝试遵守本指南并解决我们确定的问题时可能产生的负担。我们认为，我们已采用了最小负担法来解决本指导性文件中提出的问题。但是，如果贵公司认为有负担更小的方式可以用于解决这些问题，则贵公司应遵循文件“解决最小负担问题的建议方法”中概述的程序。</w:t>
            </w:r>
          </w:p>
          <w:p w14:paraId="505014F2">
            <w:pPr>
              <w:widowControl/>
              <w:snapToGrid w:val="0"/>
              <w:spacing w:before="86" w:after="156" w:afterLines="50" w:line="300" w:lineRule="auto"/>
              <w:rPr>
                <w:rFonts w:ascii="Arial" w:hAnsi="Arial" w:eastAsia="宋体" w:cs="Arial"/>
                <w:color w:val="000000"/>
                <w:kern w:val="0"/>
                <w:sz w:val="18"/>
                <w:szCs w:val="18"/>
              </w:rPr>
            </w:pPr>
            <w:bookmarkStart w:id="1" w:name="2"/>
            <w:r>
              <w:rPr>
                <w:rFonts w:ascii="Arial" w:hAnsi="Arial" w:eastAsia="宋体" w:cs="Arial"/>
                <w:b/>
                <w:bCs/>
                <w:color w:val="000000"/>
                <w:kern w:val="0"/>
                <w:sz w:val="22"/>
              </w:rPr>
              <w:t>2.</w:t>
            </w:r>
            <w:bookmarkEnd w:id="1"/>
            <w:r>
              <w:rPr>
                <w:rFonts w:ascii="Arial" w:hAnsi="Arial" w:eastAsia="宋体" w:cs="Arial"/>
                <w:b/>
                <w:bCs/>
                <w:color w:val="000000"/>
                <w:kern w:val="0"/>
                <w:sz w:val="22"/>
              </w:rPr>
              <w:t>背景</w:t>
            </w:r>
          </w:p>
          <w:p w14:paraId="2580DF98">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FDA认为，当与一般控制组合时，特殊控制将足以对因子V Leiden DNA突变检测系统的安全性和有效性提供合理保证。拟上市此类器械的制造商应（1）遵守联邦食品，药品和化妆品法案（</w:t>
            </w:r>
            <w:r>
              <w:rPr>
                <w:rFonts w:hint="eastAsia" w:ascii="Arial" w:hAnsi="Arial" w:eastAsia="宋体" w:cs="Arial"/>
                <w:color w:val="000000"/>
                <w:kern w:val="0"/>
                <w:sz w:val="18"/>
                <w:szCs w:val="18"/>
              </w:rPr>
              <w:t>法案</w:t>
            </w:r>
            <w:r>
              <w:rPr>
                <w:rFonts w:ascii="Arial" w:hAnsi="Arial" w:eastAsia="宋体" w:cs="Arial"/>
                <w:color w:val="000000"/>
                <w:kern w:val="0"/>
                <w:sz w:val="18"/>
                <w:szCs w:val="18"/>
              </w:rPr>
              <w:t>）的一般控制，包括21 CFR 807子部分E中所述的上市前通告要求，（2）处理本指南中确定的与因子V Leiden DNA突变检测系统相关的特定健康风险，以及（3）在上市该器械之前从FDA获得实质等同性测定。</w:t>
            </w:r>
          </w:p>
          <w:p w14:paraId="12179EAD">
            <w:pPr>
              <w:widowControl/>
              <w:snapToGrid w:val="0"/>
              <w:spacing w:before="86" w:after="156" w:afterLines="50" w:line="300" w:lineRule="auto"/>
              <w:rPr>
                <w:rFonts w:ascii="Arial" w:hAnsi="Arial" w:eastAsia="宋体" w:cs="Arial"/>
                <w:color w:val="000000"/>
                <w:kern w:val="0"/>
                <w:sz w:val="18"/>
                <w:szCs w:val="18"/>
              </w:rPr>
            </w:pPr>
          </w:p>
          <w:p w14:paraId="2F2F0A12">
            <w:pPr>
              <w:widowControl/>
              <w:snapToGrid w:val="0"/>
              <w:spacing w:before="86" w:after="156" w:afterLines="50" w:line="300" w:lineRule="auto"/>
              <w:rPr>
                <w:rFonts w:ascii="Arial" w:hAnsi="Arial" w:eastAsia="宋体" w:cs="Arial"/>
                <w:color w:val="000000"/>
                <w:kern w:val="0"/>
                <w:sz w:val="18"/>
                <w:szCs w:val="18"/>
              </w:rPr>
            </w:pPr>
          </w:p>
          <w:p w14:paraId="3AA2295C">
            <w:pPr>
              <w:widowControl/>
              <w:snapToGrid w:val="0"/>
              <w:spacing w:before="86" w:after="156" w:afterLines="50" w:line="300" w:lineRule="auto"/>
              <w:rPr>
                <w:rFonts w:ascii="Arial" w:hAnsi="Arial" w:eastAsia="宋体" w:cs="Arial"/>
                <w:color w:val="000000"/>
                <w:kern w:val="0"/>
                <w:sz w:val="18"/>
                <w:szCs w:val="18"/>
              </w:rPr>
            </w:pPr>
          </w:p>
          <w:p w14:paraId="7A197992">
            <w:pPr>
              <w:widowControl/>
              <w:snapToGrid w:val="0"/>
              <w:spacing w:before="86" w:after="156" w:afterLines="50" w:line="300" w:lineRule="auto"/>
              <w:rPr>
                <w:rFonts w:ascii="Arial" w:hAnsi="Arial" w:eastAsia="宋体" w:cs="Arial"/>
                <w:color w:val="000000"/>
                <w:kern w:val="0"/>
                <w:sz w:val="18"/>
                <w:szCs w:val="18"/>
              </w:rPr>
            </w:pPr>
          </w:p>
          <w:p w14:paraId="3E59DD5C">
            <w:pPr>
              <w:widowControl/>
              <w:snapToGrid w:val="0"/>
              <w:spacing w:before="86" w:after="156" w:afterLines="50" w:line="300" w:lineRule="auto"/>
              <w:rPr>
                <w:rFonts w:ascii="Arial" w:hAnsi="Arial" w:eastAsia="宋体" w:cs="Arial"/>
                <w:color w:val="000000"/>
                <w:kern w:val="0"/>
                <w:sz w:val="18"/>
                <w:szCs w:val="18"/>
              </w:rPr>
            </w:pPr>
          </w:p>
          <w:p w14:paraId="188DEE10">
            <w:pPr>
              <w:widowControl/>
              <w:snapToGrid w:val="0"/>
              <w:spacing w:before="86" w:after="156" w:afterLines="50" w:line="300" w:lineRule="auto"/>
              <w:rPr>
                <w:rFonts w:ascii="Arial" w:hAnsi="Arial" w:eastAsia="宋体" w:cs="Arial"/>
                <w:color w:val="000000"/>
                <w:kern w:val="0"/>
                <w:sz w:val="18"/>
                <w:szCs w:val="18"/>
              </w:rPr>
            </w:pPr>
          </w:p>
          <w:p w14:paraId="2EF8776A">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br w:type="textWrapping"/>
            </w:r>
          </w:p>
          <w:p w14:paraId="0EFBFBC4">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本指导性文件确定了因子V Leiden DNA突变检测系统的分类规则和产品代码。（请参见</w:t>
            </w:r>
            <w:r>
              <w:rPr>
                <w:rFonts w:ascii="Arial" w:hAnsi="Arial" w:eastAsia="宋体" w:cs="Arial"/>
                <w:color w:val="800080"/>
                <w:kern w:val="0"/>
                <w:sz w:val="18"/>
                <w:szCs w:val="18"/>
                <w:u w:val="single"/>
              </w:rPr>
              <w:t>第4节</w:t>
            </w:r>
            <w:r>
              <w:rPr>
                <w:rFonts w:ascii="Arial" w:hAnsi="Arial" w:eastAsia="宋体" w:cs="Arial"/>
                <w:color w:val="000000"/>
                <w:kern w:val="0"/>
                <w:sz w:val="18"/>
                <w:szCs w:val="18"/>
              </w:rPr>
              <w:t xml:space="preserve"> - 范围）。此外，本指导性文件的其他部分列出了FDA确定的健康风险，并对如果制造商遵守并结合一般控制措施通常可解决与这些测定相关的风险并使上市前通告[510 （k）]审查和许可及时进行的措施进行了说明。本文件补充有关上市前通告提交资料的具体内容要求的其他FDA文件。贵公司还应参考</w:t>
            </w:r>
            <w:r>
              <w:rPr>
                <w:rFonts w:ascii="Arial" w:hAnsi="Arial" w:eastAsia="宋体" w:cs="Arial"/>
                <w:color w:val="800080"/>
                <w:kern w:val="0"/>
                <w:sz w:val="18"/>
                <w:szCs w:val="18"/>
                <w:u w:val="single"/>
              </w:rPr>
              <w:t>21 CFR 807.87</w:t>
            </w:r>
            <w:r>
              <w:rPr>
                <w:rFonts w:ascii="Arial" w:hAnsi="Arial" w:eastAsia="宋体" w:cs="Arial"/>
                <w:color w:val="000000"/>
                <w:kern w:val="0"/>
                <w:sz w:val="18"/>
                <w:szCs w:val="18"/>
              </w:rPr>
              <w:t>和其他有关本主题的FDA文件，如</w:t>
            </w:r>
            <w:r>
              <w:rPr>
                <w:rFonts w:ascii="Arial" w:hAnsi="Arial" w:eastAsia="宋体" w:cs="Arial"/>
                <w:b/>
                <w:color w:val="800080"/>
                <w:kern w:val="0"/>
                <w:sz w:val="18"/>
                <w:szCs w:val="18"/>
              </w:rPr>
              <w:t>上市前通告 510（k）</w:t>
            </w:r>
            <w:r>
              <w:rPr>
                <w:rFonts w:ascii="Arial" w:hAnsi="Arial" w:eastAsia="宋体" w:cs="Arial"/>
                <w:color w:val="000000"/>
                <w:kern w:val="0"/>
                <w:sz w:val="18"/>
                <w:szCs w:val="18"/>
              </w:rPr>
              <w:t>。</w:t>
            </w:r>
          </w:p>
          <w:p w14:paraId="48BB67F6">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根据“</w:t>
            </w:r>
            <w:r>
              <w:rPr>
                <w:rFonts w:ascii="Arial" w:hAnsi="Arial" w:eastAsia="宋体" w:cs="Arial"/>
                <w:b/>
                <w:color w:val="000000"/>
                <w:kern w:val="0"/>
                <w:sz w:val="18"/>
                <w:szCs w:val="18"/>
              </w:rPr>
              <w:t>新版510（k）范式 - 在上市前通告中证明实质等同性的替代方法；最终指南</w:t>
            </w:r>
            <w:r>
              <w:rPr>
                <w:rFonts w:ascii="Arial" w:hAnsi="Arial" w:eastAsia="宋体" w:cs="Arial"/>
                <w:b/>
                <w:color w:val="000000"/>
                <w:kern w:val="0"/>
                <w:sz w:val="18"/>
                <w:szCs w:val="18"/>
                <w:vertAlign w:val="superscript"/>
              </w:rPr>
              <w:t>1</w:t>
            </w:r>
            <w:r>
              <w:rPr>
                <w:rFonts w:ascii="Arial" w:hAnsi="Arial" w:eastAsia="宋体" w:cs="Arial"/>
                <w:color w:val="000000"/>
                <w:kern w:val="0"/>
                <w:sz w:val="18"/>
                <w:szCs w:val="18"/>
              </w:rPr>
              <w:t>”，制造商可以提交传统510（k）或可以选择提交简化510（k）或特殊510（k）。FDA认为，简化510（k）提供了用于证明新器械的实质等同性的且负担最小的手段，特别是在FDA已发布某一指导性文件后。考虑修改其自己已许可器械的制造商可以通过提交特殊510（k）来减轻监管负担。</w:t>
            </w:r>
          </w:p>
          <w:p w14:paraId="589023B4">
            <w:pPr>
              <w:widowControl/>
              <w:snapToGrid w:val="0"/>
              <w:spacing w:after="156" w:afterLines="50" w:line="300" w:lineRule="auto"/>
              <w:outlineLvl w:val="3"/>
              <w:rPr>
                <w:rFonts w:ascii="Arial" w:hAnsi="Arial" w:eastAsia="宋体" w:cs="Arial"/>
                <w:b/>
                <w:bCs/>
                <w:color w:val="000000"/>
                <w:kern w:val="0"/>
                <w:sz w:val="22"/>
              </w:rPr>
            </w:pPr>
            <w:bookmarkStart w:id="2" w:name="3"/>
            <w:r>
              <w:rPr>
                <w:rFonts w:ascii="Arial" w:hAnsi="Arial" w:eastAsia="宋体" w:cs="Arial"/>
                <w:b/>
                <w:bCs/>
                <w:color w:val="000000"/>
                <w:kern w:val="0"/>
                <w:sz w:val="22"/>
              </w:rPr>
              <w:t>3.</w:t>
            </w:r>
            <w:bookmarkEnd w:id="2"/>
            <w:r>
              <w:rPr>
                <w:rFonts w:ascii="Arial" w:hAnsi="Arial" w:eastAsia="宋体" w:cs="Arial"/>
                <w:b/>
                <w:bCs/>
                <w:color w:val="000000"/>
                <w:kern w:val="0"/>
                <w:sz w:val="22"/>
              </w:rPr>
              <w:t>简化510（k）提交资料的内容和格式</w:t>
            </w:r>
          </w:p>
          <w:p w14:paraId="744BCF4C">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简化510（k）提交资料必须含有21 CFR 807.87中确定的所需成分，包括用于描述器械、其预期用途及其使用说明的器械建议标签（21 CFR 807.87（e））。在简化510（k）中，FDA可以将总结报告的内容视为21 CFR 807.87（f）或（g）所指的适当支持性数据；因此，我们建议贵公司提供总结报告。该报告应说明在器械开发和试验过程中如何使用该指导性文件，并应简要说明所使用的方法或试验，以及应用于解决本文件中确定的风险的试验数据总结或对验收标准的说明，以及贵公司的器械特有的任何其他风险。本节就用于满足807.87中的一些要求的信息以及我们建议贵公司在简化510（k）中提供的其他一些项目提供建议。</w:t>
            </w:r>
          </w:p>
          <w:p w14:paraId="1B5C92B1">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b/>
                <w:bCs/>
                <w:color w:val="000000"/>
                <w:kern w:val="0"/>
                <w:sz w:val="18"/>
              </w:rPr>
              <w:t>封面</w:t>
            </w:r>
          </w:p>
          <w:p w14:paraId="10EDC634">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封面应明显将提交资料标注为简化510（k），并引用本指导性文件的标题。</w:t>
            </w:r>
          </w:p>
          <w:p w14:paraId="0CD97284">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b/>
                <w:bCs/>
                <w:color w:val="000000"/>
                <w:kern w:val="0"/>
                <w:sz w:val="18"/>
              </w:rPr>
              <w:t>建议标签</w:t>
            </w:r>
          </w:p>
          <w:p w14:paraId="743BF3B6">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建议标签应足以说明器械、其预期用途及其使用说明。（有关用于本指导性文件涵盖的器械类型的标签中应包含的具体信息，请参阅第8节。）</w:t>
            </w:r>
          </w:p>
          <w:p w14:paraId="3B017A10">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b/>
                <w:bCs/>
                <w:color w:val="000000"/>
                <w:kern w:val="0"/>
                <w:sz w:val="18"/>
              </w:rPr>
              <w:t>总结报告</w:t>
            </w:r>
          </w:p>
          <w:p w14:paraId="42B495D9">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我们建议总结报告应包含：</w:t>
            </w:r>
          </w:p>
          <w:p w14:paraId="71BF11B4">
            <w:pPr>
              <w:widowControl/>
              <w:numPr>
                <w:ilvl w:val="0"/>
                <w:numId w:val="1"/>
              </w:numPr>
              <w:snapToGrid w:val="0"/>
              <w:spacing w:after="156" w:afterLines="50" w:line="300" w:lineRule="auto"/>
              <w:ind w:left="699" w:leftChars="160" w:hanging="363" w:hangingChars="202"/>
              <w:rPr>
                <w:rFonts w:ascii="Arial" w:hAnsi="Arial" w:eastAsia="宋体" w:cs="Arial"/>
                <w:color w:val="000000"/>
                <w:kern w:val="0"/>
                <w:sz w:val="18"/>
                <w:szCs w:val="18"/>
              </w:rPr>
            </w:pPr>
            <w:r>
              <w:rPr>
                <w:rFonts w:ascii="Arial" w:hAnsi="Arial" w:eastAsia="宋体" w:cs="Arial"/>
                <w:color w:val="000000"/>
                <w:kern w:val="0"/>
                <w:sz w:val="18"/>
                <w:szCs w:val="18"/>
              </w:rPr>
              <w:t>器械及其预期用途说明。我们建议说明应包括对性能规格的完整讨论，以及详细标记的器械图纸（如果适用）。贵公司还应提交“适应症”附件。</w:t>
            </w:r>
          </w:p>
          <w:p w14:paraId="31378CA9">
            <w:pPr>
              <w:widowControl/>
              <w:numPr>
                <w:ilvl w:val="0"/>
                <w:numId w:val="1"/>
              </w:numPr>
              <w:snapToGrid w:val="0"/>
              <w:spacing w:after="156" w:afterLines="50" w:line="300" w:lineRule="auto"/>
              <w:ind w:left="699" w:leftChars="160" w:hanging="363" w:hangingChars="202"/>
              <w:rPr>
                <w:rFonts w:ascii="Arial" w:hAnsi="Arial" w:eastAsia="宋体" w:cs="Arial"/>
                <w:color w:val="000000"/>
                <w:kern w:val="0"/>
                <w:sz w:val="18"/>
                <w:szCs w:val="18"/>
              </w:rPr>
            </w:pPr>
            <w:r>
              <w:rPr>
                <w:rFonts w:ascii="Arial" w:hAnsi="Arial" w:eastAsia="宋体" w:cs="Arial"/>
                <w:color w:val="000000"/>
                <w:kern w:val="0"/>
                <w:sz w:val="18"/>
                <w:szCs w:val="18"/>
              </w:rPr>
              <w:t>器械设计要求说明。</w:t>
            </w:r>
          </w:p>
          <w:p w14:paraId="59AC2188">
            <w:pPr>
              <w:widowControl/>
              <w:snapToGrid w:val="0"/>
              <w:spacing w:after="156" w:afterLines="50" w:line="300" w:lineRule="auto"/>
              <w:rPr>
                <w:rFonts w:ascii="Arial" w:hAnsi="Arial" w:eastAsia="宋体" w:cs="Arial"/>
                <w:color w:val="000000"/>
                <w:kern w:val="0"/>
                <w:sz w:val="18"/>
                <w:szCs w:val="18"/>
              </w:rPr>
            </w:pPr>
          </w:p>
          <w:p w14:paraId="3B8F46DB">
            <w:pPr>
              <w:widowControl/>
              <w:snapToGrid w:val="0"/>
              <w:spacing w:after="156" w:afterLines="50" w:line="300" w:lineRule="auto"/>
              <w:rPr>
                <w:rFonts w:ascii="Arial" w:hAnsi="Arial" w:eastAsia="宋体" w:cs="Arial"/>
                <w:color w:val="000000"/>
                <w:kern w:val="0"/>
                <w:sz w:val="18"/>
                <w:szCs w:val="18"/>
              </w:rPr>
            </w:pPr>
          </w:p>
          <w:p w14:paraId="029E2158">
            <w:pPr>
              <w:widowControl/>
              <w:snapToGrid w:val="0"/>
              <w:spacing w:after="156" w:afterLines="50" w:line="300" w:lineRule="auto"/>
              <w:rPr>
                <w:rFonts w:ascii="Arial" w:hAnsi="Arial" w:eastAsia="宋体" w:cs="Arial"/>
                <w:color w:val="000000"/>
                <w:kern w:val="0"/>
                <w:sz w:val="18"/>
                <w:szCs w:val="18"/>
              </w:rPr>
            </w:pPr>
          </w:p>
          <w:p w14:paraId="0771E206">
            <w:pPr>
              <w:widowControl/>
              <w:snapToGrid w:val="0"/>
              <w:spacing w:after="156" w:afterLines="50" w:line="300" w:lineRule="auto"/>
              <w:rPr>
                <w:rFonts w:ascii="Arial" w:hAnsi="Arial" w:eastAsia="宋体" w:cs="Arial"/>
                <w:color w:val="000000"/>
                <w:kern w:val="0"/>
                <w:sz w:val="18"/>
                <w:szCs w:val="18"/>
              </w:rPr>
            </w:pPr>
          </w:p>
          <w:p w14:paraId="36F8A460">
            <w:pPr>
              <w:widowControl/>
              <w:snapToGrid w:val="0"/>
              <w:spacing w:after="156" w:afterLines="50" w:line="300" w:lineRule="auto"/>
              <w:rPr>
                <w:rFonts w:ascii="Arial" w:hAnsi="Arial" w:eastAsia="宋体" w:cs="Arial"/>
                <w:color w:val="000000"/>
                <w:kern w:val="0"/>
                <w:sz w:val="18"/>
                <w:szCs w:val="18"/>
              </w:rPr>
            </w:pPr>
          </w:p>
          <w:p w14:paraId="7BC6B713">
            <w:pPr>
              <w:widowControl/>
              <w:snapToGrid w:val="0"/>
              <w:spacing w:after="156" w:afterLines="50" w:line="300" w:lineRule="auto"/>
              <w:rPr>
                <w:rFonts w:ascii="Arial" w:hAnsi="Arial" w:eastAsia="宋体" w:cs="Arial"/>
                <w:color w:val="000000"/>
                <w:kern w:val="0"/>
                <w:sz w:val="18"/>
                <w:szCs w:val="18"/>
              </w:rPr>
            </w:pPr>
          </w:p>
          <w:p w14:paraId="116A5E5F">
            <w:pPr>
              <w:widowControl/>
              <w:snapToGrid w:val="0"/>
              <w:spacing w:after="156" w:afterLines="50" w:line="300" w:lineRule="auto"/>
              <w:rPr>
                <w:rFonts w:ascii="Arial" w:hAnsi="Arial" w:eastAsia="宋体" w:cs="Arial"/>
                <w:color w:val="000000"/>
                <w:kern w:val="0"/>
                <w:sz w:val="18"/>
                <w:szCs w:val="18"/>
              </w:rPr>
            </w:pPr>
          </w:p>
          <w:p w14:paraId="38B32FC3">
            <w:pPr>
              <w:widowControl/>
              <w:snapToGrid w:val="0"/>
              <w:spacing w:after="156" w:afterLines="50" w:line="300" w:lineRule="auto"/>
              <w:rPr>
                <w:rFonts w:ascii="Arial" w:hAnsi="Arial" w:eastAsia="宋体" w:cs="Arial"/>
                <w:color w:val="000000"/>
                <w:kern w:val="0"/>
                <w:sz w:val="18"/>
                <w:szCs w:val="18"/>
              </w:rPr>
            </w:pPr>
          </w:p>
          <w:p w14:paraId="322E10B8">
            <w:pPr>
              <w:widowControl/>
              <w:snapToGrid w:val="0"/>
              <w:spacing w:after="156" w:afterLines="50" w:line="300" w:lineRule="auto"/>
              <w:rPr>
                <w:rFonts w:ascii="Arial" w:hAnsi="Arial" w:eastAsia="宋体" w:cs="Arial"/>
                <w:color w:val="000000"/>
                <w:kern w:val="0"/>
                <w:sz w:val="18"/>
                <w:szCs w:val="18"/>
              </w:rPr>
            </w:pPr>
          </w:p>
          <w:p w14:paraId="3FEFE9FC">
            <w:pPr>
              <w:widowControl/>
              <w:numPr>
                <w:ilvl w:val="0"/>
                <w:numId w:val="1"/>
              </w:numPr>
              <w:snapToGrid w:val="0"/>
              <w:spacing w:after="156" w:afterLines="50" w:line="300" w:lineRule="auto"/>
              <w:ind w:left="699" w:leftChars="160" w:hanging="363" w:hangingChars="202"/>
              <w:rPr>
                <w:rFonts w:ascii="Arial" w:hAnsi="Arial" w:eastAsia="宋体" w:cs="Arial"/>
                <w:color w:val="000000"/>
                <w:kern w:val="0"/>
                <w:sz w:val="18"/>
                <w:szCs w:val="18"/>
              </w:rPr>
            </w:pPr>
            <w:r>
              <w:rPr>
                <w:rFonts w:ascii="Arial" w:hAnsi="Arial" w:eastAsia="宋体" w:cs="Arial"/>
                <w:color w:val="000000"/>
                <w:kern w:val="0"/>
                <w:sz w:val="18"/>
                <w:szCs w:val="18"/>
              </w:rPr>
              <w:t>确定用于评估风险概况的风险分析方法，以及具体器械的设计和此分析的结果。（有关使用本器械的健康风险，请参阅第5节。）</w:t>
            </w:r>
          </w:p>
          <w:p w14:paraId="6CE36B00">
            <w:pPr>
              <w:widowControl/>
              <w:numPr>
                <w:ilvl w:val="0"/>
                <w:numId w:val="1"/>
              </w:numPr>
              <w:snapToGrid w:val="0"/>
              <w:spacing w:after="156" w:afterLines="50" w:line="300" w:lineRule="auto"/>
              <w:ind w:left="699" w:leftChars="160" w:hanging="363" w:hangingChars="202"/>
              <w:rPr>
                <w:rFonts w:ascii="Arial" w:hAnsi="Arial" w:eastAsia="宋体" w:cs="Arial"/>
                <w:color w:val="000000"/>
                <w:kern w:val="0"/>
                <w:sz w:val="18"/>
                <w:szCs w:val="18"/>
              </w:rPr>
            </w:pPr>
            <w:r>
              <w:rPr>
                <w:rFonts w:ascii="Arial" w:hAnsi="Arial" w:eastAsia="宋体" w:cs="Arial"/>
                <w:color w:val="000000"/>
                <w:kern w:val="0"/>
                <w:sz w:val="18"/>
                <w:szCs w:val="18"/>
              </w:rPr>
              <w:t>讨论解决本指导性文件中确定的风险的器械特性以及贵公司的风险分析中确定的任何其他风险。</w:t>
            </w:r>
          </w:p>
          <w:p w14:paraId="68825691">
            <w:pPr>
              <w:widowControl/>
              <w:numPr>
                <w:ilvl w:val="0"/>
                <w:numId w:val="2"/>
              </w:numPr>
              <w:snapToGrid w:val="0"/>
              <w:spacing w:after="156" w:afterLines="50" w:line="300" w:lineRule="auto"/>
              <w:ind w:left="699" w:leftChars="160" w:hanging="363" w:hangingChars="202"/>
              <w:rPr>
                <w:rFonts w:ascii="Arial" w:hAnsi="Arial" w:eastAsia="宋体" w:cs="Arial"/>
                <w:color w:val="000000"/>
                <w:kern w:val="0"/>
                <w:sz w:val="18"/>
                <w:szCs w:val="18"/>
              </w:rPr>
            </w:pPr>
            <w:r>
              <w:rPr>
                <w:rFonts w:ascii="Arial" w:hAnsi="Arial" w:eastAsia="宋体" w:cs="Arial"/>
                <w:color w:val="000000"/>
                <w:kern w:val="0"/>
                <w:sz w:val="18"/>
                <w:szCs w:val="18"/>
              </w:rPr>
              <w:t>贵公司已用于或打算用于解决本指导性文件第6节和第7节中确定的每个性能方面的试验方法的简要说明。如果贵公司遵循所建议的试验方法，贵公司可以引用该方法而不是对其进行说明。如果贵公司修改了所建议的试验方法，贵公司可以引用该方法，但应提供足够的信息来说明修改的性质和原因。对于每个试验，贵公司可以（1）以清晰简洁的形式简要介绍试验结果，例如表格，或（2）说明贵公司将应用于试验结果的验收标准。</w:t>
            </w:r>
            <w:r>
              <w:rPr>
                <w:rFonts w:ascii="Arial" w:hAnsi="Arial" w:eastAsia="宋体" w:cs="Arial"/>
                <w:color w:val="000000"/>
                <w:kern w:val="0"/>
                <w:sz w:val="18"/>
                <w:szCs w:val="18"/>
                <w:vertAlign w:val="superscript"/>
              </w:rPr>
              <w:t>3</w:t>
            </w:r>
            <w:r>
              <w:rPr>
                <w:rFonts w:ascii="Arial" w:hAnsi="Arial" w:eastAsia="宋体" w:cs="Arial"/>
                <w:color w:val="000000"/>
                <w:kern w:val="0"/>
                <w:sz w:val="18"/>
                <w:szCs w:val="18"/>
              </w:rPr>
              <w:t>（请参阅21 CFR 820.30，子部分C -质量系统法规的设计控制。）</w:t>
            </w:r>
          </w:p>
          <w:p w14:paraId="0E302B17">
            <w:pPr>
              <w:widowControl/>
              <w:numPr>
                <w:ilvl w:val="0"/>
                <w:numId w:val="3"/>
              </w:numPr>
              <w:snapToGrid w:val="0"/>
              <w:spacing w:after="156" w:afterLines="50" w:line="300" w:lineRule="auto"/>
              <w:ind w:left="699" w:leftChars="160" w:hanging="363" w:hangingChars="202"/>
              <w:rPr>
                <w:rFonts w:ascii="Arial" w:hAnsi="Arial" w:eastAsia="宋体" w:cs="Arial"/>
                <w:color w:val="000000"/>
                <w:kern w:val="0"/>
                <w:sz w:val="18"/>
                <w:szCs w:val="18"/>
              </w:rPr>
            </w:pPr>
            <w:r>
              <w:rPr>
                <w:rFonts w:ascii="Arial" w:hAnsi="Arial" w:eastAsia="宋体" w:cs="Arial"/>
                <w:color w:val="000000"/>
                <w:kern w:val="0"/>
                <w:sz w:val="18"/>
                <w:szCs w:val="18"/>
              </w:rPr>
              <w:t>如果器械设计或试验的任何部分依赖于公认标准，则应包含：（1）一项声明，即在产品上市前进行试验并满足规定的验收标准，或（2）符合标准的声明。请注意，试验必须在提交符合公认标准的声明之前完成。</w:t>
            </w:r>
            <w:r>
              <w:rPr>
                <w:rFonts w:ascii="Arial" w:hAnsi="Arial" w:eastAsia="宋体" w:cs="Arial"/>
                <w:color w:val="000000"/>
                <w:kern w:val="0"/>
                <w:sz w:val="18"/>
                <w:szCs w:val="18"/>
                <w:vertAlign w:val="superscript"/>
              </w:rPr>
              <w:t>4</w:t>
            </w:r>
            <w:r>
              <w:rPr>
                <w:rFonts w:ascii="Arial" w:hAnsi="Arial" w:eastAsia="宋体" w:cs="Arial"/>
                <w:color w:val="000000"/>
                <w:kern w:val="0"/>
                <w:sz w:val="18"/>
                <w:szCs w:val="18"/>
              </w:rPr>
              <w:t>（21 USC 514（c）（1）（B），21 USC 360d（c）（1）（B））。有关更多信息，参考FDA指南，</w:t>
            </w:r>
            <w:r>
              <w:rPr>
                <w:rFonts w:ascii="Arial" w:hAnsi="Arial" w:eastAsia="宋体" w:cs="Arial"/>
                <w:b/>
                <w:bCs/>
                <w:color w:val="800080"/>
                <w:kern w:val="0"/>
                <w:sz w:val="18"/>
              </w:rPr>
              <w:t>实质等同性测定标准的使用；行业和FDA最终指南</w:t>
            </w:r>
            <w:r>
              <w:rPr>
                <w:rFonts w:ascii="Arial" w:hAnsi="Arial" w:eastAsia="宋体" w:cs="Arial"/>
                <w:color w:val="000000"/>
                <w:kern w:val="0"/>
                <w:sz w:val="18"/>
                <w:szCs w:val="18"/>
              </w:rPr>
              <w:t>。</w:t>
            </w:r>
          </w:p>
          <w:p w14:paraId="1F6941EC">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如果我们不清楚贵公司如何解决FDA所确定的风险或通过贵公司的风险分析确定的其他风险，我们可能会要求贵公司提供有关器械性能特征方面的其他信息。如果我们需要使用其来评估贵公司的验收标准是否充分，我们也可能会要求贵公司提供其他信息。（根据21 CFR 807.87（l）），我们可能会要求提供任何必要的补充资料，以完成与实质等同性相关的测定）。</w:t>
            </w:r>
          </w:p>
          <w:p w14:paraId="7E1C237B">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作为提交简化510（k）的替代方案，贵公司可以提交传统510（k），其中，其提供了21 CFR 807.87中所需的以及在本指南中所述的所有信息和数据。传统510（k）应涵盖贵公司的所有方法、数据、验收标准和结论。考虑修改其自己已许可器械的制造商应提交特殊510（k）。</w:t>
            </w:r>
          </w:p>
          <w:p w14:paraId="188A21C4">
            <w:pPr>
              <w:widowControl/>
              <w:snapToGrid w:val="0"/>
              <w:spacing w:before="86" w:after="156" w:afterLines="50" w:line="300" w:lineRule="auto"/>
              <w:rPr>
                <w:rFonts w:ascii="Arial" w:hAnsi="Arial" w:eastAsia="宋体" w:cs="Arial"/>
                <w:b/>
                <w:bCs/>
                <w:color w:val="000000"/>
                <w:kern w:val="0"/>
                <w:sz w:val="22"/>
              </w:rPr>
            </w:pPr>
            <w:bookmarkStart w:id="3" w:name="4"/>
            <w:r>
              <w:rPr>
                <w:rFonts w:ascii="Arial" w:hAnsi="Arial" w:eastAsia="宋体" w:cs="Arial"/>
                <w:b/>
                <w:bCs/>
                <w:color w:val="000000"/>
                <w:kern w:val="0"/>
                <w:sz w:val="22"/>
              </w:rPr>
              <w:t>4.</w:t>
            </w:r>
            <w:bookmarkEnd w:id="3"/>
            <w:r>
              <w:rPr>
                <w:rFonts w:ascii="Arial" w:hAnsi="Arial" w:eastAsia="宋体" w:cs="Arial"/>
                <w:b/>
                <w:bCs/>
                <w:color w:val="000000"/>
                <w:kern w:val="0"/>
                <w:sz w:val="22"/>
              </w:rPr>
              <w:t>范围</w:t>
            </w:r>
          </w:p>
          <w:p w14:paraId="1A81231F">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本文件的范围仅限于21 CFR 864.7280（产品代码：NPQ）中所述的以下器械。</w:t>
            </w:r>
          </w:p>
          <w:p w14:paraId="47AD4CBA">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21 CFR 864.7280 - 因子V Leiden DNA突变检测系统。因子V Leiden突变检测系统是由不同试剂和工具组成的器械，其中包括聚合酶链反应（PCR）引物、杂交基质、热循环仪、成像仪和软件包。因子V Leiden突变的检测旨在帮助对具有疑似血栓形成倾向的患者进行诊断。</w:t>
            </w:r>
          </w:p>
          <w:p w14:paraId="5E655C4D">
            <w:pPr>
              <w:widowControl/>
              <w:snapToGrid w:val="0"/>
              <w:spacing w:after="156" w:afterLines="50" w:line="300" w:lineRule="auto"/>
              <w:outlineLvl w:val="3"/>
              <w:rPr>
                <w:rFonts w:ascii="Arial" w:hAnsi="Arial" w:eastAsia="宋体" w:cs="Arial"/>
                <w:b/>
                <w:bCs/>
                <w:color w:val="000000"/>
                <w:kern w:val="0"/>
                <w:sz w:val="22"/>
              </w:rPr>
            </w:pPr>
            <w:bookmarkStart w:id="4" w:name="5"/>
            <w:r>
              <w:rPr>
                <w:rFonts w:ascii="Arial" w:hAnsi="Arial" w:eastAsia="宋体" w:cs="Arial"/>
                <w:b/>
                <w:bCs/>
                <w:color w:val="000000"/>
                <w:kern w:val="0"/>
                <w:sz w:val="22"/>
              </w:rPr>
              <w:t>5.</w:t>
            </w:r>
            <w:bookmarkEnd w:id="4"/>
            <w:r>
              <w:rPr>
                <w:rFonts w:ascii="Arial" w:hAnsi="Arial" w:eastAsia="宋体" w:cs="Arial"/>
                <w:b/>
                <w:bCs/>
                <w:color w:val="000000"/>
                <w:kern w:val="0"/>
                <w:sz w:val="22"/>
              </w:rPr>
              <w:t>健康风险</w:t>
            </w:r>
          </w:p>
          <w:p w14:paraId="7C6E7F0A">
            <w:pPr>
              <w:widowControl/>
              <w:snapToGrid w:val="0"/>
              <w:spacing w:before="90"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据研究者了解，当使用试验以辅助诊断时，其对患者健康没有已知的直接风险。然而，试验未按预期执行或结果解释中的错误可能使对具有凝血的患者的医疗管理不当。假阴性解释可导致患者管理不善、未来血栓事件的风险增加。假阳性结果可能导致的治疗不当并改变当前和未来药物选择和治疗。</w:t>
            </w:r>
          </w:p>
          <w:p w14:paraId="49EA5C04">
            <w:pPr>
              <w:widowControl/>
              <w:snapToGrid w:val="0"/>
              <w:spacing w:before="86" w:after="156" w:afterLines="50" w:line="300" w:lineRule="auto"/>
              <w:rPr>
                <w:rFonts w:ascii="Arial" w:hAnsi="Arial" w:eastAsia="宋体" w:cs="Arial"/>
                <w:color w:val="000000"/>
                <w:kern w:val="0"/>
                <w:sz w:val="18"/>
                <w:szCs w:val="18"/>
              </w:rPr>
            </w:pPr>
          </w:p>
          <w:p w14:paraId="3ED8E669">
            <w:pPr>
              <w:widowControl/>
              <w:snapToGrid w:val="0"/>
              <w:spacing w:before="86" w:after="156" w:afterLines="50" w:line="300" w:lineRule="auto"/>
              <w:rPr>
                <w:rFonts w:ascii="Arial" w:hAnsi="Arial" w:eastAsia="宋体" w:cs="Arial"/>
                <w:color w:val="000000"/>
                <w:kern w:val="0"/>
                <w:sz w:val="18"/>
                <w:szCs w:val="18"/>
              </w:rPr>
            </w:pPr>
          </w:p>
          <w:p w14:paraId="220C25A2">
            <w:pPr>
              <w:widowControl/>
              <w:snapToGrid w:val="0"/>
              <w:spacing w:before="86" w:after="156" w:afterLines="50" w:line="300" w:lineRule="auto"/>
              <w:rPr>
                <w:rFonts w:ascii="Arial" w:hAnsi="Arial" w:eastAsia="宋体" w:cs="Arial"/>
                <w:color w:val="000000"/>
                <w:kern w:val="0"/>
                <w:sz w:val="18"/>
                <w:szCs w:val="18"/>
              </w:rPr>
            </w:pPr>
          </w:p>
          <w:p w14:paraId="470C8960">
            <w:pPr>
              <w:widowControl/>
              <w:snapToGrid w:val="0"/>
              <w:spacing w:before="86" w:after="156" w:afterLines="50" w:line="300" w:lineRule="auto"/>
              <w:rPr>
                <w:rFonts w:ascii="Arial" w:hAnsi="Arial" w:eastAsia="宋体" w:cs="Arial"/>
                <w:color w:val="000000"/>
                <w:kern w:val="0"/>
                <w:sz w:val="18"/>
                <w:szCs w:val="18"/>
              </w:rPr>
            </w:pPr>
          </w:p>
          <w:p w14:paraId="46FEF354">
            <w:pPr>
              <w:widowControl/>
              <w:snapToGrid w:val="0"/>
              <w:spacing w:before="86" w:after="156" w:afterLines="50" w:line="300" w:lineRule="auto"/>
              <w:rPr>
                <w:rFonts w:ascii="Arial" w:hAnsi="Arial" w:eastAsia="宋体" w:cs="Arial"/>
                <w:color w:val="000000"/>
                <w:kern w:val="0"/>
                <w:sz w:val="18"/>
                <w:szCs w:val="18"/>
              </w:rPr>
            </w:pPr>
          </w:p>
          <w:p w14:paraId="3DC9B3FC">
            <w:pPr>
              <w:widowControl/>
              <w:snapToGrid w:val="0"/>
              <w:spacing w:before="86" w:after="156" w:afterLines="50" w:line="300" w:lineRule="auto"/>
              <w:rPr>
                <w:rFonts w:ascii="Arial" w:hAnsi="Arial" w:eastAsia="宋体" w:cs="Arial"/>
                <w:color w:val="000000"/>
                <w:kern w:val="0"/>
                <w:sz w:val="18"/>
                <w:szCs w:val="18"/>
              </w:rPr>
            </w:pPr>
          </w:p>
          <w:p w14:paraId="7E0A958C">
            <w:pPr>
              <w:widowControl/>
              <w:snapToGrid w:val="0"/>
              <w:spacing w:before="86" w:after="156" w:afterLines="50" w:line="300" w:lineRule="auto"/>
              <w:rPr>
                <w:rFonts w:ascii="Arial" w:hAnsi="Arial" w:eastAsia="宋体" w:cs="Arial"/>
                <w:color w:val="000000"/>
                <w:kern w:val="0"/>
                <w:sz w:val="18"/>
                <w:szCs w:val="18"/>
              </w:rPr>
            </w:pPr>
          </w:p>
          <w:p w14:paraId="7718153D">
            <w:pPr>
              <w:widowControl/>
              <w:snapToGrid w:val="0"/>
              <w:spacing w:before="86" w:after="156" w:afterLines="50" w:line="300" w:lineRule="auto"/>
              <w:rPr>
                <w:rFonts w:ascii="Arial" w:hAnsi="Arial" w:eastAsia="宋体" w:cs="Arial"/>
                <w:color w:val="000000"/>
                <w:kern w:val="0"/>
                <w:sz w:val="18"/>
                <w:szCs w:val="18"/>
              </w:rPr>
            </w:pPr>
          </w:p>
          <w:p w14:paraId="71F3CF40">
            <w:pPr>
              <w:widowControl/>
              <w:snapToGrid w:val="0"/>
              <w:spacing w:before="86" w:after="156" w:afterLines="50" w:line="300" w:lineRule="auto"/>
              <w:rPr>
                <w:rFonts w:ascii="Arial" w:hAnsi="Arial" w:eastAsia="宋体" w:cs="Arial"/>
                <w:color w:val="000000"/>
                <w:kern w:val="0"/>
                <w:sz w:val="18"/>
                <w:szCs w:val="18"/>
              </w:rPr>
            </w:pPr>
          </w:p>
          <w:p w14:paraId="7B6A4480">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在下表中，FDA已经确定了通常与使用本文件中所述的使用FVL试验相关的健康风险。本指导性文件中给出了建议用于缓解已确定风险的措施，如下表所示。我们建议贵公司在提交上市前通告之前进行风险分析，以确定贵公司器械所特有的其他任何风险。上市前通告应说明风险分析方法。如果贵公司选择使用替代方法来解决本文件中确定的风险，或已发现本文件未涵盖的风险，贵公司应提供足够的详细信息以支持贵公司用于解决该风险的方法。</w:t>
            </w:r>
          </w:p>
          <w:tbl>
            <w:tblPr>
              <w:tblStyle w:val="10"/>
              <w:tblW w:w="0" w:type="auto"/>
              <w:tblCellSpacing w:w="15"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30" w:type="dxa"/>
                <w:left w:w="30" w:type="dxa"/>
                <w:bottom w:w="30" w:type="dxa"/>
                <w:right w:w="30" w:type="dxa"/>
              </w:tblCellMar>
            </w:tblPr>
            <w:tblGrid>
              <w:gridCol w:w="3971"/>
              <w:gridCol w:w="4136"/>
            </w:tblGrid>
            <w:tr w14:paraId="635E925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30" w:type="dxa"/>
                  <w:left w:w="30" w:type="dxa"/>
                  <w:bottom w:w="30" w:type="dxa"/>
                  <w:right w:w="30" w:type="dxa"/>
                </w:tblCellMar>
              </w:tblPrEx>
              <w:trPr>
                <w:tblCellSpacing w:w="15" w:type="dxa"/>
              </w:trPr>
              <w:tc>
                <w:tcPr>
                  <w:tcW w:w="0" w:type="auto"/>
                  <w:tcBorders>
                    <w:top w:val="outset" w:color="auto" w:sz="6" w:space="0"/>
                    <w:left w:val="outset" w:color="auto" w:sz="6" w:space="0"/>
                    <w:bottom w:val="outset" w:color="auto" w:sz="6" w:space="0"/>
                    <w:right w:val="outset" w:color="auto" w:sz="6" w:space="0"/>
                  </w:tcBorders>
                  <w:shd w:val="clear" w:color="auto" w:fill="CCCCCC"/>
                  <w:vAlign w:val="center"/>
                </w:tcPr>
                <w:p w14:paraId="5549987E">
                  <w:pPr>
                    <w:widowControl/>
                    <w:snapToGrid w:val="0"/>
                    <w:spacing w:after="156" w:afterLines="50" w:line="300" w:lineRule="auto"/>
                    <w:rPr>
                      <w:rFonts w:ascii="Arial" w:hAnsi="Arial" w:eastAsia="宋体" w:cs="Arial"/>
                      <w:b/>
                      <w:bCs/>
                      <w:kern w:val="0"/>
                      <w:sz w:val="24"/>
                      <w:szCs w:val="24"/>
                    </w:rPr>
                  </w:pPr>
                  <w:r>
                    <w:rPr>
                      <w:rFonts w:ascii="Arial" w:hAnsi="Arial" w:eastAsia="宋体" w:cs="Arial"/>
                      <w:b/>
                      <w:bCs/>
                      <w:kern w:val="0"/>
                      <w:sz w:val="24"/>
                      <w:szCs w:val="24"/>
                    </w:rPr>
                    <w:t>已确定风险</w:t>
                  </w:r>
                </w:p>
              </w:tc>
              <w:tc>
                <w:tcPr>
                  <w:tcW w:w="4091" w:type="dxa"/>
                  <w:tcBorders>
                    <w:top w:val="outset" w:color="auto" w:sz="6" w:space="0"/>
                    <w:left w:val="outset" w:color="auto" w:sz="6" w:space="0"/>
                    <w:bottom w:val="outset" w:color="auto" w:sz="6" w:space="0"/>
                    <w:right w:val="outset" w:color="auto" w:sz="6" w:space="0"/>
                  </w:tcBorders>
                  <w:shd w:val="clear" w:color="auto" w:fill="CCCCCC"/>
                  <w:vAlign w:val="center"/>
                </w:tcPr>
                <w:p w14:paraId="036C0DEB">
                  <w:pPr>
                    <w:widowControl/>
                    <w:snapToGrid w:val="0"/>
                    <w:spacing w:after="156" w:afterLines="50" w:line="300" w:lineRule="auto"/>
                    <w:rPr>
                      <w:rFonts w:ascii="Arial" w:hAnsi="Arial" w:eastAsia="宋体" w:cs="Arial"/>
                      <w:b/>
                      <w:bCs/>
                      <w:kern w:val="0"/>
                      <w:sz w:val="24"/>
                      <w:szCs w:val="24"/>
                    </w:rPr>
                  </w:pPr>
                  <w:r>
                    <w:rPr>
                      <w:rFonts w:ascii="Arial" w:hAnsi="Arial" w:eastAsia="宋体" w:cs="Arial"/>
                      <w:b/>
                      <w:bCs/>
                      <w:kern w:val="0"/>
                      <w:sz w:val="24"/>
                      <w:szCs w:val="24"/>
                    </w:rPr>
                    <w:t>建议缓解措施</w:t>
                  </w:r>
                </w:p>
              </w:tc>
            </w:tr>
            <w:tr w14:paraId="6B21A76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30" w:type="dxa"/>
                  <w:left w:w="30" w:type="dxa"/>
                  <w:bottom w:w="30" w:type="dxa"/>
                  <w:right w:w="30" w:type="dxa"/>
                </w:tblCellMar>
              </w:tblPrEx>
              <w:trPr>
                <w:trHeight w:val="419" w:hRule="atLeast"/>
                <w:tblCellSpacing w:w="15"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E1FEBC4">
                  <w:pPr>
                    <w:widowControl/>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医疗管理不当</w:t>
                  </w:r>
                </w:p>
              </w:tc>
              <w:tc>
                <w:tcPr>
                  <w:tcW w:w="4091" w:type="dxa"/>
                  <w:tcBorders>
                    <w:top w:val="outset" w:color="auto" w:sz="6" w:space="0"/>
                    <w:left w:val="outset" w:color="auto" w:sz="6" w:space="0"/>
                    <w:bottom w:val="outset" w:color="auto" w:sz="6" w:space="0"/>
                    <w:right w:val="outset" w:color="auto" w:sz="6" w:space="0"/>
                  </w:tcBorders>
                  <w:shd w:val="clear" w:color="auto" w:fill="auto"/>
                  <w:vAlign w:val="center"/>
                </w:tcPr>
                <w:p w14:paraId="69A49CD6">
                  <w:pPr>
                    <w:widowControl/>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第6、7和8节</w:t>
                  </w:r>
                </w:p>
              </w:tc>
            </w:tr>
            <w:tr w14:paraId="4FF9942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30" w:type="dxa"/>
                  <w:left w:w="30" w:type="dxa"/>
                  <w:bottom w:w="30" w:type="dxa"/>
                  <w:right w:w="30" w:type="dxa"/>
                </w:tblCellMar>
              </w:tblPrEx>
              <w:trPr>
                <w:trHeight w:val="456" w:hRule="atLeast"/>
                <w:tblCellSpacing w:w="15"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51F8584">
                  <w:pPr>
                    <w:widowControl/>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误诊，治疗以及药物选择和给药不当</w:t>
                  </w:r>
                </w:p>
              </w:tc>
              <w:tc>
                <w:tcPr>
                  <w:tcW w:w="4091" w:type="dxa"/>
                  <w:tcBorders>
                    <w:top w:val="outset" w:color="auto" w:sz="6" w:space="0"/>
                    <w:left w:val="outset" w:color="auto" w:sz="6" w:space="0"/>
                    <w:bottom w:val="outset" w:color="auto" w:sz="6" w:space="0"/>
                    <w:right w:val="outset" w:color="auto" w:sz="6" w:space="0"/>
                  </w:tcBorders>
                  <w:shd w:val="clear" w:color="auto" w:fill="auto"/>
                  <w:vAlign w:val="center"/>
                </w:tcPr>
                <w:p w14:paraId="2551D8DE">
                  <w:pPr>
                    <w:widowControl/>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第6、7和8节</w:t>
                  </w:r>
                </w:p>
              </w:tc>
            </w:tr>
          </w:tbl>
          <w:p w14:paraId="34B5EF18">
            <w:pPr>
              <w:widowControl/>
              <w:snapToGrid w:val="0"/>
              <w:spacing w:before="86" w:after="156" w:afterLines="50" w:line="300" w:lineRule="auto"/>
              <w:rPr>
                <w:rFonts w:ascii="Arial" w:hAnsi="Arial" w:eastAsia="宋体" w:cs="Arial"/>
                <w:color w:val="000000"/>
                <w:kern w:val="0"/>
                <w:sz w:val="18"/>
                <w:szCs w:val="18"/>
              </w:rPr>
            </w:pPr>
            <w:bookmarkStart w:id="5" w:name="6"/>
            <w:r>
              <w:rPr>
                <w:rFonts w:ascii="Arial" w:hAnsi="Arial" w:eastAsia="宋体" w:cs="Arial"/>
                <w:b/>
                <w:bCs/>
                <w:color w:val="000000"/>
                <w:kern w:val="0"/>
                <w:sz w:val="22"/>
              </w:rPr>
              <w:t>6.</w:t>
            </w:r>
            <w:bookmarkEnd w:id="5"/>
            <w:r>
              <w:rPr>
                <w:rFonts w:ascii="Arial" w:hAnsi="Arial" w:eastAsia="宋体" w:cs="Arial"/>
                <w:b/>
                <w:bCs/>
                <w:color w:val="000000"/>
                <w:kern w:val="0"/>
                <w:sz w:val="22"/>
              </w:rPr>
              <w:t>性能特性</w:t>
            </w:r>
          </w:p>
          <w:p w14:paraId="62681DC1">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FVL突变的遗传试验已具有多年执行历史，但主要限于内部开发的检测。新的技术发展和对遗传试验的需求的增加使得对可检测FVL突变和相关疾病特异性多态性的器械的上市需求不断增加。本指导性文件为正准备在州际商业市场上上市试验的制造商提出建议，而不考虑用于检测突变或多态性的技术（请参见</w:t>
            </w:r>
            <w:r>
              <w:rPr>
                <w:rFonts w:ascii="Arial" w:hAnsi="Arial" w:eastAsia="宋体" w:cs="Arial"/>
                <w:color w:val="800080"/>
                <w:kern w:val="0"/>
                <w:sz w:val="18"/>
                <w:szCs w:val="18"/>
                <w:u w:val="single"/>
              </w:rPr>
              <w:t>第7节</w:t>
            </w:r>
            <w:r>
              <w:rPr>
                <w:rFonts w:ascii="Arial" w:hAnsi="Arial" w:eastAsia="宋体" w:cs="Arial"/>
                <w:color w:val="000000"/>
                <w:kern w:val="0"/>
                <w:sz w:val="18"/>
                <w:szCs w:val="18"/>
              </w:rPr>
              <w:t>）。</w:t>
            </w:r>
          </w:p>
          <w:p w14:paraId="7383F8A0">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以下是我们认为在为一个含有设计用于检测FVL突变的技术的器械准备提交资料时应该讨论的领域。</w:t>
            </w:r>
          </w:p>
          <w:p w14:paraId="28E605AB">
            <w:pPr>
              <w:widowControl/>
              <w:snapToGrid w:val="0"/>
              <w:spacing w:before="86" w:after="156" w:afterLines="50" w:line="300" w:lineRule="auto"/>
              <w:rPr>
                <w:rFonts w:ascii="Arial" w:hAnsi="Arial" w:eastAsia="宋体" w:cs="Arial"/>
                <w:color w:val="000000"/>
                <w:kern w:val="0"/>
                <w:sz w:val="18"/>
                <w:szCs w:val="18"/>
              </w:rPr>
            </w:pPr>
            <w:bookmarkStart w:id="6" w:name="6a"/>
            <w:r>
              <w:rPr>
                <w:rFonts w:ascii="Arial" w:hAnsi="Arial" w:eastAsia="宋体" w:cs="Arial"/>
                <w:b/>
                <w:bCs/>
                <w:color w:val="000000"/>
                <w:kern w:val="0"/>
                <w:sz w:val="18"/>
              </w:rPr>
              <w:t>A.</w:t>
            </w:r>
            <w:bookmarkEnd w:id="6"/>
            <w:r>
              <w:rPr>
                <w:rFonts w:ascii="Arial" w:hAnsi="Arial" w:eastAsia="宋体" w:cs="Arial"/>
                <w:b/>
                <w:bCs/>
                <w:color w:val="000000"/>
                <w:kern w:val="0"/>
                <w:sz w:val="18"/>
              </w:rPr>
              <w:t>试验或器械的预期用途和适应症</w:t>
            </w:r>
          </w:p>
          <w:p w14:paraId="5236CD0C">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预期用途应该指明试验旨在对什么进行测量、为什么对其进行测量并且应该酌情指定试验的目标人群。在这种情况下，预期用途应明确规定FVL突变。可适当参考专业团体的建议。</w:t>
            </w:r>
          </w:p>
          <w:p w14:paraId="10738453">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一些试验可能有多种预期用途。FDA建议为每种需要特定和单独的支持性研究地预期用途单独提出申请。贵公司应该咨询FDA中的适当的审查部门，以获得有关提交具有多种用途的试验的建议。</w:t>
            </w:r>
          </w:p>
          <w:p w14:paraId="3AA82052">
            <w:pPr>
              <w:widowControl/>
              <w:snapToGrid w:val="0"/>
              <w:spacing w:before="86" w:after="156" w:afterLines="50" w:line="300" w:lineRule="auto"/>
              <w:rPr>
                <w:rFonts w:ascii="Arial" w:hAnsi="Arial" w:eastAsia="宋体" w:cs="Arial"/>
                <w:color w:val="000000"/>
                <w:kern w:val="0"/>
                <w:sz w:val="18"/>
                <w:szCs w:val="18"/>
              </w:rPr>
            </w:pPr>
            <w:bookmarkStart w:id="7" w:name="6b"/>
            <w:r>
              <w:rPr>
                <w:rFonts w:ascii="Arial" w:hAnsi="Arial" w:eastAsia="宋体" w:cs="Arial"/>
                <w:b/>
                <w:bCs/>
                <w:color w:val="000000"/>
                <w:kern w:val="0"/>
                <w:sz w:val="18"/>
              </w:rPr>
              <w:t>B.</w:t>
            </w:r>
            <w:bookmarkEnd w:id="7"/>
            <w:r>
              <w:rPr>
                <w:rFonts w:ascii="Arial" w:hAnsi="Arial" w:eastAsia="宋体" w:cs="Arial"/>
                <w:b/>
                <w:bCs/>
                <w:color w:val="000000"/>
                <w:kern w:val="0"/>
                <w:sz w:val="18"/>
              </w:rPr>
              <w:t>分析前因素</w:t>
            </w:r>
          </w:p>
          <w:p w14:paraId="3B47F29A">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考虑分析前因素对于高质量的遗传试验来说至关重要。拟提供试剂以用于提取和制备用于试验的DNA的制造商应对分析过程中的每个步骤进行确认以获得其对产品的复现性、鲁棒性和稳定性的影响。不想在其工具盒中提供这些试剂的制造商应提供用于评估测定输入DNA质量和其他所需试剂质量的规格，以便用户可以选择合适的试剂。提交资料中应提供对规格的说明。</w:t>
            </w:r>
          </w:p>
          <w:p w14:paraId="2C6E5D62">
            <w:pPr>
              <w:widowControl/>
              <w:snapToGrid w:val="0"/>
              <w:spacing w:before="86" w:after="156" w:afterLines="50" w:line="300" w:lineRule="auto"/>
              <w:rPr>
                <w:rFonts w:ascii="Arial" w:hAnsi="Arial" w:eastAsia="宋体" w:cs="Arial"/>
                <w:color w:val="000000"/>
                <w:kern w:val="0"/>
                <w:sz w:val="18"/>
                <w:szCs w:val="18"/>
              </w:rPr>
            </w:pPr>
          </w:p>
          <w:p w14:paraId="21013AD7">
            <w:pPr>
              <w:widowControl/>
              <w:snapToGrid w:val="0"/>
              <w:spacing w:before="86" w:after="156" w:afterLines="50" w:line="300" w:lineRule="auto"/>
              <w:rPr>
                <w:rFonts w:ascii="Arial" w:hAnsi="Arial" w:eastAsia="宋体" w:cs="Arial"/>
                <w:color w:val="000000"/>
                <w:kern w:val="0"/>
                <w:sz w:val="18"/>
                <w:szCs w:val="18"/>
              </w:rPr>
            </w:pPr>
          </w:p>
          <w:p w14:paraId="473B1376">
            <w:pPr>
              <w:widowControl/>
              <w:snapToGrid w:val="0"/>
              <w:spacing w:before="86" w:after="156" w:afterLines="50" w:line="300" w:lineRule="auto"/>
              <w:rPr>
                <w:rFonts w:ascii="Arial" w:hAnsi="Arial" w:eastAsia="宋体" w:cs="Arial"/>
                <w:color w:val="000000"/>
                <w:kern w:val="0"/>
                <w:sz w:val="18"/>
                <w:szCs w:val="18"/>
              </w:rPr>
            </w:pPr>
          </w:p>
          <w:p w14:paraId="4066690A">
            <w:pPr>
              <w:widowControl/>
              <w:snapToGrid w:val="0"/>
              <w:spacing w:before="86" w:after="156" w:afterLines="50" w:line="300" w:lineRule="auto"/>
              <w:rPr>
                <w:rFonts w:ascii="Arial" w:hAnsi="Arial" w:eastAsia="宋体" w:cs="Arial"/>
                <w:color w:val="000000"/>
                <w:kern w:val="0"/>
                <w:sz w:val="18"/>
                <w:szCs w:val="18"/>
              </w:rPr>
            </w:pPr>
          </w:p>
          <w:p w14:paraId="33D86FF0">
            <w:pPr>
              <w:widowControl/>
              <w:snapToGrid w:val="0"/>
              <w:spacing w:before="86" w:after="156" w:afterLines="50" w:line="300" w:lineRule="auto"/>
              <w:rPr>
                <w:rFonts w:ascii="Arial" w:hAnsi="Arial" w:eastAsia="宋体" w:cs="Arial"/>
                <w:color w:val="000000"/>
                <w:kern w:val="0"/>
                <w:sz w:val="18"/>
                <w:szCs w:val="18"/>
              </w:rPr>
            </w:pPr>
          </w:p>
          <w:p w14:paraId="114B12B9">
            <w:pPr>
              <w:widowControl/>
              <w:snapToGrid w:val="0"/>
              <w:spacing w:before="86" w:after="156" w:afterLines="50" w:line="300" w:lineRule="auto"/>
              <w:rPr>
                <w:rFonts w:ascii="Arial" w:hAnsi="Arial" w:eastAsia="宋体" w:cs="Arial"/>
                <w:color w:val="000000"/>
                <w:kern w:val="0"/>
                <w:sz w:val="18"/>
                <w:szCs w:val="18"/>
              </w:rPr>
            </w:pPr>
          </w:p>
          <w:p w14:paraId="0819F018">
            <w:pPr>
              <w:widowControl/>
              <w:snapToGrid w:val="0"/>
              <w:spacing w:before="86" w:after="156" w:afterLines="50" w:line="300" w:lineRule="auto"/>
              <w:rPr>
                <w:rFonts w:ascii="Arial" w:hAnsi="Arial" w:eastAsia="宋体" w:cs="Arial"/>
                <w:color w:val="000000"/>
                <w:kern w:val="0"/>
                <w:sz w:val="18"/>
                <w:szCs w:val="18"/>
              </w:rPr>
            </w:pPr>
          </w:p>
          <w:p w14:paraId="661C74A0">
            <w:pPr>
              <w:widowControl/>
              <w:snapToGrid w:val="0"/>
              <w:spacing w:before="86" w:after="156" w:afterLines="50" w:line="300" w:lineRule="auto"/>
              <w:rPr>
                <w:rFonts w:ascii="Arial" w:hAnsi="Arial" w:eastAsia="宋体" w:cs="Arial"/>
                <w:color w:val="000000"/>
                <w:kern w:val="0"/>
                <w:sz w:val="18"/>
                <w:szCs w:val="18"/>
              </w:rPr>
            </w:pPr>
          </w:p>
          <w:p w14:paraId="6CB308E5">
            <w:pPr>
              <w:widowControl/>
              <w:snapToGrid w:val="0"/>
              <w:spacing w:before="86" w:after="156" w:afterLines="50" w:line="300" w:lineRule="auto"/>
              <w:rPr>
                <w:rFonts w:ascii="Arial" w:hAnsi="Arial" w:eastAsia="宋体" w:cs="Arial"/>
                <w:color w:val="000000"/>
                <w:kern w:val="0"/>
                <w:sz w:val="18"/>
                <w:szCs w:val="18"/>
              </w:rPr>
            </w:pPr>
          </w:p>
          <w:p w14:paraId="2B69332D">
            <w:pPr>
              <w:widowControl/>
              <w:snapToGrid w:val="0"/>
              <w:spacing w:before="86" w:after="156" w:afterLines="50" w:line="300" w:lineRule="auto"/>
              <w:rPr>
                <w:rFonts w:ascii="Arial" w:hAnsi="Arial" w:eastAsia="宋体" w:cs="Arial"/>
                <w:color w:val="000000"/>
                <w:kern w:val="0"/>
                <w:sz w:val="18"/>
                <w:szCs w:val="18"/>
              </w:rPr>
            </w:pPr>
          </w:p>
          <w:p w14:paraId="7DDD1418">
            <w:pPr>
              <w:widowControl/>
              <w:snapToGrid w:val="0"/>
              <w:spacing w:before="86" w:after="156" w:afterLines="50" w:line="300" w:lineRule="auto"/>
              <w:rPr>
                <w:rFonts w:ascii="Arial" w:hAnsi="Arial" w:eastAsia="宋体" w:cs="Arial"/>
                <w:color w:val="000000"/>
                <w:kern w:val="0"/>
                <w:sz w:val="18"/>
                <w:szCs w:val="18"/>
              </w:rPr>
            </w:pPr>
          </w:p>
          <w:p w14:paraId="0292F6F2">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须考虑的其他分析前因素是DNA（血液、PBMC、颊拭子等）的来源、在可接受的质量水平确认其对提出适用性（例如，肝素保存与EDTA保存的血液，存储与新鲜样本），以及确认样本和提取产品的可接受的存储条件和稳定性。</w:t>
            </w:r>
          </w:p>
          <w:p w14:paraId="5B186234">
            <w:pPr>
              <w:widowControl/>
              <w:snapToGrid w:val="0"/>
              <w:spacing w:before="86" w:after="156" w:afterLines="50" w:line="300" w:lineRule="auto"/>
              <w:rPr>
                <w:rFonts w:ascii="Arial" w:hAnsi="Arial" w:eastAsia="宋体" w:cs="Arial"/>
                <w:color w:val="000000"/>
                <w:kern w:val="0"/>
                <w:sz w:val="18"/>
                <w:szCs w:val="18"/>
              </w:rPr>
            </w:pPr>
            <w:bookmarkStart w:id="8" w:name="6c"/>
            <w:r>
              <w:rPr>
                <w:rFonts w:ascii="Arial" w:hAnsi="Arial" w:eastAsia="宋体" w:cs="Arial"/>
                <w:b/>
                <w:bCs/>
                <w:color w:val="000000"/>
                <w:kern w:val="0"/>
                <w:sz w:val="18"/>
              </w:rPr>
              <w:t>C.</w:t>
            </w:r>
            <w:bookmarkEnd w:id="8"/>
            <w:r>
              <w:rPr>
                <w:rFonts w:ascii="Arial" w:hAnsi="Arial" w:eastAsia="宋体" w:cs="Arial"/>
                <w:b/>
                <w:bCs/>
                <w:color w:val="000000"/>
                <w:kern w:val="0"/>
                <w:sz w:val="18"/>
              </w:rPr>
              <w:t>分析因素</w:t>
            </w:r>
          </w:p>
          <w:p w14:paraId="517C38E3">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b/>
                <w:bCs/>
                <w:color w:val="000000"/>
                <w:kern w:val="0"/>
                <w:sz w:val="18"/>
              </w:rPr>
              <w:t>样本</w:t>
            </w:r>
          </w:p>
          <w:p w14:paraId="69351185">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贵公司应该进行分析研究，以证明该器械可以检测到其声称可检测到的突变，且当突变不存在时，不会检测到任何突变。用于进行分析研究的样本类型应包括患者样本，以显示当对患者进行测试并且整个过程受到控制时，该器械的性能将与所声明的一致。FDA承认，在某些情况下，FVL突变可能不会以足够高的比例存在于采样人群中，以确保试验结果的显著性。在这些情况下，除了前瞻性患者样本之外，贵公司还可以使用归档和/或回顾性样本，以扩大可用突变的数量和比例。在某些情况下，贵公司可以使用“人造”样本，其中，含有突变的DNA已被添加至模拟天然样本中可见的水平。贵公司应该选择样本编号，以达到所要求的统计置信度，即试验按预期执行。对于所有样本，贵公司应该提供原料、提取方法、浓度和纯度。杂合和纯合突变体样本均可接受；如果将染色体计数作为度量标准，纯合样本可能会降低试验所需的样本总数。</w:t>
            </w:r>
          </w:p>
          <w:p w14:paraId="33EE19DF">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b/>
                <w:bCs/>
                <w:color w:val="000000"/>
                <w:kern w:val="0"/>
                <w:sz w:val="18"/>
              </w:rPr>
              <w:t>突变</w:t>
            </w:r>
          </w:p>
          <w:p w14:paraId="0D473FB5">
            <w:pPr>
              <w:widowControl/>
              <w:snapToGrid w:val="0"/>
              <w:spacing w:before="74"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已知的FVL突变是G1691A。已知A1692C、G1689A和A1696G中存在其他罕见V因子突变。我们建议贵公司评估罕见因子V突变的可能性，以提供假性FVL结果，并将其报告为限制（如果适用）。</w:t>
            </w:r>
          </w:p>
          <w:p w14:paraId="0163C8BE">
            <w:pPr>
              <w:widowControl/>
              <w:snapToGrid w:val="0"/>
              <w:spacing w:before="74" w:after="156" w:afterLines="50" w:line="300" w:lineRule="auto"/>
              <w:rPr>
                <w:rFonts w:ascii="Arial" w:hAnsi="Arial" w:eastAsia="宋体" w:cs="Arial"/>
                <w:color w:val="000000"/>
                <w:kern w:val="0"/>
                <w:sz w:val="18"/>
                <w:szCs w:val="18"/>
              </w:rPr>
            </w:pPr>
            <w:r>
              <w:rPr>
                <w:rFonts w:ascii="Arial" w:hAnsi="Arial" w:eastAsia="宋体" w:cs="Arial"/>
                <w:b/>
                <w:bCs/>
                <w:color w:val="000000"/>
                <w:kern w:val="0"/>
                <w:sz w:val="18"/>
              </w:rPr>
              <w:t>试验方法</w:t>
            </w:r>
          </w:p>
          <w:p w14:paraId="0D9D5B32">
            <w:pPr>
              <w:widowControl/>
              <w:snapToGrid w:val="0"/>
              <w:spacing w:before="74"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FDA建议贵公司详细说明将用于检测突变的方法。如果提供样本提取矩阵，贵公司还应该对此方法进行说明。非标准设备或方法的插图或相片可有助于了解新型方法。</w:t>
            </w:r>
          </w:p>
          <w:p w14:paraId="68C0505F">
            <w:pPr>
              <w:widowControl/>
              <w:snapToGrid w:val="0"/>
              <w:spacing w:before="74" w:after="156" w:afterLines="50" w:line="300" w:lineRule="auto"/>
              <w:rPr>
                <w:rFonts w:ascii="Arial" w:hAnsi="Arial" w:eastAsia="宋体" w:cs="Arial"/>
                <w:color w:val="000000"/>
                <w:kern w:val="0"/>
                <w:sz w:val="18"/>
                <w:szCs w:val="18"/>
              </w:rPr>
            </w:pPr>
            <w:r>
              <w:rPr>
                <w:rFonts w:ascii="Arial" w:hAnsi="Arial" w:eastAsia="宋体" w:cs="Arial"/>
                <w:b/>
                <w:bCs/>
                <w:color w:val="000000"/>
                <w:kern w:val="0"/>
                <w:sz w:val="18"/>
              </w:rPr>
              <w:t>对照和校准物</w:t>
            </w:r>
          </w:p>
          <w:p w14:paraId="689F3EAD">
            <w:pPr>
              <w:widowControl/>
              <w:snapToGrid w:val="0"/>
              <w:spacing w:before="74"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FVL分子突变试验应包括阳性和阴性对照。对于不同的技术，这些对照可能不同，但用户应该能够确定关键反应是否正确进行，且未出现污染或交叉杂交。对照应该近似样本DNA浓度，以使系统充分运行。</w:t>
            </w:r>
          </w:p>
          <w:p w14:paraId="35BBBC14">
            <w:pPr>
              <w:widowControl/>
              <w:snapToGrid w:val="0"/>
              <w:spacing w:before="74"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我们建议贵公司对系统进行校准以帮助生成和解释结果。根据所选择的技术，对于正确使用试验，校准可能为关键因素或非关键因素。</w:t>
            </w:r>
          </w:p>
          <w:p w14:paraId="7E2B1F2F">
            <w:pPr>
              <w:widowControl/>
              <w:snapToGrid w:val="0"/>
              <w:spacing w:before="74" w:after="156" w:afterLines="50" w:line="300" w:lineRule="auto"/>
              <w:rPr>
                <w:rFonts w:ascii="Arial" w:hAnsi="Arial" w:eastAsia="宋体" w:cs="Arial"/>
                <w:color w:val="000000"/>
                <w:kern w:val="0"/>
                <w:sz w:val="18"/>
                <w:szCs w:val="18"/>
              </w:rPr>
            </w:pPr>
            <w:r>
              <w:rPr>
                <w:rFonts w:ascii="Arial" w:hAnsi="Arial" w:eastAsia="宋体" w:cs="Arial"/>
                <w:b/>
                <w:bCs/>
                <w:color w:val="000000"/>
                <w:kern w:val="0"/>
                <w:sz w:val="18"/>
              </w:rPr>
              <w:t>分析灵敏度</w:t>
            </w:r>
          </w:p>
          <w:p w14:paraId="6E83F0C8">
            <w:pPr>
              <w:widowControl/>
              <w:snapToGrid w:val="0"/>
              <w:spacing w:before="74"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贵公司应该确认试验的分析灵敏度，即输入核酸的最小量是多少，并且近似生成该最小输入所需的样本量。如果测定具有上限或饱和度、限制，贵公司还应在标签中确认并进行说明。</w:t>
            </w:r>
          </w:p>
          <w:p w14:paraId="2558D940">
            <w:pPr>
              <w:widowControl/>
              <w:snapToGrid w:val="0"/>
              <w:spacing w:before="74" w:after="156" w:afterLines="50" w:line="300" w:lineRule="auto"/>
              <w:rPr>
                <w:rFonts w:ascii="Arial" w:hAnsi="Arial" w:eastAsia="宋体" w:cs="Arial"/>
                <w:b/>
                <w:bCs/>
                <w:color w:val="000000"/>
                <w:kern w:val="0"/>
                <w:sz w:val="18"/>
              </w:rPr>
            </w:pPr>
          </w:p>
          <w:p w14:paraId="5C9341E4">
            <w:pPr>
              <w:widowControl/>
              <w:snapToGrid w:val="0"/>
              <w:spacing w:before="74" w:after="156" w:afterLines="50" w:line="300" w:lineRule="auto"/>
              <w:rPr>
                <w:rFonts w:ascii="Arial" w:hAnsi="Arial" w:eastAsia="宋体" w:cs="Arial"/>
                <w:b/>
                <w:bCs/>
                <w:color w:val="000000"/>
                <w:kern w:val="0"/>
                <w:sz w:val="18"/>
              </w:rPr>
            </w:pPr>
          </w:p>
          <w:p w14:paraId="1853B946">
            <w:pPr>
              <w:widowControl/>
              <w:snapToGrid w:val="0"/>
              <w:spacing w:before="74" w:after="156" w:afterLines="50" w:line="300" w:lineRule="auto"/>
              <w:rPr>
                <w:rFonts w:ascii="Arial" w:hAnsi="Arial" w:eastAsia="宋体" w:cs="Arial"/>
                <w:b/>
                <w:bCs/>
                <w:color w:val="000000"/>
                <w:kern w:val="0"/>
                <w:sz w:val="18"/>
              </w:rPr>
            </w:pPr>
          </w:p>
          <w:p w14:paraId="5EF7660E">
            <w:pPr>
              <w:widowControl/>
              <w:snapToGrid w:val="0"/>
              <w:spacing w:before="74" w:after="156" w:afterLines="50" w:line="300" w:lineRule="auto"/>
              <w:rPr>
                <w:rFonts w:ascii="Arial" w:hAnsi="Arial" w:eastAsia="宋体" w:cs="Arial"/>
                <w:b/>
                <w:bCs/>
                <w:color w:val="000000"/>
                <w:kern w:val="0"/>
                <w:sz w:val="18"/>
              </w:rPr>
            </w:pPr>
          </w:p>
          <w:p w14:paraId="541306B2">
            <w:pPr>
              <w:widowControl/>
              <w:snapToGrid w:val="0"/>
              <w:spacing w:before="74" w:after="156" w:afterLines="50" w:line="300" w:lineRule="auto"/>
              <w:rPr>
                <w:rFonts w:ascii="Arial" w:hAnsi="Arial" w:eastAsia="宋体" w:cs="Arial"/>
                <w:b/>
                <w:bCs/>
                <w:color w:val="000000"/>
                <w:kern w:val="0"/>
                <w:sz w:val="18"/>
              </w:rPr>
            </w:pPr>
          </w:p>
          <w:p w14:paraId="78F4ABCF">
            <w:pPr>
              <w:widowControl/>
              <w:snapToGrid w:val="0"/>
              <w:spacing w:before="74" w:after="156" w:afterLines="50" w:line="300" w:lineRule="auto"/>
              <w:rPr>
                <w:rFonts w:ascii="Arial" w:hAnsi="Arial" w:eastAsia="宋体" w:cs="Arial"/>
                <w:b/>
                <w:bCs/>
                <w:color w:val="000000"/>
                <w:kern w:val="0"/>
                <w:sz w:val="18"/>
              </w:rPr>
            </w:pPr>
          </w:p>
          <w:p w14:paraId="5D701989">
            <w:pPr>
              <w:widowControl/>
              <w:snapToGrid w:val="0"/>
              <w:spacing w:before="74" w:after="156" w:afterLines="50" w:line="300" w:lineRule="auto"/>
              <w:rPr>
                <w:rFonts w:ascii="Arial" w:hAnsi="Arial" w:eastAsia="宋体" w:cs="Arial"/>
                <w:b/>
                <w:bCs/>
                <w:color w:val="000000"/>
                <w:kern w:val="0"/>
                <w:sz w:val="18"/>
              </w:rPr>
            </w:pPr>
          </w:p>
          <w:p w14:paraId="309087FE">
            <w:pPr>
              <w:widowControl/>
              <w:snapToGrid w:val="0"/>
              <w:spacing w:before="74" w:after="156" w:afterLines="50" w:line="300" w:lineRule="auto"/>
              <w:rPr>
                <w:rFonts w:ascii="Arial" w:hAnsi="Arial" w:eastAsia="宋体" w:cs="Arial"/>
                <w:b/>
                <w:bCs/>
                <w:color w:val="000000"/>
                <w:kern w:val="0"/>
                <w:sz w:val="18"/>
              </w:rPr>
            </w:pPr>
          </w:p>
          <w:p w14:paraId="33BDF257">
            <w:pPr>
              <w:widowControl/>
              <w:snapToGrid w:val="0"/>
              <w:spacing w:before="74" w:after="156" w:afterLines="50" w:line="300" w:lineRule="auto"/>
              <w:rPr>
                <w:rFonts w:ascii="Arial" w:hAnsi="Arial" w:eastAsia="宋体" w:cs="Arial"/>
                <w:b/>
                <w:bCs/>
                <w:color w:val="000000"/>
                <w:kern w:val="0"/>
                <w:sz w:val="18"/>
              </w:rPr>
            </w:pPr>
          </w:p>
          <w:p w14:paraId="56B92CFB">
            <w:pPr>
              <w:widowControl/>
              <w:snapToGrid w:val="0"/>
              <w:spacing w:before="74" w:after="156" w:afterLines="50" w:line="300" w:lineRule="auto"/>
              <w:rPr>
                <w:rFonts w:ascii="Arial" w:hAnsi="Arial" w:eastAsia="宋体" w:cs="Arial"/>
                <w:color w:val="000000"/>
                <w:kern w:val="0"/>
                <w:sz w:val="18"/>
                <w:szCs w:val="18"/>
              </w:rPr>
            </w:pPr>
            <w:r>
              <w:rPr>
                <w:rFonts w:ascii="Arial" w:hAnsi="Arial" w:eastAsia="宋体" w:cs="Arial"/>
                <w:b/>
                <w:bCs/>
                <w:color w:val="000000"/>
                <w:kern w:val="0"/>
                <w:sz w:val="18"/>
              </w:rPr>
              <w:t>干扰</w:t>
            </w:r>
          </w:p>
          <w:p w14:paraId="19AA8D57">
            <w:pPr>
              <w:widowControl/>
              <w:snapToGrid w:val="0"/>
              <w:spacing w:before="74"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贵公司应该根据系统的任何输入评估FVL突变检测中的干扰。一些常见的已知干扰可能来自提取技术、原始样本基质、Mg2 +浓度过量或不足等。贵公司应该研究其他潜在的干扰，并在必要时对其进行说明。</w:t>
            </w:r>
          </w:p>
          <w:p w14:paraId="3EFCF6D5">
            <w:pPr>
              <w:widowControl/>
              <w:snapToGrid w:val="0"/>
              <w:spacing w:before="74" w:after="156" w:afterLines="50" w:line="300" w:lineRule="auto"/>
              <w:rPr>
                <w:rFonts w:ascii="Arial" w:hAnsi="Arial" w:eastAsia="宋体" w:cs="Arial"/>
                <w:color w:val="000000"/>
                <w:kern w:val="0"/>
                <w:sz w:val="18"/>
                <w:szCs w:val="18"/>
              </w:rPr>
            </w:pPr>
            <w:r>
              <w:rPr>
                <w:rFonts w:ascii="Arial" w:hAnsi="Arial" w:eastAsia="宋体" w:cs="Arial"/>
                <w:b/>
                <w:bCs/>
                <w:color w:val="000000"/>
                <w:kern w:val="0"/>
                <w:sz w:val="18"/>
              </w:rPr>
              <w:t>复现性/鲁棒性</w:t>
            </w:r>
          </w:p>
          <w:p w14:paraId="5D8A6744">
            <w:pPr>
              <w:widowControl/>
              <w:snapToGrid w:val="0"/>
              <w:spacing w:before="74"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FDA建议制造商充分检查其器械的复现性和鲁棒性。NCCLS EP-5A说明了可接受的复现性试验计划。FDA还建议使用具有不同分子经验的3个或3个以上的站点来测试突变组和野生型序列的复现性，其中，应使用贵公司将在最终器械标签中说明的程序进行测试。如果试验工具盒中未提供提取试剂，每个站点应使用并确认其自身的提取程序，并证明所得的输入材料（如DNA）符合制造商提供的规格。优选情况下，贵公司应提供多个操作员、多个产品批次和工具，如果这些是该器械的一部分，以充分测试该系统的预期性能。如果培训对于用户在上市后正确执行试验来说极为必要，贵公司应该提供有关操作员培训的信息。如果预期用户无需进行此接受类培训，则贵公司不应在试验站点提供额外的培训（包装说明书除外）。</w:t>
            </w:r>
          </w:p>
          <w:p w14:paraId="21A8940A">
            <w:pPr>
              <w:widowControl/>
              <w:snapToGrid w:val="0"/>
              <w:spacing w:before="74" w:after="156" w:afterLines="50" w:line="300" w:lineRule="auto"/>
              <w:rPr>
                <w:rFonts w:ascii="Arial" w:hAnsi="Arial" w:eastAsia="宋体" w:cs="Arial"/>
                <w:color w:val="000000"/>
                <w:kern w:val="0"/>
                <w:sz w:val="18"/>
                <w:szCs w:val="18"/>
              </w:rPr>
            </w:pPr>
            <w:r>
              <w:rPr>
                <w:rFonts w:ascii="Arial" w:hAnsi="Arial" w:eastAsia="宋体" w:cs="Arial"/>
                <w:b/>
                <w:bCs/>
                <w:color w:val="000000"/>
                <w:kern w:val="0"/>
                <w:sz w:val="18"/>
              </w:rPr>
              <w:t>仪器</w:t>
            </w:r>
          </w:p>
          <w:p w14:paraId="5D87CF82">
            <w:pPr>
              <w:widowControl/>
              <w:snapToGrid w:val="0"/>
              <w:spacing w:before="74"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t>应根据“</w:t>
            </w:r>
            <w:r>
              <w:rPr>
                <w:rFonts w:ascii="Arial" w:hAnsi="Arial" w:eastAsia="宋体" w:cs="Arial"/>
                <w:color w:val="800080"/>
                <w:kern w:val="0"/>
                <w:sz w:val="18"/>
                <w:szCs w:val="18"/>
                <w:u w:val="single"/>
              </w:rPr>
              <w:t>FDA审查员和行业指南：</w:t>
            </w:r>
            <w:r>
              <w:rPr>
                <w:rFonts w:ascii="Arial" w:hAnsi="Arial" w:eastAsia="宋体" w:cs="Arial"/>
                <w:i/>
                <w:color w:val="800080"/>
                <w:kern w:val="0"/>
                <w:sz w:val="18"/>
                <w:szCs w:val="18"/>
              </w:rPr>
              <w:t>有关医疗器械包含的软件上市前提交的内容的指南</w:t>
            </w:r>
            <w:r>
              <w:rPr>
                <w:rFonts w:ascii="Arial" w:hAnsi="Arial" w:eastAsia="宋体" w:cs="Arial"/>
                <w:color w:val="000000"/>
                <w:kern w:val="0"/>
                <w:sz w:val="18"/>
                <w:szCs w:val="18"/>
              </w:rPr>
              <w:t>”文件分析特定于和专用于器械的仪器。贵公司应该提供指定仪器的仪器手册的副本。如果使用了通用仪器，则应在标签中提供须使用的所需工具的规格。</w:t>
            </w:r>
          </w:p>
          <w:p w14:paraId="3E30A1D7">
            <w:pPr>
              <w:widowControl/>
              <w:snapToGrid w:val="0"/>
              <w:spacing w:before="74" w:after="156" w:afterLines="50" w:line="300" w:lineRule="auto"/>
              <w:rPr>
                <w:rFonts w:ascii="Arial" w:hAnsi="Arial" w:eastAsia="宋体" w:cs="Arial"/>
                <w:i/>
                <w:color w:val="000000"/>
                <w:kern w:val="0"/>
                <w:sz w:val="18"/>
                <w:szCs w:val="18"/>
              </w:rPr>
            </w:pPr>
            <w:r>
              <w:rPr>
                <w:rFonts w:ascii="Arial" w:hAnsi="Arial" w:eastAsia="宋体" w:cs="Arial"/>
                <w:b/>
                <w:bCs/>
                <w:i/>
                <w:color w:val="000000"/>
                <w:kern w:val="0"/>
                <w:sz w:val="18"/>
              </w:rPr>
              <w:t>临床试验</w:t>
            </w:r>
          </w:p>
          <w:p w14:paraId="06B1399D">
            <w:pPr>
              <w:widowControl/>
              <w:snapToGrid w:val="0"/>
              <w:spacing w:before="74" w:after="156" w:afterLines="50" w:line="300" w:lineRule="auto"/>
              <w:rPr>
                <w:rFonts w:ascii="Arial" w:hAnsi="Arial" w:eastAsia="宋体" w:cs="Arial"/>
                <w:i/>
                <w:color w:val="000000"/>
                <w:kern w:val="0"/>
                <w:sz w:val="18"/>
                <w:szCs w:val="18"/>
              </w:rPr>
            </w:pPr>
            <w:r>
              <w:rPr>
                <w:rFonts w:ascii="Arial" w:hAnsi="Arial" w:eastAsia="宋体" w:cs="Arial"/>
                <w:i/>
                <w:color w:val="000000"/>
                <w:kern w:val="0"/>
                <w:sz w:val="18"/>
                <w:szCs w:val="18"/>
              </w:rPr>
              <w:t>对于FVL突变和多态性，通常无需进行临床试验以确定临床有效性和有效性。贵公司应该在分析试验中尽可能多地使用临床样本，以证明可以从临床资料中获得正确结果。因为突变普遍存在，且存在支持突变和多态性试验的临床有效性的高质量临床文献和专业团体建议，这些可以替代前瞻性临床研究，但条件是在本文中存在与公认参考方法的相关性。贵公司应该简要概述这些材料，并在提交资料中向本审查机构提供参考。如果进行了临床试验，贵公司应该前瞻性地选择患者，以便最大化所检测到的突变数量，例如来自具有血栓形成的患者等。贵公司应该说明入选和排除标准，且这些标准应符合预期使用人群。</w:t>
            </w:r>
          </w:p>
          <w:p w14:paraId="57FBF1AF">
            <w:pPr>
              <w:widowControl/>
              <w:snapToGrid w:val="0"/>
              <w:spacing w:before="74" w:after="156" w:afterLines="50" w:line="300" w:lineRule="auto"/>
              <w:rPr>
                <w:rFonts w:ascii="Arial" w:hAnsi="Arial" w:eastAsia="宋体" w:cs="Arial"/>
                <w:i/>
                <w:color w:val="000000"/>
                <w:kern w:val="0"/>
                <w:sz w:val="18"/>
                <w:szCs w:val="18"/>
              </w:rPr>
            </w:pPr>
            <w:r>
              <w:rPr>
                <w:rFonts w:ascii="Arial" w:hAnsi="Arial" w:eastAsia="宋体" w:cs="Arial"/>
                <w:b/>
                <w:bCs/>
                <w:i/>
                <w:color w:val="000000"/>
                <w:kern w:val="0"/>
                <w:sz w:val="18"/>
              </w:rPr>
              <w:t>报告</w:t>
            </w:r>
          </w:p>
          <w:p w14:paraId="2A2E508F">
            <w:pPr>
              <w:widowControl/>
              <w:snapToGrid w:val="0"/>
              <w:spacing w:before="74" w:after="156" w:afterLines="50" w:line="300" w:lineRule="auto"/>
              <w:rPr>
                <w:rFonts w:ascii="Arial" w:hAnsi="Arial" w:eastAsia="宋体" w:cs="Arial"/>
                <w:i/>
                <w:color w:val="000000"/>
                <w:kern w:val="0"/>
                <w:sz w:val="18"/>
                <w:szCs w:val="18"/>
              </w:rPr>
            </w:pPr>
            <w:r>
              <w:rPr>
                <w:rFonts w:ascii="Arial" w:hAnsi="Arial" w:eastAsia="宋体" w:cs="Arial"/>
                <w:i/>
                <w:color w:val="000000"/>
                <w:kern w:val="0"/>
                <w:sz w:val="18"/>
                <w:szCs w:val="18"/>
              </w:rPr>
              <w:t>FDA建议向审查机构提供将提供给订购人员的试验报告的示例。报告应与遗传学专业团体的现行建议保持一致，并应包含适当的解释指南以供订购医师/辅导员使用。FDA建议将FVL突变报告为“存在”或“不存在”，而不是“正常”，“野生型”或“突变体”。</w:t>
            </w:r>
          </w:p>
          <w:p w14:paraId="24DC0F2A">
            <w:pPr>
              <w:widowControl/>
              <w:snapToGrid w:val="0"/>
              <w:spacing w:before="86" w:after="156" w:afterLines="50" w:line="300" w:lineRule="auto"/>
              <w:rPr>
                <w:rFonts w:ascii="Arial" w:hAnsi="Arial" w:eastAsia="宋体" w:cs="Arial"/>
                <w:b/>
                <w:bCs/>
                <w:i/>
                <w:iCs/>
                <w:color w:val="000000"/>
                <w:kern w:val="0"/>
                <w:sz w:val="22"/>
              </w:rPr>
            </w:pPr>
            <w:bookmarkStart w:id="9" w:name="7"/>
          </w:p>
          <w:p w14:paraId="293E8B23">
            <w:pPr>
              <w:widowControl/>
              <w:snapToGrid w:val="0"/>
              <w:spacing w:before="86" w:after="156" w:afterLines="50" w:line="300" w:lineRule="auto"/>
              <w:rPr>
                <w:rFonts w:ascii="Arial" w:hAnsi="Arial" w:eastAsia="宋体" w:cs="Arial"/>
                <w:b/>
                <w:bCs/>
                <w:i/>
                <w:iCs/>
                <w:color w:val="000000"/>
                <w:kern w:val="0"/>
                <w:sz w:val="22"/>
              </w:rPr>
            </w:pPr>
          </w:p>
          <w:p w14:paraId="5F6C7F20">
            <w:pPr>
              <w:widowControl/>
              <w:snapToGrid w:val="0"/>
              <w:spacing w:before="86" w:after="156" w:afterLines="50" w:line="300" w:lineRule="auto"/>
              <w:rPr>
                <w:rFonts w:ascii="Arial" w:hAnsi="Arial" w:eastAsia="宋体" w:cs="Arial"/>
                <w:b/>
                <w:bCs/>
                <w:i/>
                <w:iCs/>
                <w:color w:val="000000"/>
                <w:kern w:val="0"/>
                <w:sz w:val="22"/>
              </w:rPr>
            </w:pPr>
          </w:p>
          <w:p w14:paraId="6055DE6B">
            <w:pPr>
              <w:widowControl/>
              <w:snapToGrid w:val="0"/>
              <w:spacing w:before="86" w:after="156" w:afterLines="50" w:line="300" w:lineRule="auto"/>
              <w:rPr>
                <w:rFonts w:ascii="Arial" w:hAnsi="Arial" w:eastAsia="宋体" w:cs="Arial"/>
                <w:b/>
                <w:bCs/>
                <w:i/>
                <w:iCs/>
                <w:color w:val="000000"/>
                <w:kern w:val="0"/>
                <w:sz w:val="22"/>
              </w:rPr>
            </w:pPr>
          </w:p>
          <w:p w14:paraId="59428902">
            <w:pPr>
              <w:widowControl/>
              <w:snapToGrid w:val="0"/>
              <w:spacing w:before="86" w:after="156" w:afterLines="50" w:line="300" w:lineRule="auto"/>
              <w:rPr>
                <w:rFonts w:ascii="Arial" w:hAnsi="Arial" w:eastAsia="宋体" w:cs="Arial"/>
                <w:b/>
                <w:bCs/>
                <w:i/>
                <w:iCs/>
                <w:color w:val="000000"/>
                <w:kern w:val="0"/>
                <w:sz w:val="22"/>
              </w:rPr>
            </w:pPr>
          </w:p>
          <w:p w14:paraId="688EFF45">
            <w:pPr>
              <w:widowControl/>
              <w:snapToGrid w:val="0"/>
              <w:spacing w:before="86" w:after="156" w:afterLines="50" w:line="300" w:lineRule="auto"/>
              <w:rPr>
                <w:rFonts w:ascii="Arial" w:hAnsi="Arial" w:eastAsia="宋体" w:cs="Arial"/>
                <w:b/>
                <w:bCs/>
                <w:i/>
                <w:iCs/>
                <w:color w:val="000000"/>
                <w:kern w:val="0"/>
                <w:sz w:val="22"/>
              </w:rPr>
            </w:pPr>
          </w:p>
          <w:p w14:paraId="50E3E956">
            <w:pPr>
              <w:widowControl/>
              <w:snapToGrid w:val="0"/>
              <w:spacing w:before="86" w:after="156" w:afterLines="50" w:line="300" w:lineRule="auto"/>
              <w:rPr>
                <w:rFonts w:ascii="Arial" w:hAnsi="Arial" w:eastAsia="宋体" w:cs="Arial"/>
                <w:b/>
                <w:bCs/>
                <w:i/>
                <w:iCs/>
                <w:color w:val="000000"/>
                <w:kern w:val="0"/>
                <w:sz w:val="22"/>
              </w:rPr>
            </w:pPr>
          </w:p>
          <w:p w14:paraId="4DD55730">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b/>
                <w:bCs/>
                <w:i/>
                <w:iCs/>
                <w:color w:val="000000"/>
                <w:kern w:val="0"/>
                <w:sz w:val="22"/>
              </w:rPr>
              <w:t>7.</w:t>
            </w:r>
            <w:bookmarkEnd w:id="9"/>
            <w:r>
              <w:rPr>
                <w:rFonts w:ascii="Arial" w:hAnsi="Arial" w:eastAsia="宋体" w:cs="Arial"/>
                <w:b/>
                <w:bCs/>
                <w:i/>
                <w:iCs/>
                <w:color w:val="000000"/>
                <w:kern w:val="0"/>
                <w:sz w:val="22"/>
              </w:rPr>
              <w:t>方法比较</w:t>
            </w:r>
          </w:p>
          <w:p w14:paraId="73A94D59">
            <w:pPr>
              <w:widowControl/>
              <w:snapToGrid w:val="0"/>
              <w:spacing w:before="86" w:after="156" w:afterLines="50" w:line="300" w:lineRule="auto"/>
              <w:rPr>
                <w:rFonts w:ascii="Arial" w:hAnsi="Arial" w:eastAsia="宋体" w:cs="Arial"/>
                <w:i/>
                <w:color w:val="000000"/>
                <w:kern w:val="0"/>
                <w:sz w:val="18"/>
                <w:szCs w:val="18"/>
              </w:rPr>
            </w:pPr>
            <w:r>
              <w:rPr>
                <w:rFonts w:ascii="Arial" w:hAnsi="Arial" w:eastAsia="宋体" w:cs="Arial"/>
                <w:i/>
                <w:color w:val="000000"/>
                <w:kern w:val="0"/>
                <w:sz w:val="18"/>
                <w:szCs w:val="18"/>
              </w:rPr>
              <w:t>可用于检测FVL突变的技术的丰富性提高了测定间可因方法、工具和样本来源而存在显著差异的可能性，并使直接可比性难以评估。为了方便产品审查，贵公司应考虑将新测定与参考方法或“黄金标准”进行比较，例如双向DNA测序以定义性能。我们建议贵公司确认并记录所使用的参考方法的准确性（例如，正确序列调用百分比或“阶段性评分”）。然后，贵公司可以声明贵公司器械的灵敏度和特异性。我们建议贵公司说明所有试验样本的入选和排除标准。可选择是否将新器械的性能与先前已许可器械进行实际比较。但是，如果贵公司希望在新产品标签中加入此比较，贵公司还应该在提交资料中提供对该研究的说明。贵公司可以为比较研究执行差异解析，但是除非将解析程序应用于所有样本，贵公司应为所有性能计算值使用原始未解析结果，以避免产生偏差。</w:t>
            </w:r>
          </w:p>
          <w:p w14:paraId="410940EC">
            <w:pPr>
              <w:widowControl/>
              <w:snapToGrid w:val="0"/>
              <w:spacing w:after="156" w:afterLines="50" w:line="300" w:lineRule="auto"/>
              <w:outlineLvl w:val="3"/>
              <w:rPr>
                <w:rFonts w:ascii="Arial" w:hAnsi="Arial" w:eastAsia="宋体" w:cs="Arial"/>
                <w:b/>
                <w:bCs/>
                <w:color w:val="000000"/>
                <w:kern w:val="0"/>
                <w:sz w:val="22"/>
              </w:rPr>
            </w:pPr>
            <w:bookmarkStart w:id="10" w:name="8"/>
            <w:r>
              <w:rPr>
                <w:rFonts w:ascii="Arial" w:hAnsi="Arial" w:eastAsia="宋体" w:cs="Arial"/>
                <w:b/>
                <w:bCs/>
                <w:i/>
                <w:iCs/>
                <w:color w:val="000000"/>
                <w:kern w:val="0"/>
                <w:sz w:val="22"/>
              </w:rPr>
              <w:t>8.</w:t>
            </w:r>
            <w:bookmarkEnd w:id="10"/>
            <w:r>
              <w:rPr>
                <w:rFonts w:ascii="Arial" w:hAnsi="Arial" w:eastAsia="宋体" w:cs="Arial"/>
                <w:b/>
                <w:bCs/>
                <w:i/>
                <w:iCs/>
                <w:color w:val="000000"/>
                <w:kern w:val="0"/>
                <w:sz w:val="22"/>
              </w:rPr>
              <w:t>标签</w:t>
            </w:r>
          </w:p>
          <w:p w14:paraId="4A707BC3">
            <w:pPr>
              <w:widowControl/>
              <w:snapToGrid w:val="0"/>
              <w:spacing w:before="86" w:after="156" w:afterLines="50" w:line="300" w:lineRule="auto"/>
              <w:rPr>
                <w:rFonts w:ascii="Arial" w:hAnsi="Arial" w:eastAsia="宋体" w:cs="Arial"/>
                <w:i/>
                <w:color w:val="000000"/>
                <w:kern w:val="0"/>
                <w:sz w:val="18"/>
                <w:szCs w:val="18"/>
              </w:rPr>
            </w:pPr>
            <w:r>
              <w:rPr>
                <w:rFonts w:ascii="Arial" w:hAnsi="Arial" w:eastAsia="宋体" w:cs="Arial"/>
                <w:i/>
                <w:color w:val="000000"/>
                <w:kern w:val="0"/>
                <w:sz w:val="18"/>
                <w:szCs w:val="18"/>
              </w:rPr>
              <w:t>上市前通告应提供足够详细的标签，以满足21 CFR 807.87（e）的要求。以下建议旨在协助贵公司准备符合21 CFR 807.87（e）和最终标签要求的拟定标签。</w:t>
            </w:r>
          </w:p>
          <w:p w14:paraId="5848B9BC">
            <w:pPr>
              <w:widowControl/>
              <w:snapToGrid w:val="0"/>
              <w:spacing w:before="86" w:after="156" w:afterLines="50" w:line="300" w:lineRule="auto"/>
              <w:rPr>
                <w:rFonts w:ascii="Arial" w:hAnsi="Arial" w:eastAsia="宋体" w:cs="Arial"/>
                <w:color w:val="000000"/>
                <w:kern w:val="0"/>
                <w:sz w:val="18"/>
                <w:szCs w:val="18"/>
              </w:rPr>
            </w:pPr>
            <w:r>
              <w:rPr>
                <w:rFonts w:ascii="Arial" w:hAnsi="Arial" w:eastAsia="宋体" w:cs="Arial"/>
                <w:b/>
                <w:bCs/>
                <w:i/>
                <w:iCs/>
                <w:color w:val="000000"/>
                <w:kern w:val="0"/>
                <w:sz w:val="18"/>
              </w:rPr>
              <w:t>使用说明</w:t>
            </w:r>
          </w:p>
          <w:p w14:paraId="1B9C3C15">
            <w:pPr>
              <w:widowControl/>
              <w:snapToGrid w:val="0"/>
              <w:spacing w:before="86" w:after="156" w:afterLines="50" w:line="300" w:lineRule="auto"/>
              <w:rPr>
                <w:rFonts w:ascii="Arial" w:hAnsi="Arial" w:eastAsia="宋体" w:cs="Arial"/>
                <w:i/>
                <w:color w:val="000000"/>
                <w:kern w:val="0"/>
                <w:sz w:val="18"/>
                <w:szCs w:val="18"/>
              </w:rPr>
            </w:pPr>
            <w:r>
              <w:rPr>
                <w:rFonts w:ascii="Arial" w:hAnsi="Arial" w:eastAsia="宋体" w:cs="Arial"/>
                <w:i/>
                <w:color w:val="000000"/>
                <w:kern w:val="0"/>
                <w:sz w:val="18"/>
                <w:szCs w:val="18"/>
              </w:rPr>
              <w:t>贵公司应提供清晰简明的说明，以描述特定该器械的技术特性以及该器械如何用于患者。说明应鼓励旨在使用户熟悉器械功能，以及如何以安全有效的方式进行使用的地方/机构培训计划。结合核酸扩增的器械应在标签中提供工作流程建议。</w:t>
            </w:r>
          </w:p>
          <w:p w14:paraId="53B9BE94">
            <w:pPr>
              <w:widowControl/>
              <w:snapToGrid w:val="0"/>
              <w:spacing w:before="74" w:after="156" w:afterLines="50" w:line="300" w:lineRule="auto"/>
              <w:rPr>
                <w:rFonts w:ascii="Arial" w:hAnsi="Arial" w:eastAsia="宋体" w:cs="Arial"/>
                <w:color w:val="000000"/>
                <w:kern w:val="0"/>
                <w:sz w:val="18"/>
                <w:szCs w:val="18"/>
              </w:rPr>
            </w:pPr>
            <w:r>
              <w:rPr>
                <w:rFonts w:ascii="Arial" w:hAnsi="Arial" w:eastAsia="宋体" w:cs="Arial"/>
                <w:b/>
                <w:bCs/>
                <w:i/>
                <w:iCs/>
                <w:color w:val="000000"/>
                <w:kern w:val="0"/>
                <w:sz w:val="18"/>
              </w:rPr>
              <w:t>质量控制</w:t>
            </w:r>
          </w:p>
          <w:p w14:paraId="4D25C0E6">
            <w:pPr>
              <w:widowControl/>
              <w:snapToGrid w:val="0"/>
              <w:spacing w:before="74" w:after="156" w:afterLines="50" w:line="300" w:lineRule="auto"/>
              <w:rPr>
                <w:rFonts w:ascii="Arial" w:hAnsi="Arial" w:eastAsia="宋体" w:cs="Arial"/>
                <w:i/>
                <w:color w:val="000000"/>
                <w:kern w:val="0"/>
                <w:sz w:val="18"/>
                <w:szCs w:val="18"/>
              </w:rPr>
            </w:pPr>
            <w:r>
              <w:rPr>
                <w:rFonts w:ascii="Arial" w:hAnsi="Arial" w:eastAsia="宋体" w:cs="Arial"/>
                <w:i/>
                <w:color w:val="000000"/>
                <w:kern w:val="0"/>
                <w:sz w:val="18"/>
                <w:szCs w:val="18"/>
              </w:rPr>
              <w:t>我们建议贵公司在标签中提供对质量控制建议的说明。</w:t>
            </w:r>
          </w:p>
          <w:p w14:paraId="3C661212">
            <w:pPr>
              <w:widowControl/>
              <w:snapToGrid w:val="0"/>
              <w:spacing w:before="74" w:after="156" w:afterLines="50" w:line="300" w:lineRule="auto"/>
              <w:rPr>
                <w:rFonts w:ascii="Arial" w:hAnsi="Arial" w:eastAsia="宋体" w:cs="Arial"/>
                <w:b/>
                <w:bCs/>
                <w:i/>
                <w:iCs/>
                <w:color w:val="000000"/>
                <w:kern w:val="0"/>
                <w:sz w:val="18"/>
              </w:rPr>
            </w:pPr>
            <w:r>
              <w:rPr>
                <w:rFonts w:ascii="Arial" w:hAnsi="Arial" w:eastAsia="宋体" w:cs="Arial"/>
                <w:b/>
                <w:bCs/>
                <w:i/>
                <w:iCs/>
                <w:color w:val="000000"/>
                <w:kern w:val="0"/>
                <w:sz w:val="18"/>
              </w:rPr>
              <w:t>解释注意事项</w:t>
            </w:r>
          </w:p>
          <w:p w14:paraId="32D00033">
            <w:pPr>
              <w:widowControl/>
              <w:snapToGrid w:val="0"/>
              <w:spacing w:before="74" w:after="156" w:afterLines="50" w:line="300" w:lineRule="auto"/>
              <w:rPr>
                <w:rFonts w:ascii="Arial" w:hAnsi="Arial" w:eastAsia="宋体" w:cs="Arial"/>
                <w:i/>
                <w:color w:val="000000"/>
                <w:kern w:val="0"/>
                <w:sz w:val="18"/>
                <w:szCs w:val="18"/>
              </w:rPr>
            </w:pPr>
            <w:r>
              <w:rPr>
                <w:rFonts w:ascii="Arial" w:hAnsi="Arial" w:eastAsia="宋体" w:cs="Arial"/>
                <w:i/>
                <w:color w:val="000000"/>
                <w:kern w:val="0"/>
                <w:sz w:val="18"/>
                <w:szCs w:val="18"/>
              </w:rPr>
              <w:t>我们建议贵公司解决贵公司测定的限制并在标签中进行声明，例如：</w:t>
            </w:r>
          </w:p>
          <w:p w14:paraId="29222641">
            <w:pPr>
              <w:widowControl/>
              <w:numPr>
                <w:ilvl w:val="0"/>
                <w:numId w:val="4"/>
              </w:numPr>
              <w:snapToGrid w:val="0"/>
              <w:spacing w:after="156" w:afterLines="50" w:line="300" w:lineRule="auto"/>
              <w:ind w:left="0" w:firstLine="0"/>
              <w:rPr>
                <w:rFonts w:ascii="Arial" w:hAnsi="Arial" w:eastAsia="宋体" w:cs="Arial"/>
                <w:i/>
                <w:color w:val="000000"/>
                <w:kern w:val="0"/>
                <w:sz w:val="18"/>
                <w:szCs w:val="18"/>
              </w:rPr>
            </w:pPr>
            <w:r>
              <w:rPr>
                <w:rFonts w:ascii="Arial" w:hAnsi="Arial" w:eastAsia="宋体" w:cs="Arial"/>
                <w:i/>
                <w:color w:val="000000"/>
                <w:kern w:val="0"/>
                <w:sz w:val="18"/>
                <w:szCs w:val="18"/>
              </w:rPr>
              <w:t>如果因子V基因中存在罕见突变，则可能导致FVL的假阳性报告。</w:t>
            </w:r>
          </w:p>
          <w:p w14:paraId="3FE1759D">
            <w:pPr>
              <w:widowControl/>
              <w:numPr>
                <w:ilvl w:val="0"/>
                <w:numId w:val="4"/>
              </w:numPr>
              <w:snapToGrid w:val="0"/>
              <w:spacing w:after="156" w:afterLines="50" w:line="300" w:lineRule="auto"/>
              <w:ind w:left="0" w:firstLine="0"/>
              <w:rPr>
                <w:rFonts w:ascii="Arial" w:hAnsi="Arial" w:eastAsia="宋体" w:cs="Arial"/>
                <w:i/>
                <w:color w:val="000000"/>
                <w:kern w:val="0"/>
                <w:sz w:val="18"/>
                <w:szCs w:val="18"/>
              </w:rPr>
            </w:pPr>
            <w:r>
              <w:rPr>
                <w:rFonts w:ascii="Arial" w:hAnsi="Arial" w:eastAsia="宋体" w:cs="Arial"/>
                <w:i/>
                <w:color w:val="000000"/>
                <w:kern w:val="0"/>
                <w:sz w:val="18"/>
                <w:szCs w:val="18"/>
              </w:rPr>
              <w:t>本试验不应单独用于诊断血栓形成倾向。建议在遗传试验的同时进行活化蛋白C（APC）试验。</w:t>
            </w:r>
          </w:p>
          <w:p w14:paraId="4769D643">
            <w:pPr>
              <w:widowControl/>
              <w:snapToGrid w:val="0"/>
              <w:spacing w:before="74" w:after="156" w:afterLines="50" w:line="300" w:lineRule="auto"/>
              <w:rPr>
                <w:rFonts w:ascii="Arial" w:hAnsi="Arial" w:eastAsia="宋体" w:cs="Arial"/>
                <w:b/>
                <w:bCs/>
                <w:i/>
                <w:iCs/>
                <w:color w:val="000000"/>
                <w:kern w:val="0"/>
                <w:sz w:val="18"/>
              </w:rPr>
            </w:pPr>
            <w:r>
              <w:rPr>
                <w:rFonts w:ascii="Arial" w:hAnsi="Arial" w:eastAsia="宋体" w:cs="Arial"/>
                <w:b/>
                <w:bCs/>
                <w:i/>
                <w:iCs/>
                <w:color w:val="000000"/>
                <w:kern w:val="0"/>
                <w:sz w:val="18"/>
              </w:rPr>
              <w:t>稳定性</w:t>
            </w:r>
          </w:p>
          <w:p w14:paraId="353728B2">
            <w:pPr>
              <w:widowControl/>
              <w:snapToGrid w:val="0"/>
              <w:spacing w:before="74" w:after="156" w:afterLines="50" w:line="300" w:lineRule="auto"/>
              <w:rPr>
                <w:rFonts w:ascii="Arial" w:hAnsi="Arial" w:eastAsia="宋体" w:cs="Arial"/>
                <w:i/>
                <w:color w:val="000000"/>
                <w:kern w:val="0"/>
                <w:sz w:val="18"/>
                <w:szCs w:val="18"/>
              </w:rPr>
            </w:pPr>
            <w:r>
              <w:rPr>
                <w:rFonts w:ascii="Arial" w:hAnsi="Arial" w:eastAsia="宋体" w:cs="Arial"/>
                <w:i/>
                <w:color w:val="000000"/>
                <w:kern w:val="0"/>
                <w:sz w:val="18"/>
                <w:szCs w:val="18"/>
              </w:rPr>
              <w:t>我们建议贵公司对贵公司试剂与推荐样本以及DNA输入的稳定性进行评估。</w:t>
            </w:r>
          </w:p>
          <w:p w14:paraId="2021158C">
            <w:pPr>
              <w:widowControl/>
              <w:snapToGrid w:val="0"/>
              <w:spacing w:before="74" w:after="156" w:afterLines="50" w:line="300" w:lineRule="auto"/>
              <w:rPr>
                <w:rFonts w:ascii="Arial" w:hAnsi="Arial" w:eastAsia="宋体" w:cs="Arial"/>
                <w:b/>
                <w:bCs/>
                <w:i/>
                <w:iCs/>
                <w:color w:val="000000"/>
                <w:kern w:val="0"/>
                <w:sz w:val="18"/>
              </w:rPr>
            </w:pPr>
            <w:r>
              <w:rPr>
                <w:rFonts w:ascii="Arial" w:hAnsi="Arial" w:eastAsia="宋体" w:cs="Arial"/>
                <w:b/>
                <w:bCs/>
                <w:i/>
                <w:iCs/>
                <w:color w:val="000000"/>
                <w:kern w:val="0"/>
                <w:sz w:val="18"/>
              </w:rPr>
              <w:t>性能</w:t>
            </w:r>
          </w:p>
          <w:p w14:paraId="4C980EE2">
            <w:pPr>
              <w:widowControl/>
              <w:snapToGrid w:val="0"/>
              <w:spacing w:before="74" w:after="156" w:afterLines="50" w:line="300" w:lineRule="auto"/>
              <w:rPr>
                <w:rFonts w:ascii="Arial" w:hAnsi="Arial" w:eastAsia="宋体" w:cs="Arial"/>
                <w:i/>
                <w:color w:val="000000"/>
                <w:kern w:val="0"/>
                <w:sz w:val="18"/>
                <w:szCs w:val="18"/>
              </w:rPr>
            </w:pPr>
            <w:r>
              <w:rPr>
                <w:rFonts w:ascii="Arial" w:hAnsi="Arial" w:eastAsia="宋体" w:cs="Arial"/>
                <w:i/>
                <w:color w:val="000000"/>
                <w:kern w:val="0"/>
                <w:sz w:val="18"/>
                <w:szCs w:val="18"/>
              </w:rPr>
              <w:t>贵公司应以2 X 2表格提供与公认的参考方法或黄金标准相比的器械性能、灵敏度和特异性百分比或其他说明性示例。贵公司应该计算所有试验样本的灵敏度和特异性。就报告性能特性而言，如果测定失败，（例如，无法对样本进行测序），则应被视为不一致。</w:t>
            </w:r>
          </w:p>
          <w:p w14:paraId="527B57F7">
            <w:pPr>
              <w:widowControl/>
              <w:snapToGrid w:val="0"/>
              <w:spacing w:before="360" w:after="156" w:afterLines="50" w:line="300" w:lineRule="auto"/>
              <w:rPr>
                <w:rFonts w:ascii="Arial" w:hAnsi="Arial" w:eastAsia="宋体" w:cs="Arial"/>
                <w:color w:val="000000"/>
                <w:kern w:val="0"/>
                <w:sz w:val="18"/>
                <w:szCs w:val="18"/>
              </w:rPr>
            </w:pPr>
          </w:p>
          <w:p w14:paraId="60EA82C2">
            <w:pPr>
              <w:widowControl/>
              <w:snapToGrid w:val="0"/>
              <w:spacing w:before="360" w:after="156" w:afterLines="50" w:line="300" w:lineRule="auto"/>
              <w:rPr>
                <w:rFonts w:ascii="Arial" w:hAnsi="Arial" w:eastAsia="宋体" w:cs="Arial"/>
                <w:color w:val="000000"/>
                <w:kern w:val="0"/>
                <w:sz w:val="18"/>
                <w:szCs w:val="18"/>
              </w:rPr>
            </w:pPr>
          </w:p>
          <w:p w14:paraId="1FA73920">
            <w:pPr>
              <w:widowControl/>
              <w:snapToGrid w:val="0"/>
              <w:spacing w:before="360" w:after="156" w:afterLines="50" w:line="300" w:lineRule="auto"/>
              <w:rPr>
                <w:rFonts w:ascii="Arial" w:hAnsi="Arial" w:eastAsia="宋体" w:cs="Arial"/>
                <w:color w:val="000000"/>
                <w:kern w:val="0"/>
                <w:sz w:val="18"/>
                <w:szCs w:val="18"/>
              </w:rPr>
            </w:pPr>
          </w:p>
          <w:p w14:paraId="6D4742A2">
            <w:pPr>
              <w:widowControl/>
              <w:snapToGrid w:val="0"/>
              <w:spacing w:before="360" w:after="156" w:afterLines="50" w:line="300" w:lineRule="auto"/>
              <w:rPr>
                <w:rFonts w:ascii="Arial" w:hAnsi="Arial" w:eastAsia="宋体" w:cs="Arial"/>
                <w:color w:val="000000"/>
                <w:kern w:val="0"/>
                <w:sz w:val="18"/>
                <w:szCs w:val="18"/>
              </w:rPr>
            </w:pPr>
          </w:p>
          <w:p w14:paraId="61D44207">
            <w:pPr>
              <w:widowControl/>
              <w:snapToGrid w:val="0"/>
              <w:spacing w:before="360" w:after="156" w:afterLines="50" w:line="300" w:lineRule="auto"/>
              <w:rPr>
                <w:rFonts w:ascii="Arial" w:hAnsi="Arial" w:eastAsia="宋体" w:cs="Arial"/>
                <w:color w:val="000000"/>
                <w:kern w:val="0"/>
                <w:sz w:val="18"/>
                <w:szCs w:val="18"/>
              </w:rPr>
            </w:pPr>
          </w:p>
          <w:p w14:paraId="007FBF2F">
            <w:pPr>
              <w:widowControl/>
              <w:snapToGrid w:val="0"/>
              <w:spacing w:before="360" w:after="156" w:afterLines="50" w:line="300" w:lineRule="auto"/>
              <w:rPr>
                <w:rFonts w:ascii="Arial" w:hAnsi="Arial" w:eastAsia="宋体" w:cs="Arial"/>
                <w:color w:val="000000"/>
                <w:kern w:val="0"/>
                <w:sz w:val="18"/>
                <w:szCs w:val="18"/>
              </w:rPr>
            </w:pPr>
            <w:r>
              <w:rPr>
                <w:rFonts w:ascii="Arial" w:hAnsi="Arial" w:eastAsia="宋体" w:cs="Arial"/>
                <w:color w:val="000000"/>
                <w:kern w:val="0"/>
                <w:sz w:val="18"/>
                <w:szCs w:val="18"/>
              </w:rPr>
              <w:pict>
                <v:rect id="_x0000_i1026" o:spt="1" style="height:0.75pt;width:150pt;" fillcolor="#A0A0A0" filled="t" stroked="f" coordsize="21600,21600" o:hr="t" o:hrstd="t" o:hrnoshade="t" o:hrpct="0">
                  <v:path/>
                  <v:fill on="t" focussize="0,0"/>
                  <v:stroke on="f"/>
                  <v:imagedata o:title=""/>
                  <o:lock v:ext="edit"/>
                  <w10:wrap type="none"/>
                  <w10:anchorlock/>
                </v:rect>
              </w:pict>
            </w:r>
          </w:p>
          <w:p w14:paraId="26F5E614">
            <w:pPr>
              <w:widowControl/>
              <w:snapToGrid w:val="0"/>
              <w:spacing w:before="86" w:after="156" w:afterLines="50" w:line="300" w:lineRule="auto"/>
              <w:rPr>
                <w:rFonts w:ascii="Arial" w:hAnsi="Arial" w:eastAsia="宋体" w:cs="Arial"/>
                <w:i/>
                <w:iCs/>
                <w:color w:val="000000"/>
                <w:kern w:val="0"/>
                <w:sz w:val="18"/>
                <w:vertAlign w:val="superscript"/>
              </w:rPr>
            </w:pPr>
            <w:bookmarkStart w:id="11" w:name="f1"/>
          </w:p>
          <w:p w14:paraId="3FD621B3">
            <w:pPr>
              <w:widowControl/>
              <w:snapToGrid w:val="0"/>
              <w:spacing w:before="86" w:after="156" w:afterLines="50" w:line="300" w:lineRule="auto"/>
              <w:rPr>
                <w:rFonts w:ascii="Arial" w:hAnsi="Arial" w:eastAsia="宋体" w:cs="Arial"/>
                <w:i/>
                <w:color w:val="000000"/>
                <w:kern w:val="0"/>
                <w:sz w:val="18"/>
                <w:szCs w:val="18"/>
              </w:rPr>
            </w:pPr>
            <w:r>
              <w:rPr>
                <w:rFonts w:ascii="Arial" w:hAnsi="Arial" w:eastAsia="宋体" w:cs="Arial"/>
                <w:i/>
                <w:iCs/>
                <w:color w:val="000000"/>
                <w:kern w:val="0"/>
                <w:sz w:val="18"/>
                <w:vertAlign w:val="superscript"/>
              </w:rPr>
              <w:t> </w:t>
            </w:r>
            <w:bookmarkEnd w:id="11"/>
            <w:r>
              <w:rPr>
                <w:rFonts w:ascii="Arial" w:hAnsi="Arial" w:eastAsia="宋体" w:cs="Arial"/>
                <w:i/>
                <w:iCs/>
                <w:color w:val="000000"/>
                <w:kern w:val="0"/>
                <w:sz w:val="18"/>
                <w:vertAlign w:val="superscript"/>
              </w:rPr>
              <w:t>1</w:t>
            </w:r>
            <w:r>
              <w:rPr>
                <w:rFonts w:ascii="Arial" w:hAnsi="Arial" w:eastAsia="宋体" w:cs="Arial"/>
                <w:i/>
                <w:color w:val="800080"/>
                <w:kern w:val="0"/>
                <w:sz w:val="18"/>
                <w:szCs w:val="18"/>
                <w:u w:val="single"/>
              </w:rPr>
              <w:t>新版510（k）范式。</w:t>
            </w:r>
          </w:p>
          <w:p w14:paraId="3179DCD4">
            <w:pPr>
              <w:widowControl/>
              <w:snapToGrid w:val="0"/>
              <w:spacing w:before="86" w:after="156" w:afterLines="50" w:line="300" w:lineRule="auto"/>
              <w:rPr>
                <w:rFonts w:ascii="Arial" w:hAnsi="Arial" w:eastAsia="宋体" w:cs="Arial"/>
                <w:i/>
                <w:color w:val="000000"/>
                <w:kern w:val="0"/>
                <w:sz w:val="18"/>
                <w:szCs w:val="18"/>
              </w:rPr>
            </w:pPr>
            <w:bookmarkStart w:id="12" w:name="f2"/>
            <w:r>
              <w:rPr>
                <w:rFonts w:ascii="Arial" w:hAnsi="Arial" w:eastAsia="宋体" w:cs="Arial"/>
                <w:i/>
                <w:iCs/>
                <w:color w:val="000000"/>
                <w:kern w:val="0"/>
                <w:sz w:val="18"/>
                <w:vertAlign w:val="superscript"/>
              </w:rPr>
              <w:t> </w:t>
            </w:r>
            <w:bookmarkEnd w:id="12"/>
            <w:r>
              <w:rPr>
                <w:rFonts w:ascii="Arial" w:hAnsi="Arial" w:eastAsia="宋体" w:cs="Arial"/>
                <w:i/>
                <w:iCs/>
                <w:color w:val="000000"/>
                <w:kern w:val="0"/>
                <w:sz w:val="18"/>
                <w:vertAlign w:val="superscript"/>
              </w:rPr>
              <w:t>2</w:t>
            </w:r>
            <w:r>
              <w:rPr>
                <w:rFonts w:ascii="Arial" w:hAnsi="Arial" w:eastAsia="宋体" w:cs="Arial"/>
                <w:i/>
                <w:color w:val="000000"/>
                <w:kern w:val="0"/>
                <w:sz w:val="18"/>
                <w:szCs w:val="18"/>
              </w:rPr>
              <w:t xml:space="preserve"> 有关推荐格式，请参考</w:t>
            </w:r>
            <w:r>
              <w:rPr>
                <w:rFonts w:ascii="Arial" w:hAnsi="Arial" w:eastAsia="宋体" w:cs="Arial"/>
                <w:i/>
                <w:color w:val="800080"/>
                <w:kern w:val="0"/>
                <w:sz w:val="18"/>
                <w:szCs w:val="18"/>
                <w:u w:val="single"/>
              </w:rPr>
              <w:t>适应症表格</w:t>
            </w:r>
            <w:r>
              <w:rPr>
                <w:rFonts w:ascii="Arial" w:hAnsi="Arial" w:eastAsia="宋体" w:cs="Arial"/>
                <w:i/>
                <w:color w:val="000000"/>
                <w:kern w:val="0"/>
                <w:sz w:val="18"/>
                <w:szCs w:val="18"/>
              </w:rPr>
              <w:t>（PDF文件大小：1.03MB）。</w:t>
            </w:r>
          </w:p>
          <w:p w14:paraId="0B1C65D3">
            <w:pPr>
              <w:widowControl/>
              <w:snapToGrid w:val="0"/>
              <w:spacing w:before="86" w:after="156" w:afterLines="50" w:line="300" w:lineRule="auto"/>
              <w:rPr>
                <w:rFonts w:ascii="Arial" w:hAnsi="Arial" w:eastAsia="宋体" w:cs="Arial"/>
                <w:i/>
                <w:iCs/>
                <w:color w:val="000000"/>
                <w:kern w:val="0"/>
                <w:sz w:val="18"/>
              </w:rPr>
            </w:pPr>
            <w:bookmarkStart w:id="13" w:name="f3"/>
            <w:r>
              <w:rPr>
                <w:rFonts w:ascii="Arial" w:hAnsi="Arial" w:eastAsia="宋体" w:cs="Arial"/>
                <w:i/>
                <w:iCs/>
                <w:color w:val="000000"/>
                <w:kern w:val="0"/>
                <w:sz w:val="18"/>
                <w:vertAlign w:val="superscript"/>
              </w:rPr>
              <w:t> </w:t>
            </w:r>
            <w:bookmarkEnd w:id="13"/>
            <w:r>
              <w:rPr>
                <w:rFonts w:ascii="Arial" w:hAnsi="Arial" w:eastAsia="宋体" w:cs="Arial"/>
                <w:i/>
                <w:iCs/>
                <w:color w:val="000000"/>
                <w:kern w:val="0"/>
                <w:sz w:val="18"/>
                <w:vertAlign w:val="superscript"/>
              </w:rPr>
              <w:t>3</w:t>
            </w:r>
            <w:r>
              <w:rPr>
                <w:rFonts w:ascii="Arial" w:hAnsi="Arial" w:eastAsia="宋体" w:cs="Arial"/>
                <w:i/>
                <w:iCs/>
                <w:color w:val="000000"/>
                <w:kern w:val="0"/>
                <w:sz w:val="18"/>
              </w:rPr>
              <w:t xml:space="preserve"> </w:t>
            </w:r>
            <w:r>
              <w:rPr>
                <w:rFonts w:ascii="Arial" w:hAnsi="Arial" w:eastAsia="宋体" w:cs="Arial"/>
                <w:i/>
                <w:color w:val="000000"/>
                <w:kern w:val="0"/>
                <w:sz w:val="18"/>
                <w:szCs w:val="18"/>
              </w:rPr>
              <w:t>如果FDA根据验收标准进行了实质等同性测定，则在引入州际贸易之前，应对主题器械进行测试且其应显示其已符合这些验收标准。如果成品器械不符合验收标准，并因此与已许可的510（k）中所述的器械不同，FDA建议提交人应使用与用于评估对合法销售器械的修改相同的标准（21 CFR 807.81（a） （3））来确定成品器械是否需要获得新的510（k）许可。</w:t>
            </w:r>
          </w:p>
          <w:p w14:paraId="198A16C8">
            <w:pPr>
              <w:widowControl/>
              <w:snapToGrid w:val="0"/>
              <w:spacing w:before="86" w:after="156" w:afterLines="50" w:line="300" w:lineRule="auto"/>
              <w:rPr>
                <w:rFonts w:ascii="Arial" w:hAnsi="Arial" w:eastAsia="宋体" w:cs="Arial"/>
                <w:i/>
                <w:iCs/>
                <w:color w:val="000000"/>
                <w:kern w:val="0"/>
                <w:sz w:val="18"/>
              </w:rPr>
            </w:pPr>
            <w:bookmarkStart w:id="14" w:name="f4"/>
            <w:r>
              <w:rPr>
                <w:rFonts w:ascii="Arial" w:hAnsi="Arial" w:eastAsia="宋体" w:cs="Arial"/>
                <w:i/>
                <w:iCs/>
                <w:color w:val="000000"/>
                <w:kern w:val="0"/>
                <w:sz w:val="18"/>
                <w:vertAlign w:val="superscript"/>
              </w:rPr>
              <w:t> </w:t>
            </w:r>
            <w:bookmarkEnd w:id="14"/>
            <w:r>
              <w:rPr>
                <w:rFonts w:ascii="Arial" w:hAnsi="Arial" w:eastAsia="宋体" w:cs="Arial"/>
                <w:i/>
                <w:iCs/>
                <w:color w:val="000000"/>
                <w:kern w:val="0"/>
                <w:sz w:val="18"/>
                <w:vertAlign w:val="superscript"/>
              </w:rPr>
              <w:t>4</w:t>
            </w:r>
            <w:r>
              <w:rPr>
                <w:rFonts w:ascii="Arial" w:hAnsi="Arial" w:eastAsia="宋体" w:cs="Arial"/>
                <w:i/>
                <w:color w:val="000000"/>
                <w:kern w:val="0"/>
                <w:sz w:val="18"/>
                <w:szCs w:val="18"/>
              </w:rPr>
              <w:t>请参见</w:t>
            </w:r>
            <w:r>
              <w:rPr>
                <w:rFonts w:ascii="Arial" w:hAnsi="Arial" w:eastAsia="宋体" w:cs="Arial"/>
                <w:i/>
                <w:color w:val="800080"/>
                <w:kern w:val="0"/>
                <w:sz w:val="18"/>
                <w:szCs w:val="18"/>
                <w:u w:val="single"/>
              </w:rPr>
              <w:t>符合公认标准声明的所需成分</w:t>
            </w:r>
            <w:r>
              <w:rPr>
                <w:rFonts w:ascii="Arial" w:hAnsi="Arial" w:eastAsia="宋体" w:cs="Arial"/>
                <w:i/>
                <w:color w:val="000000"/>
                <w:kern w:val="0"/>
                <w:sz w:val="18"/>
                <w:szCs w:val="18"/>
              </w:rPr>
              <w:t>（所有上市前通告[510（K）]提交资料的筛选清单）。</w:t>
            </w:r>
          </w:p>
          <w:p w14:paraId="3D2A7954">
            <w:pPr>
              <w:widowControl/>
              <w:snapToGrid w:val="0"/>
              <w:spacing w:before="86" w:after="156" w:afterLines="50" w:line="300" w:lineRule="auto"/>
              <w:rPr>
                <w:rFonts w:ascii="Arial" w:hAnsi="Arial" w:eastAsia="宋体" w:cs="Arial"/>
                <w:i/>
                <w:color w:val="000000"/>
                <w:kern w:val="0"/>
                <w:sz w:val="18"/>
                <w:szCs w:val="18"/>
              </w:rPr>
            </w:pPr>
            <w:bookmarkStart w:id="15" w:name="f5"/>
            <w:r>
              <w:rPr>
                <w:rFonts w:ascii="Arial" w:hAnsi="Arial" w:eastAsia="宋体" w:cs="Arial"/>
                <w:i/>
                <w:iCs/>
                <w:color w:val="000000"/>
                <w:kern w:val="0"/>
                <w:sz w:val="18"/>
                <w:vertAlign w:val="superscript"/>
              </w:rPr>
              <w:t> </w:t>
            </w:r>
            <w:bookmarkEnd w:id="15"/>
            <w:r>
              <w:rPr>
                <w:rFonts w:ascii="Arial" w:hAnsi="Arial" w:eastAsia="宋体" w:cs="Arial"/>
                <w:i/>
                <w:iCs/>
                <w:color w:val="000000"/>
                <w:kern w:val="0"/>
                <w:sz w:val="18"/>
                <w:vertAlign w:val="superscript"/>
              </w:rPr>
              <w:t>5</w:t>
            </w:r>
            <w:r>
              <w:rPr>
                <w:rFonts w:ascii="Arial" w:hAnsi="Arial" w:eastAsia="宋体" w:cs="Arial"/>
                <w:i/>
                <w:color w:val="000000"/>
                <w:kern w:val="0"/>
                <w:sz w:val="18"/>
                <w:szCs w:val="18"/>
              </w:rPr>
              <w:t xml:space="preserve"> 尽管510（k）许可不要求提供最终标签，但在将体外诊断器械引入州际贸易之前，最终标签必须符合21 CFR 809.10的要求。</w:t>
            </w:r>
          </w:p>
          <w:p w14:paraId="217D60B6">
            <w:pPr>
              <w:widowControl/>
              <w:snapToGrid w:val="0"/>
              <w:spacing w:before="86" w:after="156" w:afterLines="50" w:line="300" w:lineRule="auto"/>
              <w:rPr>
                <w:rFonts w:ascii="Arial" w:hAnsi="Arial" w:eastAsia="宋体" w:cs="Arial"/>
                <w:color w:val="000000"/>
                <w:kern w:val="0"/>
                <w:sz w:val="18"/>
                <w:szCs w:val="18"/>
              </w:rPr>
            </w:pPr>
          </w:p>
        </w:tc>
      </w:tr>
    </w:tbl>
    <w:p w14:paraId="65F4AB1A">
      <w:pPr>
        <w:snapToGrid w:val="0"/>
        <w:spacing w:after="156" w:afterLines="50" w:line="300" w:lineRule="auto"/>
        <w:rPr>
          <w:rFonts w:ascii="Arial" w:hAnsi="Arial" w:eastAsia="宋体" w:cs="Arial"/>
        </w:rPr>
      </w:pPr>
    </w:p>
    <w:p w14:paraId="36F4837F">
      <w:pPr>
        <w:widowControl/>
        <w:snapToGrid w:val="0"/>
        <w:spacing w:before="90" w:after="90" w:line="300" w:lineRule="auto"/>
        <w:rPr>
          <w:ins w:id="0" w:author="太极箫客" w:date="2025-08-14T14:17:55Z"/>
          <w:rFonts w:hint="eastAsia" w:eastAsia="宋体"/>
          <w:lang w:eastAsia="zh-CN"/>
        </w:rPr>
      </w:pPr>
    </w:p>
    <w:p w14:paraId="43910BEA">
      <w:pPr>
        <w:widowControl/>
        <w:snapToGrid w:val="0"/>
        <w:spacing w:before="90" w:after="90" w:line="300" w:lineRule="auto"/>
        <w:jc w:val="center"/>
        <w:rPr>
          <w:ins w:id="2" w:author="太极箫客" w:date="2025-08-14T14:17:55Z"/>
          <w:rFonts w:hint="eastAsia" w:eastAsia="宋体"/>
          <w:lang w:eastAsia="zh-CN"/>
        </w:rPr>
        <w:pPrChange w:id="1" w:author="太极箫客" w:date="2025-08-14T14:17:55Z">
          <w:pPr>
            <w:widowControl/>
            <w:snapToGrid w:val="0"/>
            <w:spacing w:before="90" w:after="90" w:line="300" w:lineRule="auto"/>
          </w:pPr>
        </w:pPrChange>
      </w:pPr>
    </w:p>
    <w:p w14:paraId="1162599C">
      <w:pPr>
        <w:widowControl/>
        <w:snapToGrid w:val="0"/>
        <w:spacing w:before="90" w:after="90" w:line="300" w:lineRule="auto"/>
        <w:jc w:val="center"/>
        <w:rPr>
          <w:ins w:id="4" w:author="太极箫客" w:date="2025-08-14T14:17:55Z"/>
          <w:rFonts w:hint="eastAsia" w:eastAsia="宋体"/>
          <w:lang w:eastAsia="zh-CN"/>
        </w:rPr>
        <w:pPrChange w:id="3" w:author="太极箫客" w:date="2025-08-14T14:17:55Z">
          <w:pPr>
            <w:widowControl/>
            <w:snapToGrid w:val="0"/>
            <w:spacing w:before="90" w:after="90" w:line="300" w:lineRule="auto"/>
          </w:pPr>
        </w:pPrChange>
      </w:pPr>
      <w:ins w:id="5" w:author="太极箫客" w:date="2025-08-14T14:17:55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0971D3"/>
    <w:multiLevelType w:val="multilevel"/>
    <w:tmpl w:val="340971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BCC435C"/>
    <w:multiLevelType w:val="multilevel"/>
    <w:tmpl w:val="3BCC43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67962CAE"/>
    <w:multiLevelType w:val="multilevel"/>
    <w:tmpl w:val="67962CA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7F0D580E"/>
    <w:multiLevelType w:val="multilevel"/>
    <w:tmpl w:val="7F0D58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6E1"/>
    <w:rsid w:val="000458D4"/>
    <w:rsid w:val="00090835"/>
    <w:rsid w:val="000B0F1D"/>
    <w:rsid w:val="000B4A8E"/>
    <w:rsid w:val="000E1CEC"/>
    <w:rsid w:val="000E6914"/>
    <w:rsid w:val="000F0E2E"/>
    <w:rsid w:val="00104C84"/>
    <w:rsid w:val="0010666F"/>
    <w:rsid w:val="00162665"/>
    <w:rsid w:val="00184D1B"/>
    <w:rsid w:val="00190F46"/>
    <w:rsid w:val="001A26E1"/>
    <w:rsid w:val="001A7EBD"/>
    <w:rsid w:val="001D0E1F"/>
    <w:rsid w:val="001E498F"/>
    <w:rsid w:val="00273CB9"/>
    <w:rsid w:val="002A31A8"/>
    <w:rsid w:val="00306567"/>
    <w:rsid w:val="0030675E"/>
    <w:rsid w:val="00317334"/>
    <w:rsid w:val="00325F1B"/>
    <w:rsid w:val="004040E8"/>
    <w:rsid w:val="0044492D"/>
    <w:rsid w:val="0046739B"/>
    <w:rsid w:val="00482F53"/>
    <w:rsid w:val="00507720"/>
    <w:rsid w:val="005762BB"/>
    <w:rsid w:val="00585B2B"/>
    <w:rsid w:val="005C0AA4"/>
    <w:rsid w:val="005D2F60"/>
    <w:rsid w:val="005E1C1B"/>
    <w:rsid w:val="006153C9"/>
    <w:rsid w:val="00625279"/>
    <w:rsid w:val="00647635"/>
    <w:rsid w:val="00696BB0"/>
    <w:rsid w:val="006C5023"/>
    <w:rsid w:val="006F3A43"/>
    <w:rsid w:val="007144DC"/>
    <w:rsid w:val="00716BD5"/>
    <w:rsid w:val="00722494"/>
    <w:rsid w:val="00724638"/>
    <w:rsid w:val="0074691F"/>
    <w:rsid w:val="00756E4D"/>
    <w:rsid w:val="007B4B90"/>
    <w:rsid w:val="007E3DC6"/>
    <w:rsid w:val="007E4EBA"/>
    <w:rsid w:val="00817C2B"/>
    <w:rsid w:val="00875A4B"/>
    <w:rsid w:val="00876210"/>
    <w:rsid w:val="00880469"/>
    <w:rsid w:val="008B2C99"/>
    <w:rsid w:val="00900F20"/>
    <w:rsid w:val="009230EA"/>
    <w:rsid w:val="0096012D"/>
    <w:rsid w:val="009A1E70"/>
    <w:rsid w:val="00A04F4C"/>
    <w:rsid w:val="00A14A8C"/>
    <w:rsid w:val="00A25F98"/>
    <w:rsid w:val="00A32CAD"/>
    <w:rsid w:val="00A420DB"/>
    <w:rsid w:val="00A50F06"/>
    <w:rsid w:val="00A542ED"/>
    <w:rsid w:val="00AA2CC5"/>
    <w:rsid w:val="00B458B5"/>
    <w:rsid w:val="00BA47DB"/>
    <w:rsid w:val="00BE1E17"/>
    <w:rsid w:val="00C11900"/>
    <w:rsid w:val="00C63202"/>
    <w:rsid w:val="00CB2578"/>
    <w:rsid w:val="00D21EBB"/>
    <w:rsid w:val="00D23287"/>
    <w:rsid w:val="00D54D64"/>
    <w:rsid w:val="00E17ACC"/>
    <w:rsid w:val="00E24A27"/>
    <w:rsid w:val="00E46119"/>
    <w:rsid w:val="00E6334C"/>
    <w:rsid w:val="00EB156F"/>
    <w:rsid w:val="00EE188D"/>
    <w:rsid w:val="00EF2364"/>
    <w:rsid w:val="00F016B2"/>
    <w:rsid w:val="00F13CBB"/>
    <w:rsid w:val="00F60E4A"/>
    <w:rsid w:val="00F832D5"/>
    <w:rsid w:val="00FA3026"/>
    <w:rsid w:val="00FB278A"/>
    <w:rsid w:val="00FD7B50"/>
    <w:rsid w:val="00FE4B8E"/>
    <w:rsid w:val="16F51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link w:val="1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link w:val="19"/>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5"/>
    <w:basedOn w:val="1"/>
    <w:link w:val="20"/>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2"/>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Emphasis"/>
    <w:basedOn w:val="11"/>
    <w:qFormat/>
    <w:uiPriority w:val="20"/>
    <w:rPr>
      <w:i/>
      <w:iCs/>
    </w:rPr>
  </w:style>
  <w:style w:type="character" w:styleId="14">
    <w:name w:val="Hyperlink"/>
    <w:basedOn w:val="11"/>
    <w:unhideWhenUsed/>
    <w:qFormat/>
    <w:uiPriority w:val="99"/>
    <w:rPr>
      <w:color w:val="0000FF"/>
      <w:u w:val="single"/>
    </w:rPr>
  </w:style>
  <w:style w:type="character" w:customStyle="1" w:styleId="15">
    <w:name w:val="页眉 Char"/>
    <w:basedOn w:val="11"/>
    <w:link w:val="8"/>
    <w:qFormat/>
    <w:uiPriority w:val="99"/>
    <w:rPr>
      <w:sz w:val="18"/>
      <w:szCs w:val="18"/>
    </w:rPr>
  </w:style>
  <w:style w:type="character" w:customStyle="1" w:styleId="16">
    <w:name w:val="页脚 Char"/>
    <w:basedOn w:val="11"/>
    <w:link w:val="7"/>
    <w:qFormat/>
    <w:uiPriority w:val="99"/>
    <w:rPr>
      <w:sz w:val="18"/>
      <w:szCs w:val="18"/>
    </w:rPr>
  </w:style>
  <w:style w:type="character" w:customStyle="1" w:styleId="17">
    <w:name w:val="标题 1 Char"/>
    <w:basedOn w:val="11"/>
    <w:link w:val="2"/>
    <w:uiPriority w:val="9"/>
    <w:rPr>
      <w:rFonts w:ascii="宋体" w:hAnsi="宋体" w:eastAsia="宋体" w:cs="宋体"/>
      <w:b/>
      <w:bCs/>
      <w:kern w:val="36"/>
      <w:sz w:val="48"/>
      <w:szCs w:val="48"/>
    </w:rPr>
  </w:style>
  <w:style w:type="character" w:customStyle="1" w:styleId="18">
    <w:name w:val="标题 3 Char"/>
    <w:basedOn w:val="11"/>
    <w:link w:val="3"/>
    <w:qFormat/>
    <w:uiPriority w:val="9"/>
    <w:rPr>
      <w:rFonts w:ascii="宋体" w:hAnsi="宋体" w:eastAsia="宋体" w:cs="宋体"/>
      <w:b/>
      <w:bCs/>
      <w:kern w:val="0"/>
      <w:sz w:val="27"/>
      <w:szCs w:val="27"/>
    </w:rPr>
  </w:style>
  <w:style w:type="character" w:customStyle="1" w:styleId="19">
    <w:name w:val="标题 4 Char"/>
    <w:basedOn w:val="11"/>
    <w:link w:val="4"/>
    <w:qFormat/>
    <w:uiPriority w:val="9"/>
    <w:rPr>
      <w:rFonts w:ascii="宋体" w:hAnsi="宋体" w:eastAsia="宋体" w:cs="宋体"/>
      <w:b/>
      <w:bCs/>
      <w:kern w:val="0"/>
      <w:sz w:val="24"/>
      <w:szCs w:val="24"/>
    </w:rPr>
  </w:style>
  <w:style w:type="character" w:customStyle="1" w:styleId="20">
    <w:name w:val="标题 5 Char"/>
    <w:basedOn w:val="11"/>
    <w:link w:val="5"/>
    <w:qFormat/>
    <w:uiPriority w:val="9"/>
    <w:rPr>
      <w:rFonts w:ascii="宋体" w:hAnsi="宋体" w:eastAsia="宋体" w:cs="宋体"/>
      <w:b/>
      <w:bCs/>
      <w:kern w:val="0"/>
      <w:sz w:val="20"/>
      <w:szCs w:val="20"/>
    </w:rPr>
  </w:style>
  <w:style w:type="character" w:customStyle="1" w:styleId="21">
    <w:name w:val="apple-converted-space"/>
    <w:basedOn w:val="11"/>
    <w:qFormat/>
    <w:uiPriority w:val="0"/>
  </w:style>
  <w:style w:type="character" w:customStyle="1" w:styleId="22">
    <w:name w:val="批注框文本 Char"/>
    <w:basedOn w:val="11"/>
    <w:link w:val="6"/>
    <w:semiHidden/>
    <w:qFormat/>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6741</Words>
  <Characters>7300</Characters>
  <Lines>54</Lines>
  <Paragraphs>15</Paragraphs>
  <TotalTime>0</TotalTime>
  <ScaleCrop>false</ScaleCrop>
  <LinksUpToDate>false</LinksUpToDate>
  <CharactersWithSpaces>7383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2017-04-09T08:58:00Z</dcterms:created>
  <dc:creator>pc</dc:creator>
  <cp:lastModifiedBy>太极箫客</cp:lastModifiedBy>
  <dcterms:modified xsi:type="dcterms:W3CDTF">2025-08-14T06:17:55Z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6CE4E8E81954424DAE63BC9033817E8B_12</vt:lpwstr>
  </property>
</Properties>
</file>