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045BF">
      <w:pPr>
        <w:widowControl/>
        <w:snapToGrid w:val="0"/>
        <w:spacing w:line="312" w:lineRule="auto"/>
        <w:outlineLvl w:val="0"/>
        <w:rPr>
          <w:rFonts w:ascii="Arial" w:hAnsi="Arial" w:eastAsia="宋体" w:cs="Arial"/>
          <w:b/>
          <w:bCs/>
          <w:color w:val="484138"/>
          <w:kern w:val="36"/>
          <w:sz w:val="36"/>
          <w:szCs w:val="36"/>
        </w:rPr>
      </w:pPr>
      <w:bookmarkStart w:id="0" w:name="_GoBack"/>
      <w:bookmarkEnd w:id="0"/>
      <w:r>
        <w:rPr>
          <w:rFonts w:ascii="Arial" w:hAnsi="Arial" w:eastAsia="宋体" w:cs="Arial"/>
          <w:b/>
          <w:bCs/>
          <w:color w:val="484138"/>
          <w:kern w:val="36"/>
          <w:sz w:val="36"/>
          <w:szCs w:val="36"/>
        </w:rPr>
        <w:t>II类特殊控制指导性文件：内毒素测定-行业和FDA工作人员指南</w:t>
      </w:r>
    </w:p>
    <w:p w14:paraId="28B09E02">
      <w:pPr>
        <w:widowControl/>
        <w:snapToGrid w:val="0"/>
        <w:spacing w:before="90" w:after="90" w:line="312" w:lineRule="auto"/>
        <w:rPr>
          <w:rFonts w:ascii="Arial" w:hAnsi="Arial" w:eastAsia="宋体" w:cs="Arial"/>
          <w:b/>
          <w:bCs/>
          <w:color w:val="000000"/>
          <w:kern w:val="0"/>
          <w:sz w:val="18"/>
        </w:rPr>
      </w:pPr>
      <w:r>
        <w:rPr>
          <w:rFonts w:ascii="Arial" w:hAnsi="Arial" w:eastAsia="宋体" w:cs="Arial"/>
          <w:b/>
          <w:bCs/>
          <w:color w:val="000000"/>
          <w:kern w:val="0"/>
          <w:sz w:val="18"/>
        </w:rPr>
        <w:t>文件发布日期：2003年10月31 日</w:t>
      </w:r>
    </w:p>
    <w:p w14:paraId="1AAA82AD">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有关本文件的问题，请联系微生物器械部，Freddie M. Poole，电话：301-796-5457或电子邮箱：</w:t>
      </w:r>
      <w:r>
        <w:rPr>
          <w:rFonts w:ascii="Arial" w:hAnsi="Arial" w:eastAsia="宋体" w:cs="Arial"/>
          <w:color w:val="800080"/>
          <w:kern w:val="0"/>
          <w:sz w:val="18"/>
          <w:szCs w:val="18"/>
        </w:rPr>
        <w:t>freddie.poole@fda.hhs.gov</w:t>
      </w:r>
      <w:r>
        <w:rPr>
          <w:rFonts w:ascii="Arial" w:hAnsi="Arial" w:eastAsia="宋体" w:cs="Arial"/>
          <w:color w:val="000000"/>
          <w:kern w:val="0"/>
          <w:sz w:val="18"/>
          <w:szCs w:val="18"/>
        </w:rPr>
        <w:t>。</w:t>
      </w:r>
    </w:p>
    <w:tbl>
      <w:tblPr>
        <w:tblStyle w:val="11"/>
        <w:tblW w:w="4900" w:type="pct"/>
        <w:tblCellSpacing w:w="0" w:type="dxa"/>
        <w:tblInd w:w="0" w:type="dxa"/>
        <w:tblLayout w:type="autofit"/>
        <w:tblCellMar>
          <w:top w:w="75" w:type="dxa"/>
          <w:left w:w="75" w:type="dxa"/>
          <w:bottom w:w="75" w:type="dxa"/>
          <w:right w:w="75" w:type="dxa"/>
        </w:tblCellMar>
      </w:tblPr>
      <w:tblGrid>
        <w:gridCol w:w="3158"/>
        <w:gridCol w:w="5129"/>
      </w:tblGrid>
      <w:tr w14:paraId="3980A0CC">
        <w:tblPrEx>
          <w:tblCellMar>
            <w:top w:w="75" w:type="dxa"/>
            <w:left w:w="75" w:type="dxa"/>
            <w:bottom w:w="75" w:type="dxa"/>
            <w:right w:w="75" w:type="dxa"/>
          </w:tblCellMar>
        </w:tblPrEx>
        <w:trPr>
          <w:trHeight w:val="1665" w:hRule="atLeast"/>
          <w:tblCellSpacing w:w="0" w:type="dxa"/>
        </w:trPr>
        <w:tc>
          <w:tcPr>
            <w:tcW w:w="0" w:type="auto"/>
            <w:shd w:val="clear" w:color="auto" w:fill="auto"/>
          </w:tcPr>
          <w:p w14:paraId="1A63F96C">
            <w:pPr>
              <w:widowControl/>
              <w:snapToGrid w:val="0"/>
              <w:spacing w:line="312" w:lineRule="auto"/>
              <w:rPr>
                <w:rFonts w:ascii="Arial" w:hAnsi="Arial" w:eastAsia="宋体" w:cs="Arial"/>
                <w:color w:val="000000"/>
                <w:kern w:val="0"/>
                <w:sz w:val="18"/>
                <w:szCs w:val="18"/>
              </w:rPr>
            </w:pPr>
            <w:r>
              <w:rPr>
                <w:rFonts w:ascii="Arial" w:hAnsi="Arial" w:eastAsia="宋体" w:cs="Arial"/>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c>
        <w:tc>
          <w:tcPr>
            <w:tcW w:w="0" w:type="auto"/>
            <w:shd w:val="clear" w:color="auto" w:fill="auto"/>
          </w:tcPr>
          <w:p w14:paraId="6EF09C0C">
            <w:pPr>
              <w:widowControl/>
              <w:snapToGrid w:val="0"/>
              <w:spacing w:before="63" w:after="63" w:line="312" w:lineRule="auto"/>
              <w:rPr>
                <w:rFonts w:ascii="Arial" w:hAnsi="Arial" w:eastAsia="宋体" w:cs="Arial"/>
                <w:b/>
                <w:bCs/>
                <w:color w:val="000000"/>
                <w:kern w:val="0"/>
                <w:sz w:val="18"/>
              </w:rPr>
            </w:pPr>
            <w:r>
              <w:rPr>
                <w:rFonts w:ascii="Arial" w:hAnsi="Arial" w:eastAsia="宋体" w:cs="Arial"/>
                <w:b/>
                <w:bCs/>
                <w:color w:val="000000"/>
                <w:kern w:val="0"/>
                <w:sz w:val="18"/>
              </w:rPr>
              <w:t>美国卫生与</w:t>
            </w:r>
            <w:r>
              <w:rPr>
                <w:rFonts w:hint="eastAsia" w:ascii="Arial" w:hAnsi="Arial" w:eastAsia="宋体" w:cs="Arial"/>
                <w:b/>
                <w:bCs/>
                <w:color w:val="000000"/>
                <w:kern w:val="0"/>
                <w:sz w:val="18"/>
              </w:rPr>
              <w:t>公众</w:t>
            </w:r>
            <w:r>
              <w:rPr>
                <w:rFonts w:ascii="Arial" w:hAnsi="Arial" w:eastAsia="宋体" w:cs="Arial"/>
                <w:b/>
                <w:bCs/>
                <w:color w:val="000000"/>
                <w:kern w:val="0"/>
                <w:sz w:val="18"/>
              </w:rPr>
              <w:t>服务部</w:t>
            </w:r>
          </w:p>
          <w:p w14:paraId="1F9F581F">
            <w:pPr>
              <w:widowControl/>
              <w:snapToGrid w:val="0"/>
              <w:spacing w:before="63" w:after="63" w:line="312" w:lineRule="auto"/>
              <w:rPr>
                <w:rFonts w:ascii="Arial" w:hAnsi="Arial" w:eastAsia="宋体" w:cs="Arial"/>
                <w:b/>
                <w:bCs/>
                <w:color w:val="000000"/>
                <w:kern w:val="0"/>
                <w:sz w:val="18"/>
              </w:rPr>
            </w:pPr>
            <w:r>
              <w:rPr>
                <w:rFonts w:ascii="Arial" w:hAnsi="Arial" w:eastAsia="宋体" w:cs="Arial"/>
                <w:b/>
                <w:bCs/>
                <w:color w:val="000000"/>
                <w:kern w:val="0"/>
                <w:sz w:val="18"/>
              </w:rPr>
              <w:t>食品药品监督管理局</w:t>
            </w:r>
          </w:p>
          <w:p w14:paraId="3F045622">
            <w:pPr>
              <w:widowControl/>
              <w:snapToGrid w:val="0"/>
              <w:spacing w:before="63" w:after="63" w:line="312" w:lineRule="auto"/>
              <w:rPr>
                <w:rFonts w:ascii="Arial" w:hAnsi="Arial" w:eastAsia="宋体" w:cs="Arial"/>
                <w:b/>
                <w:bCs/>
                <w:color w:val="000000"/>
                <w:kern w:val="0"/>
                <w:sz w:val="18"/>
              </w:rPr>
            </w:pPr>
            <w:r>
              <w:rPr>
                <w:rFonts w:ascii="Arial" w:hAnsi="Arial" w:eastAsia="宋体" w:cs="Arial"/>
                <w:b/>
                <w:bCs/>
                <w:color w:val="000000"/>
                <w:kern w:val="0"/>
                <w:sz w:val="18"/>
              </w:rPr>
              <w:t>器械</w:t>
            </w:r>
            <w:r>
              <w:rPr>
                <w:rFonts w:hint="eastAsia" w:ascii="Arial" w:hAnsi="Arial" w:eastAsia="宋体" w:cs="Arial"/>
                <w:b/>
                <w:bCs/>
                <w:color w:val="000000"/>
                <w:kern w:val="0"/>
                <w:sz w:val="18"/>
              </w:rPr>
              <w:t>与</w:t>
            </w:r>
            <w:r>
              <w:rPr>
                <w:rFonts w:ascii="Arial" w:hAnsi="Arial" w:eastAsia="宋体" w:cs="Arial"/>
                <w:b/>
                <w:bCs/>
                <w:color w:val="000000"/>
                <w:kern w:val="0"/>
                <w:sz w:val="18"/>
              </w:rPr>
              <w:t>放射</w:t>
            </w:r>
            <w:r>
              <w:rPr>
                <w:rFonts w:hint="eastAsia" w:ascii="Arial" w:hAnsi="Arial" w:eastAsia="宋体" w:cs="Arial"/>
                <w:b/>
                <w:bCs/>
                <w:color w:val="000000"/>
                <w:kern w:val="0"/>
                <w:sz w:val="18"/>
              </w:rPr>
              <w:t>健康</w:t>
            </w:r>
            <w:r>
              <w:rPr>
                <w:rFonts w:ascii="Arial" w:hAnsi="Arial" w:eastAsia="宋体" w:cs="Arial"/>
                <w:b/>
                <w:bCs/>
                <w:color w:val="000000"/>
                <w:kern w:val="0"/>
                <w:sz w:val="18"/>
              </w:rPr>
              <w:t>中心</w:t>
            </w:r>
          </w:p>
          <w:p w14:paraId="24692B06">
            <w:pPr>
              <w:widowControl/>
              <w:snapToGrid w:val="0"/>
              <w:spacing w:before="63" w:after="63" w:line="312" w:lineRule="auto"/>
              <w:rPr>
                <w:rFonts w:ascii="Arial" w:hAnsi="Arial" w:eastAsia="宋体" w:cs="Arial"/>
                <w:b/>
                <w:bCs/>
                <w:color w:val="000000"/>
                <w:kern w:val="0"/>
                <w:sz w:val="18"/>
              </w:rPr>
            </w:pPr>
            <w:r>
              <w:rPr>
                <w:rFonts w:ascii="Arial" w:hAnsi="Arial" w:eastAsia="宋体" w:cs="Arial"/>
                <w:b/>
                <w:bCs/>
                <w:color w:val="000000"/>
                <w:kern w:val="0"/>
                <w:sz w:val="18"/>
              </w:rPr>
              <w:t>微生物学器械部</w:t>
            </w:r>
          </w:p>
          <w:p w14:paraId="776A064D">
            <w:pPr>
              <w:widowControl/>
              <w:snapToGrid w:val="0"/>
              <w:spacing w:before="65" w:after="65" w:line="312" w:lineRule="auto"/>
              <w:rPr>
                <w:rFonts w:ascii="Arial" w:hAnsi="Arial" w:eastAsia="宋体" w:cs="Arial"/>
                <w:color w:val="000000"/>
                <w:kern w:val="0"/>
                <w:sz w:val="18"/>
                <w:szCs w:val="18"/>
              </w:rPr>
            </w:pPr>
            <w:r>
              <w:rPr>
                <w:rFonts w:ascii="Arial" w:hAnsi="Arial" w:eastAsia="宋体" w:cs="Arial"/>
                <w:b/>
                <w:bCs/>
                <w:color w:val="000000"/>
                <w:kern w:val="0"/>
                <w:sz w:val="18"/>
              </w:rPr>
              <w:t>体外诊断器械评价和安全办公室</w:t>
            </w:r>
          </w:p>
        </w:tc>
      </w:tr>
    </w:tbl>
    <w:p w14:paraId="16A59072">
      <w:pPr>
        <w:widowControl/>
        <w:snapToGrid w:val="0"/>
        <w:spacing w:line="312" w:lineRule="auto"/>
        <w:outlineLvl w:val="3"/>
        <w:rPr>
          <w:rFonts w:ascii="Arial" w:hAnsi="Arial" w:eastAsia="宋体" w:cs="Arial"/>
          <w:b/>
          <w:bCs/>
          <w:color w:val="000000"/>
          <w:kern w:val="0"/>
          <w:sz w:val="29"/>
          <w:szCs w:val="29"/>
        </w:rPr>
      </w:pPr>
      <w:r>
        <w:rPr>
          <w:rFonts w:ascii="Arial" w:hAnsi="Arial" w:eastAsia="宋体" w:cs="Arial"/>
          <w:b/>
          <w:bCs/>
          <w:color w:val="000000"/>
          <w:kern w:val="0"/>
          <w:sz w:val="29"/>
          <w:szCs w:val="29"/>
        </w:rPr>
        <w:t>前言</w:t>
      </w:r>
    </w:p>
    <w:p w14:paraId="68A33330">
      <w:pPr>
        <w:widowControl/>
        <w:snapToGrid w:val="0"/>
        <w:spacing w:line="312" w:lineRule="auto"/>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公共评论：</w:t>
      </w:r>
    </w:p>
    <w:p w14:paraId="52898E28">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贵公司可以随时提交书面评论和建议至食品药品监督管理局，人力资源和管理服务处，管理系统与政策司，文件管理部（5630 Fishers Lane，Room 1061，（HFA-305），Rockville，MD，20852）</w:t>
      </w:r>
      <w:r>
        <w:rPr>
          <w:rFonts w:hint="eastAsia" w:ascii="Arial" w:hAnsi="Arial" w:eastAsia="宋体" w:cs="Arial"/>
          <w:color w:val="000000"/>
          <w:kern w:val="0"/>
          <w:sz w:val="18"/>
          <w:szCs w:val="18"/>
        </w:rPr>
        <w:t>，供部门审议</w:t>
      </w:r>
      <w:r>
        <w:rPr>
          <w:rFonts w:ascii="Arial" w:hAnsi="Arial" w:eastAsia="宋体" w:cs="Arial"/>
          <w:color w:val="000000"/>
          <w:kern w:val="0"/>
          <w:sz w:val="18"/>
          <w:szCs w:val="18"/>
        </w:rPr>
        <w:t>。提交评论时请参考第2003D-0221号文件。</w:t>
      </w:r>
      <w:r>
        <w:rPr>
          <w:rFonts w:hint="eastAsia" w:ascii="Arial" w:hAnsi="Arial" w:eastAsia="宋体" w:cs="Arial"/>
          <w:color w:val="000000"/>
          <w:kern w:val="0"/>
          <w:sz w:val="18"/>
          <w:szCs w:val="18"/>
        </w:rPr>
        <w:t>可能直到文件下次修订或更新时，评论才会被机构受理。</w:t>
      </w:r>
    </w:p>
    <w:p w14:paraId="065CCF3A">
      <w:pPr>
        <w:widowControl/>
        <w:snapToGrid w:val="0"/>
        <w:spacing w:before="90" w:after="90" w:line="312" w:lineRule="auto"/>
        <w:rPr>
          <w:rFonts w:ascii="Arial" w:hAnsi="Arial" w:eastAsia="宋体" w:cs="Arial"/>
          <w:b/>
          <w:bCs/>
          <w:color w:val="000000"/>
          <w:kern w:val="0"/>
          <w:sz w:val="26"/>
          <w:szCs w:val="26"/>
        </w:rPr>
      </w:pPr>
      <w:r>
        <w:rPr>
          <w:rFonts w:ascii="Arial" w:hAnsi="Arial" w:eastAsia="宋体" w:cs="Arial"/>
          <w:b/>
          <w:bCs/>
          <w:color w:val="000000"/>
          <w:kern w:val="0"/>
          <w:sz w:val="26"/>
          <w:szCs w:val="26"/>
        </w:rPr>
        <w:t>其他副本</w:t>
      </w:r>
    </w:p>
    <w:p w14:paraId="1262CE5B">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其他副本可从互联网获得。</w:t>
      </w:r>
      <w:r>
        <w:fldChar w:fldCharType="begin"/>
      </w:r>
      <w:r>
        <w:instrText xml:space="preserve"> HYPERLINK "mailto:您还可以发送电子邮件请求todsmica@fda.hhs.gov" </w:instrText>
      </w:r>
      <w:r>
        <w:fldChar w:fldCharType="separate"/>
      </w:r>
      <w:r>
        <w:rPr>
          <w:rFonts w:ascii="Arial" w:hAnsi="Arial" w:eastAsia="宋体" w:cs="Arial"/>
          <w:color w:val="000000"/>
          <w:kern w:val="0"/>
          <w:sz w:val="18"/>
          <w:szCs w:val="18"/>
        </w:rPr>
        <w:t>贵公司还可以发送电子邮件请求至</w:t>
      </w:r>
      <w:r>
        <w:rPr>
          <w:rFonts w:ascii="Arial" w:hAnsi="Arial" w:eastAsia="宋体" w:cs="Arial"/>
          <w:color w:val="800080"/>
          <w:kern w:val="0"/>
          <w:sz w:val="18"/>
          <w:szCs w:val="18"/>
        </w:rPr>
        <w:t>todsmica@fda.hhs.gov</w:t>
      </w:r>
      <w:r>
        <w:rPr>
          <w:rFonts w:ascii="Arial" w:hAnsi="Arial" w:eastAsia="宋体" w:cs="Arial"/>
          <w:color w:val="800080"/>
          <w:kern w:val="0"/>
          <w:sz w:val="18"/>
          <w:szCs w:val="18"/>
        </w:rPr>
        <w:fldChar w:fldCharType="end"/>
      </w:r>
      <w:r>
        <w:rPr>
          <w:rFonts w:ascii="Arial" w:hAnsi="Arial" w:eastAsia="宋体" w:cs="Arial"/>
          <w:color w:val="000000"/>
          <w:kern w:val="0"/>
          <w:sz w:val="18"/>
          <w:szCs w:val="18"/>
        </w:rPr>
        <w:t>以接受本指南的电子副本或发送传真请求到301-827-8149以接受硬拷贝。请使用文件编号（1222）来标识贵公司所要求获得的指南。</w:t>
      </w:r>
    </w:p>
    <w:p w14:paraId="47E12CBA">
      <w:pPr>
        <w:widowControl/>
        <w:snapToGrid w:val="0"/>
        <w:spacing w:line="312" w:lineRule="auto"/>
        <w:outlineLvl w:val="1"/>
        <w:rPr>
          <w:rFonts w:ascii="Arial" w:hAnsi="Arial" w:eastAsia="宋体" w:cs="Arial"/>
          <w:b/>
          <w:bCs/>
          <w:color w:val="000000"/>
          <w:kern w:val="0"/>
          <w:sz w:val="32"/>
          <w:szCs w:val="32"/>
        </w:rPr>
      </w:pPr>
    </w:p>
    <w:p w14:paraId="247DAC1F">
      <w:pPr>
        <w:widowControl/>
        <w:snapToGrid w:val="0"/>
        <w:spacing w:line="312" w:lineRule="auto"/>
        <w:outlineLvl w:val="3"/>
        <w:rPr>
          <w:rFonts w:ascii="Arial" w:hAnsi="Arial" w:eastAsia="宋体" w:cs="Arial"/>
          <w:b/>
          <w:bCs/>
          <w:color w:val="000000"/>
          <w:kern w:val="0"/>
          <w:sz w:val="29"/>
          <w:szCs w:val="29"/>
        </w:rPr>
      </w:pPr>
      <w:r>
        <w:rPr>
          <w:rFonts w:ascii="Arial" w:hAnsi="Arial" w:eastAsia="宋体" w:cs="Arial"/>
          <w:b/>
          <w:bCs/>
          <w:color w:val="000000"/>
          <w:kern w:val="0"/>
          <w:sz w:val="29"/>
          <w:szCs w:val="29"/>
        </w:rPr>
        <w:t>目录</w:t>
      </w:r>
    </w:p>
    <w:p w14:paraId="63B5CB06">
      <w:pPr>
        <w:widowControl/>
        <w:snapToGrid w:val="0"/>
        <w:spacing w:before="90" w:after="90" w:line="312" w:lineRule="auto"/>
        <w:rPr>
          <w:rFonts w:ascii="Arial" w:hAnsi="Arial" w:eastAsia="宋体" w:cs="Arial"/>
          <w:color w:val="800080"/>
          <w:kern w:val="0"/>
          <w:sz w:val="18"/>
          <w:u w:val="single"/>
        </w:rPr>
      </w:pPr>
      <w:r>
        <w:rPr>
          <w:rFonts w:ascii="Arial" w:hAnsi="Arial" w:eastAsia="宋体" w:cs="Arial"/>
          <w:color w:val="800080"/>
          <w:kern w:val="0"/>
          <w:sz w:val="18"/>
          <w:u w:val="single"/>
        </w:rPr>
        <w:t>引言</w:t>
      </w:r>
    </w:p>
    <w:p w14:paraId="2C08DD86">
      <w:pPr>
        <w:widowControl/>
        <w:snapToGrid w:val="0"/>
        <w:spacing w:before="90" w:after="90" w:line="312" w:lineRule="auto"/>
        <w:rPr>
          <w:rFonts w:ascii="Arial" w:hAnsi="Arial" w:eastAsia="宋体" w:cs="Arial"/>
          <w:color w:val="800080"/>
          <w:kern w:val="0"/>
          <w:sz w:val="18"/>
          <w:u w:val="single"/>
        </w:rPr>
      </w:pPr>
      <w:r>
        <w:rPr>
          <w:rFonts w:ascii="Arial" w:hAnsi="Arial" w:eastAsia="宋体" w:cs="Arial"/>
          <w:color w:val="800080"/>
          <w:kern w:val="0"/>
          <w:sz w:val="18"/>
          <w:u w:val="single"/>
        </w:rPr>
        <w:t>背景</w:t>
      </w:r>
      <w:r>
        <w:rPr>
          <w:rFonts w:ascii="Arial" w:hAnsi="Arial" w:eastAsia="宋体" w:cs="Arial"/>
          <w:color w:val="800080"/>
          <w:kern w:val="0"/>
          <w:sz w:val="18"/>
          <w:u w:val="single"/>
        </w:rPr>
        <w:br w:type="textWrapping"/>
      </w:r>
      <w:r>
        <w:fldChar w:fldCharType="begin"/>
      </w:r>
      <w:r>
        <w:instrText xml:space="preserve"> HYPERLINK "http://www.fda.gov/MedicalDevices/DeviceRegulationandGuidance/GuidanceDocuments/ucm076925.htm" \l "3" </w:instrText>
      </w:r>
      <w:r>
        <w:fldChar w:fldCharType="separate"/>
      </w:r>
      <w:r>
        <w:rPr>
          <w:rFonts w:ascii="Arial" w:hAnsi="Arial" w:eastAsia="宋体" w:cs="Arial"/>
          <w:color w:val="800080"/>
          <w:kern w:val="0"/>
          <w:sz w:val="18"/>
          <w:u w:val="single"/>
        </w:rPr>
        <w:t>简化510（k）申报</w:t>
      </w:r>
      <w:r>
        <w:rPr>
          <w:rFonts w:ascii="Arial" w:hAnsi="Arial" w:eastAsia="宋体" w:cs="Arial"/>
          <w:color w:val="800080"/>
          <w:kern w:val="0"/>
          <w:sz w:val="18"/>
          <w:u w:val="single"/>
        </w:rPr>
        <w:fldChar w:fldCharType="end"/>
      </w:r>
      <w:r>
        <w:rPr>
          <w:rFonts w:ascii="Arial" w:hAnsi="Arial" w:eastAsia="宋体" w:cs="Arial"/>
          <w:color w:val="800080"/>
          <w:kern w:val="0"/>
          <w:sz w:val="18"/>
          <w:u w:val="single"/>
        </w:rPr>
        <w:t>文件的内容与格式</w:t>
      </w:r>
    </w:p>
    <w:p w14:paraId="46F5E836">
      <w:pPr>
        <w:widowControl/>
        <w:snapToGrid w:val="0"/>
        <w:spacing w:before="90" w:after="90" w:line="312" w:lineRule="auto"/>
        <w:rPr>
          <w:rFonts w:ascii="Arial" w:hAnsi="Arial" w:eastAsia="宋体" w:cs="Arial"/>
          <w:color w:val="800080"/>
          <w:kern w:val="0"/>
          <w:sz w:val="18"/>
          <w:u w:val="single"/>
        </w:rPr>
      </w:pPr>
      <w:r>
        <w:rPr>
          <w:rFonts w:ascii="Arial" w:hAnsi="Arial" w:eastAsia="宋体" w:cs="Arial"/>
          <w:color w:val="800080"/>
          <w:kern w:val="0"/>
          <w:sz w:val="18"/>
          <w:u w:val="single"/>
        </w:rPr>
        <w:t>范围</w:t>
      </w:r>
    </w:p>
    <w:p w14:paraId="01F382A1">
      <w:pPr>
        <w:widowControl/>
        <w:snapToGrid w:val="0"/>
        <w:spacing w:before="90" w:after="90" w:line="312" w:lineRule="auto"/>
        <w:rPr>
          <w:rFonts w:ascii="Arial" w:hAnsi="Arial" w:eastAsia="宋体" w:cs="Arial"/>
          <w:color w:val="800080"/>
          <w:kern w:val="0"/>
          <w:sz w:val="18"/>
          <w:u w:val="single"/>
        </w:rPr>
      </w:pPr>
      <w:r>
        <w:rPr>
          <w:rFonts w:ascii="Arial" w:hAnsi="Arial" w:eastAsia="宋体" w:cs="Arial"/>
          <w:color w:val="800080"/>
          <w:kern w:val="0"/>
          <w:sz w:val="18"/>
          <w:u w:val="single"/>
        </w:rPr>
        <w:t>健康风险</w:t>
      </w:r>
    </w:p>
    <w:p w14:paraId="7193557C">
      <w:pPr>
        <w:widowControl/>
        <w:snapToGrid w:val="0"/>
        <w:spacing w:before="90" w:after="90" w:line="312" w:lineRule="auto"/>
        <w:rPr>
          <w:rFonts w:ascii="Arial" w:hAnsi="Arial" w:eastAsia="宋体" w:cs="Arial"/>
          <w:color w:val="800080"/>
          <w:kern w:val="0"/>
          <w:sz w:val="18"/>
          <w:u w:val="single"/>
        </w:rPr>
      </w:pPr>
      <w:r>
        <w:rPr>
          <w:rFonts w:ascii="Arial" w:hAnsi="Arial" w:eastAsia="宋体" w:cs="Arial"/>
          <w:color w:val="800080"/>
          <w:kern w:val="0"/>
          <w:sz w:val="18"/>
          <w:u w:val="single"/>
        </w:rPr>
        <w:t>性能特性</w:t>
      </w:r>
    </w:p>
    <w:p w14:paraId="2BC4B939">
      <w:pPr>
        <w:widowControl/>
        <w:snapToGrid w:val="0"/>
        <w:spacing w:before="90" w:after="90" w:line="312" w:lineRule="auto"/>
        <w:rPr>
          <w:rFonts w:ascii="Arial" w:hAnsi="Arial" w:eastAsia="宋体" w:cs="Arial"/>
          <w:color w:val="800080"/>
          <w:kern w:val="0"/>
          <w:sz w:val="18"/>
          <w:u w:val="single"/>
        </w:rPr>
      </w:pPr>
      <w:r>
        <w:rPr>
          <w:rFonts w:ascii="Arial" w:hAnsi="Arial" w:eastAsia="宋体" w:cs="Arial"/>
          <w:color w:val="800080"/>
          <w:kern w:val="0"/>
          <w:sz w:val="18"/>
          <w:u w:val="single"/>
        </w:rPr>
        <w:t>方法比较</w:t>
      </w:r>
    </w:p>
    <w:p w14:paraId="3C43592D">
      <w:pPr>
        <w:widowControl/>
        <w:snapToGrid w:val="0"/>
        <w:spacing w:before="90" w:after="90" w:line="312" w:lineRule="auto"/>
        <w:rPr>
          <w:rFonts w:ascii="Arial" w:hAnsi="Arial" w:eastAsia="宋体" w:cs="Arial"/>
          <w:color w:val="800080"/>
          <w:kern w:val="0"/>
          <w:sz w:val="18"/>
          <w:u w:val="single"/>
        </w:rPr>
      </w:pPr>
      <w:r>
        <w:rPr>
          <w:rFonts w:ascii="Arial" w:hAnsi="Arial" w:eastAsia="宋体" w:cs="Arial"/>
          <w:color w:val="800080"/>
          <w:kern w:val="0"/>
          <w:sz w:val="18"/>
          <w:u w:val="single"/>
        </w:rPr>
        <w:t>标签</w:t>
      </w:r>
    </w:p>
    <w:p w14:paraId="0440DEDB">
      <w:pPr>
        <w:widowControl/>
        <w:snapToGrid w:val="0"/>
        <w:spacing w:before="90" w:after="90" w:line="312" w:lineRule="auto"/>
        <w:rPr>
          <w:rFonts w:ascii="Arial" w:hAnsi="Arial" w:eastAsia="宋体" w:cs="Arial"/>
          <w:color w:val="000000"/>
          <w:kern w:val="0"/>
          <w:sz w:val="18"/>
          <w:szCs w:val="18"/>
        </w:rPr>
      </w:pPr>
    </w:p>
    <w:p w14:paraId="6D34BDBF">
      <w:pPr>
        <w:widowControl/>
        <w:snapToGrid w:val="0"/>
        <w:spacing w:line="312" w:lineRule="auto"/>
        <w:outlineLvl w:val="2"/>
        <w:rPr>
          <w:rFonts w:ascii="Arial" w:hAnsi="Arial" w:eastAsia="宋体" w:cs="Arial"/>
          <w:b/>
          <w:bCs/>
          <w:color w:val="000000"/>
          <w:kern w:val="0"/>
          <w:sz w:val="32"/>
        </w:rPr>
      </w:pPr>
      <w:r>
        <w:rPr>
          <w:rFonts w:ascii="Arial" w:hAnsi="Arial" w:eastAsia="宋体" w:cs="Arial"/>
          <w:b/>
          <w:bCs/>
          <w:color w:val="000000"/>
          <w:kern w:val="0"/>
          <w:sz w:val="30"/>
          <w:szCs w:val="30"/>
        </w:rPr>
        <w:br w:type="textWrapping"/>
      </w:r>
    </w:p>
    <w:p w14:paraId="5549B792">
      <w:pPr>
        <w:widowControl/>
        <w:jc w:val="left"/>
        <w:rPr>
          <w:rFonts w:ascii="Arial" w:hAnsi="Arial" w:eastAsia="宋体" w:cs="Arial"/>
          <w:b/>
          <w:bCs/>
          <w:color w:val="000000"/>
          <w:kern w:val="0"/>
          <w:sz w:val="32"/>
        </w:rPr>
      </w:pPr>
      <w:r>
        <w:rPr>
          <w:rFonts w:ascii="Arial" w:hAnsi="Arial" w:eastAsia="宋体" w:cs="Arial"/>
          <w:b/>
          <w:bCs/>
          <w:color w:val="000000"/>
          <w:kern w:val="0"/>
          <w:sz w:val="32"/>
        </w:rPr>
        <w:br w:type="page"/>
      </w:r>
    </w:p>
    <w:p w14:paraId="47B236DF">
      <w:pPr>
        <w:widowControl/>
        <w:snapToGrid w:val="0"/>
        <w:spacing w:line="312" w:lineRule="auto"/>
        <w:jc w:val="center"/>
        <w:rPr>
          <w:rFonts w:ascii="Arial" w:hAnsi="Arial" w:eastAsia="宋体" w:cs="Arial"/>
          <w:b/>
          <w:bCs/>
          <w:color w:val="000000"/>
          <w:kern w:val="0"/>
          <w:sz w:val="30"/>
          <w:szCs w:val="30"/>
        </w:rPr>
      </w:pPr>
      <w:r>
        <w:rPr>
          <w:rFonts w:ascii="Arial" w:hAnsi="Arial" w:eastAsia="宋体" w:cs="Arial"/>
          <w:b/>
          <w:bCs/>
          <w:color w:val="000000"/>
          <w:kern w:val="0"/>
          <w:sz w:val="32"/>
        </w:rPr>
        <w:t>行业和FDA工作人员指南</w:t>
      </w:r>
    </w:p>
    <w:p w14:paraId="02AA56AB">
      <w:pPr>
        <w:widowControl/>
        <w:snapToGrid w:val="0"/>
        <w:spacing w:before="90" w:after="90" w:line="312" w:lineRule="auto"/>
        <w:jc w:val="center"/>
        <w:rPr>
          <w:rFonts w:ascii="Arial" w:hAnsi="Arial" w:eastAsia="宋体" w:cs="Arial"/>
          <w:b/>
          <w:bCs/>
          <w:color w:val="000000"/>
          <w:kern w:val="0"/>
          <w:sz w:val="30"/>
          <w:szCs w:val="30"/>
        </w:rPr>
      </w:pPr>
      <w:r>
        <w:rPr>
          <w:rFonts w:ascii="Arial" w:hAnsi="Arial" w:eastAsia="宋体" w:cs="Arial"/>
          <w:b/>
          <w:bCs/>
          <w:color w:val="000000"/>
          <w:kern w:val="0"/>
          <w:sz w:val="30"/>
          <w:szCs w:val="30"/>
        </w:rPr>
        <w:t>II类特殊控制指导性文件：内毒素测定</w:t>
      </w:r>
    </w:p>
    <w:p w14:paraId="5BCB9AD0">
      <w:pPr>
        <w:widowControl/>
        <w:snapToGrid w:val="0"/>
        <w:spacing w:line="312" w:lineRule="auto"/>
        <w:outlineLvl w:val="2"/>
        <w:rPr>
          <w:rFonts w:ascii="Arial" w:hAnsi="Arial" w:eastAsia="宋体" w:cs="Arial"/>
          <w:b/>
          <w:bCs/>
          <w:color w:val="000000"/>
          <w:kern w:val="0"/>
          <w:sz w:val="30"/>
          <w:szCs w:val="30"/>
        </w:rPr>
      </w:pPr>
    </w:p>
    <w:p w14:paraId="2CFEFC5A">
      <w:pPr>
        <w:widowControl/>
        <w:snapToGrid w:val="0"/>
        <w:spacing w:before="360" w:after="360" w:line="312" w:lineRule="auto"/>
        <w:rPr>
          <w:rFonts w:ascii="Arial" w:hAnsi="Arial" w:eastAsia="宋体" w:cs="Arial"/>
          <w:kern w:val="0"/>
          <w:sz w:val="24"/>
          <w:szCs w:val="24"/>
        </w:rPr>
      </w:pPr>
      <w:r>
        <w:rPr>
          <w:rFonts w:ascii="Arial" w:hAnsi="Arial" w:eastAsia="宋体" w:cs="Arial"/>
          <w:kern w:val="0"/>
          <w:sz w:val="24"/>
          <w:szCs w:val="24"/>
        </w:rPr>
        <w:pict>
          <v:rect id="_x0000_i1025" o:spt="1" style="height:0.75pt;width:0pt;" fillcolor="#000000" filled="t" stroked="f" coordsize="21600,21600" o:hr="t" o:hrstd="t" o:hrnoshade="t">
            <v:path/>
            <v:fill on="t" focussize="0,0"/>
            <v:stroke on="f"/>
            <v:imagedata o:title=""/>
            <o:lock v:ext="edit"/>
            <w10:wrap type="none"/>
            <w10:anchorlock/>
          </v:rect>
        </w:pict>
      </w:r>
    </w:p>
    <w:p w14:paraId="4D23CA8F">
      <w:pPr>
        <w:widowControl/>
        <w:snapToGrid w:val="0"/>
        <w:spacing w:line="312" w:lineRule="auto"/>
        <w:outlineLvl w:val="0"/>
        <w:rPr>
          <w:rFonts w:ascii="Arial" w:hAnsi="Arial" w:eastAsia="宋体" w:cs="Arial"/>
          <w:b/>
          <w:bCs/>
          <w:color w:val="000000"/>
          <w:kern w:val="0"/>
          <w:sz w:val="29"/>
          <w:szCs w:val="29"/>
        </w:rPr>
      </w:pPr>
      <w:r>
        <w:rPr>
          <w:rFonts w:ascii="Arial" w:hAnsi="Arial" w:eastAsia="宋体" w:cs="Arial"/>
          <w:b/>
          <w:bCs/>
          <w:color w:val="000000"/>
          <w:kern w:val="0"/>
          <w:sz w:val="29"/>
          <w:szCs w:val="29"/>
        </w:rPr>
        <w:t>1.引言</w:t>
      </w:r>
    </w:p>
    <w:p w14:paraId="79594746">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本文件作为特殊控制而编制，以支持将内毒素测定分类为II类（特殊控制）。内毒素测定是在全血中使用血清学技术的器械。该器械旨在与其他实验室结果和患者的临床评估结合使用，以针对严重败血症帮助对危重患者进行风险评估。</w:t>
      </w:r>
    </w:p>
    <w:p w14:paraId="711E9CD3">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本指南与联邦公告通告一起发布，以宣布内毒素测定的分类。</w:t>
      </w:r>
    </w:p>
    <w:p w14:paraId="0C09FF84">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该公司必须证明，其器械已通过满足本指南的建议或通过提供等同的安全性和有效性保证的其他方法解决了本指南中确定的安全性和有效性问题。</w:t>
      </w:r>
    </w:p>
    <w:p w14:paraId="64626F77">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b/>
          <w:bCs/>
          <w:color w:val="000000"/>
          <w:kern w:val="0"/>
          <w:sz w:val="18"/>
        </w:rPr>
        <w:t>最小负担法</w:t>
      </w:r>
    </w:p>
    <w:p w14:paraId="233D7D6C">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本指导性文件中确定的问题代表我们认为在贵公司的器械可上市之前需要解决的问题。在制定本指南时，我们仔细考虑了相关法定标准以便于本审查机构做出决定。我们还考虑了贵公司尝试遵守本指南并解决我们确定的问题时可能产生的负担。我们认为，我们已采用了最小负担法来解决本指导性文件中提出的问题。但是，如果贵公司认为有负担更小的方式可以用于解决这些问题，则贵公司应遵循文件“</w:t>
      </w:r>
      <w:r>
        <w:rPr>
          <w:rFonts w:ascii="Arial" w:hAnsi="Arial" w:eastAsia="宋体" w:cs="Arial"/>
          <w:color w:val="800080"/>
          <w:kern w:val="0"/>
          <w:sz w:val="18"/>
          <w:szCs w:val="18"/>
          <w:u w:val="single"/>
        </w:rPr>
        <w:t>解决最小负担问题的建议方法</w:t>
      </w:r>
      <w:r>
        <w:rPr>
          <w:rFonts w:ascii="Arial" w:hAnsi="Arial" w:eastAsia="宋体" w:cs="Arial"/>
          <w:color w:val="000000"/>
          <w:kern w:val="0"/>
          <w:sz w:val="18"/>
          <w:szCs w:val="18"/>
        </w:rPr>
        <w:t>”中概述的程序。</w:t>
      </w:r>
    </w:p>
    <w:p w14:paraId="62EC9666">
      <w:pPr>
        <w:widowControl/>
        <w:snapToGrid w:val="0"/>
        <w:spacing w:line="312" w:lineRule="auto"/>
        <w:outlineLvl w:val="0"/>
        <w:rPr>
          <w:rFonts w:ascii="Arial" w:hAnsi="Arial" w:eastAsia="宋体" w:cs="Arial"/>
          <w:b/>
          <w:bCs/>
          <w:color w:val="000000"/>
          <w:kern w:val="0"/>
          <w:sz w:val="29"/>
          <w:szCs w:val="29"/>
        </w:rPr>
      </w:pPr>
      <w:r>
        <w:rPr>
          <w:rFonts w:ascii="Arial" w:hAnsi="Arial" w:eastAsia="宋体" w:cs="Arial"/>
          <w:b/>
          <w:bCs/>
          <w:color w:val="000000"/>
          <w:kern w:val="0"/>
          <w:sz w:val="29"/>
          <w:szCs w:val="29"/>
        </w:rPr>
        <w:t>2.背景</w:t>
      </w:r>
    </w:p>
    <w:p w14:paraId="65A7D82F">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拟上市此通用类型器械的制造商应（1）遵守联邦食品，药品和化妆品法案（该法）的一般控制，包括</w:t>
      </w:r>
      <w:r>
        <w:rPr>
          <w:rFonts w:ascii="Arial" w:hAnsi="Arial" w:eastAsia="宋体" w:cs="Arial"/>
          <w:color w:val="800080"/>
          <w:kern w:val="0"/>
          <w:sz w:val="18"/>
          <w:szCs w:val="18"/>
        </w:rPr>
        <w:t>21 CFR 807</w:t>
      </w:r>
      <w:r>
        <w:rPr>
          <w:rFonts w:ascii="Arial" w:hAnsi="Arial" w:eastAsia="宋体" w:cs="Arial"/>
          <w:color w:val="000000"/>
          <w:kern w:val="0"/>
          <w:sz w:val="18"/>
          <w:szCs w:val="18"/>
        </w:rPr>
        <w:t>子部分E中所述的上市前通告要求，（2）处理本指南中确定的与内毒素测定相关的特定健康风险，以及（3）在上市该器械之前从FDA获得实质等同性测定，除非以获得免于遵守该法案的上市前通告要求的授权（请参见</w:t>
      </w:r>
      <w:r>
        <w:rPr>
          <w:rFonts w:ascii="Arial" w:hAnsi="Arial" w:eastAsia="宋体" w:cs="Arial"/>
          <w:color w:val="800080"/>
          <w:kern w:val="0"/>
          <w:sz w:val="18"/>
          <w:szCs w:val="18"/>
        </w:rPr>
        <w:t>21 CFR 807.85</w:t>
      </w:r>
      <w:r>
        <w:rPr>
          <w:rFonts w:ascii="Arial" w:hAnsi="Arial" w:eastAsia="宋体" w:cs="Arial"/>
          <w:color w:val="000000"/>
          <w:kern w:val="0"/>
          <w:sz w:val="18"/>
          <w:szCs w:val="18"/>
        </w:rPr>
        <w:t>）。</w:t>
      </w:r>
    </w:p>
    <w:p w14:paraId="1B53F9C1">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本指导性文件确定了内毒素测定的分类规则和产品代码。（</w:t>
      </w:r>
      <w:r>
        <w:rPr>
          <w:rFonts w:ascii="Arial" w:hAnsi="Arial" w:eastAsia="宋体" w:cs="Arial"/>
          <w:color w:val="800080"/>
          <w:kern w:val="0"/>
          <w:sz w:val="18"/>
          <w:szCs w:val="18"/>
        </w:rPr>
        <w:t>请参见第4节 - 范围</w:t>
      </w:r>
      <w:r>
        <w:rPr>
          <w:rFonts w:ascii="Arial" w:hAnsi="Arial" w:eastAsia="宋体" w:cs="Arial"/>
          <w:color w:val="000000"/>
          <w:kern w:val="0"/>
          <w:sz w:val="18"/>
          <w:szCs w:val="18"/>
        </w:rPr>
        <w:t>）。此外，本指导性文件的其他部分列出了FDA确定的健康风险，并对如果制造商遵守并结合一般控制措施通常可解决与这些测定相关的风险并使上市前通告[510 （k）]审查和许可及时进行的措施进行了说明。本文件补充有关上市前通告提交资料的具体内容要求的其他FDA文件。贵公司还应参考21 CFR 807.87和其他有关本主题的FDA文件，如上市前通告 510（k）。</w:t>
      </w:r>
    </w:p>
    <w:p w14:paraId="585166DB">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398C1E40">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根据“</w:t>
      </w:r>
      <w:r>
        <w:rPr>
          <w:rFonts w:ascii="Arial" w:hAnsi="Arial" w:eastAsia="宋体" w:cs="Arial"/>
          <w:b/>
          <w:color w:val="000000"/>
          <w:kern w:val="0"/>
          <w:sz w:val="18"/>
          <w:szCs w:val="18"/>
        </w:rPr>
        <w:t>新版510（k）范式 - 在上市前通告中证明实质等同性的替代方法；最终指南</w:t>
      </w:r>
      <w:r>
        <w:rPr>
          <w:rFonts w:ascii="Arial" w:hAnsi="Arial" w:eastAsia="宋体" w:cs="Arial"/>
          <w:b/>
          <w:color w:val="000000"/>
          <w:kern w:val="0"/>
          <w:sz w:val="18"/>
          <w:szCs w:val="18"/>
          <w:vertAlign w:val="superscript"/>
        </w:rPr>
        <w:t>1</w:t>
      </w:r>
      <w:r>
        <w:rPr>
          <w:rFonts w:ascii="Arial" w:hAnsi="Arial" w:eastAsia="宋体" w:cs="Arial"/>
          <w:color w:val="000000"/>
          <w:kern w:val="0"/>
          <w:sz w:val="18"/>
          <w:szCs w:val="18"/>
        </w:rPr>
        <w:t>”，制造商可以提交传统510（k）或简化510（k）。FDA认为，简化510（k）提供了用于证明新器械的实质等同性的且负担最小的手段，特别是在FDA已发布某一指导性文件后，且该文件提供了有关器械提交资料应涉及什么内容的建议。考虑修改其自己已许可器械的制造商可以通过提交特殊510（k）来减轻监管负担。</w:t>
      </w:r>
    </w:p>
    <w:p w14:paraId="6FE4555C">
      <w:pPr>
        <w:widowControl/>
        <w:snapToGrid w:val="0"/>
        <w:spacing w:before="360" w:after="360" w:line="312" w:lineRule="auto"/>
        <w:rPr>
          <w:rFonts w:ascii="Arial" w:hAnsi="Arial" w:eastAsia="宋体" w:cs="Arial"/>
          <w:kern w:val="0"/>
          <w:sz w:val="24"/>
          <w:szCs w:val="24"/>
        </w:rPr>
      </w:pPr>
      <w:r>
        <w:rPr>
          <w:rFonts w:ascii="Arial" w:hAnsi="Arial" w:eastAsia="宋体" w:cs="Arial"/>
          <w:kern w:val="0"/>
          <w:sz w:val="24"/>
          <w:szCs w:val="24"/>
        </w:rPr>
        <w:pict>
          <v:rect id="_x0000_i1026" o:spt="1" style="height:0.75pt;width:150pt;" fillcolor="#000000" filled="t" stroked="f" coordsize="21600,21600" o:hr="t" o:hrstd="t" o:hrnoshade="t" o:hrpct="0">
            <v:path/>
            <v:fill on="t" focussize="0,0"/>
            <v:stroke on="f"/>
            <v:imagedata o:title=""/>
            <o:lock v:ext="edit"/>
            <w10:wrap type="none"/>
            <w10:anchorlock/>
          </v:rect>
        </w:pict>
      </w:r>
    </w:p>
    <w:p w14:paraId="25AB9439">
      <w:pPr>
        <w:widowControl/>
        <w:snapToGrid w:val="0"/>
        <w:spacing w:before="90" w:after="90" w:line="312" w:lineRule="auto"/>
        <w:rPr>
          <w:rFonts w:ascii="Arial" w:hAnsi="Arial" w:eastAsia="宋体" w:cs="Arial"/>
          <w:color w:val="800080"/>
          <w:kern w:val="0"/>
          <w:sz w:val="18"/>
          <w:szCs w:val="18"/>
          <w:u w:val="single"/>
        </w:rPr>
      </w:pPr>
      <w:r>
        <w:rPr>
          <w:rFonts w:ascii="Arial" w:hAnsi="Arial" w:eastAsia="宋体" w:cs="Arial"/>
          <w:color w:val="000000"/>
          <w:kern w:val="0"/>
          <w:sz w:val="20"/>
          <w:szCs w:val="20"/>
          <w:vertAlign w:val="superscript"/>
        </w:rPr>
        <w:t>1</w:t>
      </w:r>
      <w:r>
        <w:rPr>
          <w:rFonts w:ascii="Arial" w:hAnsi="Arial" w:eastAsia="宋体" w:cs="Arial"/>
          <w:color w:val="800080"/>
          <w:kern w:val="0"/>
          <w:sz w:val="18"/>
          <w:szCs w:val="18"/>
          <w:u w:val="single"/>
        </w:rPr>
        <w:t>新版510（k）范式</w:t>
      </w:r>
    </w:p>
    <w:p w14:paraId="42621477">
      <w:pPr>
        <w:widowControl/>
        <w:snapToGrid w:val="0"/>
        <w:spacing w:line="312" w:lineRule="auto"/>
        <w:outlineLvl w:val="0"/>
        <w:rPr>
          <w:rFonts w:ascii="Arial" w:hAnsi="Arial" w:eastAsia="宋体" w:cs="Arial"/>
          <w:b/>
          <w:bCs/>
          <w:color w:val="000000"/>
          <w:kern w:val="0"/>
          <w:sz w:val="29"/>
          <w:szCs w:val="29"/>
        </w:rPr>
      </w:pPr>
      <w:r>
        <w:rPr>
          <w:rFonts w:ascii="Arial" w:hAnsi="Arial" w:eastAsia="宋体" w:cs="Arial"/>
          <w:b/>
          <w:bCs/>
          <w:color w:val="000000"/>
          <w:kern w:val="0"/>
          <w:sz w:val="29"/>
          <w:szCs w:val="29"/>
        </w:rPr>
        <w:t>3.简化510（k）提交资料的内容和格式</w:t>
      </w:r>
    </w:p>
    <w:p w14:paraId="1F4A1E09">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简化510（k）提交资料必须含有21 CFR 807.87中确定的所需成分，包括用于描述器械、其预期用途及其使用说明的器械建议标签。在简化510（k）中，FDA可以将总结报告的内容视为21 CFR 807.87（f）或（g）所指的适当支持性数据；因此，我们建议贵公司提供总结报告。该报告应说明在器械开发和试验过程中如何使用本指导性文件以及所使用的方法或试验。报告还应提供应用于解决本文件中确定的风险的试验数据的总结或对验收标准的说明，以及贵公司的器械特有的任何其他风险。本节就用于满足21 CFR 807.87中的一些要求的信息以及我们建议贵公司在简化510（k）中提供的其他一些项目提供建议。</w:t>
      </w:r>
    </w:p>
    <w:p w14:paraId="775780BB">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b/>
          <w:bCs/>
          <w:color w:val="000000"/>
          <w:kern w:val="0"/>
          <w:sz w:val="18"/>
        </w:rPr>
        <w:t>封面</w:t>
      </w:r>
    </w:p>
    <w:p w14:paraId="59456FFE">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color w:val="000000"/>
          <w:kern w:val="0"/>
          <w:sz w:val="18"/>
          <w:szCs w:val="18"/>
        </w:rPr>
        <w:t>封面应明显将提交资料标注为简化510（k），并引用本指导性文件的标题。</w:t>
      </w:r>
    </w:p>
    <w:p w14:paraId="185DFE2A">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b/>
          <w:bCs/>
          <w:color w:val="000000"/>
          <w:kern w:val="0"/>
          <w:sz w:val="18"/>
        </w:rPr>
        <w:t>建议标签</w:t>
      </w:r>
    </w:p>
    <w:p w14:paraId="57E6461A">
      <w:pPr>
        <w:widowControl/>
        <w:snapToGrid w:val="0"/>
        <w:spacing w:before="78" w:after="78" w:line="312" w:lineRule="auto"/>
        <w:rPr>
          <w:rFonts w:ascii="Arial" w:hAnsi="Arial" w:eastAsia="宋体" w:cs="Arial"/>
          <w:color w:val="000000"/>
          <w:kern w:val="0"/>
          <w:sz w:val="18"/>
          <w:szCs w:val="18"/>
        </w:rPr>
      </w:pPr>
    </w:p>
    <w:p w14:paraId="1ADF364E">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建议标签应足以说明器械、其预期用途及其使用说明。（有关我们建议贵公司纳入用于此器械类型的标签中的具体信息，请参见</w:t>
      </w:r>
      <w:r>
        <w:rPr>
          <w:rFonts w:ascii="Arial" w:hAnsi="Arial" w:eastAsia="宋体" w:cs="Arial"/>
          <w:color w:val="800080"/>
          <w:kern w:val="0"/>
          <w:sz w:val="18"/>
          <w:szCs w:val="18"/>
          <w:u w:val="single"/>
        </w:rPr>
        <w:t>第8节</w:t>
      </w:r>
      <w:r>
        <w:rPr>
          <w:rFonts w:ascii="Arial" w:hAnsi="Arial" w:eastAsia="宋体" w:cs="Arial"/>
          <w:color w:val="000000"/>
          <w:kern w:val="0"/>
          <w:sz w:val="18"/>
          <w:szCs w:val="18"/>
        </w:rPr>
        <w:t>。）</w:t>
      </w:r>
    </w:p>
    <w:p w14:paraId="0C58DBA7">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b/>
          <w:bCs/>
          <w:color w:val="000000"/>
          <w:kern w:val="0"/>
          <w:sz w:val="18"/>
        </w:rPr>
        <w:t>总结报告</w:t>
      </w:r>
    </w:p>
    <w:p w14:paraId="3417AD80">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我们建议总结报告应包含：</w:t>
      </w:r>
    </w:p>
    <w:p w14:paraId="1F699E19">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6FEE5F24">
      <w:pPr>
        <w:pStyle w:val="25"/>
        <w:widowControl/>
        <w:numPr>
          <w:ilvl w:val="0"/>
          <w:numId w:val="1"/>
        </w:numPr>
        <w:snapToGrid w:val="0"/>
        <w:spacing w:line="312" w:lineRule="auto"/>
        <w:ind w:left="685" w:leftChars="180" w:hanging="307" w:hangingChars="171"/>
        <w:rPr>
          <w:rFonts w:ascii="Arial" w:hAnsi="Arial" w:eastAsia="宋体" w:cs="Arial"/>
          <w:color w:val="000000"/>
          <w:kern w:val="0"/>
          <w:sz w:val="18"/>
          <w:szCs w:val="18"/>
        </w:rPr>
      </w:pPr>
      <w:r>
        <w:rPr>
          <w:rFonts w:ascii="Arial" w:hAnsi="Arial" w:eastAsia="宋体" w:cs="Arial"/>
          <w:color w:val="000000"/>
          <w:kern w:val="0"/>
          <w:sz w:val="18"/>
          <w:szCs w:val="18"/>
        </w:rPr>
        <w:t>器械及其预期用途说明。我们建议说明应包括对性能规格的完整讨论，以及详细标记的器械图纸（如果适用）。贵公司还应提交“适应症”附件。</w:t>
      </w:r>
      <w:r>
        <w:rPr>
          <w:rFonts w:ascii="Arial" w:hAnsi="Arial" w:eastAsia="宋体" w:cs="Arial"/>
          <w:color w:val="000000"/>
          <w:kern w:val="0"/>
          <w:sz w:val="18"/>
          <w:szCs w:val="18"/>
          <w:vertAlign w:val="superscript"/>
        </w:rPr>
        <w:t>2</w:t>
      </w:r>
    </w:p>
    <w:p w14:paraId="26C4E044">
      <w:pPr>
        <w:pStyle w:val="25"/>
        <w:widowControl/>
        <w:numPr>
          <w:ilvl w:val="0"/>
          <w:numId w:val="1"/>
        </w:numPr>
        <w:snapToGrid w:val="0"/>
        <w:spacing w:line="312" w:lineRule="auto"/>
        <w:ind w:left="685" w:leftChars="180" w:hanging="307" w:hangingChars="171"/>
        <w:rPr>
          <w:rFonts w:ascii="Arial" w:hAnsi="Arial" w:eastAsia="宋体" w:cs="Arial"/>
          <w:color w:val="000000"/>
          <w:kern w:val="0"/>
          <w:sz w:val="18"/>
          <w:szCs w:val="18"/>
        </w:rPr>
      </w:pPr>
      <w:r>
        <w:rPr>
          <w:rFonts w:ascii="Arial" w:hAnsi="Arial" w:eastAsia="宋体" w:cs="Arial"/>
          <w:color w:val="000000"/>
          <w:kern w:val="0"/>
          <w:sz w:val="18"/>
          <w:szCs w:val="18"/>
        </w:rPr>
        <w:t>对器械设计要求的说明。</w:t>
      </w:r>
    </w:p>
    <w:p w14:paraId="1C9AB10C">
      <w:pPr>
        <w:pStyle w:val="25"/>
        <w:widowControl/>
        <w:numPr>
          <w:ilvl w:val="0"/>
          <w:numId w:val="1"/>
        </w:numPr>
        <w:snapToGrid w:val="0"/>
        <w:spacing w:line="312" w:lineRule="auto"/>
        <w:ind w:left="685" w:leftChars="180" w:hanging="307" w:hangingChars="171"/>
        <w:rPr>
          <w:rFonts w:ascii="Arial" w:hAnsi="Arial" w:eastAsia="宋体" w:cs="Arial"/>
          <w:color w:val="000000"/>
          <w:kern w:val="0"/>
          <w:sz w:val="18"/>
          <w:szCs w:val="18"/>
        </w:rPr>
      </w:pPr>
      <w:r>
        <w:rPr>
          <w:rFonts w:ascii="Arial" w:hAnsi="Arial" w:eastAsia="宋体" w:cs="Arial"/>
          <w:color w:val="000000"/>
          <w:kern w:val="0"/>
          <w:sz w:val="18"/>
          <w:szCs w:val="18"/>
        </w:rPr>
        <w:t>确定用于评估风险概况的风险分析方法，以及具体器械的设计和此分析的结果。（有关通常与使用该器械有关的健康风险，请参见</w:t>
      </w:r>
      <w:r>
        <w:rPr>
          <w:rFonts w:ascii="Arial" w:hAnsi="Arial" w:eastAsia="宋体" w:cs="Arial"/>
          <w:color w:val="800080"/>
          <w:kern w:val="0"/>
          <w:sz w:val="18"/>
          <w:szCs w:val="18"/>
          <w:u w:val="single"/>
        </w:rPr>
        <w:t>第5节</w:t>
      </w:r>
      <w:r>
        <w:rPr>
          <w:rFonts w:ascii="Arial" w:hAnsi="Arial" w:eastAsia="宋体" w:cs="Arial"/>
          <w:color w:val="000000"/>
          <w:kern w:val="0"/>
          <w:sz w:val="18"/>
          <w:szCs w:val="18"/>
        </w:rPr>
        <w:t>。）</w:t>
      </w:r>
    </w:p>
    <w:p w14:paraId="178528EF">
      <w:pPr>
        <w:pStyle w:val="25"/>
        <w:widowControl/>
        <w:numPr>
          <w:ilvl w:val="0"/>
          <w:numId w:val="1"/>
        </w:numPr>
        <w:snapToGrid w:val="0"/>
        <w:spacing w:line="312" w:lineRule="auto"/>
        <w:ind w:left="685" w:leftChars="180" w:hanging="307" w:hangingChars="171"/>
        <w:rPr>
          <w:rFonts w:ascii="Arial" w:hAnsi="Arial" w:eastAsia="宋体" w:cs="Arial"/>
          <w:color w:val="000000"/>
          <w:kern w:val="0"/>
          <w:sz w:val="18"/>
          <w:szCs w:val="18"/>
        </w:rPr>
      </w:pPr>
      <w:r>
        <w:rPr>
          <w:rFonts w:ascii="Arial" w:hAnsi="Arial" w:eastAsia="宋体" w:cs="Arial"/>
          <w:color w:val="000000"/>
          <w:kern w:val="0"/>
          <w:sz w:val="18"/>
          <w:szCs w:val="18"/>
        </w:rPr>
        <w:t>讨论解决本指导性文件中确定的风险的器械特性以及贵公司的风险分析中确定的任何其他风险。</w:t>
      </w:r>
    </w:p>
    <w:p w14:paraId="4BB13F9A">
      <w:pPr>
        <w:pStyle w:val="25"/>
        <w:widowControl/>
        <w:numPr>
          <w:ilvl w:val="0"/>
          <w:numId w:val="1"/>
        </w:numPr>
        <w:snapToGrid w:val="0"/>
        <w:spacing w:line="312" w:lineRule="auto"/>
        <w:ind w:left="685" w:leftChars="180" w:hanging="307" w:hangingChars="171"/>
        <w:rPr>
          <w:rFonts w:ascii="Arial" w:hAnsi="Arial" w:eastAsia="宋体" w:cs="Arial"/>
          <w:color w:val="000000"/>
          <w:kern w:val="0"/>
          <w:sz w:val="18"/>
          <w:szCs w:val="18"/>
        </w:rPr>
      </w:pPr>
      <w:r>
        <w:rPr>
          <w:rFonts w:ascii="Arial" w:hAnsi="Arial" w:eastAsia="宋体" w:cs="Arial"/>
          <w:color w:val="000000"/>
          <w:kern w:val="0"/>
          <w:sz w:val="18"/>
          <w:szCs w:val="18"/>
        </w:rPr>
        <w:t>对贵公司已用于或打算用于解决本指导性文件</w:t>
      </w:r>
      <w:r>
        <w:rPr>
          <w:rFonts w:ascii="Arial" w:hAnsi="Arial" w:eastAsia="宋体" w:cs="Arial"/>
          <w:color w:val="800080"/>
          <w:kern w:val="0"/>
          <w:sz w:val="18"/>
          <w:szCs w:val="18"/>
          <w:u w:val="single"/>
        </w:rPr>
        <w:t>第6节</w:t>
      </w:r>
      <w:r>
        <w:rPr>
          <w:rFonts w:ascii="Arial" w:hAnsi="Arial" w:eastAsia="宋体" w:cs="Arial"/>
          <w:color w:val="000000"/>
          <w:kern w:val="0"/>
          <w:sz w:val="18"/>
          <w:szCs w:val="18"/>
        </w:rPr>
        <w:t>和第</w:t>
      </w:r>
      <w:r>
        <w:rPr>
          <w:rFonts w:ascii="Arial" w:hAnsi="Arial" w:eastAsia="宋体" w:cs="Arial"/>
          <w:color w:val="800080"/>
          <w:kern w:val="0"/>
          <w:sz w:val="18"/>
          <w:szCs w:val="18"/>
          <w:u w:val="single"/>
        </w:rPr>
        <w:t>7</w:t>
      </w:r>
      <w:r>
        <w:rPr>
          <w:rFonts w:ascii="Arial" w:hAnsi="Arial" w:eastAsia="宋体" w:cs="Arial"/>
          <w:color w:val="000000"/>
          <w:kern w:val="0"/>
          <w:sz w:val="18"/>
          <w:szCs w:val="18"/>
        </w:rPr>
        <w:t>节中确定的每个性能方面的试验方法的简要说明。如果贵公司遵循所建议的试验方法，贵公司可以引用该方法而不是对其进行说明。如果贵公司修改了所建议的试验方法，贵公司可以引用该方法，但应提供足够的信息来说明修改的性质和原因。对于每个试验，贵公司可以（1）以清晰简洁的形式简要介绍试验结果，例如表格，或（2）说明贵公司将应用于试验结果的验收标准。</w:t>
      </w:r>
      <w:r>
        <w:rPr>
          <w:rFonts w:ascii="Arial" w:hAnsi="Arial" w:eastAsia="宋体" w:cs="Arial"/>
          <w:color w:val="000000"/>
          <w:kern w:val="0"/>
          <w:sz w:val="18"/>
          <w:szCs w:val="18"/>
          <w:vertAlign w:val="superscript"/>
        </w:rPr>
        <w:t>3</w:t>
      </w:r>
      <w:r>
        <w:rPr>
          <w:rFonts w:ascii="Arial" w:hAnsi="Arial" w:eastAsia="宋体" w:cs="Arial"/>
          <w:color w:val="000000"/>
          <w:kern w:val="0"/>
          <w:sz w:val="18"/>
          <w:szCs w:val="18"/>
        </w:rPr>
        <w:t>（另请参见</w:t>
      </w:r>
      <w:r>
        <w:rPr>
          <w:rFonts w:ascii="Arial" w:hAnsi="Arial" w:eastAsia="宋体" w:cs="Arial"/>
          <w:color w:val="800080"/>
          <w:kern w:val="0"/>
          <w:sz w:val="18"/>
          <w:szCs w:val="18"/>
          <w:u w:val="single"/>
        </w:rPr>
        <w:t>21 CFR 820.30</w:t>
      </w:r>
      <w:r>
        <w:rPr>
          <w:rFonts w:ascii="Arial" w:hAnsi="Arial" w:eastAsia="宋体" w:cs="Arial"/>
          <w:color w:val="000000"/>
          <w:kern w:val="0"/>
          <w:sz w:val="18"/>
          <w:szCs w:val="18"/>
        </w:rPr>
        <w:t>，子部分C -质量体系法规下的设计控制。）</w:t>
      </w:r>
    </w:p>
    <w:p w14:paraId="6DB29C46">
      <w:pPr>
        <w:pStyle w:val="25"/>
        <w:widowControl/>
        <w:numPr>
          <w:ilvl w:val="0"/>
          <w:numId w:val="1"/>
        </w:numPr>
        <w:snapToGrid w:val="0"/>
        <w:spacing w:line="312" w:lineRule="auto"/>
        <w:ind w:left="685" w:leftChars="180" w:hanging="307" w:hangingChars="171"/>
        <w:rPr>
          <w:rFonts w:ascii="Arial" w:hAnsi="Arial" w:eastAsia="宋体" w:cs="Arial"/>
          <w:color w:val="000000"/>
          <w:kern w:val="0"/>
          <w:sz w:val="18"/>
          <w:szCs w:val="18"/>
        </w:rPr>
      </w:pPr>
      <w:r>
        <w:rPr>
          <w:rFonts w:ascii="Arial" w:hAnsi="Arial" w:eastAsia="宋体" w:cs="Arial"/>
          <w:color w:val="000000"/>
          <w:kern w:val="0"/>
          <w:sz w:val="18"/>
          <w:szCs w:val="18"/>
        </w:rPr>
        <w:t>如果器械设计或试验的任何部分依赖于公认标准，则应包含：（1）一项声明，即在产品上市前进行试验并满足规定的验收标准，或（2）符合标准的声明。请注意，贵公司必须证明器械符合标准。（该法案第514（c）（1）（B）条）；这意味着试验必须在提交符合性声明之前完成。有关更多信息，请参考FDA指南，</w:t>
      </w:r>
      <w:r>
        <w:rPr>
          <w:rFonts w:ascii="Arial" w:hAnsi="Arial" w:eastAsia="宋体" w:cs="Arial"/>
          <w:b/>
          <w:bCs/>
          <w:color w:val="800080"/>
          <w:kern w:val="0"/>
          <w:sz w:val="18"/>
        </w:rPr>
        <w:t>实质等同性测定标准的使用；行业和FDA最终指南</w:t>
      </w:r>
      <w:r>
        <w:rPr>
          <w:rFonts w:ascii="Arial" w:hAnsi="Arial" w:eastAsia="宋体" w:cs="Arial"/>
          <w:color w:val="000000"/>
          <w:kern w:val="0"/>
          <w:sz w:val="18"/>
          <w:szCs w:val="18"/>
        </w:rPr>
        <w:t>。</w:t>
      </w:r>
    </w:p>
    <w:p w14:paraId="10C22EAB">
      <w:pPr>
        <w:widowControl/>
        <w:snapToGrid w:val="0"/>
        <w:spacing w:line="312" w:lineRule="auto"/>
        <w:rPr>
          <w:rFonts w:ascii="Arial" w:hAnsi="Arial" w:eastAsia="宋体" w:cs="Arial"/>
          <w:color w:val="000000"/>
          <w:kern w:val="0"/>
          <w:sz w:val="18"/>
          <w:szCs w:val="18"/>
        </w:rPr>
      </w:pPr>
      <w:r>
        <w:rPr>
          <w:rFonts w:ascii="Arial" w:hAnsi="Arial" w:eastAsia="宋体" w:cs="Arial"/>
          <w:color w:val="000000"/>
          <w:kern w:val="0"/>
          <w:sz w:val="18"/>
          <w:szCs w:val="18"/>
        </w:rPr>
        <w:t>如果我们不清楚贵公司如何解决FDA所确定的风险或通过贵公司的风险分析确定的其他风险，我们可能会要求贵公司提供有关器械性能特性方面的其他信息。如果我们需要使用其来评估贵公司的验收标准是否充分，我们也可能会要求贵公司提供其他信息。（根据21 CFR 807.87（l）），我们可能会要求提供任何必要的补充资料，以完成与实质等同性相关的测定）。</w:t>
      </w:r>
    </w:p>
    <w:p w14:paraId="60FE5A8B">
      <w:pPr>
        <w:widowControl/>
        <w:snapToGrid w:val="0"/>
        <w:spacing w:line="312" w:lineRule="auto"/>
        <w:rPr>
          <w:rFonts w:ascii="Arial" w:hAnsi="Arial" w:eastAsia="宋体" w:cs="Arial"/>
          <w:color w:val="000000"/>
          <w:kern w:val="0"/>
          <w:sz w:val="18"/>
          <w:szCs w:val="18"/>
        </w:rPr>
      </w:pPr>
      <w:r>
        <w:rPr>
          <w:rFonts w:ascii="Arial" w:hAnsi="Arial" w:eastAsia="宋体" w:cs="Arial"/>
          <w:color w:val="000000"/>
          <w:kern w:val="0"/>
          <w:sz w:val="18"/>
          <w:szCs w:val="18"/>
        </w:rPr>
        <w:t>作为提交简化510（k）的替代方案，贵公司可以提交传统510（k），其中，其提供了21 CFR 807.87中所需的以及在本指南中所述的所有信息和数据。传统510（k）应涵盖贵公司的所有方法、数据、验收标准和结论。考虑修改其自己已许可器械的制造商应提交特殊510（k）。</w:t>
      </w:r>
    </w:p>
    <w:p w14:paraId="7CEC43F7">
      <w:pPr>
        <w:widowControl/>
        <w:snapToGrid w:val="0"/>
        <w:spacing w:before="360" w:after="360" w:line="312" w:lineRule="auto"/>
        <w:rPr>
          <w:rFonts w:ascii="Arial" w:hAnsi="Arial" w:eastAsia="宋体" w:cs="Arial"/>
          <w:kern w:val="0"/>
          <w:sz w:val="24"/>
          <w:szCs w:val="24"/>
        </w:rPr>
      </w:pPr>
      <w:r>
        <w:rPr>
          <w:rFonts w:ascii="Arial" w:hAnsi="Arial" w:eastAsia="宋体" w:cs="Arial"/>
          <w:kern w:val="0"/>
          <w:sz w:val="24"/>
          <w:szCs w:val="24"/>
        </w:rPr>
        <w:pict>
          <v:rect id="_x0000_i1027" o:spt="1" style="height:0.75pt;width:150pt;" fillcolor="#000000" filled="t" stroked="f" coordsize="21600,21600" o:hr="t" o:hrstd="t" o:hrnoshade="t" o:hrpct="0">
            <v:path/>
            <v:fill on="t" focussize="0,0"/>
            <v:stroke on="f"/>
            <v:imagedata o:title=""/>
            <o:lock v:ext="edit"/>
            <w10:wrap type="none"/>
            <w10:anchorlock/>
          </v:rect>
        </w:pict>
      </w:r>
    </w:p>
    <w:p w14:paraId="5BC17AAA">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20"/>
          <w:szCs w:val="20"/>
          <w:vertAlign w:val="superscript"/>
        </w:rPr>
        <w:t>2</w:t>
      </w:r>
      <w:r>
        <w:rPr>
          <w:rFonts w:ascii="Arial" w:hAnsi="Arial" w:eastAsia="宋体" w:cs="Arial"/>
          <w:color w:val="000000"/>
          <w:kern w:val="0"/>
          <w:sz w:val="18"/>
          <w:szCs w:val="18"/>
        </w:rPr>
        <w:t xml:space="preserve">  有关推荐格式，请参考</w:t>
      </w:r>
      <w:r>
        <w:rPr>
          <w:rFonts w:ascii="Arial" w:hAnsi="Arial" w:eastAsia="宋体" w:cs="Arial"/>
          <w:color w:val="800080"/>
          <w:kern w:val="0"/>
          <w:sz w:val="18"/>
          <w:szCs w:val="18"/>
          <w:u w:val="single"/>
        </w:rPr>
        <w:t>适应症表格</w:t>
      </w:r>
      <w:r>
        <w:rPr>
          <w:rFonts w:ascii="Arial" w:hAnsi="Arial" w:eastAsia="宋体" w:cs="Arial"/>
          <w:color w:val="000000"/>
          <w:kern w:val="0"/>
          <w:sz w:val="18"/>
          <w:szCs w:val="18"/>
        </w:rPr>
        <w:t>（PDF文件大小：1.03MB）。</w:t>
      </w:r>
    </w:p>
    <w:p w14:paraId="66E26A4C">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20"/>
          <w:szCs w:val="20"/>
          <w:vertAlign w:val="superscript"/>
        </w:rPr>
        <w:t>3</w:t>
      </w:r>
      <w:r>
        <w:rPr>
          <w:rFonts w:ascii="Arial" w:hAnsi="Arial" w:eastAsia="宋体" w:cs="Arial"/>
          <w:color w:val="000000"/>
          <w:kern w:val="0"/>
          <w:sz w:val="18"/>
          <w:szCs w:val="18"/>
        </w:rPr>
        <w:t>如果FDA根据验收标准进行了实质等同性测定，则在引入州际贸易之前，应对主题器械进行测试且其应显示其已符合这些验收标准。如果成品器械不符合验收标准，并因此与已许可的510（k）中所述的器械不同，FDA建议申报人应使用与用于评估对合法销售器械的修改相同的标准（21 CFR 807.81（a） （3））来确定成品器械是否需要获得新的510（k）许可。</w:t>
      </w:r>
    </w:p>
    <w:p w14:paraId="1C6F948D">
      <w:pPr>
        <w:widowControl/>
        <w:jc w:val="left"/>
        <w:rPr>
          <w:rFonts w:ascii="Arial" w:hAnsi="Arial" w:eastAsia="宋体" w:cs="Arial"/>
          <w:color w:val="000000"/>
          <w:kern w:val="0"/>
          <w:sz w:val="20"/>
          <w:szCs w:val="20"/>
          <w:vertAlign w:val="superscript"/>
        </w:rPr>
      </w:pPr>
      <w:r>
        <w:rPr>
          <w:rFonts w:ascii="Arial" w:hAnsi="Arial" w:eastAsia="宋体" w:cs="Arial"/>
          <w:color w:val="000000"/>
          <w:kern w:val="0"/>
          <w:sz w:val="20"/>
          <w:szCs w:val="20"/>
          <w:vertAlign w:val="superscript"/>
        </w:rPr>
        <w:br w:type="page"/>
      </w:r>
    </w:p>
    <w:p w14:paraId="750C6132">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20"/>
          <w:szCs w:val="20"/>
          <w:vertAlign w:val="superscript"/>
        </w:rPr>
        <w:t>4</w:t>
      </w:r>
      <w:r>
        <w:rPr>
          <w:rFonts w:ascii="Arial" w:hAnsi="Arial" w:eastAsia="宋体" w:cs="Arial"/>
          <w:color w:val="000000"/>
          <w:kern w:val="0"/>
          <w:sz w:val="18"/>
          <w:szCs w:val="18"/>
        </w:rPr>
        <w:t>请参见</w:t>
      </w:r>
      <w:r>
        <w:rPr>
          <w:rFonts w:ascii="Arial" w:hAnsi="Arial" w:eastAsia="宋体" w:cs="Arial"/>
          <w:color w:val="800080"/>
          <w:kern w:val="0"/>
          <w:sz w:val="18"/>
          <w:szCs w:val="18"/>
          <w:u w:val="single"/>
        </w:rPr>
        <w:t>符合公认标准声明的所需成分</w:t>
      </w:r>
      <w:r>
        <w:rPr>
          <w:rFonts w:ascii="Arial" w:hAnsi="Arial" w:eastAsia="宋体" w:cs="Arial"/>
          <w:color w:val="000000"/>
          <w:kern w:val="0"/>
          <w:sz w:val="18"/>
          <w:szCs w:val="18"/>
        </w:rPr>
        <w:t>（所有上市前通告[510（K）]提交资料的筛选清单）。</w:t>
      </w:r>
    </w:p>
    <w:p w14:paraId="13408219">
      <w:pPr>
        <w:widowControl/>
        <w:snapToGrid w:val="0"/>
        <w:spacing w:before="90" w:after="90" w:line="312" w:lineRule="auto"/>
        <w:outlineLvl w:val="0"/>
        <w:rPr>
          <w:rFonts w:ascii="Arial" w:hAnsi="Arial" w:eastAsia="宋体" w:cs="Arial"/>
          <w:b/>
          <w:bCs/>
          <w:color w:val="000000"/>
          <w:kern w:val="0"/>
          <w:sz w:val="29"/>
          <w:szCs w:val="29"/>
        </w:rPr>
      </w:pPr>
      <w:r>
        <w:rPr>
          <w:rFonts w:ascii="Arial" w:hAnsi="Arial" w:eastAsia="宋体" w:cs="Arial"/>
          <w:b/>
          <w:bCs/>
          <w:color w:val="000000"/>
          <w:kern w:val="0"/>
          <w:sz w:val="29"/>
          <w:szCs w:val="29"/>
        </w:rPr>
        <w:t>4.范围</w:t>
      </w:r>
    </w:p>
    <w:p w14:paraId="2CCBAF08">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本文件的范围仅限于21 CFR 866.3610（产品代码：NGS）中所述的以下器械：</w:t>
      </w:r>
    </w:p>
    <w:p w14:paraId="47ED5BCA">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 xml:space="preserve"> “内毒素测定是在全血中使用血清学技术的器械。该器械旨在与其他实验室结果和患者的临床评估结合使用，以针对严重败血症帮助对危重患者进行风险评估。”</w:t>
      </w:r>
    </w:p>
    <w:p w14:paraId="0B8A4F03">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下面的分类标识确定了在分类时就已存在的器械。</w:t>
      </w:r>
    </w:p>
    <w:p w14:paraId="2FAAA916">
      <w:pPr>
        <w:widowControl/>
        <w:snapToGrid w:val="0"/>
        <w:spacing w:line="312" w:lineRule="auto"/>
        <w:outlineLvl w:val="0"/>
        <w:rPr>
          <w:rFonts w:ascii="Arial" w:hAnsi="Arial" w:eastAsia="宋体" w:cs="Arial"/>
          <w:b/>
          <w:bCs/>
          <w:color w:val="000000"/>
          <w:kern w:val="0"/>
          <w:sz w:val="29"/>
          <w:szCs w:val="29"/>
        </w:rPr>
      </w:pPr>
      <w:r>
        <w:rPr>
          <w:rFonts w:ascii="Arial" w:hAnsi="Arial" w:eastAsia="宋体" w:cs="Arial"/>
          <w:b/>
          <w:bCs/>
          <w:color w:val="000000"/>
          <w:kern w:val="0"/>
          <w:sz w:val="29"/>
          <w:szCs w:val="29"/>
        </w:rPr>
        <w:t>5.健康风险</w:t>
      </w:r>
    </w:p>
    <w:p w14:paraId="1998F243">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据研究者了解，其对患者健康没有已知的直接风险。然而，试验未按预期执行或结果解释中的错误可能会导致患者管理不当。因此，使用测定结果调整治疗方案而不考虑其他临床因素可能会造成风险。内毒素假性低测量值可能导致做出患者患有败血症的风险降低的测定，从而可能会延缓适当的治疗。内毒素假性高测量值可能导致做出患有败血症的风险升高的测定，从而可能导致进行不必要的监测或潜在的毒性治疗。</w:t>
      </w:r>
    </w:p>
    <w:p w14:paraId="03E6D0E2">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在下表中，FDA已经确定了通常与使用本文件中所述的内毒素测定相关的健康风险。本指导性文件中给出了建议用于缓解已确定风险的措施，如下表所示。我们建议贵公司在提交上市前通告之前进行风险分析，以确定贵公司器械所特有的其他任何风险。上市前通告应说明风险分析方法。如果贵公司选择使用替代方法来解决本文件中确定的风险，或已发现本文件未涵盖的风险，贵公司应提供足够的详细信息以支持贵公司用于解决该风险的方法。</w:t>
      </w:r>
    </w:p>
    <w:tbl>
      <w:tblPr>
        <w:tblStyle w:val="11"/>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Layout w:type="autofit"/>
        <w:tblCellMar>
          <w:top w:w="0" w:type="dxa"/>
          <w:left w:w="0" w:type="dxa"/>
          <w:bottom w:w="0" w:type="dxa"/>
          <w:right w:w="0" w:type="dxa"/>
        </w:tblCellMar>
      </w:tblPr>
      <w:tblGrid>
        <w:gridCol w:w="4181"/>
        <w:gridCol w:w="4155"/>
      </w:tblGrid>
      <w:tr w14:paraId="5273E2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0" w:type="dxa"/>
            <w:left w:w="0" w:type="dxa"/>
            <w:bottom w:w="0" w:type="dxa"/>
            <w:right w:w="0" w:type="dxa"/>
          </w:tblCellMar>
        </w:tblPrEx>
        <w:trPr>
          <w:tblCellSpacing w:w="0" w:type="dxa"/>
        </w:trPr>
        <w:tc>
          <w:tcPr>
            <w:tcW w:w="4181" w:type="dxa"/>
            <w:tcBorders>
              <w:top w:val="outset" w:color="auto" w:sz="6" w:space="0"/>
              <w:left w:val="outset" w:color="auto" w:sz="6" w:space="0"/>
              <w:bottom w:val="outset" w:color="auto" w:sz="6" w:space="0"/>
              <w:right w:val="outset" w:color="auto" w:sz="6" w:space="0"/>
            </w:tcBorders>
            <w:shd w:val="clear" w:color="auto" w:fill="CCECFF"/>
            <w:vAlign w:val="center"/>
          </w:tcPr>
          <w:p w14:paraId="37404A83">
            <w:pPr>
              <w:widowControl/>
              <w:snapToGrid w:val="0"/>
              <w:spacing w:before="90" w:after="90" w:line="312" w:lineRule="auto"/>
              <w:rPr>
                <w:rFonts w:ascii="Arial" w:hAnsi="Arial" w:eastAsia="宋体" w:cs="Arial"/>
                <w:b/>
                <w:bCs/>
                <w:color w:val="000000"/>
                <w:kern w:val="0"/>
                <w:sz w:val="18"/>
              </w:rPr>
            </w:pPr>
            <w:r>
              <w:rPr>
                <w:rFonts w:ascii="Arial" w:hAnsi="Arial" w:eastAsia="宋体" w:cs="Arial"/>
                <w:b/>
                <w:bCs/>
                <w:color w:val="000000"/>
                <w:kern w:val="0"/>
                <w:sz w:val="18"/>
              </w:rPr>
              <w:t>已确定风险</w:t>
            </w:r>
          </w:p>
        </w:tc>
        <w:tc>
          <w:tcPr>
            <w:tcW w:w="4155" w:type="dxa"/>
            <w:tcBorders>
              <w:top w:val="outset" w:color="auto" w:sz="6" w:space="0"/>
              <w:left w:val="outset" w:color="auto" w:sz="6" w:space="0"/>
              <w:bottom w:val="outset" w:color="auto" w:sz="6" w:space="0"/>
              <w:right w:val="outset" w:color="auto" w:sz="6" w:space="0"/>
            </w:tcBorders>
            <w:shd w:val="clear" w:color="auto" w:fill="CCECFF"/>
            <w:vAlign w:val="center"/>
          </w:tcPr>
          <w:p w14:paraId="387743E1">
            <w:pPr>
              <w:widowControl/>
              <w:snapToGrid w:val="0"/>
              <w:spacing w:before="90" w:after="90" w:line="312" w:lineRule="auto"/>
              <w:rPr>
                <w:rFonts w:ascii="Arial" w:hAnsi="Arial" w:eastAsia="宋体" w:cs="Arial"/>
                <w:b/>
                <w:bCs/>
                <w:color w:val="000000"/>
                <w:kern w:val="0"/>
                <w:sz w:val="18"/>
              </w:rPr>
            </w:pPr>
            <w:r>
              <w:rPr>
                <w:rFonts w:ascii="Arial" w:hAnsi="Arial" w:eastAsia="宋体" w:cs="Arial"/>
                <w:b/>
                <w:bCs/>
                <w:color w:val="000000"/>
                <w:kern w:val="0"/>
                <w:sz w:val="18"/>
              </w:rPr>
              <w:t>建议缓解措施</w:t>
            </w:r>
          </w:p>
        </w:tc>
      </w:tr>
      <w:tr w14:paraId="20DFF6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0" w:type="dxa"/>
            <w:left w:w="0" w:type="dxa"/>
            <w:bottom w:w="0" w:type="dxa"/>
            <w:right w:w="0" w:type="dxa"/>
          </w:tblCellMar>
        </w:tblPrEx>
        <w:trPr>
          <w:tblCellSpacing w:w="0" w:type="dxa"/>
        </w:trPr>
        <w:tc>
          <w:tcPr>
            <w:tcW w:w="4181" w:type="dxa"/>
            <w:tcBorders>
              <w:top w:val="outset" w:color="auto" w:sz="6" w:space="0"/>
              <w:left w:val="outset" w:color="auto" w:sz="6" w:space="0"/>
              <w:bottom w:val="outset" w:color="auto" w:sz="6" w:space="0"/>
              <w:right w:val="outset" w:color="auto" w:sz="6" w:space="0"/>
            </w:tcBorders>
            <w:shd w:val="clear" w:color="auto" w:fill="CCE8CF"/>
          </w:tcPr>
          <w:p w14:paraId="42CE1186">
            <w:pPr>
              <w:widowControl/>
              <w:snapToGrid w:val="0"/>
              <w:spacing w:before="42" w:after="42" w:line="312" w:lineRule="auto"/>
              <w:rPr>
                <w:rFonts w:ascii="Arial" w:hAnsi="Arial" w:eastAsia="宋体" w:cs="Arial"/>
                <w:color w:val="000000"/>
                <w:kern w:val="0"/>
                <w:sz w:val="18"/>
                <w:szCs w:val="18"/>
              </w:rPr>
            </w:pPr>
            <w:r>
              <w:rPr>
                <w:rFonts w:ascii="Arial" w:hAnsi="Arial" w:eastAsia="宋体" w:cs="Arial"/>
                <w:color w:val="000000"/>
                <w:kern w:val="0"/>
                <w:sz w:val="18"/>
                <w:szCs w:val="18"/>
              </w:rPr>
              <w:t>患者管理不当</w:t>
            </w:r>
          </w:p>
        </w:tc>
        <w:tc>
          <w:tcPr>
            <w:tcW w:w="4155" w:type="dxa"/>
            <w:tcBorders>
              <w:top w:val="outset" w:color="auto" w:sz="6" w:space="0"/>
              <w:left w:val="outset" w:color="auto" w:sz="6" w:space="0"/>
              <w:bottom w:val="outset" w:color="auto" w:sz="6" w:space="0"/>
              <w:right w:val="outset" w:color="auto" w:sz="6" w:space="0"/>
            </w:tcBorders>
            <w:shd w:val="clear" w:color="auto" w:fill="CCE8CF"/>
          </w:tcPr>
          <w:p w14:paraId="7683299A">
            <w:pPr>
              <w:widowControl/>
              <w:snapToGrid w:val="0"/>
              <w:spacing w:before="42" w:after="42" w:line="312" w:lineRule="auto"/>
              <w:rPr>
                <w:rFonts w:ascii="Arial" w:hAnsi="Arial" w:eastAsia="宋体" w:cs="Arial"/>
                <w:color w:val="000000"/>
                <w:kern w:val="0"/>
                <w:sz w:val="18"/>
                <w:szCs w:val="18"/>
              </w:rPr>
            </w:pPr>
            <w:r>
              <w:rPr>
                <w:rFonts w:ascii="Arial" w:hAnsi="Arial" w:eastAsia="宋体" w:cs="Arial"/>
                <w:color w:val="000000"/>
                <w:kern w:val="0"/>
                <w:sz w:val="18"/>
                <w:szCs w:val="18"/>
              </w:rPr>
              <w:t>第6、7和8节</w:t>
            </w:r>
          </w:p>
        </w:tc>
      </w:tr>
    </w:tbl>
    <w:p w14:paraId="5604594E">
      <w:pPr>
        <w:widowControl/>
        <w:snapToGrid w:val="0"/>
        <w:spacing w:before="90" w:after="90" w:line="312" w:lineRule="auto"/>
        <w:rPr>
          <w:rFonts w:ascii="Arial" w:hAnsi="Arial" w:eastAsia="宋体" w:cs="Arial"/>
          <w:color w:val="000000"/>
          <w:kern w:val="0"/>
          <w:sz w:val="18"/>
          <w:szCs w:val="18"/>
        </w:rPr>
      </w:pPr>
    </w:p>
    <w:p w14:paraId="57CE6ACA">
      <w:pPr>
        <w:widowControl/>
        <w:snapToGrid w:val="0"/>
        <w:spacing w:before="90" w:after="90" w:line="312" w:lineRule="auto"/>
        <w:outlineLvl w:val="0"/>
        <w:rPr>
          <w:rFonts w:ascii="Arial" w:hAnsi="Arial" w:eastAsia="宋体" w:cs="Arial"/>
          <w:b/>
          <w:bCs/>
          <w:color w:val="000000"/>
          <w:kern w:val="0"/>
          <w:sz w:val="29"/>
          <w:szCs w:val="29"/>
        </w:rPr>
      </w:pPr>
      <w:r>
        <w:rPr>
          <w:rFonts w:ascii="Arial" w:hAnsi="Arial" w:eastAsia="宋体" w:cs="Arial"/>
          <w:b/>
          <w:bCs/>
          <w:color w:val="000000"/>
          <w:kern w:val="0"/>
          <w:sz w:val="29"/>
          <w:szCs w:val="29"/>
        </w:rPr>
        <w:t>6.性能特性</w:t>
      </w:r>
    </w:p>
    <w:p w14:paraId="24E3B514">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b/>
          <w:bCs/>
          <w:color w:val="000000"/>
          <w:kern w:val="0"/>
          <w:sz w:val="18"/>
        </w:rPr>
        <w:t>一般研究建议</w:t>
      </w:r>
    </w:p>
    <w:p w14:paraId="4EA6971B">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我们建议贵公司提供对用于检测内毒素的方法的说明。贵公司还应提供对工具盒中试剂组分的说明。如果可能，我们建议贵公司在下述分析方案中纳入来自预期使用人群的患者样本（例如，危重患者）。</w:t>
      </w:r>
    </w:p>
    <w:p w14:paraId="69416CEB">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还建议，除制造商的站点外，贵公司应至少在两个外部站点对该测定进行评价。一般来说，我们建议由将在临床实践中使用该试验的个体（例如，训练有素的技术人员）在将最终使用器械的试验环境（即中心实验室或护理点，例如重症监护室（ICU））中对性能进行评估。我们建议贵公司首先应单独分析数据以评估任何站点间差异，并将分析结果纳入在510（k）总结报告中。如果贵公司可证明各个站点之间的结果没有显著差异，贵公司可以在包装说明书中汇总各个站点的临床研究结果。在开始任何临床研究之前，贵公司可以联系微生物学器械部。</w:t>
      </w:r>
    </w:p>
    <w:p w14:paraId="3FB9B688">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0544E190">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我们建议贵公司提供有关方案的具体信息，以便在审查贵公司的提交资料期间验收标准或数据总结可以被解读。例如，当提及NCCLS方案或指南时，我们建议贵公司说明贵公司遵循了方案或指南的哪些具体方面。</w:t>
      </w:r>
    </w:p>
    <w:p w14:paraId="4C27CE04">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b/>
          <w:bCs/>
          <w:color w:val="000000"/>
          <w:kern w:val="0"/>
          <w:sz w:val="18"/>
        </w:rPr>
        <w:t>具体性能特性</w:t>
      </w:r>
    </w:p>
    <w:p w14:paraId="2E1754FB">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b/>
          <w:bCs/>
          <w:color w:val="000000"/>
          <w:kern w:val="0"/>
          <w:sz w:val="18"/>
        </w:rPr>
        <w:t>精确性和复现性</w:t>
      </w:r>
    </w:p>
    <w:p w14:paraId="3DCD5635">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根据“临床化学器械的精确性性能评价”，已批准指南（1999年）国家临床实验室标准委员会（NCCLS），EP5-A号文件中提供的指南使用全血样本来表征运行中的和总精确性。该文件包括有关实验设计、计算以及陈述性能声明的格式的指南。我们建议贵公司以相关内毒素浓度评价精确性，包括医疗决策点附近的水平以及可报告范围限值附近的测量值。</w:t>
      </w:r>
    </w:p>
    <w:p w14:paraId="6926FB76">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我们建议贵公司在510（k）中提供以下项目：</w:t>
      </w:r>
    </w:p>
    <w:p w14:paraId="1789BB61">
      <w:pPr>
        <w:widowControl/>
        <w:numPr>
          <w:ilvl w:val="0"/>
          <w:numId w:val="2"/>
        </w:numPr>
        <w:snapToGrid w:val="0"/>
        <w:spacing w:line="312"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浓度的点估计值</w:t>
      </w:r>
    </w:p>
    <w:p w14:paraId="19E64617">
      <w:pPr>
        <w:widowControl/>
        <w:numPr>
          <w:ilvl w:val="0"/>
          <w:numId w:val="2"/>
        </w:numPr>
        <w:snapToGrid w:val="0"/>
        <w:spacing w:line="312"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运行内的和总精确性的标准偏差</w:t>
      </w:r>
    </w:p>
    <w:p w14:paraId="321BAFA1">
      <w:pPr>
        <w:widowControl/>
        <w:numPr>
          <w:ilvl w:val="0"/>
          <w:numId w:val="2"/>
        </w:numPr>
        <w:snapToGrid w:val="0"/>
        <w:spacing w:line="312"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运行精确性方案的站点</w:t>
      </w:r>
    </w:p>
    <w:p w14:paraId="6B2D9412">
      <w:pPr>
        <w:widowControl/>
        <w:numPr>
          <w:ilvl w:val="0"/>
          <w:numId w:val="2"/>
        </w:numPr>
        <w:snapToGrid w:val="0"/>
        <w:spacing w:line="312"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天数、运行次数和观察结果</w:t>
      </w:r>
    </w:p>
    <w:p w14:paraId="4E96558C">
      <w:pPr>
        <w:widowControl/>
        <w:numPr>
          <w:ilvl w:val="0"/>
          <w:numId w:val="2"/>
        </w:numPr>
        <w:snapToGrid w:val="0"/>
        <w:spacing w:line="312"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站点和/或操作员的数量</w:t>
      </w:r>
    </w:p>
    <w:p w14:paraId="69F2DD83">
      <w:pPr>
        <w:widowControl/>
        <w:snapToGrid w:val="0"/>
        <w:spacing w:before="90" w:after="90" w:line="312" w:lineRule="auto"/>
        <w:rPr>
          <w:rFonts w:ascii="Arial" w:hAnsi="Arial" w:eastAsia="宋体" w:cs="Arial"/>
          <w:color w:val="000000"/>
          <w:kern w:val="0"/>
          <w:sz w:val="18"/>
          <w:szCs w:val="18"/>
        </w:rPr>
      </w:pPr>
    </w:p>
    <w:p w14:paraId="30E36046">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我们建议贵公司确定哪些因素（例如工具校准、试剂批次、操作员）保持不变，以及哪些因素在评价期间有变化并说明计算方法，如果其不同于NCCLS EP5-A和EP12-A中所述的计算方法。</w:t>
      </w:r>
    </w:p>
    <w:p w14:paraId="00B78F7F">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b/>
          <w:bCs/>
          <w:color w:val="000000"/>
          <w:kern w:val="0"/>
          <w:sz w:val="18"/>
        </w:rPr>
        <w:t>干扰</w:t>
      </w:r>
    </w:p>
    <w:p w14:paraId="0AAABDA3">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潜在的干扰物对测定性能的影响。实验设计的示例（包括用于选择试验用干扰物的指南）详见“临床化学中的干扰试验；拟定指南”（1986年）国家临床实验室标准委员会，EP7-P号文件。潜在干扰源可以包括通常存在于全血中的化合物，例如甘油三酸酯、血红蛋白、胆红素、白蛋白和抗氧化剂、如维生素C和E。</w:t>
      </w:r>
    </w:p>
    <w:p w14:paraId="704238AA">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我们还建议贵公司对血液成分进行测试，以确定不同嗜中性粒细胞计数对内毒素值的影响。我们建议贵公司在贵公司的研究中纳入中性粒细胞减少症患者。</w:t>
      </w:r>
    </w:p>
    <w:p w14:paraId="653F2F67">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color w:val="000000"/>
          <w:kern w:val="0"/>
          <w:sz w:val="18"/>
          <w:szCs w:val="18"/>
        </w:rPr>
        <w:t>通常，干扰研究涉及向全血样品中添加潜在干扰物，并确定与控制样本（未添加干扰物）相比，内毒素回收率中的任何偏差。</w:t>
      </w:r>
    </w:p>
    <w:p w14:paraId="7AEF693C">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我们建议贵公司在510（k）中提供以下项目：</w:t>
      </w:r>
    </w:p>
    <w:p w14:paraId="339A3330">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610AB0C8">
      <w:pPr>
        <w:pStyle w:val="25"/>
        <w:widowControl/>
        <w:numPr>
          <w:ilvl w:val="0"/>
          <w:numId w:val="3"/>
        </w:numPr>
        <w:snapToGrid w:val="0"/>
        <w:spacing w:before="78" w:after="78"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所测试的干扰物的类型和水平</w:t>
      </w:r>
    </w:p>
    <w:p w14:paraId="6C82E92F">
      <w:pPr>
        <w:pStyle w:val="25"/>
        <w:widowControl/>
        <w:numPr>
          <w:ilvl w:val="0"/>
          <w:numId w:val="3"/>
        </w:numPr>
        <w:snapToGrid w:val="0"/>
        <w:spacing w:before="78" w:after="78"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样本中的内毒素水平或活性</w:t>
      </w:r>
    </w:p>
    <w:p w14:paraId="5E784657">
      <w:pPr>
        <w:pStyle w:val="25"/>
        <w:widowControl/>
        <w:numPr>
          <w:ilvl w:val="0"/>
          <w:numId w:val="3"/>
        </w:numPr>
        <w:snapToGrid w:val="0"/>
        <w:spacing w:before="78" w:after="78"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试验的重复次数</w:t>
      </w:r>
    </w:p>
    <w:p w14:paraId="4DA52E9D">
      <w:pPr>
        <w:pStyle w:val="25"/>
        <w:widowControl/>
        <w:numPr>
          <w:ilvl w:val="0"/>
          <w:numId w:val="3"/>
        </w:numPr>
        <w:snapToGrid w:val="0"/>
        <w:spacing w:before="78" w:after="78"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 xml:space="preserve">计算干扰的定义或方法 </w:t>
      </w:r>
    </w:p>
    <w:p w14:paraId="243245F9">
      <w:pPr>
        <w:widowControl/>
        <w:snapToGrid w:val="0"/>
        <w:spacing w:before="78" w:after="78" w:line="312" w:lineRule="auto"/>
        <w:rPr>
          <w:rFonts w:ascii="Arial" w:hAnsi="Arial" w:eastAsia="宋体" w:cs="Arial"/>
          <w:color w:val="000000"/>
          <w:kern w:val="0"/>
          <w:sz w:val="18"/>
          <w:szCs w:val="18"/>
        </w:rPr>
      </w:pPr>
    </w:p>
    <w:p w14:paraId="26F47893">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确定偏差中任何观察到的趋势（即，阴性或阳性），并说明在存在特定干扰物的情况下观察到的回收范围。与单单列出平均回收率相比，这种方法更富信息性。我们建议贵公司说明确定无干扰的标准。</w:t>
      </w:r>
    </w:p>
    <w:p w14:paraId="0B2509C5">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color w:val="000000"/>
          <w:kern w:val="0"/>
          <w:sz w:val="18"/>
          <w:szCs w:val="18"/>
        </w:rPr>
        <w:t>贵公司可能无需对文献或其他来源中已经确定的潜在干扰物进行额外的干扰试验。但是，我们建议贵公司在标签中标明这些潜在的干扰物。</w:t>
      </w:r>
    </w:p>
    <w:p w14:paraId="12804DD0">
      <w:pPr>
        <w:widowControl/>
        <w:snapToGrid w:val="0"/>
        <w:spacing w:before="78" w:after="78" w:line="312" w:lineRule="auto"/>
        <w:rPr>
          <w:rFonts w:ascii="Arial" w:hAnsi="Arial" w:eastAsia="宋体" w:cs="Arial"/>
          <w:b/>
          <w:bCs/>
          <w:color w:val="000000"/>
          <w:kern w:val="0"/>
          <w:sz w:val="18"/>
        </w:rPr>
      </w:pPr>
      <w:r>
        <w:rPr>
          <w:rFonts w:ascii="Arial" w:hAnsi="Arial" w:eastAsia="宋体" w:cs="Arial"/>
          <w:b/>
          <w:bCs/>
          <w:color w:val="000000"/>
          <w:kern w:val="0"/>
          <w:sz w:val="18"/>
        </w:rPr>
        <w:t>交叉反应性</w:t>
      </w:r>
    </w:p>
    <w:p w14:paraId="696D1EC6">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提供通过测量贵公司的器械与其他细菌和真菌细胞壁组分的交叉反应性获得的、有关测定特异性的数据，例如，来自革兰氏阴性细菌的脂磷壁酸（LTA），来自革兰氏阳性细菌的细胞壁提取物、酵母甘露聚糖、和酵母细胞壁提取物。我们建议贵公司说明用于评估交叉反应性的组分的纯度。</w:t>
      </w:r>
    </w:p>
    <w:p w14:paraId="321D8D3E">
      <w:pPr>
        <w:widowControl/>
        <w:snapToGrid w:val="0"/>
        <w:spacing w:before="78" w:after="78" w:line="312" w:lineRule="auto"/>
        <w:rPr>
          <w:rFonts w:ascii="Arial" w:hAnsi="Arial" w:eastAsia="宋体" w:cs="Arial"/>
          <w:b/>
          <w:bCs/>
          <w:color w:val="000000"/>
          <w:kern w:val="0"/>
          <w:sz w:val="18"/>
        </w:rPr>
      </w:pPr>
      <w:r>
        <w:rPr>
          <w:rFonts w:ascii="Arial" w:hAnsi="Arial" w:eastAsia="宋体" w:cs="Arial"/>
          <w:b/>
          <w:bCs/>
          <w:color w:val="000000"/>
          <w:kern w:val="0"/>
          <w:sz w:val="18"/>
        </w:rPr>
        <w:t>分析灵敏度</w:t>
      </w:r>
    </w:p>
    <w:p w14:paraId="034EF518">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我们建议贵公司计算测定的分析灵敏度。通常，其定义为可以通过试验可靠测量的最低水平的内毒素。</w:t>
      </w:r>
    </w:p>
    <w:p w14:paraId="1348A35E">
      <w:pPr>
        <w:pStyle w:val="25"/>
        <w:widowControl/>
        <w:numPr>
          <w:ilvl w:val="0"/>
          <w:numId w:val="3"/>
        </w:numPr>
        <w:snapToGrid w:val="0"/>
        <w:spacing w:before="78" w:after="78"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我们建议贵公司说明样本类型、定义贵公司对灵敏度的测量、提供验收标准或提供数据总结，以说明如何将低于灵敏度水平的测量值报告给用户。</w:t>
      </w:r>
    </w:p>
    <w:p w14:paraId="2DCFE141">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b/>
          <w:bCs/>
          <w:color w:val="000000"/>
          <w:kern w:val="0"/>
          <w:sz w:val="18"/>
        </w:rPr>
        <w:t>线性度</w:t>
      </w:r>
    </w:p>
    <w:p w14:paraId="19CC43F0">
      <w:pPr>
        <w:widowControl/>
        <w:snapToGrid w:val="0"/>
        <w:spacing w:before="78" w:after="78" w:line="312" w:lineRule="auto"/>
        <w:rPr>
          <w:rFonts w:ascii="Arial" w:hAnsi="Arial" w:eastAsia="宋体" w:cs="Arial"/>
          <w:color w:val="000000"/>
          <w:kern w:val="0"/>
          <w:sz w:val="18"/>
          <w:szCs w:val="18"/>
        </w:rPr>
      </w:pPr>
    </w:p>
    <w:p w14:paraId="70CBFC67">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我们建议贵公司通过评估彼此浓度水平已知的样本来表征测定的线性范围。“评价定量分析方法的线性度”，拟定指南，NCCLS ，EP6-A号文件说明了用于样本制备和赋值的方案，以及用于陈述性能特性的格式。</w:t>
      </w:r>
    </w:p>
    <w:p w14:paraId="5B5FB346">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样本类型和制备、浓度和重复次数。在说明贵公司的验收标准或总结数据时，我们建议贵公司纳入预计线的斜率、截距和置信区间、线性范围和所观察到的或对于各种浓度水平被视为可接受的、偏离预计线的偏差程度（偏差）。通常，通过列出相对于所评估的每个水平的预期值的观察值或可接受值，可以最好地对这些偏差进行说明。</w:t>
      </w:r>
    </w:p>
    <w:p w14:paraId="064F908B">
      <w:pPr>
        <w:widowControl/>
        <w:snapToGrid w:val="0"/>
        <w:spacing w:line="312" w:lineRule="auto"/>
        <w:outlineLvl w:val="0"/>
        <w:rPr>
          <w:rFonts w:ascii="Arial" w:hAnsi="Arial" w:eastAsia="宋体" w:cs="Arial"/>
          <w:b/>
          <w:bCs/>
          <w:color w:val="000000"/>
          <w:kern w:val="0"/>
          <w:sz w:val="29"/>
          <w:szCs w:val="29"/>
        </w:rPr>
      </w:pPr>
      <w:r>
        <w:rPr>
          <w:rFonts w:ascii="Arial" w:hAnsi="Arial" w:eastAsia="宋体" w:cs="Arial"/>
          <w:b/>
          <w:bCs/>
          <w:color w:val="000000"/>
          <w:kern w:val="0"/>
          <w:sz w:val="29"/>
          <w:szCs w:val="29"/>
        </w:rPr>
        <w:t>7.方法比较</w:t>
      </w:r>
    </w:p>
    <w:p w14:paraId="3568DCD8">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b/>
          <w:bCs/>
          <w:color w:val="000000"/>
          <w:kern w:val="0"/>
          <w:sz w:val="18"/>
        </w:rPr>
        <w:t>临床灵敏度</w:t>
      </w:r>
    </w:p>
    <w:p w14:paraId="12ED14BA">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我们建议贵公司根据公认的医疗规范（例如，美国胸科医师学会/重症监护医学协会医学协商会议的指南</w:t>
      </w:r>
      <w:r>
        <w:rPr>
          <w:rFonts w:ascii="Arial" w:hAnsi="Arial" w:eastAsia="宋体" w:cs="Arial"/>
          <w:color w:val="000000"/>
          <w:kern w:val="0"/>
          <w:sz w:val="18"/>
          <w:szCs w:val="18"/>
          <w:vertAlign w:val="superscript"/>
        </w:rPr>
        <w:t>5</w:t>
      </w:r>
      <w:r>
        <w:rPr>
          <w:rFonts w:ascii="Arial" w:hAnsi="Arial" w:eastAsia="宋体" w:cs="Arial"/>
          <w:color w:val="000000"/>
          <w:kern w:val="0"/>
          <w:sz w:val="18"/>
          <w:szCs w:val="18"/>
        </w:rPr>
        <w:t>）比较内毒素测定与败血症的临床诊断。与评价性能特性的研究一样，贵公司可以在开始临床研究之前联系微生物学器械部，以获取有关贵公司的研究计划的信息。</w:t>
      </w:r>
    </w:p>
    <w:p w14:paraId="3B370F16">
      <w:pPr>
        <w:widowControl/>
        <w:jc w:val="left"/>
        <w:rPr>
          <w:rFonts w:ascii="Arial" w:hAnsi="Arial" w:eastAsia="宋体" w:cs="Arial"/>
          <w:b/>
          <w:bCs/>
          <w:color w:val="000000"/>
          <w:kern w:val="0"/>
          <w:sz w:val="18"/>
        </w:rPr>
      </w:pPr>
      <w:r>
        <w:rPr>
          <w:rFonts w:ascii="Arial" w:hAnsi="Arial" w:eastAsia="宋体" w:cs="Arial"/>
          <w:b/>
          <w:bCs/>
          <w:color w:val="000000"/>
          <w:kern w:val="0"/>
          <w:sz w:val="18"/>
        </w:rPr>
        <w:br w:type="page"/>
      </w:r>
    </w:p>
    <w:p w14:paraId="2C40D746">
      <w:pPr>
        <w:widowControl/>
        <w:snapToGrid w:val="0"/>
        <w:spacing w:before="90" w:after="90" w:line="312" w:lineRule="auto"/>
        <w:rPr>
          <w:rFonts w:ascii="Arial" w:hAnsi="Arial" w:eastAsia="宋体" w:cs="Arial"/>
          <w:b/>
          <w:bCs/>
          <w:color w:val="000000"/>
          <w:kern w:val="0"/>
          <w:sz w:val="18"/>
        </w:rPr>
      </w:pPr>
      <w:r>
        <w:rPr>
          <w:rFonts w:ascii="Arial" w:hAnsi="Arial" w:eastAsia="宋体" w:cs="Arial"/>
          <w:b/>
          <w:bCs/>
          <w:color w:val="000000"/>
          <w:kern w:val="0"/>
          <w:sz w:val="18"/>
        </w:rPr>
        <w:t>临床特异性</w:t>
      </w:r>
    </w:p>
    <w:p w14:paraId="3D8F1685">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对贵公司的内毒素测定在非垂危但有类似于败血症的体征和症状的住院患者中的临床特异性进行评价。优选情况下，我们建议贵公司选择年龄和性别分布类似于灵敏度研究中选择的患者的对照组，因为这些人口学因素可能会影响测定结果。</w:t>
      </w:r>
    </w:p>
    <w:p w14:paraId="6C487EF7">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b/>
          <w:bCs/>
          <w:color w:val="000000"/>
          <w:kern w:val="0"/>
          <w:sz w:val="18"/>
        </w:rPr>
        <w:t>样品收集和处理条件</w:t>
      </w:r>
    </w:p>
    <w:p w14:paraId="02AC6057">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通过评估器械是否可以在推荐给用户的存储时间和温度下保持可接受的性能（例如精确性）来证实标签中关于样品存储和运输的声明。例如，适当的研究可能包括对在时间、温度或指定数量的冻融循环条件下储存的等分试样进行分析。我们建议贵公司列出在推荐的存储和处理条件下可接受回收范围的标准。</w:t>
      </w:r>
    </w:p>
    <w:p w14:paraId="732C39AC">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b/>
          <w:bCs/>
          <w:color w:val="000000"/>
          <w:kern w:val="0"/>
          <w:sz w:val="18"/>
        </w:rPr>
        <w:t>样品选择、入选和排除标准</w:t>
      </w:r>
    </w:p>
    <w:p w14:paraId="790DDE81">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在贵公司的灵敏度研究中对其内毒素水平位于测定的可报告范围内的患者样本进行评价。我们建议贵公司对如何样品选择的明确说明，包括排除样品的原因。我们建议贵公司纳入来自目标人群的样本（即来自危重患者的全血样本）。</w:t>
      </w:r>
    </w:p>
    <w:p w14:paraId="092BE3DD">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样品量是否适当取决于该试验的精确性、干扰和该试验的其他性能特性等因素。我们建议贵公司提供统计理由来支持研究样本量。</w:t>
      </w:r>
    </w:p>
    <w:p w14:paraId="541F9C1B">
      <w:pPr>
        <w:widowControl/>
        <w:snapToGrid w:val="0"/>
        <w:spacing w:before="90" w:after="90" w:line="312" w:lineRule="auto"/>
        <w:rPr>
          <w:rFonts w:ascii="Arial" w:hAnsi="Arial" w:eastAsia="宋体" w:cs="Arial"/>
          <w:b/>
          <w:color w:val="000000"/>
          <w:kern w:val="0"/>
          <w:sz w:val="18"/>
          <w:szCs w:val="18"/>
        </w:rPr>
      </w:pPr>
      <w:r>
        <w:rPr>
          <w:rFonts w:ascii="Arial" w:hAnsi="Arial" w:eastAsia="宋体" w:cs="Arial"/>
          <w:b/>
          <w:color w:val="000000"/>
          <w:kern w:val="0"/>
          <w:sz w:val="18"/>
          <w:szCs w:val="18"/>
        </w:rPr>
        <w:t>预期值</w:t>
      </w:r>
    </w:p>
    <w:p w14:paraId="716C376D">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对无症状患者进行评价，以确定健康人群（如应激条件下的非患病个体）（如吸烟者）中内毒素的流行率。我们还建议贵公司收集其他住院患者的数据，其中，此类患者为已垂危但不被认为具有败血症风险的患者。优选情况下，我们建议贵公司选择年龄和性别分布类似于灵敏度研究中选择的患者的对照组，因为这些人口学因素可能会影响测定结果。</w:t>
      </w:r>
    </w:p>
    <w:p w14:paraId="39FF3692">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b/>
          <w:bCs/>
          <w:color w:val="000000"/>
          <w:kern w:val="0"/>
          <w:sz w:val="18"/>
        </w:rPr>
        <w:t>提交结果</w:t>
      </w:r>
    </w:p>
    <w:p w14:paraId="5BE2A2E0">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18"/>
          <w:szCs w:val="18"/>
        </w:rPr>
        <w:t>当提交贵公司的研究结果时，我们建议贵公司证明内毒素值与败血症风险特征之间的相关性。数据应表明由每种内毒素活性水平（高、中、低）引起的严重败血症综合征的流行率。我们建议贵公司按照重要的人口因素（例如年龄和性别）对数据进行分层（如果这些因素有可能使结果产生偏差）。</w:t>
      </w:r>
    </w:p>
    <w:p w14:paraId="5CB02105">
      <w:pPr>
        <w:widowControl/>
        <w:snapToGrid w:val="0"/>
        <w:spacing w:before="360" w:after="360" w:line="312" w:lineRule="auto"/>
        <w:rPr>
          <w:rFonts w:ascii="Arial" w:hAnsi="Arial" w:eastAsia="宋体" w:cs="Arial"/>
          <w:kern w:val="0"/>
          <w:sz w:val="24"/>
          <w:szCs w:val="24"/>
        </w:rPr>
      </w:pPr>
      <w:r>
        <w:rPr>
          <w:rFonts w:ascii="Arial" w:hAnsi="Arial" w:eastAsia="宋体" w:cs="Arial"/>
          <w:kern w:val="0"/>
          <w:sz w:val="24"/>
          <w:szCs w:val="24"/>
        </w:rPr>
        <w:pict>
          <v:rect id="_x0000_i1028" o:spt="1" style="height:0.75pt;width:150pt;" fillcolor="#000000" filled="t" stroked="f" coordsize="21600,21600" o:hr="t" o:hrstd="t" o:hrnoshade="t" o:hrpct="0">
            <v:path/>
            <v:fill on="t" focussize="0,0"/>
            <v:stroke on="f"/>
            <v:imagedata o:title=""/>
            <o:lock v:ext="edit"/>
            <w10:wrap type="none"/>
            <w10:anchorlock/>
          </v:rect>
        </w:pict>
      </w:r>
    </w:p>
    <w:p w14:paraId="77760D50">
      <w:pPr>
        <w:widowControl/>
        <w:snapToGrid w:val="0"/>
        <w:spacing w:before="90" w:after="90" w:line="312" w:lineRule="auto"/>
        <w:rPr>
          <w:rFonts w:ascii="Arial" w:hAnsi="Arial" w:eastAsia="宋体" w:cs="Arial"/>
          <w:color w:val="000000"/>
          <w:kern w:val="0"/>
          <w:sz w:val="18"/>
          <w:szCs w:val="18"/>
        </w:rPr>
      </w:pPr>
      <w:r>
        <w:rPr>
          <w:rFonts w:ascii="Arial" w:hAnsi="Arial" w:eastAsia="宋体" w:cs="Arial"/>
          <w:color w:val="000000"/>
          <w:kern w:val="0"/>
          <w:sz w:val="20"/>
          <w:szCs w:val="20"/>
          <w:vertAlign w:val="superscript"/>
        </w:rPr>
        <w:t>5</w:t>
      </w:r>
      <w:r>
        <w:rPr>
          <w:rFonts w:ascii="Arial" w:hAnsi="Arial" w:eastAsia="宋体" w:cs="Arial"/>
          <w:color w:val="000000"/>
          <w:kern w:val="0"/>
          <w:sz w:val="18"/>
          <w:szCs w:val="18"/>
        </w:rPr>
        <w:t>败血症和器官衰竭的定义以及使用创新疗法治疗败血症的指南。危重病监护医学 ，1992年； 20：864-874。</w:t>
      </w:r>
    </w:p>
    <w:p w14:paraId="0377378E">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6547B09A">
      <w:pPr>
        <w:widowControl/>
        <w:snapToGrid w:val="0"/>
        <w:spacing w:before="78" w:after="78" w:line="312" w:lineRule="auto"/>
        <w:outlineLvl w:val="0"/>
        <w:rPr>
          <w:rFonts w:ascii="Arial" w:hAnsi="Arial" w:eastAsia="宋体" w:cs="Arial"/>
          <w:b/>
          <w:bCs/>
          <w:color w:val="000000"/>
          <w:kern w:val="0"/>
          <w:sz w:val="29"/>
          <w:szCs w:val="29"/>
        </w:rPr>
      </w:pPr>
      <w:r>
        <w:rPr>
          <w:rFonts w:ascii="Arial" w:hAnsi="Arial" w:eastAsia="宋体" w:cs="Arial"/>
          <w:b/>
          <w:bCs/>
          <w:color w:val="000000"/>
          <w:kern w:val="0"/>
          <w:sz w:val="29"/>
          <w:szCs w:val="29"/>
        </w:rPr>
        <w:t>8.标签</w:t>
      </w:r>
    </w:p>
    <w:p w14:paraId="0A4EEB93">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color w:val="000000"/>
          <w:kern w:val="0"/>
          <w:sz w:val="18"/>
          <w:szCs w:val="18"/>
        </w:rPr>
        <w:t>上市前通知应包括足够详细的标签，以满足21 CFR 807.87（e）的要求。以下建议旨在协助贵公司准备符合21 CFR 807.87（e）要求的标签</w:t>
      </w:r>
    </w:p>
    <w:p w14:paraId="10B021E6">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b/>
          <w:bCs/>
          <w:color w:val="000000"/>
          <w:kern w:val="0"/>
          <w:sz w:val="18"/>
        </w:rPr>
        <w:t>使用说明</w:t>
      </w:r>
    </w:p>
    <w:p w14:paraId="50113092">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我们建议贵公司提供清晰简明的说明，以描述具体器械的技术特征以及该器械如何用于患者。说明应鼓励旨在使用户熟悉器械功能，以及如何以安全有效的方式进行使用的地方/机构培训计划。</w:t>
      </w:r>
    </w:p>
    <w:p w14:paraId="3E813DD6">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b/>
          <w:bCs/>
          <w:color w:val="000000"/>
          <w:kern w:val="0"/>
          <w:sz w:val="18"/>
        </w:rPr>
        <w:t>质量控制</w:t>
      </w:r>
    </w:p>
    <w:p w14:paraId="7F2E0AB0">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color w:val="000000"/>
          <w:kern w:val="0"/>
          <w:sz w:val="18"/>
          <w:szCs w:val="18"/>
        </w:rPr>
        <w:t>为了缓解因患者的嗜中性粒细胞特征而使结果不准确的风险，我们建议贵公司在标签中提供质量控制建议。</w:t>
      </w:r>
    </w:p>
    <w:p w14:paraId="245CFAE0">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b/>
          <w:bCs/>
          <w:color w:val="000000"/>
          <w:kern w:val="0"/>
          <w:sz w:val="18"/>
        </w:rPr>
        <w:t>局限性</w:t>
      </w:r>
    </w:p>
    <w:p w14:paraId="733BB632">
      <w:pPr>
        <w:widowControl/>
        <w:snapToGrid w:val="0"/>
        <w:spacing w:before="78" w:after="78" w:line="312"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我们建议贵公司解决贵公司测定的局限性并在标签中进行声明，例如：</w:t>
      </w:r>
    </w:p>
    <w:p w14:paraId="5EE824FB">
      <w:pPr>
        <w:widowControl/>
        <w:numPr>
          <w:ilvl w:val="0"/>
          <w:numId w:val="4"/>
        </w:numPr>
        <w:snapToGrid w:val="0"/>
        <w:spacing w:line="312" w:lineRule="auto"/>
        <w:ind w:left="727" w:leftChars="186" w:hanging="336" w:hangingChars="187"/>
        <w:rPr>
          <w:rFonts w:ascii="Arial" w:hAnsi="Arial" w:eastAsia="宋体" w:cs="Arial"/>
          <w:color w:val="000000"/>
          <w:kern w:val="0"/>
          <w:sz w:val="18"/>
          <w:szCs w:val="18"/>
        </w:rPr>
      </w:pPr>
      <w:r>
        <w:rPr>
          <w:rFonts w:ascii="Arial" w:hAnsi="Arial" w:eastAsia="宋体" w:cs="Arial"/>
          <w:color w:val="000000"/>
          <w:kern w:val="0"/>
          <w:sz w:val="18"/>
          <w:szCs w:val="18"/>
        </w:rPr>
        <w:t>在具有肝病、白血病、淋巴瘤、高血压、主要热损伤或多发性创伤的患者或经历主要血管手术的患者（如心肺转流术）的血液中可检测到内毒素活性。</w:t>
      </w:r>
    </w:p>
    <w:p w14:paraId="62DF7F81">
      <w:pPr>
        <w:widowControl/>
        <w:numPr>
          <w:ilvl w:val="0"/>
          <w:numId w:val="4"/>
        </w:numPr>
        <w:snapToGrid w:val="0"/>
        <w:spacing w:line="312" w:lineRule="auto"/>
        <w:ind w:left="727" w:leftChars="186" w:hanging="336" w:hangingChars="187"/>
        <w:rPr>
          <w:rFonts w:ascii="Arial" w:hAnsi="Arial" w:eastAsia="宋体" w:cs="Arial"/>
          <w:color w:val="000000"/>
          <w:kern w:val="0"/>
          <w:sz w:val="18"/>
          <w:szCs w:val="18"/>
        </w:rPr>
      </w:pPr>
      <w:r>
        <w:rPr>
          <w:rFonts w:ascii="Arial" w:hAnsi="Arial" w:eastAsia="宋体" w:cs="Arial"/>
          <w:color w:val="000000"/>
          <w:kern w:val="0"/>
          <w:sz w:val="18"/>
          <w:szCs w:val="18"/>
        </w:rPr>
        <w:t>可能出现内毒素易位，即从肠或肺组织易位到血液中。</w:t>
      </w:r>
    </w:p>
    <w:p w14:paraId="520ACB75">
      <w:pPr>
        <w:widowControl/>
        <w:numPr>
          <w:ilvl w:val="0"/>
          <w:numId w:val="4"/>
        </w:numPr>
        <w:snapToGrid w:val="0"/>
        <w:spacing w:line="312" w:lineRule="auto"/>
        <w:ind w:left="727" w:leftChars="186" w:hanging="336" w:hangingChars="187"/>
        <w:rPr>
          <w:rFonts w:ascii="Arial" w:hAnsi="Arial" w:eastAsia="宋体" w:cs="Arial"/>
          <w:color w:val="000000"/>
          <w:kern w:val="0"/>
          <w:sz w:val="18"/>
          <w:szCs w:val="18"/>
        </w:rPr>
      </w:pPr>
      <w:r>
        <w:rPr>
          <w:rFonts w:ascii="Arial" w:hAnsi="Arial" w:eastAsia="宋体" w:cs="Arial"/>
          <w:color w:val="000000"/>
          <w:kern w:val="0"/>
          <w:sz w:val="18"/>
          <w:szCs w:val="18"/>
        </w:rPr>
        <w:t>测定应仅在评估患者的过程中（例如，仅在进入ICU的第一天使用）的特定时间内使用。</w:t>
      </w:r>
    </w:p>
    <w:p w14:paraId="238C2AD4">
      <w:pPr>
        <w:widowControl/>
        <w:numPr>
          <w:ilvl w:val="0"/>
          <w:numId w:val="4"/>
        </w:numPr>
        <w:snapToGrid w:val="0"/>
        <w:spacing w:line="312" w:lineRule="auto"/>
        <w:ind w:left="727" w:leftChars="186" w:hanging="336" w:hangingChars="187"/>
        <w:rPr>
          <w:rFonts w:ascii="Arial" w:hAnsi="Arial" w:eastAsia="宋体" w:cs="Arial"/>
          <w:color w:val="000000"/>
          <w:kern w:val="0"/>
          <w:sz w:val="18"/>
          <w:szCs w:val="18"/>
        </w:rPr>
      </w:pPr>
      <w:r>
        <w:rPr>
          <w:rFonts w:ascii="Arial" w:hAnsi="Arial" w:eastAsia="宋体" w:cs="Arial"/>
          <w:color w:val="000000"/>
          <w:kern w:val="0"/>
          <w:sz w:val="18"/>
          <w:szCs w:val="18"/>
        </w:rPr>
        <w:t>测定结果应仅根据其他实验室检查结果和患者的总体临床状况解释。</w:t>
      </w:r>
    </w:p>
    <w:p w14:paraId="5353C50E">
      <w:pPr>
        <w:pStyle w:val="25"/>
        <w:widowControl/>
        <w:snapToGrid w:val="0"/>
        <w:spacing w:before="78" w:after="78" w:line="312" w:lineRule="auto"/>
        <w:ind w:firstLine="0" w:firstLineChars="0"/>
        <w:rPr>
          <w:rFonts w:ascii="Arial" w:hAnsi="Arial" w:eastAsia="宋体" w:cs="Arial"/>
          <w:color w:val="000000"/>
          <w:kern w:val="0"/>
          <w:sz w:val="18"/>
          <w:szCs w:val="18"/>
        </w:rPr>
      </w:pPr>
    </w:p>
    <w:p w14:paraId="2A5C5ED2">
      <w:pPr>
        <w:widowControl/>
        <w:snapToGrid w:val="0"/>
        <w:spacing w:line="312" w:lineRule="auto"/>
        <w:rPr>
          <w:rFonts w:ascii="Arial" w:hAnsi="Arial" w:eastAsia="宋体" w:cs="Arial"/>
          <w:color w:val="000000"/>
          <w:kern w:val="0"/>
          <w:sz w:val="18"/>
          <w:szCs w:val="18"/>
        </w:rPr>
      </w:pPr>
    </w:p>
    <w:p w14:paraId="054934AC">
      <w:pPr>
        <w:widowControl/>
        <w:snapToGrid w:val="0"/>
        <w:spacing w:before="360" w:after="360" w:line="312" w:lineRule="auto"/>
        <w:rPr>
          <w:rFonts w:ascii="Arial" w:hAnsi="Arial" w:eastAsia="宋体" w:cs="Arial"/>
          <w:kern w:val="0"/>
          <w:sz w:val="24"/>
          <w:szCs w:val="24"/>
        </w:rPr>
      </w:pPr>
      <w:r>
        <w:rPr>
          <w:rFonts w:ascii="Arial" w:hAnsi="Arial" w:eastAsia="宋体" w:cs="Arial"/>
          <w:kern w:val="0"/>
          <w:sz w:val="24"/>
          <w:szCs w:val="24"/>
        </w:rPr>
        <w:pict>
          <v:rect id="_x0000_i1029" o:spt="1" style="height:0.75pt;width:150pt;" fillcolor="#000000" filled="t" stroked="f" coordsize="21600,21600" o:hr="t" o:hrstd="t" o:hrnoshade="t" o:hrpct="0">
            <v:path/>
            <v:fill on="t" focussize="0,0"/>
            <v:stroke on="f"/>
            <v:imagedata o:title=""/>
            <o:lock v:ext="edit"/>
            <w10:wrap type="none"/>
            <w10:anchorlock/>
          </v:rect>
        </w:pict>
      </w:r>
    </w:p>
    <w:p w14:paraId="27E4C838">
      <w:pPr>
        <w:pStyle w:val="25"/>
        <w:widowControl/>
        <w:snapToGrid w:val="0"/>
        <w:spacing w:before="78" w:after="78" w:line="312" w:lineRule="auto"/>
        <w:ind w:firstLine="0" w:firstLineChars="0"/>
        <w:rPr>
          <w:rFonts w:ascii="Arial" w:hAnsi="Arial" w:eastAsia="宋体" w:cs="Arial"/>
          <w:color w:val="000000"/>
          <w:kern w:val="0"/>
          <w:sz w:val="18"/>
          <w:szCs w:val="18"/>
        </w:rPr>
      </w:pPr>
      <w:r>
        <w:rPr>
          <w:rFonts w:ascii="Arial" w:hAnsi="Arial" w:eastAsia="宋体" w:cs="Arial"/>
          <w:color w:val="000000"/>
          <w:kern w:val="0"/>
          <w:sz w:val="20"/>
          <w:szCs w:val="20"/>
          <w:vertAlign w:val="superscript"/>
        </w:rPr>
        <w:t>6</w:t>
      </w:r>
      <w:r>
        <w:rPr>
          <w:rFonts w:ascii="Arial" w:hAnsi="Arial" w:eastAsia="宋体" w:cs="Arial"/>
          <w:color w:val="000000"/>
          <w:kern w:val="0"/>
          <w:sz w:val="18"/>
          <w:szCs w:val="18"/>
        </w:rPr>
        <w:t>尽管510（k）许可不要求提供最终标签，但在将医疗器械引入州际贸易之前，最终标签必须符合21 CFR 801或21 CFR 809.10的要求。</w:t>
      </w:r>
    </w:p>
    <w:p w14:paraId="647650FF">
      <w:pPr>
        <w:widowControl/>
        <w:snapToGrid w:val="0"/>
        <w:spacing w:before="90" w:after="90" w:line="312" w:lineRule="auto"/>
        <w:rPr>
          <w:rFonts w:ascii="Arial" w:hAnsi="Arial" w:eastAsia="宋体" w:cs="Arial"/>
          <w:color w:val="000000"/>
          <w:kern w:val="0"/>
          <w:sz w:val="18"/>
          <w:szCs w:val="18"/>
        </w:rPr>
      </w:pPr>
    </w:p>
    <w:p w14:paraId="2A0E2E6A">
      <w:pPr>
        <w:snapToGrid w:val="0"/>
        <w:spacing w:line="312" w:lineRule="auto"/>
        <w:rPr>
          <w:rFonts w:ascii="Arial" w:hAnsi="Arial" w:eastAsia="宋体" w:cs="Arial"/>
        </w:rPr>
      </w:pPr>
    </w:p>
    <w:p w14:paraId="5046961D">
      <w:pPr>
        <w:widowControl/>
        <w:snapToGrid w:val="0"/>
        <w:spacing w:line="312" w:lineRule="auto"/>
        <w:outlineLvl w:val="0"/>
        <w:rPr>
          <w:rFonts w:hint="eastAsia" w:eastAsia="宋体"/>
          <w:lang w:eastAsia="zh-CN"/>
        </w:rPr>
      </w:pPr>
    </w:p>
    <w:p w14:paraId="0B4A4223">
      <w:pPr>
        <w:widowControl/>
        <w:snapToGrid w:val="0"/>
        <w:spacing w:line="312" w:lineRule="auto"/>
        <w:jc w:val="center"/>
        <w:outlineLvl w:val="0"/>
        <w:rPr>
          <w:rFonts w:hint="eastAsia" w:eastAsia="宋体"/>
          <w:lang w:eastAsia="zh-CN"/>
        </w:rPr>
      </w:pPr>
    </w:p>
    <w:p w14:paraId="67792559">
      <w:pPr>
        <w:widowControl/>
        <w:snapToGrid w:val="0"/>
        <w:spacing w:line="312" w:lineRule="auto"/>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C1BB7"/>
    <w:multiLevelType w:val="multilevel"/>
    <w:tmpl w:val="0C7C1B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FBA1252"/>
    <w:multiLevelType w:val="multilevel"/>
    <w:tmpl w:val="3FBA1252"/>
    <w:lvl w:ilvl="0" w:tentative="0">
      <w:start w:val="0"/>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F161AD1"/>
    <w:multiLevelType w:val="multilevel"/>
    <w:tmpl w:val="5F161A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7D480CCC"/>
    <w:multiLevelType w:val="multilevel"/>
    <w:tmpl w:val="7D480CC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CF8"/>
    <w:rsid w:val="000711D4"/>
    <w:rsid w:val="000973FA"/>
    <w:rsid w:val="000A7020"/>
    <w:rsid w:val="0013181D"/>
    <w:rsid w:val="001764D6"/>
    <w:rsid w:val="00177976"/>
    <w:rsid w:val="001A75FE"/>
    <w:rsid w:val="0021754E"/>
    <w:rsid w:val="002218FD"/>
    <w:rsid w:val="0024020C"/>
    <w:rsid w:val="0027450E"/>
    <w:rsid w:val="002754A2"/>
    <w:rsid w:val="002920E6"/>
    <w:rsid w:val="00294CF3"/>
    <w:rsid w:val="002F2F68"/>
    <w:rsid w:val="003735CD"/>
    <w:rsid w:val="003E3BDC"/>
    <w:rsid w:val="003E63F0"/>
    <w:rsid w:val="00413B20"/>
    <w:rsid w:val="004872C2"/>
    <w:rsid w:val="004A660B"/>
    <w:rsid w:val="004E376A"/>
    <w:rsid w:val="005027FC"/>
    <w:rsid w:val="006000A7"/>
    <w:rsid w:val="00610A17"/>
    <w:rsid w:val="00615FD4"/>
    <w:rsid w:val="006552FC"/>
    <w:rsid w:val="006712EF"/>
    <w:rsid w:val="006B239B"/>
    <w:rsid w:val="007376F6"/>
    <w:rsid w:val="00757A6C"/>
    <w:rsid w:val="00770517"/>
    <w:rsid w:val="00773C13"/>
    <w:rsid w:val="007C7CD6"/>
    <w:rsid w:val="00803984"/>
    <w:rsid w:val="008168A9"/>
    <w:rsid w:val="008749FA"/>
    <w:rsid w:val="008974C5"/>
    <w:rsid w:val="008B372C"/>
    <w:rsid w:val="008F4521"/>
    <w:rsid w:val="00927F50"/>
    <w:rsid w:val="009711B5"/>
    <w:rsid w:val="00977106"/>
    <w:rsid w:val="009B70AF"/>
    <w:rsid w:val="009C2757"/>
    <w:rsid w:val="009D7D00"/>
    <w:rsid w:val="009F01D3"/>
    <w:rsid w:val="00A25CF8"/>
    <w:rsid w:val="00AA3F67"/>
    <w:rsid w:val="00B115E2"/>
    <w:rsid w:val="00B1201C"/>
    <w:rsid w:val="00B21D88"/>
    <w:rsid w:val="00B47DD0"/>
    <w:rsid w:val="00B646BC"/>
    <w:rsid w:val="00B71BE4"/>
    <w:rsid w:val="00B77956"/>
    <w:rsid w:val="00B80FDB"/>
    <w:rsid w:val="00B87D6A"/>
    <w:rsid w:val="00BD3FFD"/>
    <w:rsid w:val="00C06964"/>
    <w:rsid w:val="00C30243"/>
    <w:rsid w:val="00C3392D"/>
    <w:rsid w:val="00D142AD"/>
    <w:rsid w:val="00DE2D0A"/>
    <w:rsid w:val="00DE3401"/>
    <w:rsid w:val="00E114B7"/>
    <w:rsid w:val="00E1523C"/>
    <w:rsid w:val="00E24597"/>
    <w:rsid w:val="00E3250C"/>
    <w:rsid w:val="00EC6BB5"/>
    <w:rsid w:val="00F12538"/>
    <w:rsid w:val="00F23052"/>
    <w:rsid w:val="00F32293"/>
    <w:rsid w:val="00F62431"/>
    <w:rsid w:val="00FE4608"/>
    <w:rsid w:val="65492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link w:val="2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link w:val="2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6">
    <w:name w:val="heading 5"/>
    <w:basedOn w:val="1"/>
    <w:link w:val="22"/>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4"/>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Hyperlink"/>
    <w:basedOn w:val="12"/>
    <w:semiHidden/>
    <w:unhideWhenUsed/>
    <w:qFormat/>
    <w:uiPriority w:val="99"/>
    <w:rPr>
      <w:color w:val="0000FF"/>
      <w:u w:val="single"/>
    </w:rPr>
  </w:style>
  <w:style w:type="character" w:customStyle="1" w:styleId="16">
    <w:name w:val="页眉 Char"/>
    <w:basedOn w:val="12"/>
    <w:link w:val="9"/>
    <w:qFormat/>
    <w:uiPriority w:val="99"/>
    <w:rPr>
      <w:sz w:val="18"/>
      <w:szCs w:val="18"/>
    </w:rPr>
  </w:style>
  <w:style w:type="character" w:customStyle="1" w:styleId="17">
    <w:name w:val="页脚 Char"/>
    <w:basedOn w:val="12"/>
    <w:link w:val="8"/>
    <w:qFormat/>
    <w:uiPriority w:val="99"/>
    <w:rPr>
      <w:sz w:val="18"/>
      <w:szCs w:val="18"/>
    </w:rPr>
  </w:style>
  <w:style w:type="character" w:customStyle="1" w:styleId="18">
    <w:name w:val="标题 1 Char"/>
    <w:basedOn w:val="12"/>
    <w:link w:val="2"/>
    <w:qFormat/>
    <w:uiPriority w:val="9"/>
    <w:rPr>
      <w:rFonts w:ascii="宋体" w:hAnsi="宋体" w:eastAsia="宋体" w:cs="宋体"/>
      <w:b/>
      <w:bCs/>
      <w:kern w:val="36"/>
      <w:sz w:val="48"/>
      <w:szCs w:val="48"/>
    </w:rPr>
  </w:style>
  <w:style w:type="character" w:customStyle="1" w:styleId="19">
    <w:name w:val="标题 2 Char"/>
    <w:basedOn w:val="12"/>
    <w:link w:val="3"/>
    <w:qFormat/>
    <w:uiPriority w:val="9"/>
    <w:rPr>
      <w:rFonts w:ascii="宋体" w:hAnsi="宋体" w:eastAsia="宋体" w:cs="宋体"/>
      <w:b/>
      <w:bCs/>
      <w:kern w:val="0"/>
      <w:sz w:val="36"/>
      <w:szCs w:val="36"/>
    </w:rPr>
  </w:style>
  <w:style w:type="character" w:customStyle="1" w:styleId="20">
    <w:name w:val="标题 3 Char"/>
    <w:basedOn w:val="12"/>
    <w:link w:val="4"/>
    <w:qFormat/>
    <w:uiPriority w:val="9"/>
    <w:rPr>
      <w:rFonts w:ascii="宋体" w:hAnsi="宋体" w:eastAsia="宋体" w:cs="宋体"/>
      <w:b/>
      <w:bCs/>
      <w:kern w:val="0"/>
      <w:sz w:val="27"/>
      <w:szCs w:val="27"/>
    </w:rPr>
  </w:style>
  <w:style w:type="character" w:customStyle="1" w:styleId="21">
    <w:name w:val="标题 4 Char"/>
    <w:basedOn w:val="12"/>
    <w:link w:val="5"/>
    <w:qFormat/>
    <w:uiPriority w:val="9"/>
    <w:rPr>
      <w:rFonts w:ascii="宋体" w:hAnsi="宋体" w:eastAsia="宋体" w:cs="宋体"/>
      <w:b/>
      <w:bCs/>
      <w:kern w:val="0"/>
      <w:sz w:val="24"/>
      <w:szCs w:val="24"/>
    </w:rPr>
  </w:style>
  <w:style w:type="character" w:customStyle="1" w:styleId="22">
    <w:name w:val="标题 5 Char"/>
    <w:basedOn w:val="12"/>
    <w:link w:val="6"/>
    <w:qFormat/>
    <w:uiPriority w:val="9"/>
    <w:rPr>
      <w:rFonts w:ascii="宋体" w:hAnsi="宋体" w:eastAsia="宋体" w:cs="宋体"/>
      <w:b/>
      <w:bCs/>
      <w:kern w:val="0"/>
      <w:sz w:val="20"/>
      <w:szCs w:val="20"/>
    </w:rPr>
  </w:style>
  <w:style w:type="character" w:customStyle="1" w:styleId="23">
    <w:name w:val="apple-converted-space"/>
    <w:basedOn w:val="12"/>
    <w:qFormat/>
    <w:uiPriority w:val="0"/>
  </w:style>
  <w:style w:type="character" w:customStyle="1" w:styleId="24">
    <w:name w:val="批注框文本 Char"/>
    <w:basedOn w:val="12"/>
    <w:link w:val="7"/>
    <w:semiHidden/>
    <w:qFormat/>
    <w:uiPriority w:val="99"/>
    <w:rPr>
      <w:sz w:val="18"/>
      <w:szCs w:val="18"/>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6413</Words>
  <Characters>6843</Characters>
  <Lines>51</Lines>
  <Paragraphs>14</Paragraphs>
  <TotalTime>1</TotalTime>
  <ScaleCrop>false</ScaleCrop>
  <LinksUpToDate>false</LinksUpToDate>
  <CharactersWithSpaces>6895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2017-04-09T08:45:00Z</dcterms:created>
  <dc:creator>pc</dc:creator>
  <cp:lastModifiedBy>太极箫客</cp:lastModifiedBy>
  <dcterms:modified xsi:type="dcterms:W3CDTF">2025-08-14T06:17:51Z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E3C486473FE0468B90760C75CEF5BB32_12</vt:lpwstr>
  </property>
</Properties>
</file>