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6055E">
      <w:pPr>
        <w:widowControl/>
        <w:snapToGrid w:val="0"/>
        <w:spacing w:line="300" w:lineRule="auto"/>
        <w:outlineLvl w:val="0"/>
        <w:rPr>
          <w:rFonts w:ascii="Arial" w:hAnsi="Arial" w:eastAsia="宋体" w:cs="Arial"/>
          <w:b/>
          <w:color w:val="484138"/>
          <w:kern w:val="36"/>
          <w:sz w:val="36"/>
          <w:szCs w:val="36"/>
        </w:rPr>
      </w:pPr>
      <w:bookmarkStart w:id="9" w:name="_GoBack"/>
      <w:bookmarkEnd w:id="9"/>
      <w:r>
        <w:rPr>
          <w:rFonts w:ascii="Arial" w:hAnsi="Arial" w:eastAsia="宋体" w:cs="Arial"/>
          <w:b/>
          <w:bCs/>
          <w:color w:val="484138"/>
          <w:kern w:val="36"/>
          <w:sz w:val="36"/>
          <w:szCs w:val="36"/>
        </w:rPr>
        <w:t xml:space="preserve">行业和食品药品监督管理局工作人员指南- </w:t>
      </w:r>
      <w:r>
        <w:rPr>
          <w:rFonts w:ascii="Arial" w:hAnsi="Arial" w:eastAsia="宋体" w:cs="Arial"/>
          <w:b/>
          <w:color w:val="484138"/>
          <w:kern w:val="36"/>
          <w:sz w:val="36"/>
          <w:szCs w:val="36"/>
        </w:rPr>
        <w:t>II类特殊控制指导性文件：</w:t>
      </w:r>
    </w:p>
    <w:p w14:paraId="28505597">
      <w:pPr>
        <w:widowControl/>
        <w:snapToGrid w:val="0"/>
        <w:spacing w:line="300" w:lineRule="auto"/>
        <w:outlineLvl w:val="0"/>
        <w:rPr>
          <w:rFonts w:ascii="Arial" w:hAnsi="Arial" w:eastAsia="宋体" w:cs="Arial"/>
          <w:b/>
          <w:bCs/>
          <w:color w:val="484138"/>
          <w:kern w:val="36"/>
          <w:sz w:val="36"/>
          <w:szCs w:val="36"/>
        </w:rPr>
      </w:pPr>
      <w:r>
        <w:rPr>
          <w:rFonts w:ascii="Arial" w:hAnsi="Arial" w:eastAsia="宋体" w:cs="Arial"/>
          <w:b/>
          <w:bCs/>
          <w:color w:val="484138"/>
          <w:kern w:val="36"/>
          <w:sz w:val="36"/>
          <w:szCs w:val="36"/>
        </w:rPr>
        <w:t>使用核酸检测进行人类偏肺病毒(hMPV)的测定</w:t>
      </w:r>
    </w:p>
    <w:p w14:paraId="00093416">
      <w:pPr>
        <w:widowControl/>
        <w:snapToGrid w:val="0"/>
        <w:spacing w:before="90" w:after="90" w:line="300" w:lineRule="auto"/>
        <w:rPr>
          <w:rFonts w:ascii="Arial" w:hAnsi="Arial" w:eastAsia="宋体" w:cs="Arial"/>
          <w:b/>
          <w:color w:val="000000"/>
          <w:kern w:val="0"/>
          <w:sz w:val="18"/>
          <w:szCs w:val="18"/>
        </w:rPr>
      </w:pPr>
      <w:r>
        <w:rPr>
          <w:rFonts w:ascii="Arial" w:hAnsi="Arial" w:eastAsia="宋体" w:cs="Arial"/>
          <w:b/>
          <w:color w:val="000000"/>
          <w:kern w:val="0"/>
          <w:sz w:val="18"/>
          <w:szCs w:val="18"/>
        </w:rPr>
        <w:t>发布日期：2009年10月9日</w:t>
      </w:r>
    </w:p>
    <w:p w14:paraId="6E9B42DB">
      <w:pPr>
        <w:widowControl/>
        <w:snapToGrid w:val="0"/>
        <w:spacing w:before="90" w:after="90" w:line="300" w:lineRule="auto"/>
        <w:rPr>
          <w:rFonts w:ascii="Arial" w:hAnsi="Arial" w:eastAsia="宋体" w:cs="Arial"/>
          <w:color w:val="000000"/>
          <w:kern w:val="0"/>
          <w:sz w:val="18"/>
          <w:szCs w:val="18"/>
        </w:rPr>
      </w:pPr>
    </w:p>
    <w:p w14:paraId="74764965">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有关本文件的任何疑问，请联系Li Li，电话：301-796-6200 或电子邮件： </w:t>
      </w:r>
      <w:r>
        <w:fldChar w:fldCharType="begin"/>
      </w:r>
      <w:r>
        <w:instrText xml:space="preserve"> HYPERLINK "mailto:li.li2@fda.hhs.gov." </w:instrText>
      </w:r>
      <w:r>
        <w:fldChar w:fldCharType="separate"/>
      </w:r>
      <w:r>
        <w:rPr>
          <w:rStyle w:val="15"/>
          <w:rFonts w:ascii="Arial" w:hAnsi="Arial" w:eastAsia="宋体" w:cs="Arial"/>
          <w:color w:val="800080"/>
          <w:kern w:val="0"/>
          <w:sz w:val="18"/>
        </w:rPr>
        <w:t>li.li2@fda.hhs.gov.</w:t>
      </w:r>
      <w:r>
        <w:rPr>
          <w:rStyle w:val="15"/>
          <w:rFonts w:ascii="Arial" w:hAnsi="Arial" w:eastAsia="宋体" w:cs="Arial"/>
          <w:color w:val="800080"/>
          <w:kern w:val="0"/>
          <w:sz w:val="18"/>
        </w:rPr>
        <w:fldChar w:fldCharType="end"/>
      </w:r>
    </w:p>
    <w:tbl>
      <w:tblPr>
        <w:tblStyle w:val="11"/>
        <w:tblW w:w="5000" w:type="pct"/>
        <w:tblCellSpacing w:w="0" w:type="dxa"/>
        <w:tblInd w:w="0" w:type="dxa"/>
        <w:tblLayout w:type="autofit"/>
        <w:tblCellMar>
          <w:top w:w="75" w:type="dxa"/>
          <w:left w:w="75" w:type="dxa"/>
          <w:bottom w:w="75" w:type="dxa"/>
          <w:right w:w="75" w:type="dxa"/>
        </w:tblCellMar>
      </w:tblPr>
      <w:tblGrid>
        <w:gridCol w:w="3377"/>
        <w:gridCol w:w="5321"/>
      </w:tblGrid>
      <w:tr w14:paraId="5FE86BC0">
        <w:tblPrEx>
          <w:tblCellMar>
            <w:top w:w="75" w:type="dxa"/>
            <w:left w:w="75" w:type="dxa"/>
            <w:bottom w:w="75" w:type="dxa"/>
            <w:right w:w="75" w:type="dxa"/>
          </w:tblCellMar>
        </w:tblPrEx>
        <w:trPr>
          <w:tblCellSpacing w:w="0" w:type="dxa"/>
        </w:trPr>
        <w:tc>
          <w:tcPr>
            <w:tcW w:w="0" w:type="auto"/>
            <w:shd w:val="clear" w:color="auto" w:fill="auto"/>
          </w:tcPr>
          <w:p w14:paraId="08E49202">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cstate="print"/>
                          <a:srcRect/>
                          <a:stretch>
                            <a:fillRect/>
                          </a:stretch>
                        </pic:blipFill>
                        <pic:spPr>
                          <a:xfrm>
                            <a:off x="0" y="0"/>
                            <a:ext cx="923925" cy="952500"/>
                          </a:xfrm>
                          <a:prstGeom prst="rect">
                            <a:avLst/>
                          </a:prstGeom>
                          <a:noFill/>
                          <a:ln w="9525">
                            <a:noFill/>
                            <a:miter lim="800000"/>
                            <a:headEnd/>
                            <a:tailEnd/>
                          </a:ln>
                        </pic:spPr>
                      </pic:pic>
                    </a:graphicData>
                  </a:graphic>
                </wp:inline>
              </w:drawing>
            </w:r>
            <w:r>
              <w:rPr>
                <w:rFonts w:ascii="Arial" w:hAnsi="Arial" w:eastAsia="宋体" w:cs="Arial"/>
                <w:color w:val="000000"/>
                <w:kern w:val="0"/>
                <w:sz w:val="18"/>
                <w:szCs w:val="18"/>
              </w:rPr>
              <w:t> </w:t>
            </w:r>
          </w:p>
        </w:tc>
        <w:tc>
          <w:tcPr>
            <w:tcW w:w="0" w:type="auto"/>
            <w:shd w:val="clear" w:color="auto" w:fill="auto"/>
          </w:tcPr>
          <w:p w14:paraId="3A68A501">
            <w:pPr>
              <w:widowControl/>
              <w:snapToGrid w:val="0"/>
              <w:spacing w:before="66" w:after="66" w:line="300" w:lineRule="auto"/>
              <w:rPr>
                <w:rFonts w:ascii="Arial" w:hAnsi="Arial" w:eastAsia="宋体" w:cs="Arial"/>
                <w:b/>
                <w:bCs/>
                <w:color w:val="000000"/>
                <w:kern w:val="0"/>
                <w:sz w:val="18"/>
              </w:rPr>
            </w:pPr>
            <w:r>
              <w:rPr>
                <w:rFonts w:ascii="Arial" w:hAnsi="Arial" w:eastAsia="宋体" w:cs="Arial"/>
                <w:b/>
                <w:bCs/>
                <w:color w:val="000000"/>
                <w:kern w:val="0"/>
                <w:sz w:val="18"/>
              </w:rPr>
              <w:t>美国卫生与公众服务部</w:t>
            </w:r>
            <w:r>
              <w:rPr>
                <w:rFonts w:ascii="Arial" w:hAnsi="Arial" w:eastAsia="宋体" w:cs="Arial"/>
                <w:b/>
                <w:bCs/>
                <w:color w:val="000000"/>
                <w:kern w:val="0"/>
                <w:sz w:val="18"/>
                <w:szCs w:val="18"/>
              </w:rPr>
              <w:br w:type="textWrapping"/>
            </w:r>
            <w:r>
              <w:rPr>
                <w:rFonts w:ascii="Arial" w:hAnsi="Arial" w:eastAsia="宋体" w:cs="Arial"/>
                <w:b/>
                <w:bCs/>
                <w:color w:val="000000"/>
                <w:kern w:val="0"/>
                <w:sz w:val="18"/>
              </w:rPr>
              <w:t>食品药品监督管理局</w:t>
            </w:r>
            <w:r>
              <w:rPr>
                <w:rFonts w:ascii="Arial" w:hAnsi="Arial" w:eastAsia="宋体" w:cs="Arial"/>
                <w:b/>
                <w:bCs/>
                <w:color w:val="000000"/>
                <w:kern w:val="0"/>
                <w:sz w:val="18"/>
                <w:szCs w:val="18"/>
              </w:rPr>
              <w:br w:type="textWrapping"/>
            </w:r>
            <w:r>
              <w:rPr>
                <w:rFonts w:ascii="Arial" w:hAnsi="Arial" w:eastAsia="宋体" w:cs="Arial"/>
                <w:b/>
                <w:bCs/>
                <w:color w:val="000000"/>
                <w:kern w:val="0"/>
                <w:sz w:val="18"/>
              </w:rPr>
              <w:t>器械与放射健康中心</w:t>
            </w:r>
            <w:r>
              <w:rPr>
                <w:rFonts w:ascii="Arial" w:hAnsi="Arial" w:eastAsia="宋体" w:cs="Arial"/>
                <w:b/>
                <w:bCs/>
                <w:color w:val="000000"/>
                <w:kern w:val="0"/>
                <w:sz w:val="18"/>
                <w:szCs w:val="18"/>
              </w:rPr>
              <w:br w:type="textWrapping"/>
            </w:r>
            <w:r>
              <w:rPr>
                <w:rFonts w:ascii="Arial" w:hAnsi="Arial" w:eastAsia="宋体" w:cs="Arial"/>
                <w:b/>
                <w:bCs/>
                <w:color w:val="000000"/>
                <w:kern w:val="0"/>
                <w:sz w:val="18"/>
              </w:rPr>
              <w:t>体外诊断器械评估和安全办公室</w:t>
            </w:r>
            <w:r>
              <w:rPr>
                <w:rFonts w:ascii="Arial" w:hAnsi="Arial" w:eastAsia="宋体" w:cs="Arial"/>
                <w:b/>
                <w:bCs/>
                <w:color w:val="000000"/>
                <w:kern w:val="0"/>
                <w:sz w:val="18"/>
                <w:szCs w:val="18"/>
              </w:rPr>
              <w:br w:type="textWrapping"/>
            </w:r>
            <w:r>
              <w:rPr>
                <w:rFonts w:ascii="Arial" w:hAnsi="Arial" w:eastAsia="宋体" w:cs="Arial"/>
                <w:b/>
                <w:bCs/>
                <w:color w:val="000000"/>
                <w:kern w:val="0"/>
                <w:sz w:val="18"/>
              </w:rPr>
              <w:t>微生物检测器械部</w:t>
            </w:r>
          </w:p>
          <w:p w14:paraId="492A88D9">
            <w:pPr>
              <w:widowControl/>
              <w:snapToGrid w:val="0"/>
              <w:spacing w:before="66" w:after="66" w:line="300" w:lineRule="auto"/>
              <w:rPr>
                <w:rFonts w:ascii="Arial" w:hAnsi="Arial" w:eastAsia="宋体" w:cs="Arial"/>
                <w:color w:val="000000"/>
                <w:kern w:val="0"/>
                <w:sz w:val="18"/>
                <w:szCs w:val="18"/>
              </w:rPr>
            </w:pPr>
          </w:p>
        </w:tc>
      </w:tr>
    </w:tbl>
    <w:p w14:paraId="56939A79">
      <w:pPr>
        <w:widowControl/>
        <w:snapToGrid w:val="0"/>
        <w:spacing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前言</w:t>
      </w:r>
    </w:p>
    <w:p w14:paraId="517AAC73">
      <w:pPr>
        <w:widowControl/>
        <w:snapToGrid w:val="0"/>
        <w:spacing w:line="300" w:lineRule="auto"/>
        <w:outlineLvl w:val="3"/>
        <w:rPr>
          <w:rFonts w:ascii="Arial" w:hAnsi="Arial" w:eastAsia="宋体" w:cs="Arial"/>
          <w:b/>
          <w:bCs/>
          <w:color w:val="000000"/>
          <w:kern w:val="0"/>
          <w:sz w:val="29"/>
          <w:szCs w:val="29"/>
        </w:rPr>
      </w:pPr>
      <w:r>
        <w:rPr>
          <w:rFonts w:ascii="Arial" w:hAnsi="Arial" w:eastAsia="宋体" w:cs="Arial"/>
          <w:b/>
          <w:sz w:val="32"/>
          <w:szCs w:val="32"/>
        </w:rPr>
        <w:t>公众评论</w:t>
      </w:r>
    </w:p>
    <w:p w14:paraId="053D162C">
      <w:pPr>
        <w:widowControl/>
        <w:snapToGrid w:val="0"/>
        <w:spacing w:line="300" w:lineRule="auto"/>
        <w:outlineLvl w:val="3"/>
        <w:rPr>
          <w:rFonts w:ascii="Arial" w:hAnsi="Arial" w:eastAsia="宋体" w:cs="Arial"/>
          <w:sz w:val="24"/>
          <w:szCs w:val="24"/>
        </w:rPr>
      </w:pPr>
      <w:r>
        <w:rPr>
          <w:rFonts w:ascii="Arial" w:hAnsi="Arial" w:eastAsia="宋体" w:cs="Arial"/>
          <w:sz w:val="24"/>
          <w:szCs w:val="24"/>
        </w:rPr>
        <w:t>若有书面评论和建议可随时向文档管理部(HFA-305), FDA，</w:t>
      </w:r>
      <w:r>
        <w:rPr>
          <w:rFonts w:ascii="Arial" w:hAnsi="Arial" w:eastAsia="宋体" w:cs="Arial"/>
          <w:color w:val="000000"/>
          <w:kern w:val="0"/>
          <w:sz w:val="24"/>
          <w:szCs w:val="24"/>
        </w:rPr>
        <w:t>5630 Fishers Lane, rm. 1061, Rockville, MD 20852</w:t>
      </w:r>
      <w:r>
        <w:rPr>
          <w:rFonts w:ascii="Arial" w:hAnsi="Arial" w:eastAsia="宋体" w:cs="Arial"/>
          <w:sz w:val="24"/>
          <w:szCs w:val="24"/>
        </w:rPr>
        <w:t>提交，供部门审议；或者，电子版评论可提交至</w:t>
      </w:r>
      <w:r>
        <w:fldChar w:fldCharType="begin"/>
      </w:r>
      <w:r>
        <w:instrText xml:space="preserve"> HYPERLINK "http://www.regulations.gov/" </w:instrText>
      </w:r>
      <w:r>
        <w:fldChar w:fldCharType="separate"/>
      </w:r>
      <w:r>
        <w:rPr>
          <w:rFonts w:ascii="Arial" w:hAnsi="Arial" w:eastAsia="宋体" w:cs="Arial"/>
          <w:color w:val="800080"/>
          <w:kern w:val="0"/>
          <w:sz w:val="24"/>
          <w:szCs w:val="24"/>
          <w:u w:val="single"/>
        </w:rPr>
        <w:t>http://www.regulations.gov</w:t>
      </w:r>
      <w:r>
        <w:rPr>
          <w:rFonts w:ascii="Arial" w:hAnsi="Arial" w:eastAsia="宋体" w:cs="Arial"/>
          <w:color w:val="800080"/>
          <w:kern w:val="0"/>
          <w:sz w:val="24"/>
          <w:szCs w:val="24"/>
          <w:u w:val="single"/>
        </w:rPr>
        <w:fldChar w:fldCharType="end"/>
      </w:r>
      <w:r>
        <w:rPr>
          <w:rFonts w:ascii="Arial" w:hAnsi="Arial" w:eastAsia="宋体" w:cs="Arial"/>
          <w:color w:val="000000"/>
          <w:kern w:val="0"/>
          <w:sz w:val="24"/>
          <w:szCs w:val="24"/>
        </w:rPr>
        <w:t>。所有评论都应该使用在联邦公报上公布的可用性通知的文档编号来标识。</w:t>
      </w:r>
      <w:r>
        <w:rPr>
          <w:rFonts w:ascii="Arial" w:hAnsi="Arial" w:eastAsia="宋体" w:cs="Arial"/>
          <w:sz w:val="24"/>
          <w:szCs w:val="24"/>
        </w:rPr>
        <w:t>可能直到文件下次修订或更新时，评论才会被机构受理。</w:t>
      </w:r>
    </w:p>
    <w:p w14:paraId="5087B8CF">
      <w:pPr>
        <w:widowControl/>
        <w:snapToGrid w:val="0"/>
        <w:spacing w:line="300" w:lineRule="auto"/>
        <w:ind w:firstLine="480" w:firstLineChars="200"/>
        <w:outlineLvl w:val="3"/>
        <w:rPr>
          <w:rFonts w:ascii="Arial" w:hAnsi="Arial" w:eastAsia="宋体" w:cs="Arial"/>
          <w:sz w:val="24"/>
          <w:szCs w:val="24"/>
        </w:rPr>
      </w:pPr>
    </w:p>
    <w:p w14:paraId="0309C7D1">
      <w:pPr>
        <w:widowControl/>
        <w:snapToGrid w:val="0"/>
        <w:spacing w:line="300" w:lineRule="auto"/>
        <w:outlineLvl w:val="3"/>
        <w:rPr>
          <w:rFonts w:ascii="Arial" w:hAnsi="Arial" w:eastAsia="宋体" w:cs="Arial"/>
          <w:b/>
          <w:bCs/>
          <w:color w:val="000000"/>
          <w:kern w:val="0"/>
          <w:sz w:val="29"/>
          <w:szCs w:val="29"/>
        </w:rPr>
      </w:pPr>
      <w:r>
        <w:rPr>
          <w:rFonts w:ascii="Arial" w:hAnsi="Arial" w:eastAsia="宋体" w:cs="Arial"/>
          <w:b/>
          <w:sz w:val="32"/>
          <w:szCs w:val="32"/>
        </w:rPr>
        <w:t>其他副本</w:t>
      </w:r>
    </w:p>
    <w:p w14:paraId="45C7763A">
      <w:pPr>
        <w:widowControl/>
        <w:snapToGrid w:val="0"/>
        <w:spacing w:before="90" w:after="90" w:line="300" w:lineRule="auto"/>
        <w:rPr>
          <w:rFonts w:ascii="Arial" w:hAnsi="Arial" w:eastAsia="宋体" w:cs="Arial"/>
          <w:kern w:val="0"/>
          <w:sz w:val="24"/>
          <w:szCs w:val="24"/>
        </w:rPr>
      </w:pPr>
      <w:r>
        <w:rPr>
          <w:rFonts w:ascii="Arial" w:hAnsi="Arial" w:eastAsia="宋体" w:cs="Arial"/>
          <w:sz w:val="24"/>
          <w:szCs w:val="24"/>
        </w:rPr>
        <w:t>其他副本可从互联网获得。贵公司还可以发送电子邮件请求本指南的电子副本：</w:t>
      </w:r>
      <w:r>
        <w:fldChar w:fldCharType="begin"/>
      </w:r>
      <w:r>
        <w:instrText xml:space="preserve"> HYPERLINK "mailto:dsmica@fda.hhs.gov" </w:instrText>
      </w:r>
      <w:r>
        <w:fldChar w:fldCharType="separate"/>
      </w:r>
      <w:r>
        <w:rPr>
          <w:rFonts w:ascii="Arial" w:hAnsi="Arial" w:eastAsia="宋体" w:cs="Arial"/>
          <w:color w:val="800080"/>
          <w:kern w:val="0"/>
          <w:sz w:val="24"/>
          <w:szCs w:val="24"/>
          <w:u w:val="single"/>
        </w:rPr>
        <w:t>dsmica@fda.hhs.gov</w:t>
      </w:r>
      <w:r>
        <w:rPr>
          <w:rFonts w:ascii="Arial" w:hAnsi="Arial" w:eastAsia="宋体" w:cs="Arial"/>
          <w:color w:val="800080"/>
          <w:kern w:val="0"/>
          <w:sz w:val="24"/>
          <w:szCs w:val="24"/>
          <w:u w:val="single"/>
        </w:rPr>
        <w:fldChar w:fldCharType="end"/>
      </w:r>
      <w:r>
        <w:rPr>
          <w:rFonts w:ascii="Arial" w:hAnsi="Arial" w:eastAsia="宋体" w:cs="Arial"/>
          <w:sz w:val="24"/>
          <w:szCs w:val="24"/>
        </w:rPr>
        <w:t>，或向301-847-8149发送传真请求以接收复印件。在贵公司提出请求时，请使用本指南的文档编号（1673）以供识别。</w:t>
      </w:r>
      <w:r>
        <w:rPr>
          <w:rFonts w:ascii="Arial" w:hAnsi="Arial" w:eastAsia="宋体" w:cs="Arial"/>
          <w:kern w:val="0"/>
          <w:sz w:val="24"/>
          <w:szCs w:val="24"/>
        </w:rPr>
        <w:pict>
          <v:rect id="_x0000_i1025" o:spt="1" style="height:0.75pt;width:0pt;" fillcolor="#000000" filled="t" stroked="f" coordsize="21600,21600" o:hr="t" o:hrstd="t" o:hrnoshade="t">
            <v:path/>
            <v:fill on="t" focussize="0,0"/>
            <v:stroke on="f"/>
            <v:imagedata o:title=""/>
            <o:lock v:ext="edit"/>
            <w10:wrap type="none"/>
            <w10:anchorlock/>
          </v:rect>
        </w:pict>
      </w:r>
    </w:p>
    <w:p w14:paraId="0E006F71">
      <w:pPr>
        <w:widowControl/>
        <w:snapToGrid w:val="0"/>
        <w:spacing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目录</w:t>
      </w:r>
    </w:p>
    <w:p w14:paraId="7338616B">
      <w:pPr>
        <w:widowControl/>
        <w:numPr>
          <w:ilvl w:val="0"/>
          <w:numId w:val="1"/>
        </w:numPr>
        <w:tabs>
          <w:tab w:val="clear" w:pos="720"/>
        </w:tabs>
        <w:snapToGrid w:val="0"/>
        <w:spacing w:line="300" w:lineRule="auto"/>
        <w:ind w:left="0" w:firstLine="0"/>
        <w:rPr>
          <w:rFonts w:ascii="Arial" w:hAnsi="Arial" w:eastAsia="宋体" w:cs="Arial"/>
          <w:color w:val="000000"/>
          <w:kern w:val="0"/>
          <w:szCs w:val="21"/>
        </w:rPr>
      </w:pPr>
      <w:r>
        <w:fldChar w:fldCharType="begin"/>
      </w:r>
      <w:r>
        <w:instrText xml:space="preserve"> HYPERLINK "http://www.fda.gov/MedicalDevices/DeviceRegulationandGuidance/GuidanceDocuments/ucm180308.htm" \l "1" </w:instrText>
      </w:r>
      <w:r>
        <w:fldChar w:fldCharType="separate"/>
      </w:r>
      <w:r>
        <w:rPr>
          <w:rFonts w:ascii="Arial" w:hAnsi="Arial" w:eastAsia="宋体" w:cs="Arial"/>
          <w:color w:val="800080"/>
          <w:kern w:val="0"/>
          <w:szCs w:val="21"/>
          <w:u w:val="single"/>
        </w:rPr>
        <w:t>简介</w:t>
      </w:r>
      <w:r>
        <w:rPr>
          <w:rFonts w:ascii="Arial" w:hAnsi="Arial" w:eastAsia="宋体" w:cs="Arial"/>
          <w:color w:val="800080"/>
          <w:kern w:val="0"/>
          <w:szCs w:val="21"/>
          <w:u w:val="single"/>
        </w:rPr>
        <w:fldChar w:fldCharType="end"/>
      </w:r>
    </w:p>
    <w:p w14:paraId="59D898E3">
      <w:pPr>
        <w:widowControl/>
        <w:numPr>
          <w:ilvl w:val="0"/>
          <w:numId w:val="1"/>
        </w:numPr>
        <w:tabs>
          <w:tab w:val="clear" w:pos="720"/>
        </w:tabs>
        <w:snapToGrid w:val="0"/>
        <w:spacing w:line="300" w:lineRule="auto"/>
        <w:ind w:left="0" w:firstLine="0"/>
        <w:rPr>
          <w:rFonts w:ascii="Arial" w:hAnsi="Arial" w:eastAsia="宋体" w:cs="Arial"/>
          <w:color w:val="000000"/>
          <w:kern w:val="0"/>
          <w:szCs w:val="21"/>
        </w:rPr>
      </w:pPr>
      <w:r>
        <w:fldChar w:fldCharType="begin"/>
      </w:r>
      <w:r>
        <w:instrText xml:space="preserve"> HYPERLINK "http://www.fda.gov/MedicalDevices/DeviceRegulationandGuidance/GuidanceDocuments/ucm180308.htm" \l "2" </w:instrText>
      </w:r>
      <w:r>
        <w:fldChar w:fldCharType="separate"/>
      </w:r>
      <w:r>
        <w:rPr>
          <w:rFonts w:ascii="Arial" w:hAnsi="Arial" w:eastAsia="宋体" w:cs="Arial"/>
          <w:color w:val="800080"/>
          <w:kern w:val="0"/>
          <w:szCs w:val="21"/>
          <w:u w:val="single"/>
        </w:rPr>
        <w:t>背景 – 上市前通告</w:t>
      </w:r>
      <w:r>
        <w:rPr>
          <w:rFonts w:ascii="Arial" w:hAnsi="Arial" w:eastAsia="宋体" w:cs="Arial"/>
          <w:color w:val="800080"/>
          <w:kern w:val="0"/>
          <w:szCs w:val="21"/>
          <w:u w:val="single"/>
        </w:rPr>
        <w:fldChar w:fldCharType="end"/>
      </w:r>
    </w:p>
    <w:p w14:paraId="5A316F72">
      <w:pPr>
        <w:widowControl/>
        <w:numPr>
          <w:ilvl w:val="0"/>
          <w:numId w:val="1"/>
        </w:numPr>
        <w:tabs>
          <w:tab w:val="clear" w:pos="720"/>
        </w:tabs>
        <w:snapToGrid w:val="0"/>
        <w:spacing w:line="300" w:lineRule="auto"/>
        <w:ind w:left="0" w:firstLine="0"/>
        <w:rPr>
          <w:rFonts w:ascii="Arial" w:hAnsi="Arial" w:eastAsia="宋体" w:cs="Arial"/>
          <w:color w:val="000000"/>
          <w:kern w:val="0"/>
          <w:szCs w:val="21"/>
        </w:rPr>
      </w:pPr>
      <w:r>
        <w:fldChar w:fldCharType="begin"/>
      </w:r>
      <w:r>
        <w:instrText xml:space="preserve"> HYPERLINK "http://www.fda.gov/MedicalDevices/DeviceRegulationandGuidance/GuidanceDocuments/ucm180306.htm" \l "3" </w:instrText>
      </w:r>
      <w:r>
        <w:fldChar w:fldCharType="separate"/>
      </w:r>
      <w:r>
        <w:rPr>
          <w:rFonts w:ascii="Arial" w:hAnsi="Arial" w:eastAsia="宋体" w:cs="Arial"/>
          <w:color w:val="800080"/>
          <w:kern w:val="0"/>
          <w:szCs w:val="21"/>
          <w:u w:val="single"/>
        </w:rPr>
        <w:t>本文件和相关文件的范围</w:t>
      </w:r>
      <w:r>
        <w:rPr>
          <w:rFonts w:ascii="Arial" w:hAnsi="Arial" w:eastAsia="宋体" w:cs="Arial"/>
          <w:color w:val="800080"/>
          <w:kern w:val="0"/>
          <w:szCs w:val="21"/>
          <w:u w:val="single"/>
        </w:rPr>
        <w:fldChar w:fldCharType="end"/>
      </w:r>
    </w:p>
    <w:p w14:paraId="5BCF318C">
      <w:pPr>
        <w:widowControl/>
        <w:numPr>
          <w:ilvl w:val="0"/>
          <w:numId w:val="1"/>
        </w:numPr>
        <w:tabs>
          <w:tab w:val="clear" w:pos="720"/>
        </w:tabs>
        <w:snapToGrid w:val="0"/>
        <w:spacing w:line="300" w:lineRule="auto"/>
        <w:ind w:left="0" w:firstLine="0"/>
        <w:rPr>
          <w:rFonts w:ascii="Arial" w:hAnsi="Arial" w:eastAsia="宋体" w:cs="Arial"/>
          <w:color w:val="000000"/>
          <w:kern w:val="0"/>
          <w:szCs w:val="21"/>
        </w:rPr>
      </w:pPr>
      <w:r>
        <w:fldChar w:fldCharType="begin"/>
      </w:r>
      <w:r>
        <w:instrText xml:space="preserve"> HYPERLINK "http://www.fda.gov/MedicalDevices/DeviceRegulationandGuidance/GuidanceDocuments/ucm180308.htm" \l "4" </w:instrText>
      </w:r>
      <w:r>
        <w:fldChar w:fldCharType="separate"/>
      </w:r>
      <w:r>
        <w:rPr>
          <w:rFonts w:ascii="Arial" w:hAnsi="Arial" w:eastAsia="宋体" w:cs="Arial"/>
          <w:color w:val="800080"/>
          <w:kern w:val="0"/>
          <w:szCs w:val="21"/>
          <w:u w:val="single"/>
        </w:rPr>
        <w:t>健康风险</w:t>
      </w:r>
      <w:r>
        <w:rPr>
          <w:rFonts w:ascii="Arial" w:hAnsi="Arial" w:eastAsia="宋体" w:cs="Arial"/>
          <w:color w:val="800080"/>
          <w:kern w:val="0"/>
          <w:szCs w:val="21"/>
          <w:u w:val="single"/>
        </w:rPr>
        <w:fldChar w:fldCharType="end"/>
      </w:r>
    </w:p>
    <w:p w14:paraId="1734552D">
      <w:pPr>
        <w:widowControl/>
        <w:numPr>
          <w:ilvl w:val="0"/>
          <w:numId w:val="1"/>
        </w:numPr>
        <w:tabs>
          <w:tab w:val="clear" w:pos="720"/>
        </w:tabs>
        <w:snapToGrid w:val="0"/>
        <w:spacing w:line="300" w:lineRule="auto"/>
        <w:ind w:left="0" w:firstLine="0"/>
        <w:rPr>
          <w:rFonts w:ascii="Arial" w:hAnsi="Arial" w:eastAsia="宋体" w:cs="Arial"/>
          <w:color w:val="000000"/>
          <w:kern w:val="0"/>
          <w:szCs w:val="21"/>
        </w:rPr>
      </w:pPr>
      <w:r>
        <w:fldChar w:fldCharType="begin"/>
      </w:r>
      <w:r>
        <w:instrText xml:space="preserve"> HYPERLINK "http://www.fda.gov/MedicalDevices/DeviceRegulationandGuidance/GuidanceDocuments/ucm180308.htm" \l "5" </w:instrText>
      </w:r>
      <w:r>
        <w:fldChar w:fldCharType="separate"/>
      </w:r>
      <w:r>
        <w:rPr>
          <w:rFonts w:ascii="Arial" w:hAnsi="Arial" w:eastAsia="宋体" w:cs="Arial"/>
          <w:color w:val="800080"/>
          <w:kern w:val="0"/>
          <w:szCs w:val="21"/>
          <w:u w:val="single"/>
        </w:rPr>
        <w:t>器械描述</w:t>
      </w:r>
      <w:r>
        <w:rPr>
          <w:rFonts w:ascii="Arial" w:hAnsi="Arial" w:eastAsia="宋体" w:cs="Arial"/>
          <w:color w:val="800080"/>
          <w:kern w:val="0"/>
          <w:szCs w:val="21"/>
          <w:u w:val="single"/>
        </w:rPr>
        <w:fldChar w:fldCharType="end"/>
      </w:r>
    </w:p>
    <w:p w14:paraId="63A51A06">
      <w:pPr>
        <w:widowControl/>
        <w:numPr>
          <w:ilvl w:val="1"/>
          <w:numId w:val="1"/>
        </w:numPr>
        <w:tabs>
          <w:tab w:val="clear" w:pos="1440"/>
        </w:tabs>
        <w:snapToGrid w:val="0"/>
        <w:spacing w:line="300" w:lineRule="auto"/>
        <w:ind w:left="0" w:firstLine="0"/>
        <w:rPr>
          <w:rFonts w:ascii="Arial" w:hAnsi="Arial" w:eastAsia="宋体" w:cs="Arial"/>
          <w:color w:val="000000"/>
          <w:kern w:val="0"/>
          <w:szCs w:val="21"/>
        </w:rPr>
      </w:pPr>
      <w:r>
        <w:rPr>
          <w:rFonts w:ascii="Arial" w:hAnsi="Arial" w:eastAsia="宋体" w:cs="Arial"/>
          <w:color w:val="000000"/>
          <w:kern w:val="0"/>
          <w:szCs w:val="21"/>
        </w:rPr>
        <w:t>预期用途</w:t>
      </w:r>
    </w:p>
    <w:p w14:paraId="0E5643ED">
      <w:pPr>
        <w:widowControl/>
        <w:numPr>
          <w:ilvl w:val="1"/>
          <w:numId w:val="1"/>
        </w:numPr>
        <w:tabs>
          <w:tab w:val="clear" w:pos="1440"/>
        </w:tabs>
        <w:snapToGrid w:val="0"/>
        <w:spacing w:line="300" w:lineRule="auto"/>
        <w:ind w:left="0" w:firstLine="0"/>
        <w:rPr>
          <w:rFonts w:ascii="Arial" w:hAnsi="Arial" w:eastAsia="宋体" w:cs="Arial"/>
          <w:color w:val="000000"/>
          <w:kern w:val="0"/>
          <w:szCs w:val="21"/>
        </w:rPr>
      </w:pPr>
      <w:r>
        <w:rPr>
          <w:rFonts w:ascii="Arial" w:hAnsi="Arial" w:eastAsia="宋体" w:cs="Arial"/>
          <w:color w:val="000000"/>
          <w:kern w:val="0"/>
          <w:szCs w:val="21"/>
        </w:rPr>
        <w:t>检测方法学</w:t>
      </w:r>
    </w:p>
    <w:p w14:paraId="5D7D9945">
      <w:pPr>
        <w:widowControl/>
        <w:numPr>
          <w:ilvl w:val="1"/>
          <w:numId w:val="1"/>
        </w:numPr>
        <w:tabs>
          <w:tab w:val="clear" w:pos="1440"/>
        </w:tabs>
        <w:snapToGrid w:val="0"/>
        <w:spacing w:line="300" w:lineRule="auto"/>
        <w:ind w:left="0" w:firstLine="0"/>
        <w:rPr>
          <w:rFonts w:ascii="Arial" w:hAnsi="Arial" w:eastAsia="宋体" w:cs="Arial"/>
          <w:color w:val="000000"/>
          <w:kern w:val="0"/>
          <w:szCs w:val="21"/>
        </w:rPr>
      </w:pPr>
      <w:r>
        <w:rPr>
          <w:rFonts w:ascii="Arial" w:hAnsi="Arial" w:eastAsia="宋体" w:cs="Arial"/>
          <w:color w:val="000000"/>
          <w:kern w:val="0"/>
          <w:szCs w:val="21"/>
        </w:rPr>
        <w:t>辅助试剂</w:t>
      </w:r>
    </w:p>
    <w:p w14:paraId="38740E57">
      <w:pPr>
        <w:widowControl/>
        <w:numPr>
          <w:ilvl w:val="1"/>
          <w:numId w:val="1"/>
        </w:numPr>
        <w:tabs>
          <w:tab w:val="clear" w:pos="1440"/>
        </w:tabs>
        <w:snapToGrid w:val="0"/>
        <w:spacing w:line="300" w:lineRule="auto"/>
        <w:ind w:left="0" w:firstLine="0"/>
        <w:rPr>
          <w:rFonts w:ascii="Arial" w:hAnsi="Arial" w:eastAsia="宋体" w:cs="Arial"/>
          <w:color w:val="000000"/>
          <w:kern w:val="0"/>
          <w:szCs w:val="21"/>
        </w:rPr>
      </w:pPr>
      <w:r>
        <w:rPr>
          <w:rFonts w:ascii="Arial" w:hAnsi="Arial" w:eastAsia="宋体" w:cs="Arial"/>
          <w:color w:val="000000"/>
          <w:kern w:val="0"/>
          <w:szCs w:val="21"/>
        </w:rPr>
        <w:t>使用该器械的检测过程</w:t>
      </w:r>
    </w:p>
    <w:p w14:paraId="5E006460">
      <w:pPr>
        <w:widowControl/>
        <w:numPr>
          <w:ilvl w:val="1"/>
          <w:numId w:val="1"/>
        </w:numPr>
        <w:tabs>
          <w:tab w:val="clear" w:pos="1440"/>
        </w:tabs>
        <w:snapToGrid w:val="0"/>
        <w:spacing w:line="300" w:lineRule="auto"/>
        <w:ind w:left="0" w:firstLine="0"/>
        <w:rPr>
          <w:rFonts w:ascii="Arial" w:hAnsi="Arial" w:eastAsia="宋体" w:cs="Arial"/>
          <w:color w:val="000000"/>
          <w:kern w:val="0"/>
          <w:szCs w:val="21"/>
        </w:rPr>
      </w:pPr>
      <w:r>
        <w:rPr>
          <w:rFonts w:ascii="Arial" w:hAnsi="Arial" w:eastAsia="宋体" w:cs="Arial"/>
          <w:color w:val="000000"/>
          <w:kern w:val="0"/>
          <w:szCs w:val="21"/>
        </w:rPr>
        <w:t>检测结果的解释/报告</w:t>
      </w:r>
    </w:p>
    <w:p w14:paraId="6A9FCCEF">
      <w:pPr>
        <w:widowControl/>
        <w:numPr>
          <w:ilvl w:val="0"/>
          <w:numId w:val="1"/>
        </w:numPr>
        <w:tabs>
          <w:tab w:val="clear" w:pos="720"/>
        </w:tabs>
        <w:snapToGrid w:val="0"/>
        <w:spacing w:line="300" w:lineRule="auto"/>
        <w:ind w:left="0" w:firstLine="0"/>
        <w:rPr>
          <w:rFonts w:ascii="Arial" w:hAnsi="Arial" w:eastAsia="宋体" w:cs="Arial"/>
          <w:color w:val="000000"/>
          <w:kern w:val="0"/>
          <w:szCs w:val="21"/>
        </w:rPr>
      </w:pPr>
      <w:r>
        <w:fldChar w:fldCharType="begin"/>
      </w:r>
      <w:r>
        <w:instrText xml:space="preserve"> HYPERLINK "http://www.fda.gov/MedicalDevices/DeviceRegulationandGuidance/GuidanceDocuments/ucm180308.htm" \l "6" </w:instrText>
      </w:r>
      <w:r>
        <w:fldChar w:fldCharType="separate"/>
      </w:r>
      <w:r>
        <w:rPr>
          <w:rFonts w:ascii="Arial" w:hAnsi="Arial" w:eastAsia="宋体" w:cs="Arial"/>
          <w:color w:val="800080"/>
          <w:kern w:val="0"/>
          <w:szCs w:val="21"/>
          <w:u w:val="single"/>
        </w:rPr>
        <w:t>性能特征</w:t>
      </w:r>
      <w:r>
        <w:rPr>
          <w:rFonts w:ascii="Arial" w:hAnsi="Arial" w:eastAsia="宋体" w:cs="Arial"/>
          <w:color w:val="800080"/>
          <w:kern w:val="0"/>
          <w:szCs w:val="21"/>
          <w:u w:val="single"/>
        </w:rPr>
        <w:fldChar w:fldCharType="end"/>
      </w:r>
    </w:p>
    <w:p w14:paraId="7F0498B7">
      <w:pPr>
        <w:widowControl/>
        <w:numPr>
          <w:ilvl w:val="1"/>
          <w:numId w:val="1"/>
        </w:numPr>
        <w:tabs>
          <w:tab w:val="clear" w:pos="1440"/>
        </w:tabs>
        <w:snapToGrid w:val="0"/>
        <w:spacing w:line="300" w:lineRule="auto"/>
        <w:ind w:left="0" w:firstLine="0"/>
        <w:rPr>
          <w:rFonts w:ascii="Arial" w:hAnsi="Arial" w:eastAsia="宋体" w:cs="Arial"/>
          <w:color w:val="000000"/>
          <w:kern w:val="0"/>
          <w:szCs w:val="21"/>
        </w:rPr>
      </w:pPr>
      <w:r>
        <w:rPr>
          <w:rFonts w:ascii="Arial" w:hAnsi="Arial" w:eastAsia="宋体" w:cs="Arial"/>
          <w:color w:val="000000"/>
          <w:kern w:val="0"/>
          <w:szCs w:val="21"/>
        </w:rPr>
        <w:t>总体研究建议</w:t>
      </w:r>
    </w:p>
    <w:p w14:paraId="0CF7AFD1">
      <w:pPr>
        <w:widowControl/>
        <w:numPr>
          <w:ilvl w:val="1"/>
          <w:numId w:val="1"/>
        </w:numPr>
        <w:tabs>
          <w:tab w:val="clear" w:pos="1440"/>
        </w:tabs>
        <w:snapToGrid w:val="0"/>
        <w:spacing w:line="300" w:lineRule="auto"/>
        <w:ind w:left="0" w:firstLine="0"/>
        <w:rPr>
          <w:rFonts w:ascii="Arial" w:hAnsi="Arial" w:eastAsia="宋体" w:cs="Arial"/>
          <w:color w:val="000000"/>
          <w:kern w:val="0"/>
          <w:szCs w:val="21"/>
        </w:rPr>
      </w:pPr>
      <w:r>
        <w:rPr>
          <w:rFonts w:ascii="Arial" w:hAnsi="Arial" w:eastAsia="宋体" w:cs="Arial"/>
          <w:color w:val="000000"/>
          <w:kern w:val="0"/>
          <w:szCs w:val="21"/>
        </w:rPr>
        <w:t>对照</w:t>
      </w:r>
    </w:p>
    <w:p w14:paraId="7F4092AC">
      <w:pPr>
        <w:widowControl/>
        <w:numPr>
          <w:ilvl w:val="1"/>
          <w:numId w:val="1"/>
        </w:numPr>
        <w:tabs>
          <w:tab w:val="clear" w:pos="1440"/>
        </w:tabs>
        <w:snapToGrid w:val="0"/>
        <w:spacing w:line="300" w:lineRule="auto"/>
        <w:ind w:left="0" w:firstLine="0"/>
        <w:rPr>
          <w:rFonts w:ascii="Arial" w:hAnsi="Arial" w:eastAsia="宋体" w:cs="Arial"/>
          <w:color w:val="000000"/>
          <w:kern w:val="0"/>
          <w:szCs w:val="21"/>
        </w:rPr>
      </w:pPr>
      <w:r>
        <w:rPr>
          <w:rFonts w:ascii="Arial" w:hAnsi="Arial" w:eastAsia="宋体" w:cs="Arial"/>
          <w:color w:val="000000"/>
          <w:kern w:val="0"/>
          <w:szCs w:val="21"/>
        </w:rPr>
        <w:t>样本的收集和处理</w:t>
      </w:r>
    </w:p>
    <w:p w14:paraId="55D38923">
      <w:pPr>
        <w:widowControl/>
        <w:numPr>
          <w:ilvl w:val="1"/>
          <w:numId w:val="1"/>
        </w:numPr>
        <w:tabs>
          <w:tab w:val="clear" w:pos="1440"/>
        </w:tabs>
        <w:snapToGrid w:val="0"/>
        <w:spacing w:line="300" w:lineRule="auto"/>
        <w:ind w:left="0" w:firstLine="0"/>
        <w:rPr>
          <w:rFonts w:ascii="Arial" w:hAnsi="Arial" w:eastAsia="宋体" w:cs="Arial"/>
          <w:color w:val="000000"/>
          <w:kern w:val="0"/>
          <w:szCs w:val="21"/>
        </w:rPr>
      </w:pPr>
      <w:r>
        <w:rPr>
          <w:rFonts w:ascii="Arial" w:hAnsi="Arial" w:eastAsia="宋体" w:cs="Arial"/>
          <w:color w:val="000000"/>
          <w:kern w:val="0"/>
          <w:szCs w:val="21"/>
        </w:rPr>
        <w:t>核酸提取</w:t>
      </w:r>
    </w:p>
    <w:p w14:paraId="00D4ED5E">
      <w:pPr>
        <w:widowControl/>
        <w:numPr>
          <w:ilvl w:val="1"/>
          <w:numId w:val="1"/>
        </w:numPr>
        <w:tabs>
          <w:tab w:val="clear" w:pos="1440"/>
        </w:tabs>
        <w:snapToGrid w:val="0"/>
        <w:spacing w:line="300" w:lineRule="auto"/>
        <w:ind w:left="0" w:firstLine="0"/>
        <w:rPr>
          <w:rFonts w:ascii="Arial" w:hAnsi="Arial" w:eastAsia="宋体" w:cs="Arial"/>
          <w:color w:val="000000"/>
          <w:kern w:val="0"/>
          <w:szCs w:val="21"/>
        </w:rPr>
      </w:pPr>
      <w:r>
        <w:rPr>
          <w:rFonts w:ascii="Arial" w:hAnsi="Arial" w:eastAsia="宋体" w:cs="Arial"/>
          <w:color w:val="000000"/>
          <w:kern w:val="0"/>
          <w:szCs w:val="21"/>
        </w:rPr>
        <w:t>检测临界值</w:t>
      </w:r>
    </w:p>
    <w:p w14:paraId="1BE8CB0C">
      <w:pPr>
        <w:widowControl/>
        <w:numPr>
          <w:ilvl w:val="1"/>
          <w:numId w:val="1"/>
        </w:numPr>
        <w:tabs>
          <w:tab w:val="clear" w:pos="1440"/>
        </w:tabs>
        <w:snapToGrid w:val="0"/>
        <w:spacing w:line="300" w:lineRule="auto"/>
        <w:ind w:left="0" w:firstLine="0"/>
        <w:rPr>
          <w:rFonts w:ascii="Arial" w:hAnsi="Arial" w:eastAsia="宋体" w:cs="Arial"/>
          <w:color w:val="000000"/>
          <w:kern w:val="0"/>
          <w:szCs w:val="21"/>
        </w:rPr>
      </w:pPr>
      <w:r>
        <w:rPr>
          <w:rFonts w:ascii="Arial" w:hAnsi="Arial" w:eastAsia="宋体" w:cs="Arial"/>
          <w:color w:val="000000"/>
          <w:kern w:val="0"/>
          <w:szCs w:val="21"/>
        </w:rPr>
        <w:t>性能研究</w:t>
      </w:r>
    </w:p>
    <w:p w14:paraId="6F3F58D1">
      <w:pPr>
        <w:widowControl/>
        <w:numPr>
          <w:ilvl w:val="1"/>
          <w:numId w:val="1"/>
        </w:numPr>
        <w:tabs>
          <w:tab w:val="clear" w:pos="1440"/>
        </w:tabs>
        <w:snapToGrid w:val="0"/>
        <w:spacing w:line="300" w:lineRule="auto"/>
        <w:ind w:left="0" w:firstLine="0"/>
        <w:rPr>
          <w:rFonts w:ascii="Arial" w:hAnsi="Arial" w:eastAsia="宋体" w:cs="Arial"/>
          <w:color w:val="000000"/>
          <w:kern w:val="0"/>
          <w:szCs w:val="21"/>
        </w:rPr>
      </w:pPr>
      <w:r>
        <w:rPr>
          <w:rFonts w:ascii="Arial" w:hAnsi="Arial" w:eastAsia="宋体" w:cs="Arial"/>
          <w:color w:val="000000"/>
          <w:kern w:val="0"/>
          <w:szCs w:val="21"/>
        </w:rPr>
        <w:t>临床研究</w:t>
      </w:r>
    </w:p>
    <w:p w14:paraId="7D5777DB">
      <w:pPr>
        <w:widowControl/>
        <w:numPr>
          <w:ilvl w:val="0"/>
          <w:numId w:val="1"/>
        </w:numPr>
        <w:tabs>
          <w:tab w:val="clear" w:pos="720"/>
        </w:tabs>
        <w:snapToGrid w:val="0"/>
        <w:spacing w:line="300" w:lineRule="auto"/>
        <w:ind w:left="0" w:firstLine="0"/>
        <w:rPr>
          <w:rFonts w:ascii="Arial" w:hAnsi="Arial" w:eastAsia="宋体" w:cs="Arial"/>
          <w:color w:val="000000"/>
          <w:kern w:val="0"/>
          <w:szCs w:val="21"/>
        </w:rPr>
      </w:pPr>
      <w:r>
        <w:fldChar w:fldCharType="begin"/>
      </w:r>
      <w:r>
        <w:instrText xml:space="preserve"> HYPERLINK "http://www.fda.gov/MedicalDevices/DeviceRegulationandGuidance/GuidanceDocuments/ucm180308.htm" \l "7" </w:instrText>
      </w:r>
      <w:r>
        <w:fldChar w:fldCharType="separate"/>
      </w:r>
      <w:r>
        <w:rPr>
          <w:rFonts w:ascii="Arial" w:hAnsi="Arial" w:eastAsia="宋体" w:cs="Arial"/>
          <w:color w:val="800080"/>
          <w:kern w:val="0"/>
          <w:szCs w:val="21"/>
          <w:u w:val="single"/>
        </w:rPr>
        <w:t>标签</w:t>
      </w:r>
      <w:r>
        <w:rPr>
          <w:rFonts w:ascii="Arial" w:hAnsi="Arial" w:eastAsia="宋体" w:cs="Arial"/>
          <w:color w:val="800080"/>
          <w:kern w:val="0"/>
          <w:szCs w:val="21"/>
          <w:u w:val="single"/>
        </w:rPr>
        <w:fldChar w:fldCharType="end"/>
      </w:r>
    </w:p>
    <w:p w14:paraId="3E86F259">
      <w:pPr>
        <w:pStyle w:val="25"/>
        <w:widowControl/>
        <w:snapToGrid w:val="0"/>
        <w:spacing w:line="300" w:lineRule="auto"/>
        <w:ind w:firstLine="0" w:firstLineChars="0"/>
        <w:outlineLvl w:val="0"/>
        <w:rPr>
          <w:rFonts w:ascii="Arial" w:hAnsi="Arial" w:eastAsia="宋体" w:cs="Arial"/>
          <w:b/>
          <w:bCs/>
          <w:color w:val="484138"/>
          <w:kern w:val="36"/>
          <w:sz w:val="32"/>
          <w:szCs w:val="32"/>
        </w:rPr>
      </w:pPr>
    </w:p>
    <w:p w14:paraId="135488F1">
      <w:pPr>
        <w:pStyle w:val="25"/>
        <w:widowControl/>
        <w:snapToGrid w:val="0"/>
        <w:spacing w:line="300" w:lineRule="auto"/>
        <w:ind w:firstLine="0" w:firstLineChars="0"/>
        <w:outlineLvl w:val="0"/>
        <w:rPr>
          <w:rFonts w:ascii="Arial" w:hAnsi="Arial" w:eastAsia="宋体" w:cs="Arial"/>
          <w:b/>
          <w:bCs/>
          <w:kern w:val="36"/>
          <w:sz w:val="32"/>
          <w:szCs w:val="32"/>
        </w:rPr>
      </w:pPr>
      <w:r>
        <w:rPr>
          <w:rFonts w:ascii="Arial" w:hAnsi="Arial" w:eastAsia="宋体" w:cs="Arial"/>
          <w:b/>
          <w:bCs/>
          <w:kern w:val="36"/>
          <w:sz w:val="32"/>
          <w:szCs w:val="32"/>
        </w:rPr>
        <w:t xml:space="preserve">行业和食品药品监督管理局工作人员指南- </w:t>
      </w:r>
      <w:r>
        <w:rPr>
          <w:rFonts w:ascii="Arial" w:hAnsi="Arial" w:eastAsia="宋体" w:cs="Arial"/>
          <w:b/>
          <w:kern w:val="36"/>
          <w:sz w:val="32"/>
          <w:szCs w:val="32"/>
        </w:rPr>
        <w:t>II类特殊控制的指导性文件：</w:t>
      </w:r>
      <w:r>
        <w:rPr>
          <w:rFonts w:ascii="Arial" w:hAnsi="Arial" w:eastAsia="宋体" w:cs="Arial"/>
          <w:b/>
          <w:bCs/>
          <w:kern w:val="36"/>
          <w:sz w:val="32"/>
          <w:szCs w:val="32"/>
        </w:rPr>
        <w:t>使用核酸检测进行人类偏肺病毒(hMPV)的测定</w:t>
      </w:r>
    </w:p>
    <w:p w14:paraId="157E05AD">
      <w:pPr>
        <w:pStyle w:val="25"/>
        <w:widowControl/>
        <w:snapToGrid w:val="0"/>
        <w:spacing w:line="300" w:lineRule="auto"/>
        <w:ind w:firstLine="0" w:firstLineChars="0"/>
        <w:outlineLvl w:val="2"/>
        <w:rPr>
          <w:rFonts w:ascii="Arial" w:hAnsi="Arial" w:eastAsia="宋体" w:cs="Arial"/>
          <w:b/>
          <w:bCs/>
          <w:color w:val="000000"/>
          <w:kern w:val="0"/>
          <w:sz w:val="32"/>
          <w:szCs w:val="32"/>
        </w:rPr>
      </w:pPr>
    </w:p>
    <w:p w14:paraId="711E2CB8">
      <w:pPr>
        <w:widowControl/>
        <w:tabs>
          <w:tab w:val="left" w:pos="0"/>
        </w:tabs>
        <w:snapToGrid w:val="0"/>
        <w:spacing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 简介</w:t>
      </w:r>
    </w:p>
    <w:p w14:paraId="4EE84541">
      <w:pPr>
        <w:widowControl/>
        <w:snapToGrid w:val="0"/>
        <w:spacing w:line="300" w:lineRule="auto"/>
        <w:rPr>
          <w:rFonts w:ascii="Arial" w:hAnsi="Arial" w:eastAsia="宋体" w:cs="Arial"/>
          <w:kern w:val="0"/>
          <w:sz w:val="24"/>
          <w:szCs w:val="24"/>
        </w:rPr>
      </w:pPr>
      <w:r>
        <w:rPr>
          <w:rFonts w:ascii="Arial" w:hAnsi="Arial" w:eastAsia="宋体" w:cs="Arial"/>
          <w:color w:val="000000"/>
          <w:kern w:val="0"/>
          <w:sz w:val="24"/>
          <w:szCs w:val="24"/>
        </w:rPr>
        <w:t>该文件作为一种特殊控制指南而制定，以支持分类为II类(特殊控制)的呼吸道病毒板多重</w:t>
      </w:r>
      <w:r>
        <w:rPr>
          <w:rFonts w:ascii="Arial" w:hAnsi="Arial" w:eastAsia="宋体" w:cs="Arial"/>
          <w:color w:val="000000"/>
          <w:kern w:val="0"/>
          <w:sz w:val="24"/>
          <w:szCs w:val="24"/>
          <w:vertAlign w:val="superscript"/>
        </w:rPr>
        <w:t>1</w:t>
      </w:r>
      <w:r>
        <w:rPr>
          <w:rFonts w:ascii="Arial" w:hAnsi="Arial" w:eastAsia="宋体" w:cs="Arial"/>
          <w:color w:val="000000"/>
          <w:kern w:val="0"/>
          <w:sz w:val="24"/>
          <w:szCs w:val="24"/>
        </w:rPr>
        <w:t>核酸检测，包括对人类偏肺病毒(hMPV)的检测和鉴定。呼吸道病毒多重核酸检测产品是一种定性的体外诊断器械，旨在同时检测和鉴定从人体的呼吸道样本或病毒培养物中提取的多种病毒核酸。用于检测hMPV的核酸检测产品，旨在检测从人体的呼吸道样本或病毒培养物中提取的hMPV RNA。对表现出呼吸道感染体征和症状的个体的特定病毒核酸序列进行检测和鉴定，并与其他临床和实验室结果相结合，以助于对呼吸道病毒感染的诊断。呼吸道病毒板多重核酸检测产品</w:t>
      </w:r>
      <w:r>
        <w:rPr>
          <w:rFonts w:ascii="Arial" w:hAnsi="Arial" w:eastAsia="宋体" w:cs="Arial"/>
          <w:kern w:val="0"/>
          <w:sz w:val="24"/>
          <w:szCs w:val="24"/>
        </w:rPr>
        <w:t>预期用于检测和鉴别下列病毒的所有组合：</w:t>
      </w:r>
    </w:p>
    <w:p w14:paraId="6A7AB49A">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1. 甲型流感和乙型流感</w:t>
      </w:r>
    </w:p>
    <w:p w14:paraId="1AC48446">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2. 甲型流感病毒H1亚型和甲型流感病毒H3亚型</w:t>
      </w:r>
    </w:p>
    <w:p w14:paraId="1514B5C4">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3. 呼吸道合胞病毒A亚型和呼吸道合胞病毒B亚型</w:t>
      </w:r>
    </w:p>
    <w:p w14:paraId="299E6AEC">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4. 副流感病毒1，副流感病毒2和副流感病毒3</w:t>
      </w:r>
    </w:p>
    <w:p w14:paraId="5A1B07E2">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5. 人类偏肺病毒</w:t>
      </w:r>
    </w:p>
    <w:p w14:paraId="4A4D4BEE">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6. 鼻病毒</w:t>
      </w:r>
    </w:p>
    <w:p w14:paraId="448F5CD9">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7. 腺病毒。</w:t>
      </w:r>
    </w:p>
    <w:p w14:paraId="54414973">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该指南为制造商和食品药品监督管理局工作人员提供了关于准备呼吸道病毒板多重核酸检测产品上市前通告的建议，包括了对人类偏肺病毒（hMPV）的检测和鉴定。本文件中的建议适用于采用诸如聚合酶链反应（PCR），逆转录酶聚合酶链反应（RT-PCR），珠基液态阵列和微阵列等技术的检测。</w:t>
      </w:r>
    </w:p>
    <w:p w14:paraId="2A60A94B">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本指南涉及的器械，用于与其他临床表现和实验室结果（例如，免疫荧光检测，细菌培养，胸部X射线/放射照相）相结合，以助于对hMPV感染的诊断。本指南不针对用以诊断的唯一性检测，也不用于区别病毒与非病毒感染的诊断性检测。如果使用核酸扩增测定来检测除呼吸道样本外的样品中的hMPV，则需要进行另外的研究。对于本指南所述的检测，阳性结果并不能排除细菌感染，或与其他病毒的合并感染。</w:t>
      </w:r>
    </w:p>
    <w:p w14:paraId="49CBDD0E">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本指南与联邦公报公告共同发布了呼吸道病毒板多重核酸检测的分类。将该指南指定为特殊控制意味着，任何提交510（k）申请hMPV的检测和鉴定的呼吸道病毒板多重核酸检测产品的公司，必须解决本特殊控制指南中涵盖的问题，以及在分类法规中的另一项特殊控制指南</w:t>
      </w:r>
      <w:r>
        <w:rPr>
          <w:rFonts w:ascii="Arial" w:hAnsi="Arial" w:eastAsia="宋体" w:cs="Arial"/>
          <w:b/>
          <w:color w:val="000000"/>
          <w:kern w:val="0"/>
          <w:sz w:val="24"/>
          <w:szCs w:val="24"/>
        </w:rPr>
        <w:t>“II类特殊控制指导性文件：呼吸道病毒板多重核酸检测”</w:t>
      </w:r>
      <w:r>
        <w:rPr>
          <w:rFonts w:ascii="Arial" w:hAnsi="Arial" w:eastAsia="宋体" w:cs="Arial"/>
          <w:color w:val="000000"/>
          <w:kern w:val="0"/>
          <w:sz w:val="24"/>
          <w:szCs w:val="24"/>
        </w:rPr>
        <w:t>中涉及的问题。除了这些指导性文件，对于包括甲型流感病毒亚型的检测和分型的呼吸道病毒板，另有一项特殊控制指南</w:t>
      </w:r>
      <w:r>
        <w:rPr>
          <w:rFonts w:ascii="Arial" w:hAnsi="Arial" w:eastAsia="宋体" w:cs="Arial"/>
          <w:b/>
          <w:color w:val="000000"/>
          <w:kern w:val="0"/>
          <w:sz w:val="24"/>
          <w:szCs w:val="24"/>
        </w:rPr>
        <w:t>“II类特殊控制指导性文件：使用多重检测进行甲型流感病毒亚型的检测和分型测定”</w:t>
      </w:r>
      <w:r>
        <w:rPr>
          <w:rFonts w:ascii="Arial" w:hAnsi="Arial" w:eastAsia="宋体" w:cs="Arial"/>
          <w:color w:val="000000"/>
          <w:kern w:val="0"/>
          <w:sz w:val="24"/>
          <w:szCs w:val="24"/>
        </w:rPr>
        <w:t>，参见21 CFR 866.3980（b）。公司必须表明所申请的器械解决了本指南（以及适用的其他特别控制指南）中确定的安全性和有效性问题，可通过满足本指南的建议或其他方法，提供安全性和有效性的等同性保证。</w:t>
      </w:r>
    </w:p>
    <w:p w14:paraId="7C2C316F">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该特殊控制文件制定了用于hMPV测定的多重核酸检测产品的分类规则和产品代码(参见第3部分)。该指南的其他部分确定了与此器械类型相关的风险，并提供了解决这些风险的建议。</w:t>
      </w:r>
    </w:p>
    <w:p w14:paraId="3C9E7E17">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如果贵公司想讨论满足该器械特殊控制要求的替代方法，可以联系负责实施本指南的食品药品监督管理局工作人员。如果无法确定合适的食品药品监督管理局工作人员，请拨打本指南标题页上列出的电话号码。</w:t>
      </w:r>
    </w:p>
    <w:p w14:paraId="58D8CBCE">
      <w:pPr>
        <w:widowControl/>
        <w:snapToGrid w:val="0"/>
        <w:spacing w:line="300" w:lineRule="auto"/>
        <w:outlineLvl w:val="3"/>
        <w:rPr>
          <w:rFonts w:ascii="Arial" w:hAnsi="Arial" w:eastAsia="宋体" w:cs="Arial"/>
          <w:b/>
          <w:bCs/>
          <w:color w:val="000000"/>
          <w:kern w:val="0"/>
          <w:sz w:val="24"/>
          <w:szCs w:val="24"/>
        </w:rPr>
      </w:pPr>
      <w:r>
        <w:rPr>
          <w:rFonts w:ascii="Arial" w:hAnsi="Arial" w:eastAsia="宋体" w:cs="Arial"/>
          <w:b/>
          <w:bCs/>
          <w:color w:val="000000"/>
          <w:kern w:val="0"/>
          <w:sz w:val="28"/>
          <w:szCs w:val="28"/>
        </w:rPr>
        <w:t>最小负担方法</w:t>
      </w:r>
    </w:p>
    <w:p w14:paraId="7222BF1F">
      <w:pPr>
        <w:widowControl/>
        <w:snapToGrid w:val="0"/>
        <w:spacing w:before="90" w:after="90"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本指导性文件中确定的问题代表了我们认为在所申请的器械上市之前应解决的问题。在制定指南时，我们仔细考虑了相关的法定标准以供当局决策，还考虑了贵公司在尝试遵守指南并解决我们确定的问题时可能产生的负担。我们认为，我们已经考虑了采用最小负担方法来解决本指导性文件中提出的问题。但是，如果贵公司认为有更简便的解决这些问题的方式，可根据</w:t>
      </w:r>
      <w:r>
        <w:rPr>
          <w:rFonts w:ascii="Arial" w:hAnsi="Arial" w:eastAsia="宋体" w:cs="Arial"/>
          <w:b/>
          <w:color w:val="000000"/>
          <w:kern w:val="0"/>
          <w:sz w:val="24"/>
          <w:szCs w:val="24"/>
        </w:rPr>
        <w:t>“解决最小负担的问题的建议方法”</w:t>
      </w:r>
      <w:r>
        <w:rPr>
          <w:rFonts w:ascii="Arial" w:hAnsi="Arial" w:eastAsia="宋体" w:cs="Arial"/>
          <w:color w:val="000000"/>
          <w:kern w:val="0"/>
          <w:sz w:val="24"/>
          <w:szCs w:val="24"/>
        </w:rPr>
        <w:t>文件中所概述的程序进行，参见本中心网页：</w:t>
      </w:r>
      <w:r>
        <w:fldChar w:fldCharType="begin"/>
      </w:r>
      <w:r>
        <w:instrText xml:space="preserve"> HYPERLINK "http://www.fda.gov/%20MedicalDevices/DeviceRegulationandGuidance/GuidanceDocuments/ucm085994.htm" </w:instrText>
      </w:r>
      <w:r>
        <w:fldChar w:fldCharType="separate"/>
      </w:r>
      <w:r>
        <w:rPr>
          <w:rStyle w:val="15"/>
          <w:rFonts w:ascii="Arial" w:hAnsi="Arial" w:eastAsia="宋体" w:cs="Arial"/>
          <w:kern w:val="0"/>
          <w:sz w:val="24"/>
          <w:szCs w:val="24"/>
        </w:rPr>
        <w:t>http://www.fda.gov/ MedicalDevices/DeviceRegulationandGuidance/GuidanceDocuments/ucm085994.htm</w:t>
      </w:r>
      <w:r>
        <w:rPr>
          <w:rStyle w:val="15"/>
          <w:rFonts w:ascii="Arial" w:hAnsi="Arial" w:eastAsia="宋体" w:cs="Arial"/>
          <w:kern w:val="0"/>
          <w:sz w:val="24"/>
          <w:szCs w:val="24"/>
        </w:rPr>
        <w:fldChar w:fldCharType="end"/>
      </w:r>
      <w:r>
        <w:rPr>
          <w:rFonts w:ascii="Arial" w:hAnsi="Arial" w:eastAsia="宋体" w:cs="Arial"/>
          <w:color w:val="000000"/>
          <w:kern w:val="0"/>
          <w:sz w:val="24"/>
          <w:szCs w:val="24"/>
        </w:rPr>
        <w:t>。</w:t>
      </w:r>
    </w:p>
    <w:p w14:paraId="4F64D800">
      <w:pPr>
        <w:pStyle w:val="25"/>
        <w:widowControl/>
        <w:snapToGrid w:val="0"/>
        <w:spacing w:line="300" w:lineRule="auto"/>
        <w:ind w:firstLine="0" w:firstLineChars="0"/>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2. 背景 - 上市前通告</w:t>
      </w:r>
    </w:p>
    <w:p w14:paraId="0FBDA4CD">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打算在市场上销售此类通用型器械的制造商必须</w:t>
      </w:r>
    </w:p>
    <w:p w14:paraId="500376E0">
      <w:pPr>
        <w:widowControl/>
        <w:numPr>
          <w:ilvl w:val="0"/>
          <w:numId w:val="2"/>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符合联邦食品、药品和化妆品法案（该法案）中的一般控制，包括21 CFR 807 E子部分中所述的上市前通告的要求，</w:t>
      </w:r>
    </w:p>
    <w:p w14:paraId="6E2D6A20">
      <w:pPr>
        <w:widowControl/>
        <w:numPr>
          <w:ilvl w:val="0"/>
          <w:numId w:val="2"/>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通过解决本指南中确定的与hMPV核酸检测相关的特定健康风险，以符合特殊控制（见下文第4部分）</w:t>
      </w:r>
    </w:p>
    <w:p w14:paraId="25CCBB67">
      <w:pPr>
        <w:widowControl/>
        <w:numPr>
          <w:ilvl w:val="0"/>
          <w:numId w:val="2"/>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满足21 CFR 866.3980中规定的其他特殊控制，以及这种类型器械的分类规定，并且</w:t>
      </w:r>
    </w:p>
    <w:p w14:paraId="2D02D9D2">
      <w:pPr>
        <w:widowControl/>
        <w:numPr>
          <w:ilvl w:val="0"/>
          <w:numId w:val="2"/>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在销售该器械之前，获得食品药品监督管理局的实质等同性认定。（参见21CFR807.81和807.87）</w:t>
      </w:r>
    </w:p>
    <w:p w14:paraId="113821B4">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食品药品监督管理局认为，</w:t>
      </w:r>
      <w:r>
        <w:rPr>
          <w:rFonts w:ascii="Arial" w:hAnsi="Arial" w:eastAsia="宋体" w:cs="Arial"/>
          <w:sz w:val="24"/>
          <w:szCs w:val="24"/>
        </w:rPr>
        <w:t>在与一般控制联合使用时，特殊控制</w:t>
      </w:r>
      <w:r>
        <w:rPr>
          <w:rFonts w:ascii="Arial" w:hAnsi="Arial" w:eastAsia="宋体" w:cs="Arial"/>
          <w:color w:val="000000"/>
          <w:kern w:val="0"/>
          <w:sz w:val="24"/>
          <w:szCs w:val="24"/>
        </w:rPr>
        <w:t>将足以对用于hMPV测定的核酸检测产品的安全性和有效性提供合理的保证。</w:t>
      </w:r>
    </w:p>
    <w:p w14:paraId="0F8BB8E9">
      <w:pPr>
        <w:widowControl/>
        <w:snapToGrid w:val="0"/>
        <w:spacing w:line="300" w:lineRule="auto"/>
        <w:rPr>
          <w:rFonts w:ascii="Arial" w:hAnsi="Arial" w:eastAsia="宋体" w:cs="Arial"/>
          <w:b/>
          <w:bCs/>
          <w:color w:val="000000"/>
          <w:kern w:val="0"/>
          <w:sz w:val="24"/>
          <w:szCs w:val="24"/>
        </w:rPr>
      </w:pPr>
      <w:r>
        <w:rPr>
          <w:rFonts w:ascii="Arial" w:hAnsi="Arial" w:eastAsia="宋体" w:cs="Arial"/>
          <w:color w:val="000000"/>
          <w:kern w:val="0"/>
          <w:sz w:val="24"/>
          <w:szCs w:val="24"/>
        </w:rPr>
        <w:t>本文件补充了其他食品药品监督管理局关于上市前通告提交的具体内容要求的文件。贵公司还应参考21 CFR 807.87，指南，</w:t>
      </w:r>
      <w:r>
        <w:rPr>
          <w:rFonts w:ascii="Arial" w:hAnsi="Arial" w:eastAsia="宋体" w:cs="Arial"/>
          <w:b/>
          <w:color w:val="000000"/>
          <w:kern w:val="0"/>
          <w:sz w:val="24"/>
          <w:szCs w:val="24"/>
        </w:rPr>
        <w:t>传统和简化510（k）s格式</w:t>
      </w:r>
      <w:r>
        <w:fldChar w:fldCharType="begin"/>
      </w:r>
      <w:r>
        <w:instrText xml:space="preserve"> HYPERLINK "http://www.fda.gov/MedicalDevices/DeviceRegulationandGuidance/GuidanceDocuments/ucm180306.htm" \l "ft2" </w:instrText>
      </w:r>
      <w:r>
        <w:fldChar w:fldCharType="separate"/>
      </w:r>
      <w:r>
        <w:rPr>
          <w:rFonts w:ascii="Arial" w:hAnsi="Arial" w:eastAsia="宋体" w:cs="Arial"/>
          <w:color w:val="800080"/>
          <w:kern w:val="0"/>
          <w:sz w:val="24"/>
          <w:szCs w:val="24"/>
          <w:u w:val="single"/>
          <w:vertAlign w:val="superscript"/>
        </w:rPr>
        <w:t>2</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和CDRH的器械建议网页，</w:t>
      </w:r>
      <w:r>
        <w:rPr>
          <w:rFonts w:ascii="Arial" w:hAnsi="Arial" w:eastAsia="宋体" w:cs="Arial"/>
          <w:b/>
          <w:color w:val="000000"/>
          <w:kern w:val="0"/>
          <w:sz w:val="24"/>
          <w:szCs w:val="24"/>
        </w:rPr>
        <w:t>上市前通告510（k）</w:t>
      </w:r>
      <w:r>
        <w:fldChar w:fldCharType="begin"/>
      </w:r>
      <w:r>
        <w:instrText xml:space="preserve"> HYPERLINK "http://www.fda.gov/MedicalDevices/DeviceRegulationandGuidance/GuidanceDocuments/ucm180306.htm" \l "ft3" </w:instrText>
      </w:r>
      <w:r>
        <w:fldChar w:fldCharType="separate"/>
      </w:r>
      <w:r>
        <w:rPr>
          <w:rFonts w:ascii="Arial" w:hAnsi="Arial" w:eastAsia="宋体" w:cs="Arial"/>
          <w:color w:val="800080"/>
          <w:kern w:val="0"/>
          <w:sz w:val="24"/>
          <w:szCs w:val="24"/>
          <w:u w:val="single"/>
          <w:vertAlign w:val="superscript"/>
        </w:rPr>
        <w:t>3</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的部分。如</w:t>
      </w:r>
      <w:r>
        <w:rPr>
          <w:rFonts w:ascii="Arial" w:hAnsi="Arial" w:eastAsia="宋体" w:cs="Arial"/>
          <w:b/>
          <w:color w:val="000000"/>
          <w:kern w:val="0"/>
          <w:sz w:val="24"/>
          <w:szCs w:val="24"/>
        </w:rPr>
        <w:t>新版510（k）范例 - 在上市前通告中证明实质等同性的替代方法；最终指南</w:t>
      </w:r>
      <w:r>
        <w:fldChar w:fldCharType="begin"/>
      </w:r>
      <w:r>
        <w:instrText xml:space="preserve"> HYPERLINK "http://www.fda.gov/MedicalDevices/DeviceRegulationandGuidance/GuidanceDocuments/ucm180306.htm" \l "ft4" </w:instrText>
      </w:r>
      <w:r>
        <w:fldChar w:fldCharType="separate"/>
      </w:r>
      <w:r>
        <w:rPr>
          <w:rFonts w:ascii="Arial" w:hAnsi="Arial" w:eastAsia="宋体" w:cs="Arial"/>
          <w:color w:val="800080"/>
          <w:kern w:val="0"/>
          <w:sz w:val="24"/>
          <w:szCs w:val="24"/>
          <w:u w:val="single"/>
          <w:vertAlign w:val="superscript"/>
        </w:rPr>
        <w:t>4</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 中所述，制造商可以提交传统的510（k），简化的510（k）或特殊的510（k）。制造商可以选择提交简化的510（k）的情况为，存在指南性文件时、特殊控制已经制定时、或当食品药品监督管理局已经认可相关的共识标准时。制造商在考虑对他们已经通过审评的器械进行某些修改时，可以提交特殊的510（k）来减轻合规性的负担。更多关于提交给食品药品监督管理局的上市前通告510（k）类型的信息，可参见CDRH的器械建议网页，</w:t>
      </w:r>
      <w:r>
        <w:rPr>
          <w:rFonts w:ascii="Arial" w:hAnsi="Arial" w:eastAsia="宋体" w:cs="Arial"/>
          <w:b/>
          <w:color w:val="000000"/>
          <w:kern w:val="0"/>
          <w:sz w:val="24"/>
          <w:szCs w:val="24"/>
        </w:rPr>
        <w:t>上市前通告510（k）。</w:t>
      </w:r>
    </w:p>
    <w:p w14:paraId="77385F80">
      <w:pPr>
        <w:pStyle w:val="25"/>
        <w:widowControl/>
        <w:snapToGrid w:val="0"/>
        <w:spacing w:line="300" w:lineRule="auto"/>
        <w:ind w:left="-283" w:leftChars="-135" w:firstLine="0" w:firstLineChars="0"/>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3.本文件范围内的器械</w:t>
      </w:r>
    </w:p>
    <w:p w14:paraId="3FA35093">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本文件的范围仅限于21 CFR 866.3980中所述的以下器械：</w:t>
      </w:r>
    </w:p>
    <w:p w14:paraId="3D78AE45">
      <w:pPr>
        <w:widowControl/>
        <w:snapToGrid w:val="0"/>
        <w:spacing w:after="78" w:line="300" w:lineRule="auto"/>
        <w:rPr>
          <w:rFonts w:ascii="Arial" w:hAnsi="Arial" w:eastAsia="宋体" w:cs="Arial"/>
          <w:color w:val="000000"/>
          <w:kern w:val="0"/>
          <w:sz w:val="24"/>
          <w:szCs w:val="24"/>
        </w:rPr>
      </w:pPr>
      <w:r>
        <w:rPr>
          <w:rFonts w:ascii="Arial" w:hAnsi="Arial" w:eastAsia="宋体" w:cs="Arial"/>
          <w:color w:val="000000"/>
          <w:kern w:val="0"/>
          <w:sz w:val="24"/>
          <w:szCs w:val="24"/>
          <w:u w:val="single"/>
        </w:rPr>
        <w:t>21 CFR 866.3980</w:t>
      </w:r>
      <w:r>
        <w:rPr>
          <w:rFonts w:ascii="Arial" w:hAnsi="Arial" w:eastAsia="宋体" w:cs="Arial"/>
          <w:color w:val="000000"/>
          <w:kern w:val="0"/>
          <w:sz w:val="24"/>
          <w:szCs w:val="24"/>
        </w:rPr>
        <w:t> - 呼吸道病毒板多重核酸检测。呼吸道病毒板多重核酸检测产品是定性的体外诊断器械，其旨在同时检测和鉴定从人的呼吸道样本或病毒培养物中提取的多种病毒核酸。对表现出呼吸道感染体征和症状的个体的特定病毒核酸进行检测和鉴定，并与其他临床和实验室结果相结合，以助于对呼吸道病毒感染的诊断。</w:t>
      </w:r>
      <w:r>
        <w:rPr>
          <w:rFonts w:ascii="Arial" w:hAnsi="Arial" w:eastAsia="宋体" w:cs="Arial"/>
          <w:kern w:val="0"/>
          <w:sz w:val="24"/>
          <w:szCs w:val="24"/>
        </w:rPr>
        <w:t>该器械用于检测和鉴别下列病毒的组合：</w:t>
      </w:r>
    </w:p>
    <w:p w14:paraId="662706C3">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1. 甲型流感和乙型流感</w:t>
      </w:r>
    </w:p>
    <w:p w14:paraId="29B89534">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2. 甲型流感病毒H1亚型和甲型流感病毒H3亚型</w:t>
      </w:r>
    </w:p>
    <w:p w14:paraId="7B9B953D">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3. 呼吸道合胞病毒A亚型和呼吸道合胞病毒B亚型</w:t>
      </w:r>
    </w:p>
    <w:p w14:paraId="40BA396E">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4. 副流感病毒1，副流感病毒2和副流感病毒3</w:t>
      </w:r>
    </w:p>
    <w:p w14:paraId="707B4551">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5. 人类偏肺病毒</w:t>
      </w:r>
    </w:p>
    <w:p w14:paraId="6A9548B2">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6. 鼻病毒</w:t>
      </w:r>
    </w:p>
    <w:p w14:paraId="388ECA9B">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7. 腺病毒。</w:t>
      </w:r>
    </w:p>
    <w:p w14:paraId="4C4638FA">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除了本指导性文件，对于hMPV检测和鉴定的呼吸道病毒板，另一特殊控制指南为 “</w:t>
      </w:r>
      <w:r>
        <w:rPr>
          <w:rFonts w:ascii="Arial" w:hAnsi="Arial" w:eastAsia="宋体" w:cs="Arial"/>
          <w:b/>
          <w:color w:val="000000"/>
          <w:kern w:val="0"/>
          <w:sz w:val="24"/>
          <w:szCs w:val="24"/>
        </w:rPr>
        <w:t>II类特殊控制指南：使用核酸检测进行人类偏肺病毒（hMPV）测定</w:t>
      </w:r>
      <w:r>
        <w:rPr>
          <w:rFonts w:ascii="Arial" w:hAnsi="Arial" w:eastAsia="宋体" w:cs="Arial"/>
          <w:color w:val="000000"/>
          <w:kern w:val="0"/>
          <w:sz w:val="24"/>
          <w:szCs w:val="24"/>
        </w:rPr>
        <w:t>”。对于甲型流感病毒亚型检测和分型的呼吸道病毒板，另一特殊控制指南为“</w:t>
      </w:r>
      <w:r>
        <w:rPr>
          <w:rFonts w:ascii="Arial" w:hAnsi="Arial" w:eastAsia="宋体" w:cs="Arial"/>
          <w:b/>
          <w:color w:val="000000"/>
          <w:kern w:val="0"/>
          <w:sz w:val="24"/>
          <w:szCs w:val="24"/>
        </w:rPr>
        <w:t>II类特殊控制指南：</w:t>
      </w:r>
      <w:r>
        <w:rPr>
          <w:rFonts w:ascii="Arial" w:hAnsi="Arial" w:eastAsia="宋体" w:cs="Arial"/>
          <w:b/>
          <w:bCs/>
          <w:color w:val="000000"/>
          <w:kern w:val="0"/>
          <w:sz w:val="24"/>
          <w:szCs w:val="24"/>
        </w:rPr>
        <w:t>使用多重检测进行甲型流感病毒亚型的检测和分型测定</w:t>
      </w:r>
      <w:r>
        <w:rPr>
          <w:rFonts w:ascii="Arial" w:hAnsi="Arial" w:eastAsia="宋体" w:cs="Arial"/>
          <w:color w:val="000000"/>
          <w:kern w:val="0"/>
          <w:sz w:val="24"/>
          <w:szCs w:val="24"/>
        </w:rPr>
        <w:t>”。</w:t>
      </w:r>
    </w:p>
    <w:p w14:paraId="1610D070">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根据21 CFR 866.3980，本指南中描述的器械所适用的产品代码：</w:t>
      </w:r>
    </w:p>
    <w:p w14:paraId="487A7838">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OCC - 呼吸道病毒板核酸检测系统</w:t>
      </w:r>
      <w:r>
        <w:rPr>
          <w:rFonts w:ascii="Arial" w:hAnsi="Arial" w:eastAsia="宋体" w:cs="Arial"/>
          <w:color w:val="000000"/>
          <w:kern w:val="0"/>
          <w:sz w:val="24"/>
          <w:szCs w:val="24"/>
        </w:rPr>
        <w:br w:type="textWrapping"/>
      </w:r>
      <w:r>
        <w:rPr>
          <w:rFonts w:ascii="Arial" w:hAnsi="Arial" w:eastAsia="宋体" w:cs="Arial"/>
          <w:color w:val="000000"/>
          <w:kern w:val="0"/>
          <w:sz w:val="24"/>
          <w:szCs w:val="24"/>
        </w:rPr>
        <w:t>OEM-人类偏肺病毒（hMPV）RNA检测系统</w:t>
      </w:r>
    </w:p>
    <w:p w14:paraId="56845EEC">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如前所述，受控于这一特殊控制指南的器械也受控于特殊控制指南“II类特殊控制指南：呼吸道病毒板多重核酸检测”，而且，如果器械中包括对甲型流感病毒亚型的检测和分型，还需受控于特殊控制指南“II类特殊控制指南：</w:t>
      </w:r>
      <w:r>
        <w:rPr>
          <w:rFonts w:ascii="Arial" w:hAnsi="Arial" w:eastAsia="宋体" w:cs="Arial"/>
          <w:bCs/>
          <w:color w:val="000000"/>
          <w:kern w:val="0"/>
          <w:sz w:val="24"/>
          <w:szCs w:val="24"/>
        </w:rPr>
        <w:t>使用多重检测进行甲型流感病毒亚型的检测和分型测定</w:t>
      </w:r>
      <w:r>
        <w:rPr>
          <w:rFonts w:ascii="Arial" w:hAnsi="Arial" w:eastAsia="宋体" w:cs="Arial"/>
          <w:color w:val="000000"/>
          <w:kern w:val="0"/>
          <w:sz w:val="24"/>
          <w:szCs w:val="24"/>
        </w:rPr>
        <w:t>”，参见21 CFR 866.3980（b）。</w:t>
      </w:r>
      <w:bookmarkStart w:id="0" w:name="4"/>
    </w:p>
    <w:bookmarkEnd w:id="0"/>
    <w:p w14:paraId="515AB0BB">
      <w:pPr>
        <w:widowControl/>
        <w:snapToGrid w:val="0"/>
        <w:spacing w:line="300" w:lineRule="auto"/>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4. 健康风险</w:t>
      </w:r>
    </w:p>
    <w:p w14:paraId="2110192E">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人类偏肺病毒与儿童和成人的急性呼吸道疾病有关，hMPV感染和人呼吸道合胞病毒（RSV）感染后的临床症状相似。hMPV感染的临床影响，从轻度自限性呼吸道疾病到细支气管炎和肺炎，可能需要机械通气。婴儿和老年人可能会出现由于hMPV感染而引发的严重疾病，hMPV还可以引起免疫功能不全的患者发病率增加。因此，食品药品监督管理局已经确定了潜在的健康风险，即，发布了可能影响hMPV检测和鉴定的呼吸道病毒板多重核酸检测产品的安全性或有效性的问题，包括器械未能按照说明操作，导致不准确的结果或结果缺失，以及对结果的不正确解释; 这两种潜在的风险都可能导致不正确的患者管理决策。</w:t>
      </w:r>
    </w:p>
    <w:p w14:paraId="60B8B8E0">
      <w:pPr>
        <w:widowControl/>
        <w:snapToGrid w:val="0"/>
        <w:spacing w:line="300" w:lineRule="auto"/>
        <w:outlineLvl w:val="3"/>
        <w:rPr>
          <w:rFonts w:ascii="Arial" w:hAnsi="Arial" w:eastAsia="宋体" w:cs="Arial"/>
          <w:b/>
          <w:bCs/>
          <w:i/>
          <w:color w:val="000000"/>
          <w:kern w:val="0"/>
          <w:sz w:val="28"/>
          <w:szCs w:val="28"/>
        </w:rPr>
      </w:pPr>
      <w:r>
        <w:rPr>
          <w:rFonts w:ascii="Arial" w:hAnsi="Arial" w:eastAsia="宋体" w:cs="Arial"/>
          <w:b/>
          <w:bCs/>
          <w:i/>
          <w:color w:val="000000"/>
          <w:kern w:val="0"/>
          <w:sz w:val="28"/>
          <w:szCs w:val="28"/>
        </w:rPr>
        <w:t>器械未按说明进行操作：</w:t>
      </w:r>
    </w:p>
    <w:p w14:paraId="1EF93F1F">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假阳性结果可能导致由其他病原体引起的呼吸道感染的延迟治疗，这可能是由细菌或其他病原体引起的更严重的感染。假阴性结果可能导致无法给予诊断和正确的治疗，并可能导致不必要的治疗。结果缺失可能导致诊断延误和不当治疗。</w:t>
      </w:r>
    </w:p>
    <w:p w14:paraId="17C8CD99">
      <w:pPr>
        <w:widowControl/>
        <w:snapToGrid w:val="0"/>
        <w:spacing w:line="300" w:lineRule="auto"/>
        <w:rPr>
          <w:rFonts w:ascii="Arial" w:hAnsi="Arial" w:eastAsia="宋体" w:cs="Arial"/>
          <w:color w:val="000000"/>
          <w:kern w:val="0"/>
          <w:sz w:val="24"/>
          <w:szCs w:val="24"/>
        </w:rPr>
      </w:pPr>
      <w:r>
        <w:rPr>
          <w:rFonts w:ascii="Arial" w:hAnsi="Arial" w:eastAsia="宋体" w:cs="Arial"/>
          <w:b/>
          <w:bCs/>
          <w:i/>
          <w:color w:val="000000"/>
          <w:kern w:val="0"/>
          <w:sz w:val="28"/>
          <w:szCs w:val="28"/>
        </w:rPr>
        <w:t>未能对结果进行正确解释：</w:t>
      </w:r>
    </w:p>
    <w:p w14:paraId="6DB64784">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检测和鉴定hMPV的呼吸道病毒板多重核酸检测，预期用于与其他临床和实验室结果相结合，以帮助呼吸道hMPV感染的诊断。因此，在有了其他实验室结果和临床表现的情况下，检测结果的解释失误可能会导致不适当的或延迟的治疗。例如，阳性检测结果无法排除细菌合并感染或其他病毒的合并感染，而且检出的hMPV可能不一定是临床症状或疾病的原因。因此，需要额外的检测 (例如，细菌培养，免疫荧光和胸部x射线/放射照相) 以得到hMPV感染的最终诊断。</w:t>
      </w:r>
    </w:p>
    <w:p w14:paraId="5EEA3288">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该特殊控制指南通过解决以下特定的错误来源，为减少与此类检测相关的风险提出建议：</w:t>
      </w:r>
    </w:p>
    <w:p w14:paraId="390C6BD6">
      <w:pPr>
        <w:widowControl/>
        <w:snapToGrid w:val="0"/>
        <w:spacing w:before="156" w:beforeLines="50" w:line="300" w:lineRule="auto"/>
        <w:rPr>
          <w:rFonts w:ascii="Arial" w:hAnsi="Arial" w:eastAsia="宋体" w:cs="Arial"/>
          <w:color w:val="000000"/>
          <w:kern w:val="0"/>
          <w:sz w:val="24"/>
          <w:szCs w:val="24"/>
        </w:rPr>
      </w:pPr>
      <w:r>
        <w:rPr>
          <w:rFonts w:ascii="Arial" w:hAnsi="Arial" w:eastAsia="宋体" w:cs="Arial"/>
          <w:color w:val="000000"/>
          <w:kern w:val="0"/>
          <w:sz w:val="24"/>
          <w:szCs w:val="24"/>
        </w:rPr>
        <w:t>错误的结果（即假阳性或假阴性结果）或结果缺失可能由以下原因引起：</w:t>
      </w:r>
    </w:p>
    <w:p w14:paraId="664CC2E5">
      <w:pPr>
        <w:widowControl/>
        <w:numPr>
          <w:ilvl w:val="0"/>
          <w:numId w:val="3"/>
        </w:numPr>
        <w:tabs>
          <w:tab w:val="left" w:pos="284"/>
          <w:tab w:val="clear" w:pos="720"/>
        </w:tabs>
        <w:snapToGrid w:val="0"/>
        <w:spacing w:line="300" w:lineRule="auto"/>
        <w:ind w:left="0" w:firstLine="0"/>
        <w:rPr>
          <w:rFonts w:ascii="Arial" w:hAnsi="Arial" w:eastAsia="宋体" w:cs="Arial"/>
          <w:color w:val="000000"/>
          <w:kern w:val="0"/>
          <w:sz w:val="24"/>
          <w:szCs w:val="24"/>
        </w:rPr>
      </w:pPr>
      <w:r>
        <w:rPr>
          <w:rFonts w:ascii="Arial" w:hAnsi="Arial" w:eastAsia="宋体" w:cs="Arial"/>
          <w:color w:val="000000"/>
          <w:kern w:val="0"/>
          <w:sz w:val="24"/>
          <w:szCs w:val="24"/>
        </w:rPr>
        <w:t>该检测所涉及的试剂、仪器、数据管理或软件的故障或不当使用。</w:t>
      </w:r>
    </w:p>
    <w:p w14:paraId="5CB877E9">
      <w:pPr>
        <w:widowControl/>
        <w:numPr>
          <w:ilvl w:val="0"/>
          <w:numId w:val="3"/>
        </w:numPr>
        <w:tabs>
          <w:tab w:val="left" w:pos="284"/>
          <w:tab w:val="clear" w:pos="720"/>
        </w:tabs>
        <w:snapToGrid w:val="0"/>
        <w:spacing w:line="300" w:lineRule="auto"/>
        <w:ind w:left="0" w:firstLine="0"/>
        <w:rPr>
          <w:rFonts w:ascii="Arial" w:hAnsi="Arial" w:eastAsia="宋体" w:cs="Arial"/>
          <w:color w:val="000000"/>
          <w:kern w:val="0"/>
          <w:sz w:val="24"/>
          <w:szCs w:val="24"/>
        </w:rPr>
      </w:pPr>
      <w:r>
        <w:rPr>
          <w:rFonts w:ascii="Arial" w:hAnsi="Arial" w:eastAsia="宋体" w:cs="Arial"/>
          <w:color w:val="000000"/>
          <w:kern w:val="0"/>
          <w:sz w:val="24"/>
          <w:szCs w:val="24"/>
        </w:rPr>
        <w:t>辅助试剂的失效或不当使用，或辅助试剂的质量问题。</w:t>
      </w:r>
    </w:p>
    <w:p w14:paraId="6E56D856">
      <w:pPr>
        <w:widowControl/>
        <w:numPr>
          <w:ilvl w:val="0"/>
          <w:numId w:val="3"/>
        </w:numPr>
        <w:tabs>
          <w:tab w:val="left" w:pos="284"/>
          <w:tab w:val="clear" w:pos="720"/>
        </w:tabs>
        <w:snapToGrid w:val="0"/>
        <w:spacing w:line="300" w:lineRule="auto"/>
        <w:ind w:left="0" w:firstLine="0"/>
        <w:rPr>
          <w:rFonts w:ascii="Arial" w:hAnsi="Arial" w:eastAsia="宋体" w:cs="Arial"/>
          <w:color w:val="000000"/>
          <w:kern w:val="0"/>
          <w:sz w:val="24"/>
          <w:szCs w:val="24"/>
        </w:rPr>
      </w:pPr>
      <w:r>
        <w:rPr>
          <w:rFonts w:ascii="Arial" w:hAnsi="Arial" w:eastAsia="宋体" w:cs="Arial"/>
          <w:color w:val="000000"/>
          <w:kern w:val="0"/>
          <w:sz w:val="24"/>
          <w:szCs w:val="24"/>
        </w:rPr>
        <w:t>在分子检测方面缺乏专业知识的实验室人员进行了不正确的检测。</w:t>
      </w:r>
    </w:p>
    <w:p w14:paraId="2D3748F8">
      <w:pPr>
        <w:widowControl/>
        <w:snapToGrid w:val="0"/>
        <w:spacing w:before="156" w:beforeLines="50" w:line="300" w:lineRule="auto"/>
        <w:rPr>
          <w:rFonts w:ascii="Arial" w:hAnsi="Arial" w:eastAsia="宋体" w:cs="Arial"/>
          <w:color w:val="000000"/>
          <w:kern w:val="0"/>
          <w:sz w:val="24"/>
          <w:szCs w:val="24"/>
        </w:rPr>
      </w:pPr>
      <w:r>
        <w:rPr>
          <w:rFonts w:ascii="Arial" w:hAnsi="Arial" w:eastAsia="宋体" w:cs="Arial"/>
          <w:color w:val="000000"/>
          <w:kern w:val="0"/>
          <w:sz w:val="24"/>
          <w:szCs w:val="24"/>
        </w:rPr>
        <w:t>假阳性结果可能由以下原因引起：</w:t>
      </w:r>
    </w:p>
    <w:p w14:paraId="5267CF42">
      <w:pPr>
        <w:widowControl/>
        <w:numPr>
          <w:ilvl w:val="0"/>
          <w:numId w:val="4"/>
        </w:numPr>
        <w:tabs>
          <w:tab w:val="clear" w:pos="720"/>
        </w:tabs>
        <w:snapToGrid w:val="0"/>
        <w:spacing w:line="300" w:lineRule="auto"/>
        <w:ind w:left="490" w:hanging="489" w:hangingChars="204"/>
        <w:rPr>
          <w:rFonts w:ascii="Arial" w:hAnsi="Arial" w:eastAsia="宋体" w:cs="Arial"/>
          <w:color w:val="000000"/>
          <w:kern w:val="0"/>
          <w:sz w:val="24"/>
          <w:szCs w:val="24"/>
        </w:rPr>
      </w:pPr>
      <w:r>
        <w:rPr>
          <w:rFonts w:ascii="Arial" w:hAnsi="Arial" w:eastAsia="宋体" w:cs="Arial"/>
          <w:color w:val="000000"/>
          <w:kern w:val="0"/>
          <w:sz w:val="24"/>
          <w:szCs w:val="24"/>
        </w:rPr>
        <w:t>hMPV的RNA序列可以在体内持续存在，而与病毒的活力无关，因为核酸检测无法区分非存活病毒和感染性病毒颗粒，其可以通过细胞培养进行识别。</w:t>
      </w:r>
    </w:p>
    <w:p w14:paraId="3FCCDDFE">
      <w:pPr>
        <w:widowControl/>
        <w:numPr>
          <w:ilvl w:val="0"/>
          <w:numId w:val="4"/>
        </w:numPr>
        <w:tabs>
          <w:tab w:val="clear" w:pos="720"/>
        </w:tabs>
        <w:snapToGrid w:val="0"/>
        <w:spacing w:line="300" w:lineRule="auto"/>
        <w:ind w:left="490" w:hanging="489" w:hangingChars="204"/>
        <w:rPr>
          <w:rFonts w:ascii="Arial" w:hAnsi="Arial" w:eastAsia="宋体" w:cs="Arial"/>
          <w:color w:val="000000"/>
          <w:kern w:val="0"/>
          <w:sz w:val="24"/>
          <w:szCs w:val="24"/>
        </w:rPr>
      </w:pPr>
      <w:r>
        <w:rPr>
          <w:rFonts w:ascii="Arial" w:hAnsi="Arial" w:eastAsia="宋体" w:cs="Arial"/>
          <w:color w:val="000000"/>
          <w:kern w:val="0"/>
          <w:sz w:val="24"/>
          <w:szCs w:val="24"/>
        </w:rPr>
        <w:t>检测引物和探针与来自其他病毒的核酸序列可能会发生交叉反应，从而被该多重检测系统检出，核酸序列可能来自存在于患者样本中的其他非病毒病原体，或其它内源性的核酸序列。</w:t>
      </w:r>
    </w:p>
    <w:p w14:paraId="59EB0541">
      <w:pPr>
        <w:widowControl/>
        <w:numPr>
          <w:ilvl w:val="0"/>
          <w:numId w:val="4"/>
        </w:numPr>
        <w:tabs>
          <w:tab w:val="clear" w:pos="720"/>
        </w:tabs>
        <w:snapToGrid w:val="0"/>
        <w:spacing w:line="300" w:lineRule="auto"/>
        <w:ind w:left="490" w:hanging="489" w:hangingChars="204"/>
        <w:rPr>
          <w:rFonts w:ascii="Arial" w:hAnsi="Arial" w:eastAsia="宋体" w:cs="Arial"/>
          <w:color w:val="000000"/>
          <w:kern w:val="0"/>
          <w:sz w:val="24"/>
          <w:szCs w:val="24"/>
        </w:rPr>
      </w:pPr>
      <w:r>
        <w:rPr>
          <w:rFonts w:ascii="Arial" w:hAnsi="Arial" w:eastAsia="宋体" w:cs="Arial"/>
          <w:color w:val="000000"/>
          <w:kern w:val="0"/>
          <w:sz w:val="24"/>
          <w:szCs w:val="24"/>
        </w:rPr>
        <w:t>在开放性检测系统的情况下，如果不采取适当的控制措施，则可能存在交叉污染和扩增子的污染。</w:t>
      </w:r>
    </w:p>
    <w:p w14:paraId="5A92521E">
      <w:pPr>
        <w:widowControl/>
        <w:snapToGrid w:val="0"/>
        <w:spacing w:before="90" w:after="90" w:line="300" w:lineRule="auto"/>
        <w:ind w:left="490" w:hanging="489" w:hangingChars="204"/>
        <w:rPr>
          <w:rFonts w:ascii="Arial" w:hAnsi="Arial" w:eastAsia="宋体" w:cs="Arial"/>
          <w:color w:val="000000"/>
          <w:kern w:val="0"/>
          <w:sz w:val="24"/>
          <w:szCs w:val="24"/>
        </w:rPr>
      </w:pPr>
      <w:r>
        <w:rPr>
          <w:rFonts w:ascii="Arial" w:hAnsi="Arial" w:eastAsia="宋体" w:cs="Arial"/>
          <w:color w:val="000000"/>
          <w:kern w:val="0"/>
          <w:sz w:val="24"/>
          <w:szCs w:val="24"/>
        </w:rPr>
        <w:t>假阴性结果可能由以下原因引起：</w:t>
      </w:r>
    </w:p>
    <w:p w14:paraId="3126150B">
      <w:pPr>
        <w:widowControl/>
        <w:numPr>
          <w:ilvl w:val="0"/>
          <w:numId w:val="5"/>
        </w:numPr>
        <w:tabs>
          <w:tab w:val="clear" w:pos="720"/>
        </w:tabs>
        <w:snapToGrid w:val="0"/>
        <w:spacing w:line="300" w:lineRule="auto"/>
        <w:ind w:left="490" w:hanging="489" w:hangingChars="204"/>
        <w:rPr>
          <w:rFonts w:ascii="Arial" w:hAnsi="Arial" w:eastAsia="宋体" w:cs="Arial"/>
          <w:color w:val="000000"/>
          <w:kern w:val="0"/>
          <w:sz w:val="24"/>
          <w:szCs w:val="24"/>
        </w:rPr>
      </w:pPr>
      <w:r>
        <w:rPr>
          <w:rFonts w:ascii="Arial" w:hAnsi="Arial" w:eastAsia="宋体" w:cs="Arial"/>
          <w:color w:val="000000"/>
          <w:kern w:val="0"/>
          <w:sz w:val="24"/>
          <w:szCs w:val="24"/>
        </w:rPr>
        <w:t>由于对样品和所提取核酸的不当储存或转运，或核酸物质的提取不充分，而导致的分析物降解。</w:t>
      </w:r>
    </w:p>
    <w:p w14:paraId="187D6064">
      <w:pPr>
        <w:widowControl/>
        <w:numPr>
          <w:ilvl w:val="0"/>
          <w:numId w:val="5"/>
        </w:numPr>
        <w:tabs>
          <w:tab w:val="clear" w:pos="720"/>
        </w:tabs>
        <w:snapToGrid w:val="0"/>
        <w:spacing w:line="300" w:lineRule="auto"/>
        <w:ind w:left="490" w:hanging="489" w:hangingChars="204"/>
        <w:rPr>
          <w:rFonts w:ascii="Arial" w:hAnsi="Arial" w:eastAsia="宋体" w:cs="Arial"/>
          <w:color w:val="000000"/>
          <w:kern w:val="0"/>
          <w:sz w:val="24"/>
          <w:szCs w:val="24"/>
        </w:rPr>
      </w:pPr>
      <w:r>
        <w:rPr>
          <w:rFonts w:ascii="Arial" w:hAnsi="Arial" w:eastAsia="宋体" w:cs="Arial"/>
          <w:color w:val="000000"/>
          <w:kern w:val="0"/>
          <w:sz w:val="24"/>
          <w:szCs w:val="24"/>
        </w:rPr>
        <w:t>hMPV出现了新的遗传亚型或遗传突变体。用于检测hMPV的引物和探针的选择通常基于其与存在于所有已知hMPV遗传亚型中的病毒RNA片段的高度保守区的同源性。这些引物和探针可能无法与新分离的遗传亚型或随着时间推移而出现的遗传突变体发生反应，降低了检测性能。</w:t>
      </w:r>
    </w:p>
    <w:p w14:paraId="3D5D5C7E">
      <w:pPr>
        <w:widowControl/>
        <w:numPr>
          <w:ilvl w:val="0"/>
          <w:numId w:val="6"/>
        </w:numPr>
        <w:tabs>
          <w:tab w:val="clear" w:pos="720"/>
        </w:tabs>
        <w:snapToGrid w:val="0"/>
        <w:spacing w:line="300" w:lineRule="auto"/>
        <w:ind w:left="490" w:hanging="489" w:hangingChars="204"/>
        <w:rPr>
          <w:rFonts w:ascii="Arial" w:hAnsi="Arial" w:eastAsia="宋体" w:cs="Arial"/>
          <w:color w:val="000000"/>
          <w:kern w:val="0"/>
          <w:sz w:val="24"/>
          <w:szCs w:val="24"/>
        </w:rPr>
      </w:pPr>
      <w:r>
        <w:rPr>
          <w:rFonts w:ascii="Arial" w:hAnsi="Arial" w:eastAsia="宋体" w:cs="Arial"/>
          <w:color w:val="000000"/>
          <w:kern w:val="0"/>
          <w:sz w:val="24"/>
          <w:szCs w:val="24"/>
        </w:rPr>
        <w:t>在样品处理/处置期间，存在于患者样本中的、或引入分析系统的其他物质的竞争性抑制或干扰。</w:t>
      </w:r>
    </w:p>
    <w:p w14:paraId="401ED1BB">
      <w:pPr>
        <w:widowControl/>
        <w:snapToGrid w:val="0"/>
        <w:spacing w:before="156" w:beforeLines="50" w:line="300" w:lineRule="auto"/>
        <w:rPr>
          <w:rFonts w:ascii="Arial" w:hAnsi="Arial" w:eastAsia="宋体" w:cs="Arial"/>
          <w:color w:val="000000"/>
          <w:kern w:val="0"/>
          <w:sz w:val="24"/>
          <w:szCs w:val="24"/>
        </w:rPr>
      </w:pPr>
      <w:r>
        <w:rPr>
          <w:rFonts w:ascii="Arial" w:hAnsi="Arial" w:eastAsia="宋体" w:cs="Arial"/>
          <w:color w:val="000000"/>
          <w:kern w:val="0"/>
          <w:sz w:val="24"/>
          <w:szCs w:val="24"/>
        </w:rPr>
        <w:t>未能正确解释检测结果的原因如下：</w:t>
      </w:r>
    </w:p>
    <w:p w14:paraId="48E108E0">
      <w:pPr>
        <w:widowControl/>
        <w:numPr>
          <w:ilvl w:val="0"/>
          <w:numId w:val="7"/>
        </w:numPr>
        <w:snapToGrid w:val="0"/>
        <w:spacing w:line="300" w:lineRule="auto"/>
        <w:ind w:left="0" w:firstLine="0"/>
        <w:rPr>
          <w:rFonts w:ascii="Arial" w:hAnsi="Arial" w:eastAsia="宋体" w:cs="Arial"/>
          <w:color w:val="000000"/>
          <w:kern w:val="0"/>
          <w:sz w:val="24"/>
          <w:szCs w:val="24"/>
        </w:rPr>
      </w:pPr>
      <w:r>
        <w:rPr>
          <w:rFonts w:ascii="Arial" w:hAnsi="Arial" w:eastAsia="宋体" w:cs="Arial"/>
          <w:color w:val="000000"/>
          <w:kern w:val="0"/>
          <w:sz w:val="24"/>
          <w:szCs w:val="24"/>
        </w:rPr>
        <w:t>细菌合并感染的可能性。</w:t>
      </w:r>
    </w:p>
    <w:p w14:paraId="5E7B2231">
      <w:pPr>
        <w:widowControl/>
        <w:numPr>
          <w:ilvl w:val="0"/>
          <w:numId w:val="7"/>
        </w:numPr>
        <w:snapToGrid w:val="0"/>
        <w:spacing w:line="300" w:lineRule="auto"/>
        <w:ind w:left="0" w:firstLine="0"/>
        <w:rPr>
          <w:rFonts w:ascii="Arial" w:hAnsi="Arial" w:eastAsia="宋体" w:cs="Arial"/>
          <w:color w:val="000000"/>
          <w:kern w:val="0"/>
          <w:sz w:val="24"/>
          <w:szCs w:val="24"/>
        </w:rPr>
      </w:pPr>
      <w:r>
        <w:rPr>
          <w:rFonts w:ascii="Arial" w:hAnsi="Arial" w:eastAsia="宋体" w:cs="Arial"/>
          <w:color w:val="000000"/>
          <w:kern w:val="0"/>
          <w:sz w:val="24"/>
          <w:szCs w:val="24"/>
        </w:rPr>
        <w:t>缺乏病毒诊断专业知识的实验室人员对检测结果的错误解释和报告。</w:t>
      </w:r>
    </w:p>
    <w:p w14:paraId="18FBCA68">
      <w:pPr>
        <w:widowControl/>
        <w:numPr>
          <w:ilvl w:val="0"/>
          <w:numId w:val="7"/>
        </w:numPr>
        <w:snapToGrid w:val="0"/>
        <w:spacing w:line="300" w:lineRule="auto"/>
        <w:ind w:left="0" w:firstLine="0"/>
        <w:rPr>
          <w:rFonts w:ascii="Arial" w:hAnsi="Arial" w:eastAsia="宋体" w:cs="Arial"/>
          <w:color w:val="000000"/>
          <w:kern w:val="0"/>
          <w:sz w:val="24"/>
          <w:szCs w:val="24"/>
        </w:rPr>
      </w:pPr>
      <w:r>
        <w:rPr>
          <w:rFonts w:ascii="Arial" w:hAnsi="Arial" w:eastAsia="宋体" w:cs="Arial"/>
          <w:color w:val="000000"/>
          <w:kern w:val="0"/>
          <w:sz w:val="24"/>
          <w:szCs w:val="24"/>
        </w:rPr>
        <w:t>与季节性hMPV病毒流行和特定患者人群相关的性能变异而造成的曲解。</w:t>
      </w:r>
    </w:p>
    <w:p w14:paraId="0EBD8E0B">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在下表中，食品药品监督管理局已经确定了与使用核酸扩增检测hMPV产品相关的一般性健康风险。本指导性文件中描述了建议规避这些已识别风险的措施，如下表所示。在提交上市前通告之前，应进行风险分析并识别该器械特有的任何其他风险。风险可能会因核酸检测的类型、检测的具体预期用途、样本类型以及结果如何使用而变化。上市前通告中应描述用于进行风险分析的方法。如果选择使用替代方法来解决本文件中指出的风险，或已发现本文件以外的风险，应提供足够的详细信息以支持用于解决该风险的方法。</w:t>
      </w:r>
    </w:p>
    <w:p w14:paraId="6FFA74B9">
      <w:pPr>
        <w:widowControl/>
        <w:snapToGrid w:val="0"/>
        <w:spacing w:line="300" w:lineRule="auto"/>
        <w:rPr>
          <w:rFonts w:ascii="Arial" w:hAnsi="Arial" w:eastAsia="宋体" w:cs="Arial"/>
          <w:color w:val="000000"/>
          <w:kern w:val="0"/>
          <w:sz w:val="24"/>
          <w:szCs w:val="24"/>
        </w:rPr>
      </w:pPr>
    </w:p>
    <w:p w14:paraId="12C18991">
      <w:pPr>
        <w:widowControl/>
        <w:snapToGrid w:val="0"/>
        <w:spacing w:line="300" w:lineRule="auto"/>
        <w:rPr>
          <w:rFonts w:ascii="Arial" w:hAnsi="Arial" w:eastAsia="宋体" w:cs="Arial"/>
          <w:color w:val="000000"/>
          <w:kern w:val="0"/>
          <w:sz w:val="24"/>
          <w:szCs w:val="24"/>
        </w:rPr>
      </w:pPr>
    </w:p>
    <w:tbl>
      <w:tblPr>
        <w:tblStyle w:val="11"/>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Layout w:type="autofit"/>
        <w:tblCellMar>
          <w:top w:w="45" w:type="dxa"/>
          <w:left w:w="45" w:type="dxa"/>
          <w:bottom w:w="45" w:type="dxa"/>
          <w:right w:w="45" w:type="dxa"/>
        </w:tblCellMar>
      </w:tblPr>
      <w:tblGrid>
        <w:gridCol w:w="4600"/>
        <w:gridCol w:w="2214"/>
      </w:tblGrid>
      <w:tr w14:paraId="0E9A39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EFFFF"/>
            <w:vAlign w:val="center"/>
          </w:tcPr>
          <w:p w14:paraId="5E46E069">
            <w:pPr>
              <w:widowControl/>
              <w:snapToGrid w:val="0"/>
              <w:spacing w:line="300" w:lineRule="auto"/>
              <w:rPr>
                <w:rFonts w:ascii="Arial" w:hAnsi="Arial" w:eastAsia="宋体" w:cs="Arial"/>
                <w:b/>
                <w:bCs/>
                <w:color w:val="000000"/>
                <w:kern w:val="0"/>
                <w:sz w:val="24"/>
                <w:szCs w:val="24"/>
              </w:rPr>
            </w:pPr>
            <w:r>
              <w:rPr>
                <w:rFonts w:ascii="Arial" w:hAnsi="Arial" w:eastAsia="宋体" w:cs="Arial"/>
                <w:b/>
                <w:bCs/>
                <w:color w:val="000000"/>
                <w:kern w:val="0"/>
                <w:sz w:val="24"/>
                <w:szCs w:val="24"/>
              </w:rPr>
              <w:t>已识别的风险</w:t>
            </w:r>
          </w:p>
        </w:tc>
        <w:tc>
          <w:tcPr>
            <w:tcW w:w="0" w:type="auto"/>
            <w:tcBorders>
              <w:top w:val="outset" w:color="auto" w:sz="6" w:space="0"/>
              <w:left w:val="outset" w:color="auto" w:sz="6" w:space="0"/>
              <w:bottom w:val="outset" w:color="auto" w:sz="6" w:space="0"/>
              <w:right w:val="outset" w:color="auto" w:sz="6" w:space="0"/>
            </w:tcBorders>
            <w:shd w:val="clear" w:color="auto" w:fill="CEFFFF"/>
            <w:vAlign w:val="center"/>
          </w:tcPr>
          <w:p w14:paraId="5D3AADA5">
            <w:pPr>
              <w:widowControl/>
              <w:snapToGrid w:val="0"/>
              <w:spacing w:line="300" w:lineRule="auto"/>
              <w:rPr>
                <w:rFonts w:ascii="Arial" w:hAnsi="Arial" w:eastAsia="宋体" w:cs="Arial"/>
                <w:b/>
                <w:bCs/>
                <w:color w:val="000000"/>
                <w:kern w:val="0"/>
                <w:sz w:val="24"/>
                <w:szCs w:val="24"/>
              </w:rPr>
            </w:pPr>
            <w:r>
              <w:rPr>
                <w:rFonts w:ascii="Arial" w:hAnsi="Arial" w:eastAsia="宋体" w:cs="Arial"/>
                <w:b/>
                <w:bCs/>
                <w:color w:val="000000"/>
                <w:kern w:val="0"/>
                <w:sz w:val="24"/>
                <w:szCs w:val="24"/>
              </w:rPr>
              <w:t>建议的缓解措施</w:t>
            </w:r>
          </w:p>
        </w:tc>
      </w:tr>
      <w:tr w14:paraId="18787B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125" w:hRule="atLeas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32DF7FEC">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不准确的结果(即，假阳性或假阴性结果)，</w:t>
            </w:r>
          </w:p>
          <w:p w14:paraId="56ED5D59">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或结果缺失</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59000205">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器械描述(第5部分)</w:t>
            </w:r>
          </w:p>
          <w:p w14:paraId="47A6ABCE">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性能特征(第6部分)</w:t>
            </w:r>
          </w:p>
          <w:p w14:paraId="5EE1F8F1">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标签(第7部分)</w:t>
            </w:r>
          </w:p>
        </w:tc>
      </w:tr>
      <w:tr w14:paraId="0E0349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6BD33991">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未能正确解释检测结果</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B869AC5">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标签（第7部分）</w:t>
            </w:r>
          </w:p>
        </w:tc>
      </w:tr>
    </w:tbl>
    <w:p w14:paraId="0A357158">
      <w:pPr>
        <w:widowControl/>
        <w:snapToGrid w:val="0"/>
        <w:spacing w:line="300" w:lineRule="auto"/>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5. 器械描述</w:t>
      </w:r>
    </w:p>
    <w:p w14:paraId="46F4A8F6">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在提交510（k）时，贵公司应该确定法规、产品代码和已经合法上市的比较器械，</w:t>
      </w:r>
      <w:r>
        <w:rPr>
          <w:rFonts w:ascii="Arial" w:hAnsi="Arial" w:eastAsia="宋体" w:cs="Arial"/>
          <w:sz w:val="24"/>
          <w:szCs w:val="24"/>
        </w:rPr>
        <w:t>建议加入一个表格以概括比较器械和申请器械之间的异同点。</w:t>
      </w:r>
    </w:p>
    <w:p w14:paraId="1082981D">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贵公司应该包括以下描述性信息，以充分说明申请的hMPV核酸检测产品的特征。</w:t>
      </w:r>
    </w:p>
    <w:p w14:paraId="096DA5B4">
      <w:pPr>
        <w:widowControl/>
        <w:snapToGrid w:val="0"/>
        <w:spacing w:line="300" w:lineRule="auto"/>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5.A预期用途</w:t>
      </w:r>
    </w:p>
    <w:p w14:paraId="49BA121C">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预期用途应说明分析物和靶标物(如hMPV F 基因 RNA)的性质，以及用于该检测的样本类型，该检测适用的临床适应症，以及该检测所针对的特定人群。预期用途应说明该检测是定性的，以及任何特定的使用条件。</w:t>
      </w:r>
    </w:p>
    <w:p w14:paraId="31B7AC0E">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在510（k）中，贵公司应清楚地描述与该产品预期用途相关的以下信息：</w:t>
      </w:r>
    </w:p>
    <w:p w14:paraId="7EFAEDA1">
      <w:pPr>
        <w:widowControl/>
        <w:numPr>
          <w:ilvl w:val="0"/>
          <w:numId w:val="8"/>
        </w:numPr>
        <w:tabs>
          <w:tab w:val="clear" w:pos="720"/>
        </w:tabs>
        <w:snapToGrid w:val="0"/>
        <w:spacing w:line="300" w:lineRule="auto"/>
        <w:ind w:left="0" w:firstLine="0"/>
        <w:rPr>
          <w:rFonts w:ascii="Arial" w:hAnsi="Arial" w:eastAsia="宋体" w:cs="Arial"/>
          <w:color w:val="000000"/>
          <w:kern w:val="0"/>
          <w:sz w:val="24"/>
          <w:szCs w:val="24"/>
        </w:rPr>
      </w:pPr>
      <w:r>
        <w:rPr>
          <w:rFonts w:ascii="Arial" w:hAnsi="Arial" w:eastAsia="宋体" w:cs="Arial"/>
          <w:color w:val="000000"/>
          <w:kern w:val="0"/>
          <w:sz w:val="24"/>
          <w:szCs w:val="24"/>
        </w:rPr>
        <w:t>该器械旨在检测的hMPV的型别、系统发育关系或其他公认的特征。</w:t>
      </w:r>
    </w:p>
    <w:p w14:paraId="595E79EC">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该器械的检测结果将应用于帮助实验室对来自有症状患者的呼吸道标本中的hMPV进行鉴别。</w:t>
      </w:r>
    </w:p>
    <w:p w14:paraId="271986D0">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注：用于确定性鉴别hMPV的公认实验室方法，可以参见例如CLSI M41-A</w:t>
      </w:r>
      <w:r>
        <w:rPr>
          <w:rFonts w:ascii="Arial" w:hAnsi="Arial" w:eastAsia="宋体" w:cs="Arial"/>
          <w:color w:val="000000"/>
          <w:kern w:val="0"/>
          <w:sz w:val="24"/>
          <w:szCs w:val="24"/>
          <w:vertAlign w:val="superscript"/>
        </w:rPr>
        <w:t>5</w:t>
      </w:r>
      <w:r>
        <w:rPr>
          <w:rFonts w:ascii="Arial" w:hAnsi="Arial" w:eastAsia="宋体" w:cs="Arial"/>
          <w:color w:val="000000"/>
          <w:kern w:val="0"/>
          <w:sz w:val="24"/>
          <w:szCs w:val="24"/>
        </w:rPr>
        <w:t>; 如果可以提供合适的验证数据，也可以使用亚型特异性引物产生的扩增子进行测序（双向测序的质量值）。</w:t>
      </w:r>
    </w:p>
    <w:p w14:paraId="0A52CBDB">
      <w:pPr>
        <w:widowControl/>
        <w:snapToGrid w:val="0"/>
        <w:spacing w:line="300" w:lineRule="auto"/>
        <w:outlineLvl w:val="3"/>
        <w:rPr>
          <w:rFonts w:ascii="Arial" w:hAnsi="Arial" w:eastAsia="宋体" w:cs="Arial"/>
          <w:b/>
          <w:bCs/>
          <w:color w:val="000000"/>
          <w:kern w:val="0"/>
          <w:sz w:val="24"/>
          <w:szCs w:val="24"/>
        </w:rPr>
      </w:pPr>
      <w:r>
        <w:rPr>
          <w:rFonts w:ascii="Arial" w:hAnsi="Arial" w:eastAsia="宋体" w:cs="Arial"/>
          <w:b/>
          <w:bCs/>
          <w:color w:val="000000"/>
          <w:kern w:val="0"/>
          <w:sz w:val="24"/>
          <w:szCs w:val="24"/>
        </w:rPr>
        <w:t>5.B检测方法学</w:t>
      </w:r>
    </w:p>
    <w:p w14:paraId="60E3DDE2">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贵公司应该详细描述该器械的使用方法。例如，贵公司应描述适用于该器械的以下元素：</w:t>
      </w:r>
    </w:p>
    <w:p w14:paraId="260B18DF">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检测平台（例如，RT-PCR，珠阵列）</w:t>
      </w:r>
    </w:p>
    <w:p w14:paraId="59D875AE">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相关流感序列的探针特异性。</w:t>
      </w:r>
    </w:p>
    <w:p w14:paraId="593196C9">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选择特定靶序列的资料和原理，以及用于设计引物和探针的方法。</w:t>
      </w:r>
    </w:p>
    <w:p w14:paraId="265BF6C0">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测定的限制因素（例如杂交的饱和度、最大循环次数）</w:t>
      </w:r>
    </w:p>
    <w:p w14:paraId="0B64C2B3">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样本类型（例如拭子，呼吸道抽吸液和病毒培养基），收集和处理方法</w:t>
      </w:r>
    </w:p>
    <w:p w14:paraId="50B90516">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提供或推荐使用的试剂组分及其在系统内的功能（例如，缓冲液、酶、荧光染料、化学发光试剂、其他信号/扩增试剂）。</w:t>
      </w:r>
    </w:p>
    <w:p w14:paraId="5034516D">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特异性和非特异性探针交叉杂交的可能性。</w:t>
      </w:r>
    </w:p>
    <w:p w14:paraId="26968FA2">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内部控制及其在系统中的具体功能的描述。</w:t>
      </w:r>
    </w:p>
    <w:p w14:paraId="262629F2">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推荐或提供给用户的外部控制。</w:t>
      </w:r>
    </w:p>
    <w:p w14:paraId="55E8369F">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器械所需的仪器，包括系统中的组件及其功能。</w:t>
      </w:r>
    </w:p>
    <w:p w14:paraId="7BDC2C22">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仪器和系统参数生成的结果类型（例如，测量范围）。</w:t>
      </w:r>
    </w:p>
    <w:p w14:paraId="7EB7847D">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从原始数据到报告结果的计算路径（例如，原始信号如何转换为信号），包括充分的软件控制，用于识别和处理数据集内的明显问题。应说明归一化的背景信号调整（如适用）。</w:t>
      </w:r>
    </w:p>
    <w:p w14:paraId="26BCE058">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非标准设备或方法的图示或照片，如有。</w:t>
      </w:r>
    </w:p>
    <w:p w14:paraId="486DD844">
      <w:pPr>
        <w:widowControl/>
        <w:snapToGrid w:val="0"/>
        <w:spacing w:before="156" w:beforeLines="50" w:line="300" w:lineRule="auto"/>
        <w:rPr>
          <w:rFonts w:ascii="Arial" w:hAnsi="Arial" w:eastAsia="宋体" w:cs="Arial"/>
          <w:color w:val="000000"/>
          <w:kern w:val="0"/>
          <w:sz w:val="24"/>
          <w:szCs w:val="24"/>
        </w:rPr>
      </w:pPr>
      <w:r>
        <w:rPr>
          <w:rFonts w:ascii="Arial" w:hAnsi="Arial" w:eastAsia="宋体" w:cs="Arial"/>
          <w:color w:val="000000"/>
          <w:kern w:val="0"/>
          <w:sz w:val="24"/>
          <w:szCs w:val="24"/>
        </w:rPr>
        <w:t>如适用，应描述该器械的设计控制标准，以解决或减少与用于检测hMPV病毒RNA片段的hMPV核酸检测产品相关的风险，举例以下：</w:t>
      </w:r>
    </w:p>
    <w:p w14:paraId="195CD66A">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将源于样品的污染或残留物所导致的假阳性最小化。</w:t>
      </w:r>
    </w:p>
    <w:p w14:paraId="1FBE0A63">
      <w:pPr>
        <w:widowControl/>
        <w:numPr>
          <w:ilvl w:val="0"/>
          <w:numId w:val="8"/>
        </w:numPr>
        <w:tabs>
          <w:tab w:val="clear" w:pos="720"/>
        </w:tabs>
        <w:snapToGrid w:val="0"/>
        <w:spacing w:line="300" w:lineRule="auto"/>
        <w:ind w:left="418" w:hanging="417" w:hangingChars="180"/>
        <w:rPr>
          <w:rFonts w:ascii="Arial" w:hAnsi="Arial" w:eastAsia="宋体" w:cs="Arial"/>
          <w:color w:val="000000"/>
          <w:spacing w:val="-4"/>
          <w:kern w:val="0"/>
          <w:sz w:val="24"/>
          <w:szCs w:val="24"/>
        </w:rPr>
      </w:pPr>
      <w:r>
        <w:rPr>
          <w:rFonts w:ascii="Arial" w:hAnsi="Arial" w:eastAsia="宋体" w:cs="Arial"/>
          <w:color w:val="000000"/>
          <w:spacing w:val="-4"/>
          <w:kern w:val="0"/>
          <w:sz w:val="24"/>
          <w:szCs w:val="24"/>
        </w:rPr>
        <w:t>开发的或推荐的用于核酸提取和纯化的经过验证的方法，可以从呼吸道样本中得到适当质量和数量的hMPV核酸，与该检测试剂一起用于检测系统。针对该检测产品预期用途中所载明的不同样品类型，应提供适当的经过验证的提取方法。</w:t>
      </w:r>
    </w:p>
    <w:p w14:paraId="0E9933E8">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优化该检测试剂和推荐仪器的检测程序。</w:t>
      </w:r>
    </w:p>
    <w:p w14:paraId="214616D2">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在510（k）中，贵公司</w:t>
      </w:r>
      <w:r>
        <w:rPr>
          <w:rFonts w:ascii="Arial" w:hAnsi="Arial" w:eastAsia="宋体" w:cs="Arial"/>
          <w:sz w:val="24"/>
          <w:szCs w:val="24"/>
        </w:rPr>
        <w:t>应提供性能信息，以支持满足设计要求的结论。</w:t>
      </w:r>
      <w:r>
        <w:rPr>
          <w:rFonts w:ascii="Arial" w:hAnsi="Arial" w:eastAsia="宋体" w:cs="Arial"/>
          <w:color w:val="000000"/>
          <w:kern w:val="0"/>
          <w:sz w:val="24"/>
          <w:szCs w:val="24"/>
        </w:rPr>
        <w:t>还应提供资料以证明该检测试剂的设计 (例如，选择特定的保守靶序列的理由，以及用于设计引物和探针的方法)（参见第6部分 - 性能特征）。</w:t>
      </w:r>
    </w:p>
    <w:p w14:paraId="69260DBB">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5.C辅助试剂</w:t>
      </w:r>
    </w:p>
    <w:p w14:paraId="6E369581">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辅助试剂是该检测产品制造商在器械的标签中说明为“必需但未提供的”那些试剂，用以按照使用说明书进行检测，并达到该检测产品的标签中所要求的测定性能。出于本文件的目的，相关的辅助试剂是必须根据制造商和目录号或产品编号或其他特定名称所规定的、使器械能达到其标签所示的性能特征的那些试剂。例如，如果器械标签中规定使用品牌为X的DNA扩增酶，且使用任何其他的DNA扩增酶可能会改变标签中报告的器械性能特征，那么品牌为X 的DNA扩增酶就是一种与本文件相关的辅助试剂</w:t>
      </w:r>
      <w:r>
        <w:fldChar w:fldCharType="begin"/>
      </w:r>
      <w:r>
        <w:instrText xml:space="preserve"> HYPERLINK "http://www.fda.gov/MedicalDevices/DeviceRegulationandGuidance/GuidanceDocuments/ucm180306.htm" \l "ft7" </w:instrText>
      </w:r>
      <w:r>
        <w:fldChar w:fldCharType="separate"/>
      </w:r>
      <w:r>
        <w:rPr>
          <w:rFonts w:ascii="Arial" w:hAnsi="Arial" w:eastAsia="宋体" w:cs="Arial"/>
          <w:color w:val="800080"/>
          <w:kern w:val="0"/>
          <w:sz w:val="24"/>
          <w:szCs w:val="24"/>
          <w:u w:val="single"/>
          <w:vertAlign w:val="superscript"/>
        </w:rPr>
        <w:t>7</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w:t>
      </w:r>
    </w:p>
    <w:p w14:paraId="3FF895CB">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相比之下，如果该器械需要使用95%乙醇，而任何品牌的95%乙醇均可使器械达到标签中所提供的性能特征，那么95%乙醇就不是与本文件目的相关的辅助试剂。</w:t>
      </w:r>
    </w:p>
    <w:p w14:paraId="0D6B6840">
      <w:pPr>
        <w:widowControl/>
        <w:snapToGrid w:val="0"/>
        <w:spacing w:line="300" w:lineRule="auto"/>
        <w:rPr>
          <w:rFonts w:ascii="Arial" w:hAnsi="Arial" w:eastAsia="宋体" w:cs="Arial"/>
          <w:color w:val="000000"/>
          <w:kern w:val="0"/>
          <w:sz w:val="24"/>
          <w:szCs w:val="24"/>
        </w:rPr>
      </w:pPr>
    </w:p>
    <w:p w14:paraId="4F0211DF">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该器械的使用说明书中，指定了一个或多个相关的辅助试剂，应该说明如何确保使用该器械和这些辅助试剂的检测结果与说明书一致，并与所提交的上市前申请文件中所建立的性能一致。计划可能包括质量系统方法的应用、产品标签和其他措施。</w:t>
      </w:r>
    </w:p>
    <w:p w14:paraId="6851CF72">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为了解决特殊控制的这一方面，510（k）申请应涉及下述要素，FDA将评估所提交的计划是否有助于减少器械所带来的风险，为器械的安全性和有效性提供合理的保证，并确立其实质等效性。</w:t>
      </w:r>
    </w:p>
    <w:p w14:paraId="1AD5FEBC">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贵公司应在510（k）中纳入针对使用辅助试剂的风险评估，包括与试剂质量和变异性</w:t>
      </w:r>
      <w:r>
        <w:rPr>
          <w:rFonts w:ascii="Arial" w:hAnsi="Arial" w:eastAsia="宋体" w:cs="Arial"/>
          <w:color w:val="000000"/>
          <w:spacing w:val="-4"/>
          <w:kern w:val="0"/>
          <w:sz w:val="24"/>
          <w:szCs w:val="24"/>
        </w:rPr>
        <w:t>管理</w:t>
      </w:r>
      <w:r>
        <w:rPr>
          <w:rFonts w:ascii="Arial" w:hAnsi="Arial" w:eastAsia="宋体" w:cs="Arial"/>
          <w:color w:val="000000"/>
          <w:kern w:val="0"/>
          <w:sz w:val="24"/>
          <w:szCs w:val="24"/>
        </w:rPr>
        <w:t>相关的风险，器械制造商所提供的说明书与辅助试剂中直接提供的使用说明书之间不一致的风险，以及使用该器械可能存在得到错误结果的风险。</w:t>
      </w:r>
    </w:p>
    <w:p w14:paraId="04E0202B">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使用风险评估作为适用性的基础，应在510（k）中说明，怎样通过对辅助试剂实施必要的控制来规避风险，这些措施可能包括（如适用）：</w:t>
      </w:r>
    </w:p>
    <w:p w14:paraId="17BE9296">
      <w:pPr>
        <w:widowControl/>
        <w:numPr>
          <w:ilvl w:val="1"/>
          <w:numId w:val="9"/>
        </w:numPr>
        <w:tabs>
          <w:tab w:val="clear" w:pos="1440"/>
        </w:tabs>
        <w:snapToGrid w:val="0"/>
        <w:spacing w:line="300" w:lineRule="auto"/>
        <w:ind w:left="684" w:leftChars="80" w:hanging="516" w:hangingChars="215"/>
        <w:rPr>
          <w:rFonts w:ascii="Arial" w:hAnsi="Arial" w:eastAsia="宋体" w:cs="Arial"/>
          <w:color w:val="000000"/>
          <w:kern w:val="0"/>
          <w:sz w:val="24"/>
          <w:szCs w:val="24"/>
        </w:rPr>
      </w:pPr>
      <w:r>
        <w:rPr>
          <w:rFonts w:ascii="Arial" w:hAnsi="Arial" w:eastAsia="宋体" w:cs="Arial"/>
          <w:color w:val="000000"/>
          <w:kern w:val="0"/>
          <w:sz w:val="24"/>
          <w:szCs w:val="24"/>
        </w:rPr>
        <w:t>用户标签，以确保辅助试剂的合理使用（进一步的讨论请参见“标签”）</w:t>
      </w:r>
    </w:p>
    <w:p w14:paraId="185AC28F">
      <w:pPr>
        <w:widowControl/>
        <w:numPr>
          <w:ilvl w:val="1"/>
          <w:numId w:val="9"/>
        </w:numPr>
        <w:tabs>
          <w:tab w:val="clear" w:pos="1440"/>
        </w:tabs>
        <w:snapToGrid w:val="0"/>
        <w:spacing w:line="300" w:lineRule="auto"/>
        <w:ind w:left="684" w:leftChars="80" w:hanging="516" w:hangingChars="215"/>
        <w:rPr>
          <w:rFonts w:ascii="Arial" w:hAnsi="Arial" w:eastAsia="宋体" w:cs="Arial"/>
          <w:color w:val="000000"/>
          <w:kern w:val="0"/>
          <w:sz w:val="24"/>
          <w:szCs w:val="24"/>
        </w:rPr>
      </w:pPr>
      <w:r>
        <w:rPr>
          <w:rFonts w:ascii="Arial" w:hAnsi="Arial" w:eastAsia="宋体" w:cs="Arial"/>
          <w:color w:val="000000"/>
          <w:kern w:val="0"/>
          <w:sz w:val="24"/>
          <w:szCs w:val="24"/>
        </w:rPr>
        <w:t>评估用户是否遵守辅助试剂标签说明书的计划。</w:t>
      </w:r>
    </w:p>
    <w:p w14:paraId="7483B060">
      <w:pPr>
        <w:widowControl/>
        <w:numPr>
          <w:ilvl w:val="1"/>
          <w:numId w:val="9"/>
        </w:numPr>
        <w:tabs>
          <w:tab w:val="clear" w:pos="1440"/>
        </w:tabs>
        <w:snapToGrid w:val="0"/>
        <w:spacing w:line="300" w:lineRule="auto"/>
        <w:ind w:left="684" w:leftChars="80" w:hanging="516" w:hangingChars="215"/>
        <w:rPr>
          <w:rFonts w:ascii="Arial" w:hAnsi="Arial" w:eastAsia="宋体" w:cs="Arial"/>
          <w:color w:val="000000"/>
          <w:kern w:val="0"/>
          <w:sz w:val="24"/>
          <w:szCs w:val="24"/>
        </w:rPr>
      </w:pPr>
      <w:r>
        <w:rPr>
          <w:rFonts w:ascii="Arial" w:hAnsi="Arial" w:eastAsia="宋体" w:cs="Arial"/>
          <w:color w:val="000000"/>
          <w:kern w:val="0"/>
          <w:sz w:val="24"/>
          <w:szCs w:val="24"/>
        </w:rPr>
        <w:t>辅助试剂的材料标准。</w:t>
      </w:r>
    </w:p>
    <w:p w14:paraId="566904D4">
      <w:pPr>
        <w:widowControl/>
        <w:numPr>
          <w:ilvl w:val="1"/>
          <w:numId w:val="9"/>
        </w:numPr>
        <w:tabs>
          <w:tab w:val="clear" w:pos="1440"/>
        </w:tabs>
        <w:snapToGrid w:val="0"/>
        <w:spacing w:line="300" w:lineRule="auto"/>
        <w:ind w:left="684" w:leftChars="80" w:hanging="516" w:hangingChars="215"/>
        <w:rPr>
          <w:rFonts w:ascii="Arial" w:hAnsi="Arial" w:eastAsia="宋体" w:cs="Arial"/>
          <w:color w:val="000000"/>
          <w:kern w:val="0"/>
          <w:sz w:val="24"/>
          <w:szCs w:val="24"/>
        </w:rPr>
      </w:pPr>
      <w:r>
        <w:rPr>
          <w:rFonts w:ascii="Arial" w:hAnsi="Arial" w:eastAsia="宋体" w:cs="Arial"/>
          <w:color w:val="000000"/>
          <w:kern w:val="0"/>
          <w:sz w:val="24"/>
          <w:szCs w:val="24"/>
        </w:rPr>
        <w:t>对试剂进行多批次鉴定，以使器械具有适宜的性能。</w:t>
      </w:r>
    </w:p>
    <w:p w14:paraId="4896DF0D">
      <w:pPr>
        <w:widowControl/>
        <w:numPr>
          <w:ilvl w:val="1"/>
          <w:numId w:val="9"/>
        </w:numPr>
        <w:tabs>
          <w:tab w:val="clear" w:pos="1440"/>
        </w:tabs>
        <w:snapToGrid w:val="0"/>
        <w:spacing w:line="300" w:lineRule="auto"/>
        <w:ind w:left="684" w:leftChars="80" w:hanging="516" w:hangingChars="215"/>
        <w:rPr>
          <w:rFonts w:ascii="Arial" w:hAnsi="Arial" w:eastAsia="宋体" w:cs="Arial"/>
          <w:color w:val="000000"/>
          <w:kern w:val="0"/>
          <w:sz w:val="24"/>
          <w:szCs w:val="24"/>
        </w:rPr>
      </w:pPr>
      <w:r>
        <w:rPr>
          <w:rFonts w:ascii="Arial" w:hAnsi="Arial" w:eastAsia="宋体" w:cs="Arial"/>
          <w:color w:val="000000"/>
          <w:kern w:val="0"/>
          <w:sz w:val="24"/>
          <w:szCs w:val="24"/>
        </w:rPr>
        <w:t>稳定性试验。</w:t>
      </w:r>
    </w:p>
    <w:p w14:paraId="01056640">
      <w:pPr>
        <w:widowControl/>
        <w:numPr>
          <w:ilvl w:val="1"/>
          <w:numId w:val="9"/>
        </w:numPr>
        <w:tabs>
          <w:tab w:val="clear" w:pos="1440"/>
        </w:tabs>
        <w:snapToGrid w:val="0"/>
        <w:spacing w:line="300" w:lineRule="auto"/>
        <w:ind w:left="684" w:leftChars="80" w:hanging="516" w:hangingChars="215"/>
        <w:rPr>
          <w:rFonts w:ascii="Arial" w:hAnsi="Arial" w:eastAsia="宋体" w:cs="Arial"/>
          <w:color w:val="000000"/>
          <w:kern w:val="0"/>
          <w:sz w:val="24"/>
          <w:szCs w:val="24"/>
        </w:rPr>
      </w:pPr>
      <w:r>
        <w:rPr>
          <w:rFonts w:ascii="Arial" w:hAnsi="Arial" w:eastAsia="宋体" w:cs="Arial"/>
          <w:color w:val="000000"/>
          <w:kern w:val="0"/>
          <w:sz w:val="24"/>
          <w:szCs w:val="24"/>
        </w:rPr>
        <w:t>投诉处理。</w:t>
      </w:r>
    </w:p>
    <w:p w14:paraId="341BBD37">
      <w:pPr>
        <w:widowControl/>
        <w:numPr>
          <w:ilvl w:val="1"/>
          <w:numId w:val="9"/>
        </w:numPr>
        <w:tabs>
          <w:tab w:val="clear" w:pos="1440"/>
        </w:tabs>
        <w:snapToGrid w:val="0"/>
        <w:spacing w:line="300" w:lineRule="auto"/>
        <w:ind w:left="684" w:leftChars="80" w:hanging="516" w:hangingChars="215"/>
        <w:rPr>
          <w:rFonts w:ascii="Arial" w:hAnsi="Arial" w:eastAsia="宋体" w:cs="Arial"/>
          <w:color w:val="000000"/>
          <w:kern w:val="0"/>
          <w:sz w:val="24"/>
          <w:szCs w:val="24"/>
        </w:rPr>
      </w:pPr>
      <w:r>
        <w:rPr>
          <w:rFonts w:ascii="Arial" w:hAnsi="Arial" w:eastAsia="宋体" w:cs="Arial"/>
          <w:color w:val="000000"/>
          <w:kern w:val="0"/>
          <w:sz w:val="24"/>
          <w:szCs w:val="24"/>
        </w:rPr>
        <w:t>纠正和预防措施。</w:t>
      </w:r>
    </w:p>
    <w:p w14:paraId="095129A6">
      <w:pPr>
        <w:widowControl/>
        <w:numPr>
          <w:ilvl w:val="1"/>
          <w:numId w:val="9"/>
        </w:numPr>
        <w:tabs>
          <w:tab w:val="clear" w:pos="1440"/>
        </w:tabs>
        <w:snapToGrid w:val="0"/>
        <w:spacing w:line="300" w:lineRule="auto"/>
        <w:ind w:left="684" w:leftChars="80" w:hanging="516" w:hangingChars="215"/>
        <w:rPr>
          <w:rFonts w:ascii="Arial" w:hAnsi="Arial" w:eastAsia="宋体" w:cs="Arial"/>
          <w:color w:val="000000"/>
          <w:kern w:val="0"/>
          <w:sz w:val="24"/>
          <w:szCs w:val="24"/>
        </w:rPr>
      </w:pPr>
      <w:r>
        <w:rPr>
          <w:rFonts w:ascii="Arial" w:hAnsi="Arial" w:eastAsia="宋体" w:cs="Arial"/>
          <w:color w:val="000000"/>
          <w:kern w:val="0"/>
          <w:sz w:val="24"/>
          <w:szCs w:val="24"/>
        </w:rPr>
        <w:t>在发生涉及辅助试剂的问题且该问题会影响器械的性能时，对用户的提醒计划。</w:t>
      </w:r>
    </w:p>
    <w:p w14:paraId="1E5A8A40">
      <w:pPr>
        <w:widowControl/>
        <w:numPr>
          <w:ilvl w:val="0"/>
          <w:numId w:val="9"/>
        </w:numPr>
        <w:snapToGrid w:val="0"/>
        <w:spacing w:line="300" w:lineRule="auto"/>
        <w:ind w:left="0" w:firstLine="0"/>
        <w:rPr>
          <w:rFonts w:ascii="Arial" w:hAnsi="Arial" w:eastAsia="宋体" w:cs="Arial"/>
          <w:color w:val="000000"/>
          <w:kern w:val="0"/>
          <w:sz w:val="24"/>
          <w:szCs w:val="24"/>
        </w:rPr>
      </w:pPr>
      <w:r>
        <w:rPr>
          <w:rFonts w:ascii="Arial" w:hAnsi="Arial" w:eastAsia="宋体" w:cs="Arial"/>
          <w:color w:val="000000"/>
          <w:kern w:val="0"/>
          <w:sz w:val="24"/>
          <w:szCs w:val="24"/>
        </w:rPr>
        <w:t>任何其他必须解决的问题，以确保根据器械的使用说明，安全有效地使用该检测产品和所指定的辅助试剂。</w:t>
      </w:r>
    </w:p>
    <w:p w14:paraId="7C4F2987">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此外，贵公司应提供试验数据，以确认所提供或推荐的控制和辅助试剂足以满足检测性能或稳定性。</w:t>
      </w:r>
    </w:p>
    <w:p w14:paraId="33E44CEB">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如果贵公司对辅助试剂的认定、使用或控制有疑问，请联系食品药品监督管理局寻求建议。</w:t>
      </w:r>
    </w:p>
    <w:p w14:paraId="04F0D35A">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5.D使用该器械的检测程序</w:t>
      </w:r>
    </w:p>
    <w:p w14:paraId="72E1EAD5">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在510（k）中，贵公司应该详细说明该器械的操作原理，并对检测条件、操作程序和控制进行具体描述，以防止可能导致假阳性和假阴性结果的情况。这些包括但不限于：</w:t>
      </w:r>
    </w:p>
    <w:p w14:paraId="3D77C0B0">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对于任何外部控制和内部控制（例如，监测污染的样品阴性控制品或监测提取效率和扩增抑制的内部控制）的描述或建议。</w:t>
      </w:r>
    </w:p>
    <w:p w14:paraId="6380A59D">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检测程序的整体设计，包括纳入推荐的检测程序的控制元素。</w:t>
      </w:r>
    </w:p>
    <w:p w14:paraId="13EB1F29">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产品特点和附加控制，用于监测对扩增和检测产生不利影响的程序错误或因素（例如，主要混合物的降解）</w:t>
      </w:r>
    </w:p>
    <w:p w14:paraId="0688D32C">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我们建议贵公司在使用说明书中包括所有的附加程序、方法和操作说明（见第7部分 - 标签），以降低与hMPV RNA检测相关的风险。</w:t>
      </w:r>
    </w:p>
    <w:p w14:paraId="26129B3B">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32BF9252">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4"/>
          <w:szCs w:val="24"/>
        </w:rPr>
        <w:t>5.E</w:t>
      </w:r>
      <w:r>
        <w:rPr>
          <w:rFonts w:ascii="Arial" w:hAnsi="Arial" w:eastAsia="宋体" w:cs="Arial"/>
          <w:b/>
          <w:bCs/>
          <w:color w:val="000000"/>
          <w:kern w:val="0"/>
          <w:sz w:val="28"/>
          <w:szCs w:val="28"/>
        </w:rPr>
        <w:t>检测结果的解释/报告</w:t>
      </w:r>
    </w:p>
    <w:p w14:paraId="6720EFDB">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在510（k）中，贵公司应描述如何对</w:t>
      </w:r>
      <w:r>
        <w:rPr>
          <w:rFonts w:ascii="Arial" w:hAnsi="Arial" w:eastAsia="宋体" w:cs="Arial"/>
          <w:sz w:val="24"/>
          <w:szCs w:val="24"/>
        </w:rPr>
        <w:t>阳性、阴性、不明确</w:t>
      </w:r>
      <w:r>
        <w:rPr>
          <w:rFonts w:ascii="Arial" w:hAnsi="Arial" w:eastAsia="宋体" w:cs="Arial"/>
          <w:color w:val="000000"/>
          <w:kern w:val="0"/>
          <w:sz w:val="24"/>
          <w:szCs w:val="24"/>
        </w:rPr>
        <w:t>（如适用）</w:t>
      </w:r>
      <w:r>
        <w:rPr>
          <w:rFonts w:ascii="Arial" w:hAnsi="Arial" w:eastAsia="宋体" w:cs="Arial"/>
          <w:sz w:val="24"/>
          <w:szCs w:val="24"/>
        </w:rPr>
        <w:t>或无效结果进行</w:t>
      </w:r>
      <w:r>
        <w:rPr>
          <w:rFonts w:ascii="Arial" w:hAnsi="Arial" w:eastAsia="宋体" w:cs="Arial"/>
          <w:color w:val="000000"/>
          <w:kern w:val="0"/>
          <w:sz w:val="24"/>
          <w:szCs w:val="24"/>
        </w:rPr>
        <w:t>确定，以及如何解释。在510（k）的提交资料中，应说明该检测所有结果的临界值。</w:t>
      </w:r>
    </w:p>
    <w:p w14:paraId="6B3C9FB3">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具体来说，贵公司应该提供用于定义该检测的阴性结果的临界值。如果该检测仅有两个检出结果（阴性/阳性），则该临界值也用于定义阳性结果。</w:t>
      </w:r>
    </w:p>
    <w:p w14:paraId="38886348">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如果该检测存在不确定区域，建议提供不确定区域的临界值（限值）。</w:t>
      </w:r>
    </w:p>
    <w:p w14:paraId="6036A7D3">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如果对初始的不明确结果的解释需要重新检测，建议提供（1）是否应重复对同一核酸制备物、新的提取物或新的患者样本进行复测，以及（2）结合初始的不明确结果和复测后的结果来确定最终结果的算法（注意，此算法的开发应在评估该检测产品临床性能的关键临床研究之前进行）。</w:t>
      </w:r>
    </w:p>
    <w:p w14:paraId="2FC48179">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如果报告的测定结果之一可能是一个不明确结果，贵公司应为用户提供对于这个结果的后续操作的解释和建议。</w:t>
      </w:r>
    </w:p>
    <w:p w14:paraId="07DC219C">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如果测定结果无效，贵公司应描述如何定义无效结果。如果内部控制是确定无效结果的一部分，贵公司应提供对每种可能的控制结果的组合的解释，以定义无效结果。应提供对无效结果的后续操作的建议，即，建议将结果报告为无效还是重新检测。如果推荐重新检测，</w:t>
      </w:r>
      <w:r>
        <w:rPr>
          <w:rFonts w:ascii="Arial" w:hAnsi="Arial" w:eastAsia="宋体" w:cs="Arial"/>
          <w:sz w:val="24"/>
          <w:szCs w:val="24"/>
        </w:rPr>
        <w:t>应提供与不明确结果复测类似的信息（即，是否应重复对同一核酸制备物、新的提取物或新的患者样本进行复测）。</w:t>
      </w:r>
    </w:p>
    <w:p w14:paraId="72F26B46">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此外，应描述如何监控时间推移后的结果，以确定由于病毒遗传谱系中的生物学变化而导致的性能变化，或者，在当时(评估产品时)的患病率发生变化时，产品的性能变化。</w:t>
      </w:r>
    </w:p>
    <w:p w14:paraId="41012C40">
      <w:pPr>
        <w:widowControl/>
        <w:snapToGrid w:val="0"/>
        <w:spacing w:line="300" w:lineRule="auto"/>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6. 性能特征</w:t>
      </w:r>
    </w:p>
    <w:p w14:paraId="641B68BE">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6.A一般研究建议</w:t>
      </w:r>
    </w:p>
    <w:p w14:paraId="6A2EE0C7">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在510（k）中，贵公司应详细介绍用于评估下述每个性能特征的研究设计。我们建议进行预期临床研究，以确定该器械的性能。通常，对于临床研究和分析方法的精密度研究，建议在3个中心进行检测，以代表该器械的预期销售市场（例如，临床实验室中心）。</w:t>
      </w:r>
    </w:p>
    <w:p w14:paraId="108AA709">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应对每种推荐的样品类型评估该检测产品的性能。</w:t>
      </w:r>
    </w:p>
    <w:p w14:paraId="7E2CB4D0">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为了在食品药品监督管理局审查期间，准确地解释可接受标准和汇总数据，建议提供关于方案的具体信息，此信息对于帮助用户理解标签中的内容也很重要。例如，当提及CLSI（临床和实验室标准协会）方案或指南时，建议说明遵循了协议或指南的哪些具体方面。</w:t>
      </w:r>
    </w:p>
    <w:p w14:paraId="7FF096A8">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关于计划进行的研究和预期支持的临床请求，我们建议贵公司联系体外诊断器械评估和安全办公室（OIVD）以获得反馈结果，申办者可联系OIVD获取有关研究计划的反馈。</w:t>
      </w:r>
    </w:p>
    <w:p w14:paraId="0713288F">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6.B对照</w:t>
      </w:r>
    </w:p>
    <w:p w14:paraId="7C17D5A1">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在进行下述性能研究时，我们建议贵公司在分析方法学和临床研究期间，每天检测时运行适当的外部对照，可以联系食品药品监督管理局 OIVD的微生物器械部以获得关于对照的更多信息。对于基于核酸技术的器械，我们通常建议纳入以下类型的对照：</w:t>
      </w:r>
    </w:p>
    <w:p w14:paraId="525DBDF6">
      <w:pPr>
        <w:widowControl/>
        <w:snapToGrid w:val="0"/>
        <w:spacing w:line="300" w:lineRule="auto"/>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6.B.i阴性对照</w:t>
      </w:r>
    </w:p>
    <w:p w14:paraId="6C92FFB7">
      <w:pPr>
        <w:widowControl/>
        <w:snapToGrid w:val="0"/>
        <w:spacing w:line="300" w:lineRule="auto"/>
        <w:outlineLvl w:val="5"/>
        <w:rPr>
          <w:rFonts w:ascii="Arial" w:hAnsi="Arial" w:eastAsia="宋体" w:cs="Arial"/>
          <w:b/>
          <w:bCs/>
          <w:i/>
          <w:color w:val="000000"/>
          <w:kern w:val="0"/>
          <w:sz w:val="24"/>
          <w:szCs w:val="24"/>
        </w:rPr>
      </w:pPr>
      <w:r>
        <w:rPr>
          <w:rFonts w:ascii="Arial" w:hAnsi="Arial" w:eastAsia="宋体" w:cs="Arial"/>
          <w:b/>
          <w:bCs/>
          <w:i/>
          <w:color w:val="000000"/>
          <w:kern w:val="0"/>
          <w:sz w:val="24"/>
          <w:szCs w:val="24"/>
        </w:rPr>
        <w:t>空白或无模板对照</w:t>
      </w:r>
    </w:p>
    <w:p w14:paraId="19846F8B">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空白或无模板对照包括：缓冲液或样品转运培养基和除核酸以外的所有测定组分。该对照用于排除靶核酸的污染或扩增反应中增强的背景，在一次性试剂盒或试管中进行的单次测定可能不需要使用。</w:t>
      </w:r>
    </w:p>
    <w:p w14:paraId="3ACE59CA">
      <w:pPr>
        <w:widowControl/>
        <w:snapToGrid w:val="0"/>
        <w:spacing w:line="300" w:lineRule="auto"/>
        <w:outlineLvl w:val="5"/>
        <w:rPr>
          <w:rFonts w:ascii="Arial" w:hAnsi="Arial" w:eastAsia="宋体" w:cs="Arial"/>
          <w:b/>
          <w:bCs/>
          <w:i/>
          <w:color w:val="000000"/>
          <w:kern w:val="0"/>
          <w:sz w:val="28"/>
          <w:szCs w:val="28"/>
        </w:rPr>
      </w:pPr>
      <w:r>
        <w:rPr>
          <w:rFonts w:ascii="Arial" w:hAnsi="Arial" w:eastAsia="宋体" w:cs="Arial"/>
          <w:b/>
          <w:bCs/>
          <w:i/>
          <w:color w:val="000000"/>
          <w:kern w:val="0"/>
          <w:sz w:val="28"/>
          <w:szCs w:val="28"/>
        </w:rPr>
        <w:t>阴性样品对照</w:t>
      </w:r>
    </w:p>
    <w:p w14:paraId="5EFF5691">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阴性样品对照包含非靶标核酸，或者，如果用于评价提取程序，则包含全部微生物（除了hMPV）。其显示了非特异性的引发或检测，并说明在不存在靶序列的情况下不会获得信号。可接受的阴性样品对照包括(举例)：</w:t>
      </w:r>
    </w:p>
    <w:p w14:paraId="2BBF9741">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来自非hMPV感染个体的患者样本</w:t>
      </w:r>
    </w:p>
    <w:p w14:paraId="628ADFFD">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含有非靶标生物体的样品（例如，感染了非hMPV病毒的细胞系）</w:t>
      </w:r>
    </w:p>
    <w:p w14:paraId="4EE8BE61">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替代的阴性对照，例如，外来的包膜RNA</w:t>
      </w:r>
      <w:r>
        <w:fldChar w:fldCharType="begin"/>
      </w:r>
      <w:r>
        <w:instrText xml:space="preserve"> HYPERLINK "http://www.fda.gov/MedicalDevices/DeviceRegulationandGuidance/GuidanceDocuments/ucm180308.htm" \l "ft8" </w:instrText>
      </w:r>
      <w:r>
        <w:fldChar w:fldCharType="separate"/>
      </w:r>
      <w:r>
        <w:rPr>
          <w:rFonts w:ascii="Arial" w:hAnsi="Arial" w:eastAsia="宋体" w:cs="Arial"/>
          <w:color w:val="800080"/>
          <w:kern w:val="0"/>
          <w:sz w:val="24"/>
          <w:szCs w:val="24"/>
          <w:u w:val="single"/>
          <w:vertAlign w:val="superscript"/>
        </w:rPr>
        <w:t>8</w:t>
      </w:r>
      <w:r>
        <w:rPr>
          <w:rFonts w:ascii="Arial" w:hAnsi="Arial" w:eastAsia="宋体" w:cs="Arial"/>
          <w:color w:val="800080"/>
          <w:kern w:val="0"/>
          <w:sz w:val="24"/>
          <w:szCs w:val="24"/>
          <w:u w:val="single"/>
          <w:vertAlign w:val="superscript"/>
        </w:rPr>
        <w:fldChar w:fldCharType="end"/>
      </w:r>
    </w:p>
    <w:p w14:paraId="7FA25DEC">
      <w:pPr>
        <w:widowControl/>
        <w:snapToGrid w:val="0"/>
        <w:spacing w:line="300" w:lineRule="auto"/>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6.B.ii阳性对照</w:t>
      </w:r>
    </w:p>
    <w:p w14:paraId="4B25B706">
      <w:pPr>
        <w:widowControl/>
        <w:snapToGrid w:val="0"/>
        <w:spacing w:line="300" w:lineRule="auto"/>
        <w:outlineLvl w:val="5"/>
        <w:rPr>
          <w:rFonts w:ascii="Arial" w:hAnsi="Arial" w:eastAsia="宋体" w:cs="Arial"/>
          <w:b/>
          <w:bCs/>
          <w:i/>
          <w:color w:val="000000"/>
          <w:kern w:val="0"/>
          <w:sz w:val="28"/>
          <w:szCs w:val="28"/>
        </w:rPr>
      </w:pPr>
      <w:r>
        <w:rPr>
          <w:rFonts w:ascii="Arial" w:hAnsi="Arial" w:eastAsia="宋体" w:cs="Arial"/>
          <w:b/>
          <w:bCs/>
          <w:i/>
          <w:color w:val="000000"/>
          <w:kern w:val="0"/>
          <w:sz w:val="28"/>
          <w:szCs w:val="28"/>
        </w:rPr>
        <w:t>用于完全测定的阳性对照</w:t>
      </w:r>
    </w:p>
    <w:p w14:paraId="31A31CBE">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阳性对照包含靶核酸，用于对照整个测定过程，包括RNA提取，扩增和检测。它模仿患者标本而设计，按照由实验室质量体系（QS）确定的频率，与患者标本分别同时进行检测。可接受的阳性测定对照品的实例包括：</w:t>
      </w:r>
    </w:p>
    <w:p w14:paraId="12CF44D6">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来自hMPV感染个体的患者标本</w:t>
      </w:r>
    </w:p>
    <w:p w14:paraId="00272785">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hMPV毒株感染的细胞培养物</w:t>
      </w:r>
    </w:p>
    <w:p w14:paraId="3D4504CA">
      <w:pPr>
        <w:widowControl/>
        <w:numPr>
          <w:ilvl w:val="0"/>
          <w:numId w:val="8"/>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包装的hMPV靶RNA</w:t>
      </w:r>
    </w:p>
    <w:p w14:paraId="78B13B40">
      <w:pPr>
        <w:widowControl/>
        <w:snapToGrid w:val="0"/>
        <w:spacing w:line="300" w:lineRule="auto"/>
        <w:outlineLvl w:val="5"/>
        <w:rPr>
          <w:rFonts w:ascii="Arial" w:hAnsi="Arial" w:eastAsia="宋体" w:cs="Arial"/>
          <w:b/>
          <w:bCs/>
          <w:i/>
          <w:color w:val="000000"/>
          <w:kern w:val="0"/>
          <w:sz w:val="28"/>
          <w:szCs w:val="28"/>
        </w:rPr>
      </w:pPr>
      <w:r>
        <w:rPr>
          <w:rFonts w:ascii="Arial" w:hAnsi="Arial" w:eastAsia="宋体" w:cs="Arial"/>
          <w:b/>
          <w:bCs/>
          <w:i/>
          <w:color w:val="000000"/>
          <w:kern w:val="0"/>
          <w:sz w:val="28"/>
          <w:szCs w:val="28"/>
        </w:rPr>
        <w:t>用于扩增/检测的阳性对照</w:t>
      </w:r>
    </w:p>
    <w:p w14:paraId="48080C31">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24103D82">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用于扩增/检测的阳性对照包含纯化的靶核酸，浓度等于或接近定性测定的检测限。在获得阴性结果时，可对照样品和反应组分的完整性，其表明，样品中如果存在靶核酸，即可被测得。</w:t>
      </w:r>
    </w:p>
    <w:p w14:paraId="1D0BC484">
      <w:pPr>
        <w:widowControl/>
        <w:snapToGrid w:val="0"/>
        <w:spacing w:line="300" w:lineRule="auto"/>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6.B.iii内部对照</w:t>
      </w:r>
    </w:p>
    <w:p w14:paraId="479C1351">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内部对照</w:t>
      </w:r>
      <w:r>
        <w:rPr>
          <w:rFonts w:ascii="Arial" w:hAnsi="Arial" w:eastAsia="宋体" w:cs="Arial"/>
          <w:sz w:val="24"/>
          <w:szCs w:val="24"/>
        </w:rPr>
        <w:t>是与靶核酸共提取和共扩增的非靶核酸序列。它对照试剂（如：聚合酶，引物等）的完整性，设备功能（如：热循环仪）和样品中扩增抑制剂的存在。可接受的内部对照包括(举例)：与</w:t>
      </w:r>
      <w:r>
        <w:rPr>
          <w:rFonts w:ascii="Arial" w:hAnsi="Arial" w:eastAsia="宋体" w:cs="Arial"/>
          <w:color w:val="000000"/>
          <w:kern w:val="0"/>
          <w:sz w:val="24"/>
          <w:szCs w:val="24"/>
        </w:rPr>
        <w:t>hMPV RNA</w:t>
      </w:r>
      <w:r>
        <w:rPr>
          <w:rFonts w:ascii="Arial" w:hAnsi="Arial" w:eastAsia="宋体" w:cs="Arial"/>
          <w:sz w:val="24"/>
          <w:szCs w:val="24"/>
        </w:rPr>
        <w:t>共提取的人类核酸和扩增的人类持家基因（如：RNaseP，</w:t>
      </w:r>
      <w:r>
        <w:rPr>
          <w:rFonts w:ascii="Arial" w:hAnsi="Arial" w:eastAsia="宋体" w:cs="Arial"/>
          <w:color w:val="000000"/>
          <w:kern w:val="0"/>
          <w:sz w:val="24"/>
          <w:szCs w:val="24"/>
        </w:rPr>
        <w:t>β-</w:t>
      </w:r>
      <w:r>
        <w:rPr>
          <w:rFonts w:ascii="Arial" w:hAnsi="Arial" w:eastAsia="宋体" w:cs="Arial"/>
          <w:sz w:val="24"/>
          <w:szCs w:val="24"/>
        </w:rPr>
        <w:t>肌动蛋白）的引物。这种对照的必要性取决于对器械个例的具体分析</w:t>
      </w:r>
      <w:r>
        <w:fldChar w:fldCharType="begin"/>
      </w:r>
      <w:r>
        <w:instrText xml:space="preserve"> HYPERLINK "http://www.fda.gov/MedicalDevices/DeviceRegulationandGuidance/GuidanceDocuments/ucm180308.htm" \l "ft9" </w:instrText>
      </w:r>
      <w:r>
        <w:fldChar w:fldCharType="separate"/>
      </w:r>
      <w:r>
        <w:rPr>
          <w:rFonts w:ascii="Arial" w:hAnsi="Arial" w:eastAsia="宋体" w:cs="Arial"/>
          <w:color w:val="800080"/>
          <w:kern w:val="0"/>
          <w:sz w:val="24"/>
          <w:szCs w:val="24"/>
          <w:u w:val="single"/>
          <w:vertAlign w:val="superscript"/>
        </w:rPr>
        <w:t>9</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w:t>
      </w:r>
    </w:p>
    <w:p w14:paraId="4B602CD8">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6.C样本的收集和处理</w:t>
      </w:r>
    </w:p>
    <w:p w14:paraId="5364192E">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贵公司应明确该检测产品预期测定的样本类型，必须在疾病状态的临床进展期间从合适的解剖部位(该部位存在hMPV)或来源收集样本。用于hMPV核酸检测的适宜样本类型是呼吸道样本（例如，鼻咽拭子（NPS），鼻部抽吸物（NA），鼻部拭子和鼻洗液）。</w:t>
      </w:r>
    </w:p>
    <w:p w14:paraId="4D0EFDC6">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提取的靶标物的质量和数量，高度依赖于多个因素，例如样本源，收集方法和处理（例如，转运和储存的时间和温度）。在510（k）中提供的检测资料，贵公司应验证（1）系统为hMPV提供了充足而适当的核酸；以及（2）该器械在标签中推荐的所有不同条件下维持可接受的性能（例如，准确度、再现性）。例如，贵公司应该使用在推荐的时间和温度条件下储存和/或转运的样品的等分试样进行分析，来评估所推荐的储存时间和温度对样品稳定性和回收率的影响，应说明所有样本的稳定性参数的可接受标准。</w:t>
      </w:r>
    </w:p>
    <w:p w14:paraId="47EAFC9E">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用于病原体鉴定的样本的收集和处理，应采用所有适用的州和联邦生物安全性指南。有关处理样品的标准预防措施，请参阅相关的CLSI文件</w:t>
      </w:r>
      <w:r>
        <w:fldChar w:fldCharType="begin"/>
      </w:r>
      <w:r>
        <w:instrText xml:space="preserve"> HYPERLINK "http://www.fda.gov/MedicalDevices/DeviceRegulationandGuidance/GuidanceDocuments/ucm180308.htm" \l "ft10" </w:instrText>
      </w:r>
      <w:r>
        <w:fldChar w:fldCharType="separate"/>
      </w:r>
      <w:r>
        <w:rPr>
          <w:rFonts w:ascii="Arial" w:hAnsi="Arial" w:eastAsia="宋体" w:cs="Arial"/>
          <w:color w:val="800080"/>
          <w:kern w:val="0"/>
          <w:sz w:val="24"/>
          <w:szCs w:val="24"/>
          <w:u w:val="single"/>
          <w:vertAlign w:val="superscript"/>
        </w:rPr>
        <w:t>10</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的最新版本。</w:t>
      </w:r>
    </w:p>
    <w:p w14:paraId="0579D912">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与新鲜样本相比，冷冻样本的hMPV检测灵敏度可能不同。在开发检测产品时，应考虑的因素包括，充分评估此项是否为hMPV RNA和器械性能的关注点，还应评估反复冻融循环对hMPV核酸产量的影响及其对检测性能的影响。</w:t>
      </w:r>
    </w:p>
    <w:p w14:paraId="409FF356">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6.D核酸提取</w:t>
      </w:r>
    </w:p>
    <w:p w14:paraId="2102B0E9">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不同的提取方法会产生不同数量和质量的hMPV核酸，因此提取方法对于成功的结果是至关重要的。从呼吸道样本中提纯hMPV核酸具有挑战性，因为生物样品可能在人基因组DNA的背景中，含有较低的病毒滴度，以及高水平的蛋白质和其他污染物。</w:t>
      </w:r>
    </w:p>
    <w:p w14:paraId="05BC64E3">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由于这些原因，应评估所选择的提取方法对检测性能的影响，hMPV核酸的数量和质量可满足该检测产品的预期用途。此外，我们建议使用推荐的用于检测的整个分析过程（包括提取程序），来评估该检测产品的检测分析和临床性能特征，包括使用每种提取程序来证明该检测的检测限（LoD）和再现性。在“检测限”项下（见第6.F.i-分析灵敏度）提供了进行LoD研究的建议。此外，外部场所研究（包括再现性和临床研究）应包括标签中规定的提取程序。</w:t>
      </w:r>
    </w:p>
    <w:p w14:paraId="3DB338D9">
      <w:pPr>
        <w:widowControl/>
        <w:snapToGrid w:val="0"/>
        <w:spacing w:line="300" w:lineRule="auto"/>
        <w:rPr>
          <w:rFonts w:ascii="Arial" w:hAnsi="Arial" w:eastAsia="宋体" w:cs="Arial"/>
          <w:color w:val="000000"/>
          <w:kern w:val="0"/>
          <w:sz w:val="24"/>
          <w:szCs w:val="24"/>
        </w:rPr>
      </w:pPr>
      <w:r>
        <w:rPr>
          <w:rFonts w:ascii="Arial" w:hAnsi="Arial" w:eastAsia="宋体" w:cs="Arial"/>
          <w:sz w:val="24"/>
          <w:szCs w:val="24"/>
        </w:rPr>
        <w:t>贵公司应进行这些评估，无论是确实在检测试剂盒中提供了用于提取和制备核酸的试剂，还是对用户就适当的试剂进行简单的指导。</w:t>
      </w:r>
    </w:p>
    <w:p w14:paraId="353F8FD6">
      <w:pPr>
        <w:widowControl/>
        <w:snapToGrid w:val="0"/>
        <w:spacing w:line="300" w:lineRule="auto"/>
        <w:rPr>
          <w:rFonts w:ascii="Arial" w:hAnsi="Arial" w:eastAsia="宋体" w:cs="Arial"/>
          <w:sz w:val="24"/>
          <w:szCs w:val="24"/>
        </w:rPr>
      </w:pPr>
      <w:r>
        <w:rPr>
          <w:rFonts w:ascii="Arial" w:hAnsi="Arial" w:eastAsia="宋体" w:cs="Arial"/>
          <w:sz w:val="24"/>
          <w:szCs w:val="24"/>
        </w:rPr>
        <w:t>如果贵公司检测中推荐或包括了多种提取方法，应证明每种方法的LoD和再现性。假设提取方法对整体检测性能引入了最小方差，可以将提取方法的变量与每个中心的性能变量相结合，例如，如果推荐了三种不同的提取方法，可以设计一个再现性研究，在每个检测中心对三种提取方法之一进行评估：中心1检测时使用提取方法A，中心2为方法B，中心3为方法C。</w:t>
      </w:r>
      <w:r>
        <w:rPr>
          <w:rFonts w:ascii="Arial" w:hAnsi="Arial" w:eastAsia="宋体" w:cs="Arial"/>
          <w:color w:val="000000"/>
          <w:kern w:val="0"/>
          <w:sz w:val="24"/>
          <w:szCs w:val="24"/>
        </w:rPr>
        <w:t>如果以上检测产生的结果无显著差异，则不需要进一步的再现性研究。</w:t>
      </w:r>
      <w:r>
        <w:rPr>
          <w:rFonts w:ascii="Arial" w:hAnsi="Arial" w:eastAsia="宋体" w:cs="Arial"/>
          <w:sz w:val="24"/>
          <w:szCs w:val="24"/>
        </w:rPr>
        <w:t>但是，如果来自三个检测中心的结果具有统计学显著差异，则应该扩大再现性研究，包括在三个研究中心对每种提取方法进行检测（例如，中心1提取方法A，B和C，中心2提取方法A，B和C，以及中心3提取方法A，B和C）。</w:t>
      </w:r>
    </w:p>
    <w:p w14:paraId="5E64C72B">
      <w:pPr>
        <w:widowControl/>
        <w:snapToGrid w:val="0"/>
        <w:spacing w:line="300" w:lineRule="auto"/>
        <w:rPr>
          <w:rFonts w:ascii="Arial" w:hAnsi="Arial" w:eastAsia="宋体" w:cs="Arial"/>
          <w:color w:val="000000"/>
          <w:kern w:val="0"/>
          <w:sz w:val="24"/>
          <w:szCs w:val="24"/>
        </w:rPr>
      </w:pPr>
      <w:r>
        <w:rPr>
          <w:rFonts w:ascii="Arial" w:hAnsi="Arial" w:eastAsia="宋体" w:cs="Arial"/>
          <w:sz w:val="24"/>
          <w:szCs w:val="24"/>
        </w:rPr>
        <w:t>除了分析研究（LoD和再现性）之外，在临床试验期间，应在至少一个临床中心使用每种提取方法来得到临床性能的数据。如果扩大的再现性检测结果表明，提取方法之间的效能有显著差异，那么，来自每个临床检测中心（使用不同的核酸提取方法）的数据不被认为是等同的，并且不能合并，而应单独分析。因此，可能需要纳入额外的预期预期临床样品以支持所申请的提取方法。</w:t>
      </w:r>
    </w:p>
    <w:p w14:paraId="34224B12">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6.E检测临界值</w:t>
      </w:r>
    </w:p>
    <w:p w14:paraId="61B66A0C">
      <w:pPr>
        <w:widowControl/>
        <w:snapToGrid w:val="0"/>
        <w:spacing w:line="300" w:lineRule="auto"/>
        <w:rPr>
          <w:rFonts w:ascii="Arial" w:hAnsi="Arial" w:eastAsia="宋体" w:cs="Arial"/>
          <w:color w:val="000000"/>
          <w:kern w:val="0"/>
          <w:sz w:val="24"/>
          <w:szCs w:val="24"/>
        </w:rPr>
      </w:pPr>
      <w:r>
        <w:rPr>
          <w:rFonts w:ascii="Arial" w:hAnsi="Arial" w:eastAsia="宋体" w:cs="Arial"/>
          <w:kern w:val="0"/>
          <w:sz w:val="24"/>
          <w:szCs w:val="24"/>
        </w:rPr>
        <w:t>在提交的资料中，应解释如何确定该检测的临界值（见第5.E部分-对检测结</w:t>
      </w:r>
      <w:r>
        <w:rPr>
          <w:rFonts w:ascii="Arial" w:hAnsi="Arial" w:eastAsia="宋体" w:cs="Arial"/>
          <w:color w:val="000000"/>
          <w:kern w:val="0"/>
          <w:sz w:val="24"/>
          <w:szCs w:val="24"/>
        </w:rPr>
        <w:t>果的解释/报告）以及如何验证该临界值。需使用适当的统计学方法来确定临界值，例如，在预试验中对于不含任何hMPV RNA的临床样品，应提供结果分布、95%和99%的置信区间，非阴性(阳性或灰区)结果的百分比等。适宜临界值的选择，可以通过基于预试验中临床样品的受试者工作特征曲线（ROC）分析的相关灵敏度水平和特异性来确认（关于ROC分析的细节，参见CLSI文献GP10-A</w:t>
      </w:r>
      <w:r>
        <w:rPr>
          <w:rFonts w:ascii="Arial" w:hAnsi="Arial" w:eastAsia="宋体" w:cs="Arial"/>
          <w:i/>
          <w:color w:val="000000"/>
          <w:kern w:val="0"/>
          <w:sz w:val="24"/>
          <w:szCs w:val="24"/>
        </w:rPr>
        <w:t>使用受试者工作特征曲线（ROC）图的实验室检测的临床准确度评估；批准的指南，</w:t>
      </w:r>
      <w:r>
        <w:rPr>
          <w:rFonts w:ascii="Arial" w:hAnsi="Arial" w:eastAsia="宋体" w:cs="Arial"/>
          <w:color w:val="000000"/>
          <w:kern w:val="0"/>
          <w:sz w:val="24"/>
          <w:szCs w:val="24"/>
        </w:rPr>
        <w:t>研究和实验室标准研究所，Wayne，PA，1995）。如果该检测存在不明确区域，</w:t>
      </w:r>
      <w:r>
        <w:rPr>
          <w:rFonts w:ascii="Arial" w:hAnsi="Arial" w:eastAsia="宋体" w:cs="Arial"/>
          <w:sz w:val="24"/>
          <w:szCs w:val="24"/>
        </w:rPr>
        <w:t>应说明如何确定</w:t>
      </w:r>
      <w:r>
        <w:rPr>
          <w:rFonts w:ascii="Arial" w:hAnsi="Arial" w:eastAsia="宋体" w:cs="Arial"/>
          <w:color w:val="000000"/>
          <w:kern w:val="0"/>
          <w:sz w:val="24"/>
          <w:szCs w:val="24"/>
        </w:rPr>
        <w:t>不明确区域</w:t>
      </w:r>
      <w:r>
        <w:rPr>
          <w:rFonts w:ascii="Arial" w:hAnsi="Arial" w:eastAsia="宋体" w:cs="Arial"/>
          <w:sz w:val="24"/>
          <w:szCs w:val="24"/>
        </w:rPr>
        <w:t>的限值。</w:t>
      </w:r>
      <w:r>
        <w:rPr>
          <w:rFonts w:ascii="Arial" w:hAnsi="Arial" w:eastAsia="宋体" w:cs="Arial"/>
          <w:color w:val="000000"/>
          <w:kern w:val="0"/>
          <w:sz w:val="24"/>
          <w:szCs w:val="24"/>
        </w:rPr>
        <w:t>该申报器械使用的已确定的临界值（和不明确区域，如适用）的性能应该在符合该器械所规定的预期用途的独立人群中进行验证。</w:t>
      </w:r>
    </w:p>
    <w:p w14:paraId="3F50FB7E">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6.F性能研究</w:t>
      </w:r>
    </w:p>
    <w:p w14:paraId="3321D651">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539EDE8E">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我们建议贵公司在510（k）中确立hMPV RNA检测产品的以下性能特征：</w:t>
      </w:r>
    </w:p>
    <w:p w14:paraId="0CD83661">
      <w:pPr>
        <w:widowControl/>
        <w:snapToGrid w:val="0"/>
        <w:spacing w:line="300" w:lineRule="auto"/>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6.F.i分析灵敏度</w:t>
      </w:r>
    </w:p>
    <w:p w14:paraId="71738D4D">
      <w:pPr>
        <w:widowControl/>
        <w:snapToGrid w:val="0"/>
        <w:spacing w:line="300" w:lineRule="auto"/>
        <w:outlineLvl w:val="5"/>
        <w:rPr>
          <w:rFonts w:ascii="Arial" w:hAnsi="Arial" w:eastAsia="宋体" w:cs="Arial"/>
          <w:b/>
          <w:bCs/>
          <w:i/>
          <w:color w:val="000000"/>
          <w:kern w:val="0"/>
          <w:sz w:val="28"/>
          <w:szCs w:val="28"/>
        </w:rPr>
      </w:pPr>
      <w:r>
        <w:rPr>
          <w:rFonts w:ascii="Arial" w:hAnsi="Arial" w:eastAsia="宋体" w:cs="Arial"/>
          <w:b/>
          <w:bCs/>
          <w:i/>
          <w:color w:val="000000"/>
          <w:kern w:val="0"/>
          <w:sz w:val="28"/>
          <w:szCs w:val="28"/>
        </w:rPr>
        <w:t>检测限</w:t>
      </w:r>
    </w:p>
    <w:p w14:paraId="63EEA6CD">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建议贵公司通过对再生并恢复滴度的hMPV原液的有限稀释来确定检测限(LoD)，研究应包括每种hMPV遗传谱系（共四种，A1，A2，B1，B2）的系列稀释液，每个稀释度重复3-5份，使用hMPV阴性的人体呼吸道样品合并液或等效基质来制备梯度稀释液，将具有95%阳性检出率的病毒水平作为LoD。LoD的确认，可以通过在LoD浓度下，制备不少于20份的额外样本进行重复检测，证明病毒的阳性检出率为95%。推荐用于测定LoD的参考方法为半数组织培养感染量（TCID50），应确定该器械检测的每种样品类型的LoD。建议在进行研究设计时参考临床实验室标准协会（CLSI）文件EP17-A</w:t>
      </w:r>
      <w:r>
        <w:fldChar w:fldCharType="begin"/>
      </w:r>
      <w:r>
        <w:instrText xml:space="preserve"> HYPERLINK "http://www.fda.gov/MedicalDevices/DeviceRegulationandGuidance/GuidanceDocuments/ucm180308.htm" \l "ft11" </w:instrText>
      </w:r>
      <w:r>
        <w:fldChar w:fldCharType="separate"/>
      </w:r>
      <w:r>
        <w:rPr>
          <w:rFonts w:ascii="Arial" w:hAnsi="Arial" w:eastAsia="宋体" w:cs="Arial"/>
          <w:kern w:val="0"/>
          <w:sz w:val="24"/>
          <w:szCs w:val="24"/>
          <w:u w:val="single"/>
          <w:vertAlign w:val="superscript"/>
        </w:rPr>
        <w:t>11</w:t>
      </w:r>
      <w:r>
        <w:rPr>
          <w:rFonts w:ascii="Arial" w:hAnsi="Arial" w:eastAsia="宋体" w:cs="Arial"/>
          <w:kern w:val="0"/>
          <w:sz w:val="24"/>
          <w:szCs w:val="24"/>
          <w:u w:val="single"/>
          <w:vertAlign w:val="superscript"/>
        </w:rPr>
        <w:fldChar w:fldCharType="end"/>
      </w:r>
      <w:r>
        <w:rPr>
          <w:rFonts w:ascii="Arial" w:hAnsi="Arial" w:eastAsia="宋体" w:cs="Arial"/>
          <w:color w:val="000000"/>
          <w:kern w:val="0"/>
          <w:sz w:val="24"/>
          <w:szCs w:val="24"/>
        </w:rPr>
        <w:t>。</w:t>
      </w:r>
    </w:p>
    <w:p w14:paraId="55D8A4B3">
      <w:pPr>
        <w:widowControl/>
        <w:snapToGrid w:val="0"/>
        <w:spacing w:line="300" w:lineRule="auto"/>
        <w:outlineLvl w:val="5"/>
        <w:rPr>
          <w:rFonts w:ascii="Arial" w:hAnsi="Arial" w:eastAsia="宋体" w:cs="Arial"/>
          <w:b/>
          <w:bCs/>
          <w:color w:val="000000"/>
          <w:kern w:val="0"/>
          <w:sz w:val="24"/>
          <w:szCs w:val="24"/>
        </w:rPr>
      </w:pPr>
      <w:r>
        <w:rPr>
          <w:rFonts w:ascii="Arial" w:hAnsi="Arial" w:eastAsia="宋体" w:cs="Arial"/>
          <w:b/>
          <w:bCs/>
          <w:color w:val="000000"/>
          <w:kern w:val="0"/>
          <w:sz w:val="24"/>
          <w:szCs w:val="24"/>
        </w:rPr>
        <w:t>分析反应性（包容性）</w:t>
      </w:r>
    </w:p>
    <w:p w14:paraId="71FB05FF">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贵公司应证明该检测产品可在LoD或接近LoD的病毒浓度，可对至少一种额外的hMPV毒株进行检测，该毒株代表了hMPV四种遗传谱系的每一种。使用hMPV阴性的人体呼吸道样品合并液或等效基质来制备稀释液，应确认所有病毒的型别和滴度。</w:t>
      </w:r>
    </w:p>
    <w:p w14:paraId="7D7BA475">
      <w:pPr>
        <w:widowControl/>
        <w:snapToGrid w:val="0"/>
        <w:spacing w:line="300" w:lineRule="auto"/>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6.F.ii分析特异性</w:t>
      </w:r>
    </w:p>
    <w:p w14:paraId="3BFD7803">
      <w:pPr>
        <w:widowControl/>
        <w:snapToGrid w:val="0"/>
        <w:spacing w:line="300" w:lineRule="auto"/>
        <w:outlineLvl w:val="5"/>
        <w:rPr>
          <w:rFonts w:ascii="Arial" w:hAnsi="Arial" w:eastAsia="宋体" w:cs="Arial"/>
          <w:b/>
          <w:bCs/>
          <w:i/>
          <w:color w:val="000000"/>
          <w:kern w:val="0"/>
          <w:sz w:val="28"/>
          <w:szCs w:val="28"/>
        </w:rPr>
      </w:pPr>
      <w:r>
        <w:rPr>
          <w:rFonts w:ascii="Arial" w:hAnsi="Arial" w:eastAsia="宋体" w:cs="Arial"/>
          <w:b/>
          <w:bCs/>
          <w:i/>
          <w:color w:val="000000"/>
          <w:kern w:val="0"/>
          <w:sz w:val="28"/>
          <w:szCs w:val="28"/>
        </w:rPr>
        <w:t>交叉反应性</w:t>
      </w:r>
    </w:p>
    <w:p w14:paraId="0BA13C4B">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我们建议贵公司对该检测产品与非hMPV的呼吸道病原体和大多数人群可能感染的其他微生物，如：EBV和CMV的潜在交叉反应性进行测定，可在病毒和细菌感染的医学相关水平进行检测(细菌通常为10</w:t>
      </w:r>
      <w:r>
        <w:rPr>
          <w:rFonts w:ascii="Arial" w:hAnsi="Arial" w:eastAsia="宋体" w:cs="Arial"/>
          <w:color w:val="000000"/>
          <w:kern w:val="0"/>
          <w:sz w:val="24"/>
          <w:szCs w:val="24"/>
          <w:vertAlign w:val="superscript"/>
        </w:rPr>
        <w:t>6</w:t>
      </w:r>
      <w:r>
        <w:rPr>
          <w:rFonts w:ascii="Arial" w:hAnsi="Arial" w:eastAsia="宋体" w:cs="Arial"/>
          <w:color w:val="000000"/>
          <w:kern w:val="0"/>
          <w:sz w:val="24"/>
          <w:szCs w:val="24"/>
        </w:rPr>
        <w:t xml:space="preserve"> cfu/ml或更高，病毒通常为10</w:t>
      </w:r>
      <w:r>
        <w:rPr>
          <w:rFonts w:ascii="Arial" w:hAnsi="Arial" w:eastAsia="宋体" w:cs="Arial"/>
          <w:color w:val="000000"/>
          <w:kern w:val="0"/>
          <w:sz w:val="24"/>
          <w:szCs w:val="24"/>
          <w:vertAlign w:val="superscript"/>
        </w:rPr>
        <w:t>5</w:t>
      </w:r>
      <w:r>
        <w:rPr>
          <w:rFonts w:ascii="Arial" w:hAnsi="Arial" w:eastAsia="宋体" w:cs="Arial"/>
          <w:color w:val="000000"/>
          <w:kern w:val="0"/>
          <w:sz w:val="24"/>
          <w:szCs w:val="24"/>
        </w:rPr>
        <w:t xml:space="preserve"> pfu/ml或更高)，应确认病毒和细菌的型别和滴度。推荐用于交叉反应性研究的微生物列于表1。</w:t>
      </w:r>
    </w:p>
    <w:p w14:paraId="688B3FA0">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表1. 推荐用于交叉反应性研究的微生物。</w:t>
      </w:r>
    </w:p>
    <w:tbl>
      <w:tblPr>
        <w:tblStyle w:val="11"/>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Layout w:type="autofit"/>
        <w:tblCellMar>
          <w:top w:w="0" w:type="dxa"/>
          <w:left w:w="0" w:type="dxa"/>
          <w:bottom w:w="0" w:type="dxa"/>
          <w:right w:w="0" w:type="dxa"/>
        </w:tblCellMar>
      </w:tblPr>
      <w:tblGrid>
        <w:gridCol w:w="2264"/>
        <w:gridCol w:w="1302"/>
      </w:tblGrid>
      <w:tr w14:paraId="10296E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5ACA6816">
            <w:pPr>
              <w:widowControl/>
              <w:snapToGrid w:val="0"/>
              <w:spacing w:line="280" w:lineRule="exact"/>
              <w:rPr>
                <w:rFonts w:ascii="Arial" w:hAnsi="Arial" w:eastAsia="宋体" w:cs="Arial"/>
                <w:b/>
                <w:bCs/>
                <w:color w:val="000000"/>
                <w:kern w:val="0"/>
                <w:sz w:val="24"/>
                <w:szCs w:val="24"/>
              </w:rPr>
            </w:pPr>
            <w:r>
              <w:rPr>
                <w:rFonts w:ascii="Arial" w:hAnsi="Arial" w:eastAsia="宋体" w:cs="Arial"/>
                <w:b/>
                <w:bCs/>
                <w:color w:val="000000"/>
                <w:kern w:val="0"/>
                <w:sz w:val="24"/>
                <w:szCs w:val="24"/>
              </w:rPr>
              <w:t>微生物</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917F603">
            <w:pPr>
              <w:widowControl/>
              <w:snapToGrid w:val="0"/>
              <w:spacing w:line="280" w:lineRule="exact"/>
              <w:rPr>
                <w:rFonts w:ascii="Arial" w:hAnsi="Arial" w:eastAsia="宋体" w:cs="Arial"/>
                <w:b/>
                <w:bCs/>
                <w:color w:val="000000"/>
                <w:kern w:val="0"/>
                <w:sz w:val="24"/>
                <w:szCs w:val="24"/>
              </w:rPr>
            </w:pPr>
            <w:r>
              <w:rPr>
                <w:rFonts w:ascii="Arial" w:hAnsi="Arial" w:eastAsia="宋体" w:cs="Arial"/>
                <w:b/>
                <w:bCs/>
                <w:color w:val="000000"/>
                <w:kern w:val="0"/>
                <w:sz w:val="24"/>
                <w:szCs w:val="24"/>
              </w:rPr>
              <w:t>类型/菌毒株</w:t>
            </w:r>
          </w:p>
        </w:tc>
      </w:tr>
      <w:tr w14:paraId="089A78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20707CA0">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腺病毒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EE73AE0">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1型</w:t>
            </w:r>
          </w:p>
        </w:tc>
      </w:tr>
      <w:tr w14:paraId="2510DA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4C56DB79">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腺病毒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33DDD92">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7型</w:t>
            </w:r>
          </w:p>
        </w:tc>
      </w:tr>
      <w:tr w14:paraId="37E214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02AC6526">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人体冠状病毒*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0A6895A">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20C9E4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41BB2482">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巨细胞病毒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48A7BFE">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052AD6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A940611">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Enterovirus肠道病毒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424CD9B">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0CD48C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5E4BB6C9">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爱泼斯坦巴尔病毒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079FB40">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1BD924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1EEE3D4">
            <w:pPr>
              <w:snapToGrid w:val="0"/>
              <w:spacing w:line="280" w:lineRule="exact"/>
              <w:rPr>
                <w:rFonts w:ascii="Arial" w:hAnsi="Arial" w:eastAsia="宋体" w:cs="Arial"/>
              </w:rPr>
            </w:pPr>
            <w:r>
              <w:rPr>
                <w:rFonts w:ascii="Arial" w:hAnsi="Arial" w:eastAsia="宋体" w:cs="Arial"/>
                <w:color w:val="000000"/>
                <w:kern w:val="0"/>
                <w:sz w:val="24"/>
                <w:szCs w:val="24"/>
              </w:rPr>
              <w:t>人体副流感病毒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6B0C28F">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1型</w:t>
            </w:r>
          </w:p>
        </w:tc>
      </w:tr>
      <w:tr w14:paraId="242B4B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13EF5FE7">
            <w:pPr>
              <w:snapToGrid w:val="0"/>
              <w:spacing w:line="280" w:lineRule="exact"/>
              <w:rPr>
                <w:rFonts w:ascii="Arial" w:hAnsi="Arial" w:eastAsia="宋体" w:cs="Arial"/>
              </w:rPr>
            </w:pPr>
            <w:r>
              <w:rPr>
                <w:rFonts w:ascii="Arial" w:hAnsi="Arial" w:eastAsia="宋体" w:cs="Arial"/>
                <w:color w:val="000000"/>
                <w:kern w:val="0"/>
                <w:sz w:val="24"/>
                <w:szCs w:val="24"/>
              </w:rPr>
              <w:t>人体副流感病毒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395268E">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2型</w:t>
            </w:r>
          </w:p>
        </w:tc>
      </w:tr>
      <w:tr w14:paraId="53B67E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61B4B9DB">
            <w:pPr>
              <w:snapToGrid w:val="0"/>
              <w:spacing w:line="280" w:lineRule="exact"/>
              <w:rPr>
                <w:rFonts w:ascii="Arial" w:hAnsi="Arial" w:eastAsia="宋体" w:cs="Arial"/>
              </w:rPr>
            </w:pPr>
            <w:r>
              <w:rPr>
                <w:rFonts w:ascii="Arial" w:hAnsi="Arial" w:eastAsia="宋体" w:cs="Arial"/>
                <w:color w:val="000000"/>
                <w:kern w:val="0"/>
                <w:sz w:val="24"/>
                <w:szCs w:val="24"/>
              </w:rPr>
              <w:t>人体副流感病毒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DB54AF4">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3型</w:t>
            </w:r>
          </w:p>
        </w:tc>
      </w:tr>
      <w:tr w14:paraId="4B2B60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1FA3124">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麻疹病毒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7F3FBAB">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3650BC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67E47462">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人类流感病毒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EB8FE22">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A</w:t>
            </w:r>
          </w:p>
        </w:tc>
      </w:tr>
      <w:tr w14:paraId="6B8DB1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08018A0">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人类流感病毒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44E8CE3">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B</w:t>
            </w:r>
          </w:p>
        </w:tc>
      </w:tr>
      <w:tr w14:paraId="6B6AE0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481859F4">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腮腺炎病毒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7ACAB9E">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7A6CF8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2743F67C">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呼吸道合胞病毒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EF4F01E">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A</w:t>
            </w:r>
          </w:p>
        </w:tc>
      </w:tr>
      <w:tr w14:paraId="083D7F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0707F9C2">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呼吸道合胞病毒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2802F14D">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B</w:t>
            </w:r>
          </w:p>
        </w:tc>
      </w:tr>
      <w:tr w14:paraId="5D40BB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18EB81C">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鼻病毒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1BF0800">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xml:space="preserve">1A型 </w:t>
            </w:r>
          </w:p>
        </w:tc>
      </w:tr>
      <w:tr w14:paraId="06C0C0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277D8C87">
            <w:pPr>
              <w:widowControl/>
              <w:snapToGrid w:val="0"/>
              <w:spacing w:line="280" w:lineRule="exact"/>
              <w:rPr>
                <w:rFonts w:ascii="Arial" w:hAnsi="Arial" w:eastAsia="宋体" w:cs="Arial"/>
                <w:i/>
                <w:color w:val="000000"/>
                <w:kern w:val="0"/>
                <w:sz w:val="24"/>
                <w:szCs w:val="24"/>
              </w:rPr>
            </w:pPr>
            <w:r>
              <w:rPr>
                <w:rFonts w:ascii="Arial" w:hAnsi="Arial" w:eastAsia="宋体" w:cs="Arial"/>
                <w:i/>
                <w:iCs/>
                <w:color w:val="000000"/>
                <w:kern w:val="0"/>
                <w:sz w:val="24"/>
                <w:szCs w:val="24"/>
              </w:rPr>
              <w:t> </w:t>
            </w:r>
            <w:r>
              <w:rPr>
                <w:rFonts w:ascii="Arial" w:hAnsi="Arial" w:eastAsia="宋体" w:cs="Arial"/>
                <w:i/>
                <w:color w:val="000000"/>
                <w:kern w:val="0"/>
                <w:sz w:val="24"/>
                <w:szCs w:val="24"/>
              </w:rPr>
              <w:t>百日咳杆菌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556C5CE">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6B31EF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60380B51">
            <w:pPr>
              <w:widowControl/>
              <w:snapToGrid w:val="0"/>
              <w:spacing w:line="280" w:lineRule="exact"/>
              <w:rPr>
                <w:rFonts w:ascii="Arial" w:hAnsi="Arial" w:eastAsia="宋体" w:cs="Arial"/>
                <w:i/>
                <w:color w:val="000000"/>
                <w:kern w:val="0"/>
                <w:sz w:val="24"/>
                <w:szCs w:val="24"/>
              </w:rPr>
            </w:pPr>
            <w:r>
              <w:rPr>
                <w:rFonts w:ascii="Arial" w:hAnsi="Arial" w:eastAsia="宋体" w:cs="Arial"/>
                <w:i/>
                <w:color w:val="000000"/>
                <w:kern w:val="0"/>
                <w:sz w:val="24"/>
                <w:szCs w:val="24"/>
              </w:rPr>
              <w:t>肺炎衣原体</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FCC3428">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37DAD2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767224E5">
            <w:pPr>
              <w:widowControl/>
              <w:snapToGrid w:val="0"/>
              <w:spacing w:line="280" w:lineRule="exact"/>
              <w:rPr>
                <w:rFonts w:ascii="Arial" w:hAnsi="Arial" w:eastAsia="宋体" w:cs="Arial"/>
                <w:i/>
                <w:color w:val="000000"/>
                <w:kern w:val="0"/>
                <w:sz w:val="24"/>
                <w:szCs w:val="24"/>
              </w:rPr>
            </w:pPr>
            <w:r>
              <w:rPr>
                <w:rFonts w:ascii="Arial" w:hAnsi="Arial" w:eastAsia="宋体" w:cs="Arial"/>
                <w:i/>
                <w:iCs/>
                <w:color w:val="000000"/>
                <w:kern w:val="0"/>
                <w:sz w:val="24"/>
                <w:szCs w:val="24"/>
              </w:rPr>
              <w:t> </w:t>
            </w:r>
            <w:r>
              <w:rPr>
                <w:rFonts w:ascii="Arial" w:hAnsi="Arial" w:eastAsia="宋体" w:cs="Arial"/>
                <w:i/>
                <w:color w:val="000000"/>
                <w:kern w:val="0"/>
                <w:sz w:val="24"/>
                <w:szCs w:val="24"/>
              </w:rPr>
              <w:t>棒状杆菌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24FADB8E">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6178F1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7C7F7120">
            <w:pPr>
              <w:widowControl/>
              <w:snapToGrid w:val="0"/>
              <w:spacing w:line="280" w:lineRule="exact"/>
              <w:rPr>
                <w:rFonts w:ascii="Arial" w:hAnsi="Arial" w:eastAsia="宋体" w:cs="Arial"/>
                <w:i/>
                <w:color w:val="000000"/>
                <w:kern w:val="0"/>
                <w:sz w:val="24"/>
                <w:szCs w:val="24"/>
              </w:rPr>
            </w:pPr>
            <w:r>
              <w:rPr>
                <w:rFonts w:ascii="Arial" w:hAnsi="Arial" w:eastAsia="宋体" w:cs="Arial"/>
                <w:i/>
                <w:iCs/>
                <w:color w:val="000000"/>
                <w:kern w:val="0"/>
                <w:sz w:val="24"/>
                <w:szCs w:val="24"/>
              </w:rPr>
              <w:t> </w:t>
            </w:r>
            <w:r>
              <w:rPr>
                <w:rFonts w:ascii="Arial" w:hAnsi="Arial" w:eastAsia="宋体" w:cs="Arial"/>
                <w:i/>
                <w:color w:val="000000"/>
                <w:kern w:val="0"/>
                <w:sz w:val="24"/>
                <w:szCs w:val="24"/>
              </w:rPr>
              <w:t>大肠杆菌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49DF50B">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299E95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2C957984">
            <w:pPr>
              <w:widowControl/>
              <w:snapToGrid w:val="0"/>
              <w:spacing w:line="280" w:lineRule="exact"/>
              <w:rPr>
                <w:rFonts w:ascii="Arial" w:hAnsi="Arial" w:eastAsia="宋体" w:cs="Arial"/>
                <w:i/>
                <w:color w:val="000000"/>
                <w:kern w:val="0"/>
                <w:sz w:val="24"/>
                <w:szCs w:val="24"/>
              </w:rPr>
            </w:pPr>
            <w:r>
              <w:rPr>
                <w:rFonts w:ascii="Arial" w:hAnsi="Arial" w:eastAsia="宋体" w:cs="Arial"/>
                <w:i/>
                <w:iCs/>
                <w:color w:val="000000"/>
                <w:kern w:val="0"/>
                <w:sz w:val="24"/>
                <w:szCs w:val="24"/>
              </w:rPr>
              <w:t> </w:t>
            </w:r>
            <w:r>
              <w:rPr>
                <w:rFonts w:ascii="Arial" w:hAnsi="Arial" w:eastAsia="宋体" w:cs="Arial"/>
                <w:i/>
                <w:color w:val="000000"/>
                <w:kern w:val="0"/>
                <w:sz w:val="24"/>
                <w:szCs w:val="24"/>
              </w:rPr>
              <w:t>流感嗜血杆菌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4C50939">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64895F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3EF67C93">
            <w:pPr>
              <w:widowControl/>
              <w:snapToGrid w:val="0"/>
              <w:spacing w:line="280" w:lineRule="exact"/>
              <w:rPr>
                <w:rFonts w:ascii="Arial" w:hAnsi="Arial" w:eastAsia="宋体" w:cs="Arial"/>
                <w:i/>
                <w:color w:val="000000"/>
                <w:kern w:val="0"/>
                <w:sz w:val="24"/>
                <w:szCs w:val="24"/>
              </w:rPr>
            </w:pPr>
            <w:r>
              <w:rPr>
                <w:rFonts w:ascii="Arial" w:hAnsi="Arial" w:eastAsia="宋体" w:cs="Arial"/>
                <w:i/>
                <w:color w:val="000000"/>
                <w:kern w:val="0"/>
                <w:sz w:val="24"/>
                <w:szCs w:val="24"/>
              </w:rPr>
              <w:t>乳酸菌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DED6A15">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5D8CEE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23BA3FE6">
            <w:pPr>
              <w:widowControl/>
              <w:snapToGrid w:val="0"/>
              <w:spacing w:line="280" w:lineRule="exact"/>
              <w:rPr>
                <w:rFonts w:ascii="Arial" w:hAnsi="Arial" w:eastAsia="宋体" w:cs="Arial"/>
                <w:i/>
                <w:iCs/>
                <w:color w:val="000000"/>
                <w:kern w:val="0"/>
                <w:sz w:val="24"/>
                <w:szCs w:val="24"/>
              </w:rPr>
            </w:pPr>
            <w:r>
              <w:rPr>
                <w:rFonts w:ascii="Arial" w:hAnsi="Arial" w:eastAsia="宋体" w:cs="Arial"/>
                <w:i/>
                <w:iCs/>
                <w:color w:val="000000"/>
                <w:kern w:val="0"/>
                <w:sz w:val="24"/>
                <w:szCs w:val="24"/>
              </w:rPr>
              <w:t>军团菌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0FD6CB7">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712133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5936216E">
            <w:pPr>
              <w:widowControl/>
              <w:snapToGrid w:val="0"/>
              <w:spacing w:line="280" w:lineRule="exact"/>
              <w:rPr>
                <w:rFonts w:ascii="Arial" w:hAnsi="Arial" w:eastAsia="宋体" w:cs="Arial"/>
                <w:i/>
                <w:iCs/>
                <w:color w:val="000000"/>
                <w:kern w:val="0"/>
                <w:sz w:val="24"/>
                <w:szCs w:val="24"/>
              </w:rPr>
            </w:pPr>
            <w:r>
              <w:rPr>
                <w:rFonts w:ascii="Arial" w:hAnsi="Arial" w:eastAsia="宋体" w:cs="Arial"/>
                <w:i/>
                <w:iCs/>
                <w:color w:val="000000"/>
                <w:kern w:val="0"/>
                <w:sz w:val="24"/>
                <w:szCs w:val="24"/>
              </w:rPr>
              <w:t>卡他莫拉菌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1BF8B8F">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21AE83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1C678C51">
            <w:pPr>
              <w:widowControl/>
              <w:snapToGrid w:val="0"/>
              <w:spacing w:line="280" w:lineRule="exact"/>
              <w:rPr>
                <w:rFonts w:ascii="Arial" w:hAnsi="Arial" w:eastAsia="宋体" w:cs="Arial"/>
                <w:i/>
                <w:iCs/>
                <w:color w:val="000000"/>
                <w:kern w:val="0"/>
                <w:sz w:val="24"/>
                <w:szCs w:val="24"/>
              </w:rPr>
            </w:pPr>
            <w:r>
              <w:rPr>
                <w:rFonts w:ascii="Arial" w:hAnsi="Arial" w:eastAsia="宋体" w:cs="Arial"/>
                <w:i/>
                <w:iCs/>
                <w:color w:val="000000"/>
                <w:kern w:val="0"/>
                <w:sz w:val="24"/>
                <w:szCs w:val="24"/>
              </w:rPr>
              <w:t> 结核分枝杆菌(无毒)</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23DB2B5">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61C799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69BB3122">
            <w:pPr>
              <w:widowControl/>
              <w:snapToGrid w:val="0"/>
              <w:spacing w:line="280" w:lineRule="exact"/>
              <w:rPr>
                <w:rFonts w:ascii="Arial" w:hAnsi="Arial" w:eastAsia="宋体" w:cs="Arial"/>
                <w:i/>
                <w:iCs/>
                <w:color w:val="000000"/>
                <w:kern w:val="0"/>
                <w:sz w:val="24"/>
                <w:szCs w:val="24"/>
              </w:rPr>
            </w:pPr>
            <w:r>
              <w:rPr>
                <w:rFonts w:ascii="Arial" w:hAnsi="Arial" w:eastAsia="宋体" w:cs="Arial"/>
                <w:i/>
                <w:iCs/>
                <w:color w:val="000000"/>
                <w:kern w:val="0"/>
                <w:sz w:val="24"/>
                <w:szCs w:val="24"/>
              </w:rPr>
              <w:t>肺炎支原体</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2A10C48">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194CB1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29D8F130">
            <w:pPr>
              <w:widowControl/>
              <w:snapToGrid w:val="0"/>
              <w:spacing w:line="280" w:lineRule="exact"/>
              <w:rPr>
                <w:rFonts w:ascii="Arial" w:hAnsi="Arial" w:eastAsia="宋体" w:cs="Arial"/>
                <w:i/>
                <w:color w:val="000000"/>
                <w:kern w:val="0"/>
                <w:sz w:val="24"/>
                <w:szCs w:val="24"/>
              </w:rPr>
            </w:pPr>
            <w:r>
              <w:rPr>
                <w:rFonts w:ascii="Arial" w:hAnsi="Arial" w:eastAsia="宋体" w:cs="Arial"/>
                <w:i/>
                <w:iCs/>
                <w:color w:val="000000"/>
                <w:kern w:val="0"/>
                <w:sz w:val="24"/>
                <w:szCs w:val="24"/>
              </w:rPr>
              <w:t>脑膜炎奈瑟氏球菌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A6EC098">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5249B8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08CE5382">
            <w:pPr>
              <w:widowControl/>
              <w:snapToGrid w:val="0"/>
              <w:spacing w:line="280" w:lineRule="exact"/>
              <w:rPr>
                <w:rFonts w:ascii="Arial" w:hAnsi="Arial" w:eastAsia="宋体" w:cs="Arial"/>
                <w:i/>
                <w:color w:val="000000"/>
                <w:kern w:val="0"/>
                <w:sz w:val="24"/>
                <w:szCs w:val="24"/>
              </w:rPr>
            </w:pPr>
            <w:r>
              <w:rPr>
                <w:rFonts w:ascii="Arial" w:hAnsi="Arial" w:eastAsia="宋体" w:cs="Arial"/>
                <w:i/>
                <w:iCs/>
                <w:color w:val="000000"/>
                <w:kern w:val="0"/>
                <w:sz w:val="24"/>
                <w:szCs w:val="24"/>
              </w:rPr>
              <w:t>淋球菌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D51CC8C">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4507AB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39A245DD">
            <w:pPr>
              <w:widowControl/>
              <w:snapToGrid w:val="0"/>
              <w:spacing w:line="280" w:lineRule="exact"/>
              <w:rPr>
                <w:rFonts w:ascii="Arial" w:hAnsi="Arial" w:eastAsia="宋体" w:cs="Arial"/>
                <w:i/>
                <w:iCs/>
                <w:color w:val="000000"/>
                <w:kern w:val="0"/>
                <w:sz w:val="24"/>
                <w:szCs w:val="24"/>
              </w:rPr>
            </w:pPr>
            <w:r>
              <w:rPr>
                <w:rFonts w:ascii="Arial" w:hAnsi="Arial" w:eastAsia="宋体" w:cs="Arial"/>
                <w:i/>
                <w:iCs/>
                <w:color w:val="000000"/>
                <w:kern w:val="0"/>
                <w:sz w:val="24"/>
                <w:szCs w:val="24"/>
              </w:rPr>
              <w:t>铜绿假单胞菌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E3413EC">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63DF68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7306133C">
            <w:pPr>
              <w:widowControl/>
              <w:snapToGrid w:val="0"/>
              <w:spacing w:line="280" w:lineRule="exact"/>
              <w:rPr>
                <w:rFonts w:ascii="Arial" w:hAnsi="Arial" w:eastAsia="宋体" w:cs="Arial"/>
                <w:i/>
                <w:color w:val="000000"/>
                <w:kern w:val="0"/>
                <w:sz w:val="24"/>
                <w:szCs w:val="24"/>
              </w:rPr>
            </w:pPr>
            <w:r>
              <w:rPr>
                <w:rFonts w:ascii="Arial" w:hAnsi="Arial" w:eastAsia="宋体" w:cs="Arial"/>
                <w:i/>
                <w:iCs/>
                <w:color w:val="000000"/>
                <w:kern w:val="0"/>
                <w:sz w:val="24"/>
                <w:szCs w:val="24"/>
              </w:rPr>
              <w:t>金黄色葡萄球菌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21612054">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产生蛋白A</w:t>
            </w:r>
          </w:p>
        </w:tc>
      </w:tr>
      <w:tr w14:paraId="78F830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791586CB">
            <w:pPr>
              <w:widowControl/>
              <w:snapToGrid w:val="0"/>
              <w:spacing w:line="280" w:lineRule="exact"/>
              <w:rPr>
                <w:rFonts w:ascii="Arial" w:hAnsi="Arial" w:eastAsia="宋体" w:cs="Arial"/>
                <w:i/>
                <w:color w:val="000000"/>
                <w:kern w:val="0"/>
                <w:sz w:val="24"/>
                <w:szCs w:val="24"/>
              </w:rPr>
            </w:pPr>
            <w:r>
              <w:rPr>
                <w:rFonts w:ascii="Arial" w:hAnsi="Arial" w:eastAsia="宋体" w:cs="Arial"/>
                <w:i/>
                <w:iCs/>
                <w:color w:val="000000"/>
                <w:kern w:val="0"/>
                <w:sz w:val="24"/>
                <w:szCs w:val="24"/>
              </w:rPr>
              <w:t>表皮葡萄球菌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BB4CB73">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4CC44D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6BC9777E">
            <w:pPr>
              <w:widowControl/>
              <w:snapToGrid w:val="0"/>
              <w:spacing w:line="280" w:lineRule="exact"/>
              <w:rPr>
                <w:rFonts w:ascii="Arial" w:hAnsi="Arial" w:eastAsia="宋体" w:cs="Arial"/>
                <w:i/>
                <w:color w:val="000000"/>
                <w:kern w:val="0"/>
                <w:sz w:val="24"/>
                <w:szCs w:val="24"/>
              </w:rPr>
            </w:pPr>
            <w:r>
              <w:rPr>
                <w:rFonts w:ascii="Arial" w:hAnsi="Arial" w:eastAsia="宋体" w:cs="Arial"/>
                <w:i/>
                <w:iCs/>
                <w:color w:val="000000"/>
                <w:kern w:val="0"/>
                <w:sz w:val="24"/>
                <w:szCs w:val="24"/>
              </w:rPr>
              <w:t> 肺炎链球菌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3F73EB0">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761F32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4F2865D2">
            <w:pPr>
              <w:widowControl/>
              <w:snapToGrid w:val="0"/>
              <w:spacing w:line="280" w:lineRule="exact"/>
              <w:rPr>
                <w:rFonts w:ascii="Arial" w:hAnsi="Arial" w:eastAsia="宋体" w:cs="Arial"/>
                <w:i/>
                <w:color w:val="000000"/>
                <w:kern w:val="0"/>
                <w:sz w:val="24"/>
                <w:szCs w:val="24"/>
              </w:rPr>
            </w:pPr>
            <w:r>
              <w:rPr>
                <w:rFonts w:ascii="Arial" w:hAnsi="Arial" w:eastAsia="宋体" w:cs="Arial"/>
                <w:i/>
                <w:iCs/>
                <w:color w:val="000000"/>
                <w:kern w:val="0"/>
                <w:sz w:val="24"/>
                <w:szCs w:val="24"/>
              </w:rPr>
              <w:t>化脓性链球菌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93AB44E">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086AF8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5BD62687">
            <w:pPr>
              <w:widowControl/>
              <w:snapToGrid w:val="0"/>
              <w:spacing w:line="280" w:lineRule="exact"/>
              <w:rPr>
                <w:rFonts w:ascii="Arial" w:hAnsi="Arial" w:eastAsia="宋体" w:cs="Arial"/>
                <w:i/>
                <w:color w:val="000000"/>
                <w:kern w:val="0"/>
                <w:sz w:val="24"/>
                <w:szCs w:val="24"/>
              </w:rPr>
            </w:pPr>
            <w:r>
              <w:rPr>
                <w:rFonts w:ascii="Arial" w:hAnsi="Arial" w:eastAsia="宋体" w:cs="Arial"/>
                <w:i/>
                <w:iCs/>
                <w:color w:val="000000"/>
                <w:kern w:val="0"/>
                <w:sz w:val="24"/>
                <w:szCs w:val="24"/>
              </w:rPr>
              <w:t> 唾液链球菌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E0BCD78">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bl>
    <w:p w14:paraId="392EE088">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 我们建议贵公司在交叉反应性研究中包括人冠状病毒的OC43和229E株。</w:t>
      </w:r>
    </w:p>
    <w:p w14:paraId="394012FB">
      <w:pPr>
        <w:widowControl/>
        <w:snapToGrid w:val="0"/>
        <w:spacing w:line="300" w:lineRule="auto"/>
        <w:outlineLvl w:val="5"/>
        <w:rPr>
          <w:rFonts w:ascii="Arial" w:hAnsi="Arial" w:eastAsia="宋体" w:cs="Arial"/>
          <w:b/>
          <w:bCs/>
          <w:i/>
          <w:color w:val="000000"/>
          <w:kern w:val="0"/>
          <w:sz w:val="28"/>
          <w:szCs w:val="28"/>
        </w:rPr>
      </w:pPr>
      <w:r>
        <w:rPr>
          <w:rFonts w:ascii="Arial" w:hAnsi="Arial" w:eastAsia="宋体" w:cs="Arial"/>
          <w:b/>
          <w:bCs/>
          <w:i/>
          <w:color w:val="000000"/>
          <w:kern w:val="0"/>
          <w:sz w:val="28"/>
          <w:szCs w:val="28"/>
        </w:rPr>
        <w:t>干扰物质</w:t>
      </w:r>
    </w:p>
    <w:p w14:paraId="5B0F2B36">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贵公司应使用医学相关浓度的干扰物质和每种hMPV主要遗传谱系(A和B)的至少一种毒株进行全面的干扰研究，以评估呼吸道样本中所含物质的潜在抑制作用。</w:t>
      </w:r>
    </w:p>
    <w:p w14:paraId="169280D5">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潜在的干扰物质包括但不限于：血液，鼻分泌物或粘液，用于缓解鼻塞和咽部充血、鼻腔干燥、刺激、哮喘和过敏症状的鼻用或喉用药物。潜在的干扰物质如表2所示。我们建议贵公司在每种hMPV主要遗传谱系(A和B)的检测临界值水平对每种干扰物质的干扰影响进行测定，还建议在每种干扰物质的潜在最大浓度(“最差条件”)下进行评价。如果没有观察到显著的临床效应，则不需要进一步的检测。更多相关信息，请参阅CLSI文件EP7-A2</w:t>
      </w:r>
      <w:r>
        <w:fldChar w:fldCharType="begin"/>
      </w:r>
      <w:r>
        <w:instrText xml:space="preserve"> HYPERLINK "http://www.fda.gov/MedicalDevices/DeviceRegulationandGuidance/GuidanceDocuments/ucm180308.htm" \l "ft12" </w:instrText>
      </w:r>
      <w:r>
        <w:fldChar w:fldCharType="separate"/>
      </w:r>
      <w:r>
        <w:rPr>
          <w:rFonts w:ascii="Arial" w:hAnsi="Arial" w:eastAsia="宋体" w:cs="Arial"/>
          <w:color w:val="800080"/>
          <w:kern w:val="0"/>
          <w:sz w:val="24"/>
          <w:szCs w:val="24"/>
          <w:u w:val="single"/>
          <w:vertAlign w:val="superscript"/>
        </w:rPr>
        <w:t>12</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w:t>
      </w:r>
    </w:p>
    <w:p w14:paraId="683B9077">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表2. 推荐用于干扰研究的物质</w:t>
      </w:r>
    </w:p>
    <w:tbl>
      <w:tblPr>
        <w:tblStyle w:val="11"/>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Layout w:type="autofit"/>
        <w:tblCellMar>
          <w:top w:w="0" w:type="dxa"/>
          <w:left w:w="0" w:type="dxa"/>
          <w:bottom w:w="0" w:type="dxa"/>
          <w:right w:w="0" w:type="dxa"/>
        </w:tblCellMar>
      </w:tblPr>
      <w:tblGrid>
        <w:gridCol w:w="2542"/>
        <w:gridCol w:w="6036"/>
      </w:tblGrid>
      <w:tr w14:paraId="01980E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10696EF8">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物质</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CB05AD3">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活跃成分</w:t>
            </w:r>
          </w:p>
        </w:tc>
      </w:tr>
      <w:tr w14:paraId="0CA92D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0DDAC05C">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粘蛋白：</w:t>
            </w:r>
          </w:p>
          <w:p w14:paraId="328BA843">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牛颌下腺，I-S型</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25EABF0C">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纯化粘蛋白</w:t>
            </w:r>
          </w:p>
        </w:tc>
      </w:tr>
      <w:tr w14:paraId="2D205E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1E6A6952">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血液（人）</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6CEB73D">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3BC5F9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2CDFB435">
            <w:pPr>
              <w:widowControl/>
              <w:snapToGrid w:val="0"/>
              <w:spacing w:before="100" w:beforeAutospacing="1" w:after="100" w:afterAutospacing="1" w:line="280" w:lineRule="exact"/>
              <w:rPr>
                <w:rFonts w:ascii="Arial" w:hAnsi="Arial" w:eastAsia="宋体" w:cs="Arial"/>
                <w:color w:val="000000"/>
                <w:kern w:val="0"/>
                <w:sz w:val="24"/>
                <w:szCs w:val="24"/>
              </w:rPr>
            </w:pPr>
            <w:r>
              <w:rPr>
                <w:rFonts w:ascii="Arial" w:hAnsi="Arial" w:eastAsia="宋体" w:cs="Arial"/>
                <w:color w:val="000000"/>
                <w:kern w:val="0"/>
                <w:sz w:val="24"/>
                <w:szCs w:val="24"/>
              </w:rPr>
              <w:t>鼻腔喷雾剂或滴鼻剂</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E59B03D">
            <w:pPr>
              <w:widowControl/>
              <w:snapToGrid w:val="0"/>
              <w:spacing w:before="100" w:beforeAutospacing="1" w:after="100" w:afterAutospacing="1" w:line="280" w:lineRule="exact"/>
              <w:rPr>
                <w:rFonts w:ascii="Arial" w:hAnsi="Arial" w:eastAsia="宋体" w:cs="Arial"/>
                <w:color w:val="000000"/>
                <w:kern w:val="0"/>
                <w:sz w:val="24"/>
                <w:szCs w:val="24"/>
              </w:rPr>
            </w:pPr>
            <w:r>
              <w:rPr>
                <w:rFonts w:ascii="Arial" w:hAnsi="Arial" w:eastAsia="宋体" w:cs="Arial"/>
                <w:color w:val="000000"/>
                <w:kern w:val="0"/>
                <w:sz w:val="24"/>
                <w:szCs w:val="24"/>
              </w:rPr>
              <w:t>去氧肾上腺素、羟甲唑啉、含防腐剂的氯化钠溶液</w:t>
            </w:r>
          </w:p>
        </w:tc>
      </w:tr>
      <w:tr w14:paraId="12E91B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7EA87894">
            <w:pPr>
              <w:widowControl/>
              <w:snapToGrid w:val="0"/>
              <w:spacing w:before="100" w:beforeAutospacing="1" w:after="100" w:afterAutospacing="1" w:line="280" w:lineRule="exact"/>
              <w:rPr>
                <w:rFonts w:ascii="Arial" w:hAnsi="Arial" w:eastAsia="宋体" w:cs="Arial"/>
                <w:color w:val="000000"/>
                <w:kern w:val="0"/>
                <w:sz w:val="24"/>
                <w:szCs w:val="24"/>
              </w:rPr>
            </w:pPr>
            <w:r>
              <w:rPr>
                <w:rFonts w:ascii="Arial" w:hAnsi="Arial" w:eastAsia="宋体" w:cs="Arial"/>
                <w:color w:val="000000"/>
                <w:kern w:val="0"/>
                <w:sz w:val="24"/>
                <w:szCs w:val="24"/>
              </w:rPr>
              <w:t>鼻腔糖皮质激素</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4AEEF910">
            <w:pPr>
              <w:widowControl/>
              <w:snapToGrid w:val="0"/>
              <w:spacing w:before="100" w:beforeAutospacing="1" w:after="100" w:afterAutospacing="1" w:line="280" w:lineRule="exact"/>
              <w:rPr>
                <w:rFonts w:ascii="Arial" w:hAnsi="Arial" w:eastAsia="宋体" w:cs="Arial"/>
                <w:color w:val="000000"/>
                <w:kern w:val="0"/>
                <w:sz w:val="24"/>
                <w:szCs w:val="24"/>
              </w:rPr>
            </w:pPr>
            <w:r>
              <w:rPr>
                <w:rFonts w:ascii="Arial" w:hAnsi="Arial" w:eastAsia="宋体" w:cs="Arial"/>
                <w:color w:val="000000"/>
                <w:kern w:val="0"/>
                <w:sz w:val="24"/>
                <w:szCs w:val="24"/>
              </w:rPr>
              <w:t>倍氯米松、地塞米松、氟尼缩松、曲安西龙、布地奈德、莫美他松、氟替卡松</w:t>
            </w:r>
          </w:p>
        </w:tc>
      </w:tr>
      <w:tr w14:paraId="20A5A3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7D9BCDE3">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鼻用凝胶</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44F3F86">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具盖丝瓜，硫磺</w:t>
            </w:r>
          </w:p>
        </w:tc>
      </w:tr>
      <w:tr w14:paraId="791ECF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1D531728">
            <w:pPr>
              <w:widowControl/>
              <w:snapToGrid w:val="0"/>
              <w:spacing w:before="100" w:beforeAutospacing="1" w:after="100" w:afterAutospacing="1" w:line="280" w:lineRule="exact"/>
              <w:rPr>
                <w:rFonts w:ascii="Arial" w:hAnsi="Arial" w:eastAsia="宋体" w:cs="Arial"/>
                <w:kern w:val="0"/>
                <w:sz w:val="24"/>
                <w:szCs w:val="24"/>
              </w:rPr>
            </w:pPr>
            <w:r>
              <w:rPr>
                <w:rFonts w:ascii="Arial" w:hAnsi="Arial" w:eastAsia="宋体" w:cs="Arial"/>
                <w:kern w:val="0"/>
                <w:sz w:val="24"/>
                <w:szCs w:val="24"/>
              </w:rPr>
              <w:t>过敏性症状缓解药物</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7C75C01">
            <w:pPr>
              <w:widowControl/>
              <w:snapToGrid w:val="0"/>
              <w:spacing w:line="280" w:lineRule="exact"/>
              <w:rPr>
                <w:rFonts w:ascii="Arial" w:hAnsi="Arial" w:eastAsia="宋体" w:cs="Arial"/>
                <w:kern w:val="0"/>
                <w:sz w:val="24"/>
                <w:szCs w:val="24"/>
              </w:rPr>
            </w:pPr>
            <w:r>
              <w:rPr>
                <w:rFonts w:ascii="Arial" w:hAnsi="Arial" w:eastAsia="宋体" w:cs="Arial"/>
                <w:sz w:val="24"/>
                <w:szCs w:val="24"/>
              </w:rPr>
              <w:t>金英，盐酸组胺</w:t>
            </w:r>
          </w:p>
        </w:tc>
      </w:tr>
      <w:tr w14:paraId="5BBBAE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035E8A07">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FluMist©</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C90C35C">
            <w:pPr>
              <w:widowControl/>
              <w:snapToGrid w:val="0"/>
              <w:spacing w:line="280" w:lineRule="exact"/>
              <w:rPr>
                <w:rFonts w:ascii="Arial" w:hAnsi="Arial" w:eastAsia="宋体" w:cs="Arial"/>
                <w:color w:val="000000"/>
                <w:kern w:val="0"/>
                <w:sz w:val="24"/>
                <w:szCs w:val="24"/>
              </w:rPr>
            </w:pPr>
            <w:r>
              <w:rPr>
                <w:rFonts w:ascii="Arial" w:hAnsi="Arial" w:eastAsia="宋体" w:cs="Arial"/>
                <w:color w:val="000000"/>
                <w:kern w:val="0"/>
                <w:sz w:val="24"/>
                <w:szCs w:val="24"/>
              </w:rPr>
              <w:t>鼻内流感病毒的活疫苗</w:t>
            </w:r>
          </w:p>
        </w:tc>
      </w:tr>
      <w:tr w14:paraId="74AE87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224B9158">
            <w:pPr>
              <w:widowControl/>
              <w:snapToGrid w:val="0"/>
              <w:spacing w:before="100" w:beforeAutospacing="1" w:after="100" w:afterAutospacing="1" w:line="280" w:lineRule="exact"/>
              <w:rPr>
                <w:rFonts w:ascii="Arial" w:hAnsi="Arial" w:eastAsia="宋体" w:cs="Arial"/>
                <w:color w:val="000000"/>
                <w:kern w:val="0"/>
                <w:sz w:val="24"/>
                <w:szCs w:val="24"/>
              </w:rPr>
            </w:pPr>
            <w:r>
              <w:rPr>
                <w:rFonts w:ascii="Arial" w:hAnsi="Arial" w:eastAsia="宋体" w:cs="Arial"/>
                <w:color w:val="000000"/>
                <w:kern w:val="0"/>
                <w:sz w:val="24"/>
                <w:szCs w:val="24"/>
              </w:rPr>
              <w:t>润喉糖、口服麻醉剂和镇痛剂</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6176C624">
            <w:pPr>
              <w:widowControl/>
              <w:snapToGrid w:val="0"/>
              <w:spacing w:before="100" w:beforeAutospacing="1" w:after="100" w:afterAutospacing="1" w:line="280" w:lineRule="exact"/>
              <w:rPr>
                <w:rFonts w:ascii="Arial" w:hAnsi="Arial" w:eastAsia="宋体" w:cs="Arial"/>
                <w:color w:val="000000"/>
                <w:kern w:val="0"/>
                <w:sz w:val="24"/>
                <w:szCs w:val="24"/>
              </w:rPr>
            </w:pPr>
            <w:r>
              <w:rPr>
                <w:rFonts w:ascii="Arial" w:hAnsi="Arial" w:eastAsia="宋体" w:cs="Arial"/>
                <w:color w:val="000000"/>
                <w:kern w:val="0"/>
                <w:sz w:val="24"/>
                <w:szCs w:val="24"/>
              </w:rPr>
              <w:t>苯唑卡因、薄荷脑</w:t>
            </w:r>
          </w:p>
        </w:tc>
      </w:tr>
      <w:tr w14:paraId="7C3757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62E9717B">
            <w:pPr>
              <w:widowControl/>
              <w:snapToGrid w:val="0"/>
              <w:spacing w:before="100" w:beforeAutospacing="1" w:after="100" w:afterAutospacing="1" w:line="280" w:lineRule="exact"/>
              <w:rPr>
                <w:rFonts w:ascii="Arial" w:hAnsi="Arial" w:eastAsia="宋体" w:cs="Arial"/>
                <w:color w:val="000000"/>
                <w:kern w:val="0"/>
                <w:sz w:val="24"/>
                <w:szCs w:val="24"/>
              </w:rPr>
            </w:pPr>
            <w:r>
              <w:rPr>
                <w:rFonts w:ascii="Arial" w:hAnsi="Arial" w:eastAsia="宋体" w:cs="Arial"/>
                <w:color w:val="000000"/>
                <w:kern w:val="0"/>
                <w:sz w:val="24"/>
                <w:szCs w:val="24"/>
              </w:rPr>
              <w:t>抗病毒药物</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34A00D4">
            <w:pPr>
              <w:widowControl/>
              <w:snapToGrid w:val="0"/>
              <w:spacing w:before="100" w:beforeAutospacing="1" w:after="100" w:afterAutospacing="1" w:line="280" w:lineRule="exact"/>
              <w:rPr>
                <w:rFonts w:ascii="Arial" w:hAnsi="Arial" w:eastAsia="宋体" w:cs="Arial"/>
                <w:color w:val="000000"/>
                <w:kern w:val="0"/>
                <w:sz w:val="24"/>
                <w:szCs w:val="24"/>
              </w:rPr>
            </w:pPr>
            <w:r>
              <w:rPr>
                <w:rFonts w:ascii="Arial" w:hAnsi="Arial" w:eastAsia="宋体" w:cs="Arial"/>
                <w:color w:val="000000"/>
                <w:kern w:val="0"/>
                <w:sz w:val="24"/>
                <w:szCs w:val="24"/>
              </w:rPr>
              <w:t>扎那米韦</w:t>
            </w:r>
          </w:p>
        </w:tc>
      </w:tr>
      <w:tr w14:paraId="3C6CAF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52A6F7DB">
            <w:pPr>
              <w:widowControl/>
              <w:snapToGrid w:val="0"/>
              <w:spacing w:before="100" w:beforeAutospacing="1" w:after="100" w:afterAutospacing="1" w:line="280" w:lineRule="exact"/>
              <w:rPr>
                <w:rFonts w:ascii="Arial" w:hAnsi="Arial" w:eastAsia="宋体" w:cs="Arial"/>
                <w:color w:val="000000"/>
                <w:kern w:val="0"/>
                <w:sz w:val="24"/>
                <w:szCs w:val="24"/>
              </w:rPr>
            </w:pPr>
            <w:r>
              <w:rPr>
                <w:rFonts w:ascii="Arial" w:hAnsi="Arial" w:eastAsia="宋体" w:cs="Arial"/>
                <w:color w:val="000000"/>
                <w:kern w:val="0"/>
                <w:sz w:val="24"/>
                <w:szCs w:val="24"/>
              </w:rPr>
              <w:t>抗生素、鼻用软膏</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4FD469CE">
            <w:pPr>
              <w:widowControl/>
              <w:snapToGrid w:val="0"/>
              <w:spacing w:before="100" w:beforeAutospacing="1" w:after="100" w:afterAutospacing="1" w:line="280" w:lineRule="exact"/>
              <w:rPr>
                <w:rFonts w:ascii="Arial" w:hAnsi="Arial" w:eastAsia="宋体" w:cs="Arial"/>
                <w:color w:val="000000"/>
                <w:kern w:val="0"/>
                <w:sz w:val="24"/>
                <w:szCs w:val="24"/>
              </w:rPr>
            </w:pPr>
            <w:r>
              <w:rPr>
                <w:rFonts w:ascii="Arial" w:hAnsi="Arial" w:eastAsia="宋体" w:cs="Arial"/>
                <w:color w:val="000000"/>
                <w:kern w:val="0"/>
                <w:sz w:val="24"/>
                <w:szCs w:val="24"/>
              </w:rPr>
              <w:t>莫匹罗星</w:t>
            </w:r>
          </w:p>
        </w:tc>
      </w:tr>
      <w:tr w14:paraId="2D0E3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ED51C0E">
            <w:pPr>
              <w:widowControl/>
              <w:snapToGrid w:val="0"/>
              <w:spacing w:before="100" w:beforeAutospacing="1" w:after="100" w:afterAutospacing="1" w:line="280" w:lineRule="exact"/>
              <w:rPr>
                <w:rFonts w:ascii="Arial" w:hAnsi="Arial" w:eastAsia="宋体" w:cs="Arial"/>
                <w:color w:val="000000"/>
                <w:kern w:val="0"/>
                <w:sz w:val="24"/>
                <w:szCs w:val="24"/>
              </w:rPr>
            </w:pPr>
            <w:r>
              <w:rPr>
                <w:rFonts w:ascii="Arial" w:hAnsi="Arial" w:eastAsia="宋体" w:cs="Arial"/>
                <w:color w:val="000000"/>
                <w:kern w:val="0"/>
                <w:sz w:val="24"/>
                <w:szCs w:val="24"/>
              </w:rPr>
              <w:t>全身抗菌药妥布霉素</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6D3EACAA">
            <w:pPr>
              <w:widowControl/>
              <w:snapToGrid w:val="0"/>
              <w:spacing w:before="100" w:beforeAutospacing="1" w:after="100" w:afterAutospacing="1" w:line="280" w:lineRule="exact"/>
              <w:rPr>
                <w:rFonts w:ascii="Arial" w:hAnsi="Arial" w:eastAsia="宋体" w:cs="Arial"/>
                <w:color w:val="000000"/>
                <w:kern w:val="0"/>
                <w:sz w:val="24"/>
                <w:szCs w:val="24"/>
              </w:rPr>
            </w:pPr>
            <w:r>
              <w:rPr>
                <w:rFonts w:ascii="Arial" w:hAnsi="Arial" w:eastAsia="宋体" w:cs="Arial"/>
                <w:color w:val="000000"/>
                <w:kern w:val="0"/>
                <w:sz w:val="24"/>
                <w:szCs w:val="24"/>
              </w:rPr>
              <w:t> 妥布霉素</w:t>
            </w:r>
          </w:p>
        </w:tc>
      </w:tr>
    </w:tbl>
    <w:p w14:paraId="270640B1">
      <w:pPr>
        <w:widowControl/>
        <w:snapToGrid w:val="0"/>
        <w:spacing w:line="300" w:lineRule="auto"/>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6.Fiii精密度</w:t>
      </w:r>
    </w:p>
    <w:p w14:paraId="04D6948B">
      <w:pPr>
        <w:widowControl/>
        <w:snapToGrid w:val="0"/>
        <w:spacing w:line="300" w:lineRule="auto"/>
        <w:outlineLvl w:val="5"/>
        <w:rPr>
          <w:rFonts w:ascii="Arial" w:hAnsi="Arial" w:eastAsia="宋体" w:cs="Arial"/>
          <w:b/>
          <w:bCs/>
          <w:i/>
          <w:color w:val="000000"/>
          <w:kern w:val="0"/>
          <w:sz w:val="28"/>
          <w:szCs w:val="28"/>
        </w:rPr>
      </w:pPr>
      <w:r>
        <w:rPr>
          <w:rFonts w:ascii="Arial" w:hAnsi="Arial" w:eastAsia="宋体" w:cs="Arial"/>
          <w:b/>
          <w:bCs/>
          <w:i/>
          <w:color w:val="000000"/>
          <w:kern w:val="0"/>
          <w:sz w:val="28"/>
          <w:szCs w:val="28"/>
        </w:rPr>
        <w:t>实验室内的精密度/重复性</w:t>
      </w:r>
    </w:p>
    <w:p w14:paraId="2ACB0C2F">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我们建议贵公司对该器械进行实验室内的精密度研究，包括仪器或自动化部件，可以在内部进行这些研究，即在自己公司内部。</w:t>
      </w:r>
    </w:p>
    <w:p w14:paraId="0B514DAD">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建议贵公司对变异来源（例如操作员，天数，检测运行）至少检测12天（不一定连续），每天运行2次，每次运行时对每个样品重复检测2次。如果校准周期短于2个月，检测时间应至少跨越两个校准周期。检测板应包含3种病毒载量水平的3-6个样品（1-2个病毒株），包括：</w:t>
      </w:r>
    </w:p>
    <w:p w14:paraId="1CCDA264">
      <w:pPr>
        <w:widowControl/>
        <w:numPr>
          <w:ilvl w:val="0"/>
          <w:numId w:val="10"/>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“高阴性”样品（C</w:t>
      </w:r>
      <w:r>
        <w:rPr>
          <w:rFonts w:ascii="Arial" w:hAnsi="Arial" w:eastAsia="宋体" w:cs="Arial"/>
          <w:color w:val="000000"/>
          <w:kern w:val="0"/>
          <w:sz w:val="24"/>
          <w:szCs w:val="24"/>
          <w:vertAlign w:val="subscript"/>
        </w:rPr>
        <w:t>5</w:t>
      </w:r>
      <w:r>
        <w:rPr>
          <w:rFonts w:ascii="Arial" w:hAnsi="Arial" w:eastAsia="宋体" w:cs="Arial"/>
          <w:color w:val="000000"/>
          <w:kern w:val="0"/>
          <w:sz w:val="24"/>
          <w:szCs w:val="24"/>
        </w:rPr>
        <w:t>浓度）：样品中的待测物浓度低于临床界值，该样品的重复检测结果阴性率约为95%（且结果的阳性率约为5%）。</w:t>
      </w:r>
    </w:p>
    <w:p w14:paraId="7E3C1A1A">
      <w:pPr>
        <w:widowControl/>
        <w:numPr>
          <w:ilvl w:val="0"/>
          <w:numId w:val="10"/>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“低阳性”样品（C</w:t>
      </w:r>
      <w:r>
        <w:rPr>
          <w:rFonts w:ascii="Arial" w:hAnsi="Arial" w:eastAsia="宋体" w:cs="Arial"/>
          <w:color w:val="000000"/>
          <w:kern w:val="0"/>
          <w:sz w:val="24"/>
          <w:szCs w:val="24"/>
          <w:vertAlign w:val="subscript"/>
        </w:rPr>
        <w:t>95</w:t>
      </w:r>
      <w:r>
        <w:rPr>
          <w:rFonts w:ascii="Arial" w:hAnsi="Arial" w:eastAsia="宋体" w:cs="Arial"/>
          <w:color w:val="000000"/>
          <w:kern w:val="0"/>
          <w:sz w:val="24"/>
          <w:szCs w:val="24"/>
        </w:rPr>
        <w:t>浓度）：样品中的待测物浓度略高于临床界值，该样品的重复检测结果的阳性率约为95%。</w:t>
      </w:r>
    </w:p>
    <w:p w14:paraId="47AA9EE9">
      <w:pPr>
        <w:widowControl/>
        <w:numPr>
          <w:ilvl w:val="0"/>
          <w:numId w:val="10"/>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“中阳性”样品：样品在该浓度下，可以预期阳性检出率约100%（例如，临床界值浓度的约2-3倍）。</w:t>
      </w:r>
    </w:p>
    <w:p w14:paraId="66841344">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当空白限（LoB）用作临界值时，则浓度C</w:t>
      </w:r>
      <w:r>
        <w:rPr>
          <w:rFonts w:ascii="Arial" w:hAnsi="Arial" w:eastAsia="宋体" w:cs="Arial"/>
          <w:color w:val="000000"/>
          <w:kern w:val="0"/>
          <w:sz w:val="24"/>
          <w:szCs w:val="24"/>
          <w:vertAlign w:val="subscript"/>
        </w:rPr>
        <w:t>95</w:t>
      </w:r>
      <w:r>
        <w:rPr>
          <w:rFonts w:ascii="Arial" w:hAnsi="Arial" w:eastAsia="宋体" w:cs="Arial"/>
          <w:color w:val="000000"/>
          <w:kern w:val="0"/>
          <w:sz w:val="24"/>
          <w:szCs w:val="24"/>
        </w:rPr>
        <w:t>与检测限（LoD）相同，且零浓度（样品中不存在待测物）为C</w:t>
      </w:r>
      <w:r>
        <w:rPr>
          <w:rFonts w:ascii="Arial" w:hAnsi="Arial" w:eastAsia="宋体" w:cs="Arial"/>
          <w:color w:val="000000"/>
          <w:kern w:val="0"/>
          <w:sz w:val="24"/>
          <w:szCs w:val="24"/>
          <w:vertAlign w:val="subscript"/>
        </w:rPr>
        <w:t>5</w:t>
      </w:r>
      <w:r>
        <w:rPr>
          <w:rFonts w:ascii="Arial" w:hAnsi="Arial" w:eastAsia="宋体" w:cs="Arial"/>
          <w:color w:val="000000"/>
          <w:kern w:val="0"/>
          <w:sz w:val="24"/>
          <w:szCs w:val="24"/>
        </w:rPr>
        <w:t>，如果LoB 确立的I型误差为5%</w:t>
      </w:r>
      <w:r>
        <w:fldChar w:fldCharType="begin"/>
      </w:r>
      <w:r>
        <w:instrText xml:space="preserve"> HYPERLINK "http://www.fda.gov/MedicalDevices/DeviceRegulationandGuidance/GuidanceDocuments/ucm180308.htm" \l "ft13" </w:instrText>
      </w:r>
      <w:r>
        <w:fldChar w:fldCharType="separate"/>
      </w:r>
      <w:r>
        <w:rPr>
          <w:rFonts w:ascii="Arial" w:hAnsi="Arial" w:eastAsia="宋体" w:cs="Arial"/>
          <w:color w:val="800080"/>
          <w:kern w:val="0"/>
          <w:sz w:val="24"/>
          <w:szCs w:val="24"/>
          <w:u w:val="single"/>
          <w:vertAlign w:val="superscript"/>
        </w:rPr>
        <w:t>13</w:t>
      </w:r>
      <w:r>
        <w:rPr>
          <w:rFonts w:ascii="Arial" w:hAnsi="Arial" w:eastAsia="宋体" w:cs="Arial"/>
          <w:color w:val="800080"/>
          <w:kern w:val="0"/>
          <w:sz w:val="24"/>
          <w:szCs w:val="24"/>
          <w:u w:val="single"/>
          <w:vertAlign w:val="superscript"/>
        </w:rPr>
        <w:fldChar w:fldCharType="end"/>
      </w:r>
      <w:r>
        <w:rPr>
          <w:rFonts w:ascii="Arial" w:hAnsi="Arial" w:eastAsia="宋体" w:cs="Arial"/>
        </w:rPr>
        <w:t>。</w:t>
      </w:r>
      <w:r>
        <w:rPr>
          <w:rFonts w:ascii="Arial" w:hAnsi="Arial" w:eastAsia="宋体" w:cs="Arial"/>
          <w:color w:val="000000"/>
          <w:kern w:val="0"/>
          <w:sz w:val="24"/>
          <w:szCs w:val="24"/>
        </w:rPr>
        <w:t>CLSI文件EP5-A2</w:t>
      </w:r>
      <w:r>
        <w:fldChar w:fldCharType="begin"/>
      </w:r>
      <w:r>
        <w:instrText xml:space="preserve"> HYPERLINK "http://www.fda.gov/MedicalDevices/DeviceRegulationandGuidance/GuidanceDocuments/ucm180308.htm" \l "ft14" </w:instrText>
      </w:r>
      <w:r>
        <w:fldChar w:fldCharType="separate"/>
      </w:r>
      <w:r>
        <w:rPr>
          <w:rFonts w:ascii="Arial" w:hAnsi="Arial" w:eastAsia="宋体" w:cs="Arial"/>
          <w:color w:val="800080"/>
          <w:kern w:val="0"/>
          <w:sz w:val="24"/>
          <w:szCs w:val="24"/>
          <w:u w:val="single"/>
          <w:vertAlign w:val="superscript"/>
        </w:rPr>
        <w:t>14</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和EP12-A</w:t>
      </w:r>
      <w:r>
        <w:fldChar w:fldCharType="begin"/>
      </w:r>
      <w:r>
        <w:instrText xml:space="preserve"> HYPERLINK "http://www.fda.gov/MedicalDevices/DeviceRegulationandGuidance/GuidanceDocuments/ucm180308.htm" \l "ft15" </w:instrText>
      </w:r>
      <w:r>
        <w:fldChar w:fldCharType="separate"/>
      </w:r>
      <w:r>
        <w:rPr>
          <w:rFonts w:ascii="Arial" w:hAnsi="Arial" w:eastAsia="宋体" w:cs="Arial"/>
          <w:color w:val="800080"/>
          <w:kern w:val="0"/>
          <w:sz w:val="24"/>
          <w:szCs w:val="24"/>
          <w:u w:val="single"/>
          <w:vertAlign w:val="superscript"/>
        </w:rPr>
        <w:t>15</w:t>
      </w:r>
      <w:r>
        <w:rPr>
          <w:rFonts w:ascii="Arial" w:hAnsi="Arial" w:eastAsia="宋体" w:cs="Arial"/>
          <w:color w:val="800080"/>
          <w:kern w:val="0"/>
          <w:sz w:val="24"/>
          <w:szCs w:val="24"/>
          <w:u w:val="single"/>
          <w:vertAlign w:val="superscript"/>
        </w:rPr>
        <w:fldChar w:fldCharType="end"/>
      </w:r>
      <w:r>
        <w:rPr>
          <w:rFonts w:ascii="Arial" w:hAnsi="Arial" w:eastAsia="宋体" w:cs="Arial"/>
        </w:rPr>
        <w:t>中</w:t>
      </w:r>
      <w:r>
        <w:rPr>
          <w:rFonts w:ascii="Arial" w:hAnsi="Arial" w:eastAsia="宋体" w:cs="Arial"/>
          <w:color w:val="000000"/>
          <w:kern w:val="0"/>
          <w:sz w:val="24"/>
          <w:szCs w:val="24"/>
        </w:rPr>
        <w:t>包含</w:t>
      </w:r>
      <w:r>
        <w:rPr>
          <w:rFonts w:ascii="Arial" w:hAnsi="Arial" w:eastAsia="宋体" w:cs="Arial"/>
        </w:rPr>
        <w:t>了关于</w:t>
      </w:r>
      <w:r>
        <w:rPr>
          <w:rFonts w:ascii="Arial" w:hAnsi="Arial" w:eastAsia="宋体" w:cs="Arial"/>
          <w:color w:val="000000"/>
          <w:kern w:val="0"/>
          <w:sz w:val="24"/>
          <w:szCs w:val="24"/>
        </w:rPr>
        <w:t>精密度研究设计和执行的进一步信息。</w:t>
      </w:r>
    </w:p>
    <w:p w14:paraId="15BF414A">
      <w:pPr>
        <w:widowControl/>
        <w:snapToGrid w:val="0"/>
        <w:spacing w:line="300" w:lineRule="auto"/>
        <w:outlineLvl w:val="5"/>
        <w:rPr>
          <w:rFonts w:ascii="Arial" w:hAnsi="Arial" w:eastAsia="宋体" w:cs="Arial"/>
          <w:b/>
          <w:bCs/>
          <w:i/>
          <w:color w:val="000000"/>
          <w:kern w:val="0"/>
          <w:sz w:val="28"/>
          <w:szCs w:val="28"/>
        </w:rPr>
      </w:pPr>
      <w:r>
        <w:rPr>
          <w:rFonts w:ascii="Arial" w:hAnsi="Arial" w:eastAsia="宋体" w:cs="Arial"/>
          <w:b/>
          <w:bCs/>
          <w:i/>
          <w:color w:val="000000"/>
          <w:kern w:val="0"/>
          <w:sz w:val="28"/>
          <w:szCs w:val="28"/>
        </w:rPr>
        <w:t>再现性</w:t>
      </w:r>
    </w:p>
    <w:p w14:paraId="17DFB28C">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再现性研究方案可能根据检测的形式而略有不同，作为通用指南，建议方案如下：</w:t>
      </w:r>
    </w:p>
    <w:p w14:paraId="3C616B03">
      <w:pPr>
        <w:widowControl/>
        <w:numPr>
          <w:ilvl w:val="0"/>
          <w:numId w:val="10"/>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在3个检测中心（两个外部中心和一个内部中心）评估该检测的再现性。</w:t>
      </w:r>
    </w:p>
    <w:p w14:paraId="0B1A424C">
      <w:pPr>
        <w:widowControl/>
        <w:numPr>
          <w:ilvl w:val="0"/>
          <w:numId w:val="10"/>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使用五天检测方案，包括：每天至少运行两次（除非该检测的设计排除了每天多次运行），并建议每次运行由每名小组成员重复检测三次。</w:t>
      </w:r>
    </w:p>
    <w:p w14:paraId="731823D9">
      <w:pPr>
        <w:widowControl/>
        <w:numPr>
          <w:ilvl w:val="0"/>
          <w:numId w:val="10"/>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每天在每台设备上至少有两名操作员进行检测。</w:t>
      </w:r>
    </w:p>
    <w:p w14:paraId="5A9EE7D6">
      <w:pPr>
        <w:widowControl/>
        <w:numPr>
          <w:ilvl w:val="0"/>
          <w:numId w:val="10"/>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样品组应与上述重复性研究相同。</w:t>
      </w:r>
    </w:p>
    <w:p w14:paraId="256E28A6">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CLSI文件，EP15-A2</w:t>
      </w:r>
      <w:r>
        <w:fldChar w:fldCharType="begin"/>
      </w:r>
      <w:r>
        <w:instrText xml:space="preserve"> HYPERLINK "http://www.fda.gov/MedicalDevices/DeviceRegulationandGuidance/GuidanceDocuments/ucm180308.htm" \l "ft16" </w:instrText>
      </w:r>
      <w:r>
        <w:fldChar w:fldCharType="separate"/>
      </w:r>
      <w:r>
        <w:rPr>
          <w:rFonts w:ascii="Arial" w:hAnsi="Arial" w:eastAsia="宋体" w:cs="Arial"/>
          <w:color w:val="800080"/>
          <w:kern w:val="0"/>
          <w:sz w:val="24"/>
          <w:szCs w:val="24"/>
          <w:u w:val="single"/>
          <w:vertAlign w:val="superscript"/>
        </w:rPr>
        <w:t>16</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，包含了关于再现性研究设计的附加信息。</w:t>
      </w:r>
    </w:p>
    <w:p w14:paraId="0193B318">
      <w:pPr>
        <w:widowControl/>
        <w:snapToGrid w:val="0"/>
        <w:spacing w:line="300" w:lineRule="auto"/>
        <w:outlineLvl w:val="4"/>
        <w:rPr>
          <w:rFonts w:ascii="Arial" w:hAnsi="Arial" w:eastAsia="宋体" w:cs="Arial"/>
          <w:b/>
          <w:bCs/>
          <w:color w:val="000000"/>
          <w:kern w:val="0"/>
          <w:sz w:val="24"/>
          <w:szCs w:val="24"/>
        </w:rPr>
      </w:pPr>
      <w:r>
        <w:rPr>
          <w:rFonts w:ascii="Arial" w:hAnsi="Arial" w:eastAsia="宋体" w:cs="Arial"/>
          <w:b/>
          <w:bCs/>
          <w:color w:val="000000"/>
          <w:kern w:val="0"/>
          <w:sz w:val="24"/>
          <w:szCs w:val="24"/>
        </w:rPr>
        <w:t>6.F.iv</w:t>
      </w:r>
      <w:r>
        <w:rPr>
          <w:rFonts w:ascii="Arial" w:hAnsi="Arial" w:eastAsia="宋体" w:cs="Arial"/>
          <w:b/>
          <w:bCs/>
          <w:color w:val="000000"/>
          <w:kern w:val="0"/>
          <w:sz w:val="28"/>
          <w:szCs w:val="28"/>
        </w:rPr>
        <w:t>残留物/交叉污染研究（用于多样品测定和需要仪器测定的器械）</w:t>
      </w:r>
    </w:p>
    <w:p w14:paraId="2622651B">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贵公司需证明该器械不会发生残留物和交叉污染（包括核酸提取方法）。</w:t>
      </w:r>
      <w:r>
        <w:rPr>
          <w:rFonts w:ascii="Arial" w:hAnsi="Arial" w:eastAsia="宋体" w:cs="Arial"/>
          <w:sz w:val="24"/>
          <w:szCs w:val="24"/>
        </w:rPr>
        <w:t>在残留物和交叉污染研究中，应按照该器械的操作功能将强阳性样品与强阴性样品交替运行，且强阳性样品与强阴性样品交替运行的次数不应低于5次。研究使用的强阳性样品应来自预期使用人群的患者样本，有足够高的检出率(超过95%或更高)；强阴性样品中待测物的浓度应低于临界值，且复测的阴性率约95%。可以通过在残留物研究中的强阴性样品的阴性结果检出率与95％进行对比，以评估残留物和交叉污染的影响</w:t>
      </w:r>
      <w:r>
        <w:fldChar w:fldCharType="begin"/>
      </w:r>
      <w:r>
        <w:instrText xml:space="preserve"> HYPERLINK "http://www.fda.gov/MedicalDevices/DeviceRegulationandGuidance/GuidanceDocuments/ucm180308.htm" \l "ft17" </w:instrText>
      </w:r>
      <w:r>
        <w:fldChar w:fldCharType="separate"/>
      </w:r>
      <w:r>
        <w:rPr>
          <w:rFonts w:ascii="Arial" w:hAnsi="Arial" w:eastAsia="宋体" w:cs="Arial"/>
          <w:color w:val="800080"/>
          <w:kern w:val="0"/>
          <w:sz w:val="24"/>
          <w:szCs w:val="24"/>
          <w:u w:val="single"/>
          <w:vertAlign w:val="superscript"/>
        </w:rPr>
        <w:t>17</w:t>
      </w:r>
      <w:r>
        <w:rPr>
          <w:rFonts w:ascii="Arial" w:hAnsi="Arial" w:eastAsia="宋体" w:cs="Arial"/>
          <w:color w:val="800080"/>
          <w:kern w:val="0"/>
          <w:sz w:val="24"/>
          <w:szCs w:val="24"/>
          <w:u w:val="single"/>
          <w:vertAlign w:val="superscript"/>
        </w:rPr>
        <w:fldChar w:fldCharType="end"/>
      </w:r>
      <w:r>
        <w:rPr>
          <w:rFonts w:ascii="Arial" w:hAnsi="Arial" w:eastAsia="宋体" w:cs="Arial"/>
          <w:sz w:val="24"/>
          <w:szCs w:val="24"/>
        </w:rPr>
        <w:t>。</w:t>
      </w:r>
    </w:p>
    <w:p w14:paraId="7EA60145">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6.G临床研究</w:t>
      </w:r>
    </w:p>
    <w:p w14:paraId="56FEFAF5">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建议贵公司进行预期临床研究，以确定该器械对标签中载明的所有样本类型的检测性能。应预期地收集和检测来自代表预期使用人群的个体样本，即具有急性呼吸道感染体征和症状的样本。对每个临床研究的方案进行描述（包括纳入和排除标准），纳入研究的样品数量应充足，以使结果具有统计学意义和临床​​意义。最好选择新鲜样本，然而，如果可以证明与新鲜样本的测定相比，冷冻或其他保存技术不会改变器械的性能；如果选择适当的留存方式，并采取适当的措施来确定和消除或减轻所研究的试剂盒的任何偏差，则可以采用预先收集的留存样本</w:t>
      </w:r>
      <w:r>
        <w:fldChar w:fldCharType="begin"/>
      </w:r>
      <w:r>
        <w:instrText xml:space="preserve"> HYPERLINK "http://www.fda.gov/MedicalDevices/DeviceRegulationandGuidance/GuidanceDocuments/ucm180308.htm" \l "ft18" </w:instrText>
      </w:r>
      <w:r>
        <w:fldChar w:fldCharType="separate"/>
      </w:r>
      <w:r>
        <w:rPr>
          <w:rFonts w:ascii="Arial" w:hAnsi="Arial" w:eastAsia="宋体" w:cs="Arial"/>
          <w:color w:val="800080"/>
          <w:kern w:val="0"/>
          <w:sz w:val="24"/>
          <w:szCs w:val="24"/>
          <w:u w:val="single"/>
          <w:vertAlign w:val="superscript"/>
        </w:rPr>
        <w:t>18</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如果使用在新鲜样本上进行病毒培养后留存的样本来评估测定，则应确保样本未经选择性地使用（即，仍应以预期方式检测所有样本）。此外，样品应该设盲以避免检测偏差。如果对新鲜和留存/冷冻样品均进行检测，则应对这两组的数据分别进行分析。鼓励申请者与FDA联系，请求审查其所提出的研究。</w:t>
      </w:r>
    </w:p>
    <w:p w14:paraId="02E8A309">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我们建议贵公司采用预定算法(使用复合参考方法)来评估和比较该器械的性能，复合参考方法应包括实验室结果，如：</w:t>
      </w:r>
    </w:p>
    <w:p w14:paraId="62593266">
      <w:pPr>
        <w:widowControl/>
        <w:numPr>
          <w:ilvl w:val="0"/>
          <w:numId w:val="11"/>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先进行经过良好表征和验证的核酸扩增试验（NAAT），再进行双向测序分析，以检测来自呼吸道样本的hMPV RNA。NAAT测定应利用引物产生的不同hMPV基因组区域(与申请器械不同)的扩增子，双向测序应在扩增子的两条链上进行，且所产生的序列应具有可接受的质量（通过PHRED或类似的软件包测量的质量得分为40或更高），并与参考序列或共有序列匹配</w:t>
      </w:r>
      <w:r>
        <w:fldChar w:fldCharType="begin"/>
      </w:r>
      <w:r>
        <w:instrText xml:space="preserve"> HYPERLINK "http://www.fda.gov/MedicalDevices/DeviceRegulationandGuidance/GuidanceDocuments/ucm180308.htm" \l "ft19" </w:instrText>
      </w:r>
      <w:r>
        <w:fldChar w:fldCharType="separate"/>
      </w:r>
      <w:r>
        <w:rPr>
          <w:rFonts w:ascii="Arial" w:hAnsi="Arial" w:eastAsia="宋体" w:cs="Arial"/>
          <w:color w:val="800080"/>
          <w:kern w:val="0"/>
          <w:sz w:val="24"/>
          <w:szCs w:val="24"/>
          <w:u w:val="single"/>
          <w:vertAlign w:val="superscript"/>
        </w:rPr>
        <w:t>19</w:t>
      </w:r>
      <w:r>
        <w:rPr>
          <w:rFonts w:ascii="Arial" w:hAnsi="Arial" w:eastAsia="宋体" w:cs="Arial"/>
          <w:color w:val="800080"/>
          <w:kern w:val="0"/>
          <w:sz w:val="24"/>
          <w:szCs w:val="24"/>
          <w:u w:val="single"/>
          <w:vertAlign w:val="superscript"/>
        </w:rPr>
        <w:fldChar w:fldCharType="end"/>
      </w:r>
      <w:r>
        <w:rPr>
          <w:rFonts w:ascii="Arial" w:hAnsi="Arial" w:eastAsia="宋体" w:cs="Arial"/>
          <w:color w:val="800080"/>
          <w:kern w:val="0"/>
          <w:sz w:val="24"/>
          <w:szCs w:val="24"/>
          <w:u w:val="single"/>
          <w:vertAlign w:val="superscript"/>
        </w:rPr>
        <w:t>，</w:t>
      </w:r>
      <w:r>
        <w:fldChar w:fldCharType="begin"/>
      </w:r>
      <w:r>
        <w:instrText xml:space="preserve"> HYPERLINK "http://www.fda.gov/MedicalDevices/DeviceRegulationandGuidance/GuidanceDocuments/ucm180308.htm" \l "ft20" </w:instrText>
      </w:r>
      <w:r>
        <w:fldChar w:fldCharType="separate"/>
      </w:r>
      <w:r>
        <w:rPr>
          <w:rFonts w:ascii="Arial" w:hAnsi="Arial" w:eastAsia="宋体" w:cs="Arial"/>
          <w:color w:val="800080"/>
          <w:kern w:val="0"/>
          <w:sz w:val="24"/>
          <w:szCs w:val="24"/>
          <w:u w:val="single"/>
          <w:vertAlign w:val="superscript"/>
        </w:rPr>
        <w:t>20</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w:t>
      </w:r>
    </w:p>
    <w:p w14:paraId="01FEC4B3">
      <w:pPr>
        <w:widowControl/>
        <w:numPr>
          <w:ilvl w:val="0"/>
          <w:numId w:val="12"/>
        </w:numPr>
        <w:tabs>
          <w:tab w:val="clear" w:pos="720"/>
        </w:tabs>
        <w:snapToGrid w:val="0"/>
        <w:spacing w:line="300" w:lineRule="auto"/>
        <w:ind w:left="432" w:hanging="432" w:hangingChars="180"/>
        <w:rPr>
          <w:rFonts w:ascii="Arial" w:hAnsi="Arial" w:eastAsia="宋体" w:cs="Arial"/>
          <w:color w:val="000000"/>
          <w:kern w:val="0"/>
          <w:sz w:val="24"/>
          <w:szCs w:val="24"/>
        </w:rPr>
      </w:pPr>
      <w:r>
        <w:rPr>
          <w:rFonts w:ascii="Arial" w:hAnsi="Arial" w:eastAsia="宋体" w:cs="Arial"/>
          <w:color w:val="000000"/>
          <w:kern w:val="0"/>
          <w:sz w:val="24"/>
          <w:szCs w:val="24"/>
        </w:rPr>
        <w:t>通过良好表征的细胞培养测定法，从呼吸道样本中分离hMPV，随后使用经良好表征的hMPV特异性抗体或经良好表征并经验证的核酸扩增测定，再通过双向测序分析，从细胞培养物中检测hMPV。</w:t>
      </w:r>
    </w:p>
    <w:p w14:paraId="6D487C7E">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NAAT的分析性能及后续的测序分析参比测定方法，应通过分析灵敏度（LoD）和反应性研究(如本特殊控制指南“性能特征”部分的描述)来建立（见第6.F.1部分-分析灵敏度）。</w:t>
      </w:r>
    </w:p>
    <w:p w14:paraId="32A4C06C">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在临床检测之前，应对用于建立和描述NAAT的性能及后续测序分析参比测定的文献和/或其他验证数据进行评估。应向食品药品监督管理局提交来自文献的验证数据，以证明NAAT及后续测序分析参比测定的引物选择。该资料很重要，可用以证明该参比测定针对hMPV基因组保守区域的靶向性，并在检测hMPV毒株时有广泛的反应性。作为上市前申请的一部分，引物序列、基因组的靶区域、BLAST结果和序列比对，也应提交至食品药品监督管理局审查。适当的控制，包括具有低病毒基因组拷贝数的阳性控制，阴性控制和单独的抑制控制措施，应整合到每个NAAT产品中，然后进行测序分析的参比测定。</w:t>
      </w:r>
    </w:p>
    <w:p w14:paraId="22BBE2CA">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hMPV细胞培养测定的分析性能也应通过分析灵敏度（LoD）和反应性研究来确立，如本特殊控制指南的“性能特征”部分所述（见上文第6.F.i部分）。为了达到病毒复苏和检测的理想状态，样本必须迅速地运送到实验室，不能用冷冻样本进行培养。在临床检测之前，应对用于建立和描述hMPV细胞培养测定的性能的文献和/或其他验证数据进行评估。应向食品药品监督管理局提交来自文献的验证数据以证明所使用的细胞株的选择、生长条件和接种后的生长期。该资料很重要，用来证明特定的细胞培养测定可以有效和高效地从临床样本中分离出多种hMPV毒株，并向食品药品监督管理局提供科学出版物和/或实验室数据的支持信息，以证明在培养物中检测hMPV时，抗体是如何被验证的。细胞培养测定方案，包括在培养测定中使用的控制，也应是上市前申请的一部分，建议在细胞培养测定中包括具有低病毒滴度的阳性控制和阴性控制。</w:t>
      </w:r>
    </w:p>
    <w:p w14:paraId="6EDE608C">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贵公司可以联系食品药品监督管理局以获取关于建立预定算法(使用复合参考方法)的更多信息。</w:t>
      </w:r>
    </w:p>
    <w:p w14:paraId="22FF65C0">
      <w:pPr>
        <w:widowControl/>
        <w:snapToGrid w:val="0"/>
        <w:spacing w:line="300" w:lineRule="auto"/>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6.G.i研究方案</w:t>
      </w:r>
    </w:p>
    <w:p w14:paraId="3EEA59BA">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贵公司应制定详细的研究方案，包括患者纳入和排除标准，所需的样本类型和数量，使用说明，以及统计分析计划，需考虑方差以防止数据偏差。我们建议在上市前申请资料中包括此项和其他相关的方案信息。</w:t>
      </w:r>
    </w:p>
    <w:p w14:paraId="622A4461">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鼓励申办者联系食品药品监督管理局的微生物学器械部，请求对所提出的研究和样本类型的选择进行审查，这被称为前IDE程序。我们特别鼓励制造商在样品难以获得时或申办者首次计划提交上市前通告时，寻求这种类型的讨论。</w:t>
      </w:r>
    </w:p>
    <w:p w14:paraId="06F95E26">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68CEA0FF">
      <w:pPr>
        <w:widowControl/>
        <w:snapToGrid w:val="0"/>
        <w:spacing w:line="300" w:lineRule="auto"/>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6.G.ii样本类型</w:t>
      </w:r>
    </w:p>
    <w:p w14:paraId="0773F995">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研究中用于证实可以从呼吸道样本中检出hMPV的样品总数，取决于病毒的患病率和检测的性能。</w:t>
      </w:r>
    </w:p>
    <w:p w14:paraId="25C160BE">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对于从呼吸道样本中检测hMPV的器械，我们建议每种样本类型应包括足够数量的预先收集的样本，以证明对于申请中所要求的各种样本类型，检出结果的灵敏度下限至少为90%(双侧95%CI)，大于80%。所有的hMPV检测器械，均应证明特异性下限(双侧95%CI)超过90%。</w:t>
      </w:r>
    </w:p>
    <w:p w14:paraId="68D1A8D6">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如果对选择合适的样品类型和数量有疑问，请联系食品药品监督管理局。</w:t>
      </w:r>
    </w:p>
    <w:p w14:paraId="3BB87FD4">
      <w:pPr>
        <w:widowControl/>
        <w:snapToGrid w:val="0"/>
        <w:spacing w:line="300" w:lineRule="auto"/>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6.G.iii研究中心</w:t>
      </w:r>
    </w:p>
    <w:p w14:paraId="61B86067">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建议至少在三个不同地理位置的中心进行研究，这些中心代表了该器械最终使用的检测环境（例如，临床实验室），并由临床实际使用该检测产品的人员进行操作。研究中心中至少有一个在美国，研究中心之一为公司内部。</w:t>
      </w:r>
    </w:p>
    <w:p w14:paraId="07D94E50">
      <w:pPr>
        <w:widowControl/>
        <w:snapToGrid w:val="0"/>
        <w:spacing w:line="300" w:lineRule="auto"/>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6.G.iv研究人群</w:t>
      </w:r>
    </w:p>
    <w:p w14:paraId="05E7EB73">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贵公司应选择具有急性呼吸道感染体征和症状的人群作为研究对象，并在临床研究中纳入各个年龄组的样本，提供按年龄段分层的数据（例如，小于5岁，6-21岁，22-59岁和大于60岁）以及总体数据汇总表。</w:t>
      </w:r>
    </w:p>
    <w:p w14:paraId="59F96CB5">
      <w:pPr>
        <w:widowControl/>
        <w:snapToGrid w:val="0"/>
        <w:spacing w:line="300" w:lineRule="auto"/>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6.G.v临床研究结果的陈述</w:t>
      </w:r>
    </w:p>
    <w:p w14:paraId="22E6E489">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在510（k）中，贵公司应描述如何选择样本，以及排除样本的原因。</w:t>
      </w:r>
      <w:r>
        <w:rPr>
          <w:rFonts w:ascii="Arial" w:hAnsi="Arial" w:eastAsia="宋体" w:cs="Arial"/>
          <w:color w:val="000000"/>
          <w:kern w:val="0"/>
          <w:sz w:val="24"/>
          <w:szCs w:val="24"/>
        </w:rPr>
        <w:br w:type="textWrapping"/>
      </w:r>
      <w:r>
        <w:rPr>
          <w:rFonts w:ascii="Arial" w:hAnsi="Arial" w:eastAsia="宋体" w:cs="Arial"/>
          <w:color w:val="000000"/>
          <w:kern w:val="0"/>
          <w:sz w:val="24"/>
          <w:szCs w:val="24"/>
        </w:rPr>
        <w:t>首先，应分别分析并列出来自每个研究中心的数据，以评估任何中心间的方差，并将分析结果包括在510（k）中。如果可以证明在不同中心的结果间或人群间没有显著的统计学差异或临床差异，则可以在包装说明书中将各个中心的临床研究结果进行合并。</w:t>
      </w:r>
      <w:r>
        <w:rPr>
          <w:rFonts w:ascii="Arial" w:hAnsi="Arial" w:eastAsia="宋体" w:cs="Arial"/>
          <w:color w:val="000000"/>
          <w:kern w:val="0"/>
          <w:sz w:val="24"/>
          <w:szCs w:val="24"/>
        </w:rPr>
        <w:br w:type="textWrapping"/>
      </w:r>
      <w:r>
        <w:rPr>
          <w:rFonts w:ascii="Arial" w:hAnsi="Arial" w:eastAsia="宋体" w:cs="Arial"/>
          <w:color w:val="000000"/>
          <w:kern w:val="0"/>
          <w:sz w:val="24"/>
          <w:szCs w:val="24"/>
        </w:rPr>
        <w:t>我们建议对新鲜的预期临床样品的结果和预先收集的留存样本(冻存)的结果分别进行分析和列出，前者用以评估“实验室诊断真值”（通过使用了复合参考方法的预定算法确定），后者用以评估“实验室诊断真值”。</w:t>
      </w:r>
    </w:p>
    <w:p w14:paraId="0D4D1A4E">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我们建议提供行数据，包括在临床研究期间每日的外部控制检测数据。贵公司应提交电子资料，可以使用Microsoft EXCEL、分隔的文本文件或SAS文件。</w:t>
      </w:r>
    </w:p>
    <w:p w14:paraId="10875070">
      <w:pPr>
        <w:widowControl/>
        <w:snapToGrid w:val="0"/>
        <w:spacing w:line="300" w:lineRule="auto"/>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6.G.vi患病率（预期值）</w:t>
      </w:r>
    </w:p>
    <w:p w14:paraId="07861FD1">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贵公司应确定来自临床研究中心的相关患者人群中的hMPV患病率，这些患者表现出与急性呼吸道感染相符的体征和症状。贵公司应按照统计学确定的数量，对代表预期用途的样本进行检测，包括特定的样本矩阵（ces）。贵公司应根据该新器械的性能提供这些结果，并根据年龄组（婴儿&lt;1岁，儿童1-5岁,6-10岁,11-15岁,16-21岁和成人&gt; 18岁）和性别来概述人群分布。</w:t>
      </w:r>
    </w:p>
    <w:p w14:paraId="64349CBF">
      <w:pPr>
        <w:widowControl/>
        <w:snapToGrid w:val="0"/>
        <w:spacing w:line="300" w:lineRule="auto"/>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7. 标签</w:t>
      </w:r>
    </w:p>
    <w:p w14:paraId="2C4732F9">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人类偏肺病毒（hMPV）RNA检测系统，</w:t>
      </w:r>
      <w:r>
        <w:rPr>
          <w:rFonts w:ascii="Arial" w:hAnsi="Arial" w:eastAsia="宋体" w:cs="Arial"/>
          <w:sz w:val="24"/>
          <w:szCs w:val="24"/>
        </w:rPr>
        <w:t>与其它器械一样，受制于对标签的法定要求（FD&amp;C法案第502（a）部分，第201（n）部分；21 USC§352（a），321（n））。这些IVD器械的标签必须提供充分的使用说明和充分的警告和注意事项。（第502（f）部分; 21 USC§352（f））。在21 CFR 809.10中提出了对于所有IVD器械的特定标签要求，亦见于</w:t>
      </w:r>
      <w:r>
        <w:rPr>
          <w:rFonts w:ascii="Arial" w:hAnsi="Arial" w:eastAsia="宋体" w:cs="Arial"/>
          <w:color w:val="000000"/>
          <w:kern w:val="0"/>
          <w:sz w:val="24"/>
          <w:szCs w:val="24"/>
        </w:rPr>
        <w:t>21 CFR § 801.119(标签内容符合21 CFR 809.10的IVDs，被视为可满足第502(f)(1)</w:t>
      </w:r>
      <w:r>
        <w:rPr>
          <w:rFonts w:ascii="Arial" w:hAnsi="Arial" w:eastAsia="宋体" w:cs="Arial"/>
          <w:sz w:val="24"/>
          <w:szCs w:val="24"/>
        </w:rPr>
        <w:t xml:space="preserve"> 部分的要求</w:t>
      </w:r>
      <w:r>
        <w:rPr>
          <w:rFonts w:ascii="Arial" w:hAnsi="Arial" w:eastAsia="宋体" w:cs="Arial"/>
          <w:color w:val="000000"/>
          <w:kern w:val="0"/>
          <w:sz w:val="24"/>
          <w:szCs w:val="24"/>
        </w:rPr>
        <w:t>）</w:t>
      </w:r>
      <w:r>
        <w:rPr>
          <w:rFonts w:ascii="Arial" w:hAnsi="Arial" w:eastAsia="宋体" w:cs="Arial"/>
          <w:sz w:val="24"/>
          <w:szCs w:val="24"/>
        </w:rPr>
        <w:t>。</w:t>
      </w:r>
    </w:p>
    <w:p w14:paraId="4F012CE4">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虽然通过510（k）时不要求有最终标签，但</w:t>
      </w:r>
      <w:r>
        <w:rPr>
          <w:rFonts w:ascii="Arial" w:hAnsi="Arial" w:eastAsia="宋体" w:cs="Arial"/>
          <w:sz w:val="24"/>
          <w:szCs w:val="24"/>
        </w:rPr>
        <w:t>体外诊断器械的最终标签在产品进入州际贸易之前必须符合21 CFR 809.10的要求。</w:t>
      </w:r>
    </w:p>
    <w:p w14:paraId="6DCDE7BE">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为了</w:t>
      </w:r>
      <w:r>
        <w:rPr>
          <w:rFonts w:ascii="Arial" w:hAnsi="Arial" w:eastAsia="宋体" w:cs="Arial"/>
          <w:sz w:val="24"/>
          <w:szCs w:val="24"/>
        </w:rPr>
        <w:t>确保符合FD&amp;C法案第502部分和21 C.F.R. 809.10，</w:t>
      </w:r>
      <w:r>
        <w:rPr>
          <w:rFonts w:ascii="Arial" w:hAnsi="Arial" w:eastAsia="宋体" w:cs="Arial"/>
          <w:color w:val="000000"/>
          <w:kern w:val="0"/>
          <w:sz w:val="24"/>
          <w:szCs w:val="24"/>
        </w:rPr>
        <w:t>食品药品监督管理局</w:t>
      </w:r>
      <w:r>
        <w:rPr>
          <w:rFonts w:ascii="Arial" w:hAnsi="Arial" w:eastAsia="宋体" w:cs="Arial"/>
          <w:sz w:val="24"/>
          <w:szCs w:val="24"/>
        </w:rPr>
        <w:t>建议在这些器械</w:t>
      </w:r>
      <w:r>
        <w:rPr>
          <w:rFonts w:ascii="Arial" w:hAnsi="Arial" w:eastAsia="宋体" w:cs="Arial"/>
          <w:color w:val="000000"/>
          <w:kern w:val="0"/>
          <w:sz w:val="24"/>
          <w:szCs w:val="24"/>
        </w:rPr>
        <w:t>（检测和鉴定hMPV核酸的呼吸道病毒板多重核酸检测产品）</w:t>
      </w:r>
      <w:r>
        <w:rPr>
          <w:rFonts w:ascii="Arial" w:hAnsi="Arial" w:eastAsia="宋体" w:cs="Arial"/>
          <w:sz w:val="24"/>
          <w:szCs w:val="24"/>
        </w:rPr>
        <w:t>的标签中说明以下规定的项目</w:t>
      </w:r>
      <w:r>
        <w:rPr>
          <w:rFonts w:ascii="Arial" w:hAnsi="Arial" w:eastAsia="宋体" w:cs="Arial"/>
          <w:color w:val="000000"/>
          <w:kern w:val="0"/>
          <w:sz w:val="24"/>
          <w:szCs w:val="24"/>
        </w:rPr>
        <w:t>。</w:t>
      </w:r>
      <w:r>
        <w:rPr>
          <w:rFonts w:ascii="Arial" w:hAnsi="Arial" w:eastAsia="宋体" w:cs="Arial"/>
          <w:sz w:val="24"/>
          <w:szCs w:val="24"/>
        </w:rPr>
        <w:t>这些标签建议还有助于降低本指南中已事先确定的风险，从而确保安全有效地使用这些器械</w:t>
      </w:r>
      <w:r>
        <w:rPr>
          <w:rFonts w:ascii="Arial" w:hAnsi="Arial" w:eastAsia="宋体" w:cs="Arial"/>
          <w:color w:val="000000"/>
          <w:kern w:val="0"/>
          <w:sz w:val="24"/>
          <w:szCs w:val="24"/>
        </w:rPr>
        <w:t>。</w:t>
      </w:r>
    </w:p>
    <w:p w14:paraId="6D3E19A9">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标签中应清楚地描述该器械设计用于检测的hMPV的型别、系统发育关系或其他公认的特征，以及人类感染的相关临床情况。</w:t>
      </w:r>
    </w:p>
    <w:p w14:paraId="534A55E1">
      <w:pPr>
        <w:widowControl/>
        <w:snapToGrid w:val="0"/>
        <w:spacing w:line="300" w:lineRule="auto"/>
        <w:outlineLvl w:val="3"/>
        <w:rPr>
          <w:rFonts w:ascii="Arial" w:hAnsi="Arial" w:eastAsia="宋体" w:cs="Arial"/>
          <w:b/>
          <w:bCs/>
          <w:color w:val="000000"/>
          <w:kern w:val="0"/>
          <w:sz w:val="24"/>
          <w:szCs w:val="24"/>
        </w:rPr>
      </w:pPr>
      <w:r>
        <w:rPr>
          <w:rFonts w:ascii="Arial" w:hAnsi="Arial" w:eastAsia="宋体" w:cs="Arial"/>
          <w:b/>
          <w:bCs/>
          <w:color w:val="000000"/>
          <w:kern w:val="0"/>
          <w:sz w:val="24"/>
          <w:szCs w:val="24"/>
        </w:rPr>
        <w:t>预期用途</w:t>
      </w:r>
    </w:p>
    <w:p w14:paraId="04E75A9A">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除了描述被检测的待测物的特定元素，预期用途中应明确适应症，用于检测来自具有急性呼吸道感染体征和症状的患者呼吸道样本，预期用途还应规定该设备应与其他实验室测试和临床观察结合使用。食品药品监督管理局还建议通过声明来澄清预期用途，例如：</w:t>
      </w:r>
    </w:p>
    <w:p w14:paraId="28939DC5">
      <w:pPr>
        <w:widowControl/>
        <w:snapToGrid w:val="0"/>
        <w:spacing w:line="300" w:lineRule="auto"/>
        <w:rPr>
          <w:rFonts w:ascii="Arial" w:hAnsi="Arial" w:eastAsia="宋体" w:cs="Arial"/>
          <w:i/>
          <w:color w:val="000000"/>
          <w:kern w:val="0"/>
          <w:sz w:val="24"/>
          <w:szCs w:val="24"/>
        </w:rPr>
      </w:pPr>
      <w:r>
        <w:rPr>
          <w:rFonts w:ascii="Arial" w:hAnsi="Arial" w:eastAsia="宋体" w:cs="Arial"/>
          <w:i/>
          <w:color w:val="000000"/>
          <w:kern w:val="0"/>
          <w:sz w:val="24"/>
          <w:szCs w:val="24"/>
        </w:rPr>
        <w:t>从表现出急性呼吸道感染体征和症状的患者呼吸道样本中检测和鉴定</w:t>
      </w:r>
      <w:r>
        <w:rPr>
          <w:rFonts w:ascii="Arial" w:hAnsi="Arial" w:eastAsia="宋体" w:cs="Arial"/>
          <w:i/>
          <w:iCs/>
          <w:color w:val="000000"/>
          <w:kern w:val="0"/>
          <w:sz w:val="24"/>
          <w:szCs w:val="24"/>
        </w:rPr>
        <w:t>hMPV RNA</w:t>
      </w:r>
      <w:r>
        <w:rPr>
          <w:rFonts w:ascii="Arial" w:hAnsi="Arial" w:eastAsia="宋体" w:cs="Arial"/>
          <w:i/>
          <w:color w:val="000000"/>
          <w:kern w:val="0"/>
          <w:sz w:val="24"/>
          <w:szCs w:val="24"/>
        </w:rPr>
        <w:t>，可与其他实验室检测和临床观察相结合，以助于对呼吸道</w:t>
      </w:r>
      <w:r>
        <w:rPr>
          <w:rFonts w:ascii="Arial" w:hAnsi="Arial" w:eastAsia="宋体" w:cs="Arial"/>
          <w:i/>
          <w:iCs/>
          <w:color w:val="000000"/>
          <w:kern w:val="0"/>
          <w:sz w:val="24"/>
          <w:szCs w:val="24"/>
        </w:rPr>
        <w:t>hMPV感染的诊断</w:t>
      </w:r>
      <w:r>
        <w:rPr>
          <w:rFonts w:ascii="Arial" w:hAnsi="Arial" w:eastAsia="宋体" w:cs="Arial"/>
          <w:i/>
          <w:color w:val="000000"/>
          <w:kern w:val="0"/>
          <w:sz w:val="24"/>
          <w:szCs w:val="24"/>
        </w:rPr>
        <w:t>。</w:t>
      </w:r>
    </w:p>
    <w:p w14:paraId="234E1F13">
      <w:pPr>
        <w:widowControl/>
        <w:snapToGrid w:val="0"/>
        <w:spacing w:line="300" w:lineRule="auto"/>
        <w:rPr>
          <w:rFonts w:ascii="Arial" w:hAnsi="Arial" w:eastAsia="宋体" w:cs="Arial"/>
          <w:i/>
          <w:color w:val="000000"/>
          <w:kern w:val="0"/>
          <w:sz w:val="24"/>
          <w:szCs w:val="24"/>
        </w:rPr>
      </w:pPr>
      <w:r>
        <w:rPr>
          <w:rFonts w:ascii="Arial" w:hAnsi="Arial" w:eastAsia="宋体" w:cs="Arial"/>
          <w:i/>
          <w:color w:val="000000"/>
          <w:kern w:val="0"/>
          <w:sz w:val="24"/>
          <w:szCs w:val="24"/>
        </w:rPr>
        <w:t>阴性结果不能排除</w:t>
      </w:r>
      <w:r>
        <w:rPr>
          <w:rFonts w:ascii="Arial" w:hAnsi="Arial" w:eastAsia="宋体" w:cs="Arial"/>
          <w:i/>
          <w:iCs/>
          <w:color w:val="000000"/>
          <w:kern w:val="0"/>
          <w:sz w:val="24"/>
          <w:szCs w:val="24"/>
        </w:rPr>
        <w:t>hMPV</w:t>
      </w:r>
      <w:r>
        <w:rPr>
          <w:rFonts w:ascii="Arial" w:hAnsi="Arial" w:eastAsia="宋体" w:cs="Arial"/>
          <w:i/>
          <w:color w:val="000000"/>
          <w:kern w:val="0"/>
          <w:sz w:val="24"/>
          <w:szCs w:val="24"/>
        </w:rPr>
        <w:t>感染，不应该作为治疗或做出其他患者管理决定的唯一基础。</w:t>
      </w:r>
    </w:p>
    <w:p w14:paraId="3AD80D00">
      <w:pPr>
        <w:widowControl/>
        <w:snapToGrid w:val="0"/>
        <w:spacing w:before="78" w:after="78" w:line="300" w:lineRule="auto"/>
        <w:rPr>
          <w:rFonts w:ascii="Arial" w:hAnsi="Arial" w:eastAsia="宋体" w:cs="Arial"/>
          <w:i/>
          <w:color w:val="000000"/>
          <w:kern w:val="0"/>
          <w:sz w:val="24"/>
          <w:szCs w:val="24"/>
        </w:rPr>
      </w:pPr>
      <w:r>
        <w:rPr>
          <w:rFonts w:ascii="Arial" w:hAnsi="Arial" w:eastAsia="宋体" w:cs="Arial"/>
          <w:i/>
          <w:color w:val="000000"/>
          <w:kern w:val="0"/>
          <w:sz w:val="24"/>
          <w:szCs w:val="24"/>
        </w:rPr>
        <w:t>阳性结果不能排除细菌感染，或与其他病毒的合并感染。</w:t>
      </w:r>
    </w:p>
    <w:p w14:paraId="22C63301">
      <w:pPr>
        <w:widowControl/>
        <w:snapToGrid w:val="0"/>
        <w:spacing w:before="78" w:line="300" w:lineRule="auto"/>
        <w:rPr>
          <w:rFonts w:ascii="Arial" w:hAnsi="Arial" w:eastAsia="宋体" w:cs="Arial"/>
          <w:i/>
          <w:color w:val="000000"/>
          <w:kern w:val="0"/>
          <w:sz w:val="24"/>
          <w:szCs w:val="24"/>
        </w:rPr>
      </w:pPr>
      <w:r>
        <w:rPr>
          <w:rFonts w:ascii="Arial" w:hAnsi="Arial" w:eastAsia="宋体" w:cs="Arial"/>
          <w:i/>
          <w:color w:val="000000"/>
          <w:kern w:val="0"/>
          <w:sz w:val="24"/>
          <w:szCs w:val="24"/>
        </w:rPr>
        <w:t>检出的hMPV RNA可能不是疾病的确切原因，必须考虑使用额外的实验室检测（例如细菌培养、免疫荧光、x射线结果等）并结合临床表现，以获得hMPV感染的最终诊断。</w:t>
      </w:r>
    </w:p>
    <w:p w14:paraId="0AC8AC59">
      <w:pPr>
        <w:widowControl/>
        <w:snapToGrid w:val="0"/>
        <w:spacing w:line="300" w:lineRule="auto"/>
        <w:outlineLvl w:val="3"/>
        <w:rPr>
          <w:rFonts w:ascii="Arial" w:hAnsi="Arial" w:eastAsia="宋体" w:cs="Arial"/>
          <w:b/>
          <w:bCs/>
          <w:color w:val="000000"/>
          <w:kern w:val="0"/>
          <w:sz w:val="24"/>
          <w:szCs w:val="24"/>
        </w:rPr>
      </w:pPr>
      <w:r>
        <w:rPr>
          <w:rFonts w:ascii="Arial" w:hAnsi="Arial" w:eastAsia="宋体" w:cs="Arial"/>
          <w:b/>
          <w:bCs/>
          <w:color w:val="000000"/>
          <w:kern w:val="0"/>
          <w:sz w:val="24"/>
          <w:szCs w:val="24"/>
        </w:rPr>
        <w:t>器械描述</w:t>
      </w:r>
    </w:p>
    <w:p w14:paraId="0114F802">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在器械描述中，贵公司应简要描述此类型器械所使用的检测方法学。</w:t>
      </w:r>
    </w:p>
    <w:p w14:paraId="0EECADCB">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5AAFEBC1">
      <w:pPr>
        <w:widowControl/>
        <w:snapToGrid w:val="0"/>
        <w:spacing w:line="300" w:lineRule="auto"/>
        <w:outlineLvl w:val="3"/>
        <w:rPr>
          <w:rFonts w:ascii="Arial" w:hAnsi="Arial" w:eastAsia="宋体" w:cs="Arial"/>
          <w:b/>
          <w:bCs/>
          <w:color w:val="000000"/>
          <w:kern w:val="0"/>
          <w:sz w:val="24"/>
          <w:szCs w:val="24"/>
        </w:rPr>
      </w:pPr>
      <w:r>
        <w:rPr>
          <w:rFonts w:ascii="Arial" w:hAnsi="Arial" w:eastAsia="宋体" w:cs="Arial"/>
          <w:b/>
          <w:bCs/>
          <w:color w:val="000000"/>
          <w:kern w:val="0"/>
          <w:sz w:val="24"/>
          <w:szCs w:val="24"/>
        </w:rPr>
        <w:t>程序</w:t>
      </w:r>
    </w:p>
    <w:p w14:paraId="08D1A378">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该部分应包括从医生采样到结果报告的整个分析程序的一般描述。</w:t>
      </w:r>
    </w:p>
    <w:p w14:paraId="6DF5D077">
      <w:pPr>
        <w:widowControl/>
        <w:snapToGrid w:val="0"/>
        <w:spacing w:line="300" w:lineRule="auto"/>
        <w:outlineLvl w:val="3"/>
        <w:rPr>
          <w:rFonts w:ascii="Arial" w:hAnsi="Arial" w:eastAsia="宋体" w:cs="Arial"/>
          <w:b/>
          <w:bCs/>
          <w:color w:val="000000"/>
          <w:kern w:val="0"/>
          <w:sz w:val="24"/>
          <w:szCs w:val="24"/>
        </w:rPr>
      </w:pPr>
      <w:r>
        <w:rPr>
          <w:rFonts w:ascii="Arial" w:hAnsi="Arial" w:eastAsia="宋体" w:cs="Arial"/>
          <w:b/>
          <w:bCs/>
          <w:color w:val="000000"/>
          <w:kern w:val="0"/>
          <w:sz w:val="24"/>
          <w:szCs w:val="24"/>
        </w:rPr>
        <w:t>使用说明</w:t>
      </w:r>
    </w:p>
    <w:p w14:paraId="043650EB">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贵公司应该提供清晰简洁的说明，描述使用该器械的程序和控制类型，以尽量减少产生不准确结果的风险。</w:t>
      </w:r>
    </w:p>
    <w:p w14:paraId="0067C6CA">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说明书应鼓励使用额外的控制措施和控制的检测，以确保以安全有效的方式使用。</w:t>
      </w:r>
    </w:p>
    <w:p w14:paraId="08A9ED7B">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如果该检测试剂中未包含用于提取和制备的试剂，应推荐并列出使用该器械时的核酸提取方法，并且这种提取方法的安全性和有效性已经过证明。贵公司应提供推荐的每种方法的名称和目录号。</w:t>
      </w:r>
    </w:p>
    <w:p w14:paraId="59BF2989">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对于需要相关辅助试剂的检测系统（见第5.C部分），应：</w:t>
      </w:r>
    </w:p>
    <w:p w14:paraId="109E3720">
      <w:pPr>
        <w:widowControl/>
        <w:numPr>
          <w:ilvl w:val="0"/>
          <w:numId w:val="13"/>
        </w:numPr>
        <w:tabs>
          <w:tab w:val="clear" w:pos="720"/>
        </w:tabs>
        <w:snapToGrid w:val="0"/>
        <w:spacing w:line="300" w:lineRule="auto"/>
        <w:ind w:left="348" w:hanging="348" w:hangingChars="145"/>
        <w:rPr>
          <w:rFonts w:ascii="Arial" w:hAnsi="Arial" w:eastAsia="宋体" w:cs="Arial"/>
          <w:color w:val="000000"/>
          <w:kern w:val="0"/>
          <w:sz w:val="24"/>
          <w:szCs w:val="24"/>
        </w:rPr>
      </w:pPr>
      <w:r>
        <w:rPr>
          <w:rFonts w:ascii="Arial" w:hAnsi="Arial" w:eastAsia="宋体" w:cs="Arial"/>
          <w:color w:val="000000"/>
          <w:kern w:val="0"/>
          <w:sz w:val="24"/>
          <w:szCs w:val="24"/>
        </w:rPr>
        <w:t>通过醒目的标签强调，正确的产品性能需要使用指定的特殊辅助试剂。在标签中应包括警告：如果无法使用指定的辅助试剂，则不能使用该器械。</w:t>
      </w:r>
    </w:p>
    <w:p w14:paraId="537A7067">
      <w:pPr>
        <w:widowControl/>
        <w:numPr>
          <w:ilvl w:val="0"/>
          <w:numId w:val="13"/>
        </w:numPr>
        <w:tabs>
          <w:tab w:val="clear" w:pos="720"/>
        </w:tabs>
        <w:snapToGrid w:val="0"/>
        <w:spacing w:line="300" w:lineRule="auto"/>
        <w:ind w:left="348" w:hanging="348" w:hangingChars="145"/>
        <w:rPr>
          <w:rFonts w:ascii="Arial" w:hAnsi="Arial" w:eastAsia="宋体" w:cs="Arial"/>
          <w:color w:val="000000"/>
          <w:kern w:val="0"/>
          <w:sz w:val="24"/>
          <w:szCs w:val="24"/>
        </w:rPr>
      </w:pPr>
      <w:r>
        <w:rPr>
          <w:rFonts w:ascii="Arial" w:hAnsi="Arial" w:eastAsia="宋体" w:cs="Arial"/>
          <w:color w:val="000000"/>
          <w:kern w:val="0"/>
          <w:sz w:val="24"/>
          <w:szCs w:val="24"/>
        </w:rPr>
        <w:t>确保用户可以清楚地识别哪些辅助试剂适合与该检测产品共同使用。例如，如果只有某些批次的指定辅助试剂适合使用，则该检测产品的标签中应明确那些批次的编号。（见21 CFR 809.10(b)(8)(ii)）</w:t>
      </w:r>
    </w:p>
    <w:p w14:paraId="0F253FE9">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标签中要求有辅助试剂，且该辅助试剂的制造商提供了使用说明书或其他警告或限制条件，则贵公司应确保用户了解该检测产品在检测系统中使用辅助试剂时应遵循的说明。如果辅助试剂制造商提供的说明和警告与该检测产品提供的使用说明之间存在冲突，则应评估并解决用户可能错误地直接遵循辅助试剂的标签内容而在检测中获得无效结果的风险。我们说明了在某些情况下，标签中的声明可能不足以解决这种冲突所造成的风险。</w:t>
      </w:r>
    </w:p>
    <w:p w14:paraId="7BC4DF5B">
      <w:pPr>
        <w:widowControl/>
        <w:snapToGrid w:val="0"/>
        <w:spacing w:line="300" w:lineRule="auto"/>
        <w:outlineLvl w:val="3"/>
        <w:rPr>
          <w:rFonts w:ascii="Arial" w:hAnsi="Arial" w:eastAsia="宋体" w:cs="Arial"/>
          <w:b/>
          <w:bCs/>
          <w:color w:val="000000"/>
          <w:kern w:val="0"/>
          <w:sz w:val="24"/>
          <w:szCs w:val="24"/>
        </w:rPr>
      </w:pPr>
      <w:r>
        <w:rPr>
          <w:rFonts w:ascii="Arial" w:hAnsi="Arial" w:eastAsia="宋体" w:cs="Arial"/>
          <w:b/>
          <w:bCs/>
          <w:color w:val="000000"/>
          <w:kern w:val="0"/>
          <w:sz w:val="24"/>
          <w:szCs w:val="24"/>
        </w:rPr>
        <w:t>质量控制</w:t>
      </w:r>
    </w:p>
    <w:p w14:paraId="79EEC402">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质量控制的建议应包括可用作额外质量控制措施的程序和材料的类型，以及质控检测可接受的预期结果。</w:t>
      </w:r>
    </w:p>
    <w:p w14:paraId="189EF4FD">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如果该器械包含有控制，则应提供控制的规格，包括病毒水平、病毒来源、灭活方法和确定无传染性的方法（如适用）。</w:t>
      </w:r>
    </w:p>
    <w:p w14:paraId="64199F3A">
      <w:pPr>
        <w:widowControl/>
        <w:snapToGrid w:val="0"/>
        <w:spacing w:line="300" w:lineRule="auto"/>
        <w:outlineLvl w:val="3"/>
        <w:rPr>
          <w:rFonts w:ascii="Arial" w:hAnsi="Arial" w:eastAsia="宋体" w:cs="Arial"/>
          <w:b/>
          <w:bCs/>
          <w:color w:val="000000"/>
          <w:kern w:val="0"/>
          <w:sz w:val="24"/>
          <w:szCs w:val="24"/>
        </w:rPr>
      </w:pPr>
      <w:r>
        <w:rPr>
          <w:rFonts w:ascii="Arial" w:hAnsi="Arial" w:eastAsia="宋体" w:cs="Arial"/>
          <w:b/>
          <w:bCs/>
          <w:color w:val="000000"/>
          <w:kern w:val="0"/>
          <w:sz w:val="24"/>
          <w:szCs w:val="24"/>
        </w:rPr>
        <w:t>注意事项，警告和局限性</w:t>
      </w:r>
    </w:p>
    <w:p w14:paraId="450DDA18">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除了与该特定检测相关的任何局限性和警告，我们建议贵公司就以下局限性提供声明（如适用）：</w:t>
      </w:r>
    </w:p>
    <w:p w14:paraId="7FCEA4CB">
      <w:pPr>
        <w:widowControl/>
        <w:numPr>
          <w:ilvl w:val="0"/>
          <w:numId w:val="13"/>
        </w:numPr>
        <w:tabs>
          <w:tab w:val="clear" w:pos="720"/>
        </w:tabs>
        <w:snapToGrid w:val="0"/>
        <w:spacing w:line="300" w:lineRule="auto"/>
        <w:ind w:left="348" w:hanging="348" w:hangingChars="145"/>
        <w:rPr>
          <w:rFonts w:ascii="Arial" w:hAnsi="Arial" w:eastAsia="宋体" w:cs="Arial"/>
          <w:color w:val="000000"/>
          <w:kern w:val="0"/>
          <w:sz w:val="24"/>
          <w:szCs w:val="24"/>
        </w:rPr>
      </w:pPr>
      <w:r>
        <w:rPr>
          <w:rFonts w:ascii="Arial" w:hAnsi="Arial" w:eastAsia="宋体" w:cs="Arial"/>
          <w:i/>
          <w:color w:val="000000"/>
          <w:kern w:val="0"/>
          <w:sz w:val="24"/>
          <w:szCs w:val="24"/>
        </w:rPr>
        <w:t>经过培训的医疗保健专业人员应该结合患者的病史、临床体征和症状以及其他诊断测试的结果来对检测结果进行解释。</w:t>
      </w:r>
    </w:p>
    <w:p w14:paraId="49A404BB">
      <w:pPr>
        <w:widowControl/>
        <w:numPr>
          <w:ilvl w:val="0"/>
          <w:numId w:val="13"/>
        </w:numPr>
        <w:tabs>
          <w:tab w:val="clear" w:pos="720"/>
        </w:tabs>
        <w:snapToGrid w:val="0"/>
        <w:spacing w:line="300" w:lineRule="auto"/>
        <w:ind w:left="348" w:hanging="348" w:hangingChars="145"/>
        <w:rPr>
          <w:rFonts w:ascii="Arial" w:hAnsi="Arial" w:eastAsia="宋体" w:cs="Arial"/>
          <w:color w:val="000000"/>
          <w:kern w:val="0"/>
          <w:sz w:val="24"/>
          <w:szCs w:val="24"/>
        </w:rPr>
      </w:pPr>
      <w:r>
        <w:rPr>
          <w:rFonts w:ascii="Arial" w:hAnsi="Arial" w:eastAsia="宋体" w:cs="Arial"/>
          <w:i/>
          <w:color w:val="000000"/>
          <w:kern w:val="0"/>
          <w:sz w:val="24"/>
          <w:szCs w:val="24"/>
        </w:rPr>
        <w:t>待测物靶标（hMPV序列）可以在体内持续存在，而与病毒的活力无关。对hMPV RNA的检测并不意味着hMPV具有传染性，也并非临床症状的致病因素。</w:t>
      </w:r>
    </w:p>
    <w:p w14:paraId="55998AC7">
      <w:pPr>
        <w:widowControl/>
        <w:numPr>
          <w:ilvl w:val="0"/>
          <w:numId w:val="13"/>
        </w:numPr>
        <w:tabs>
          <w:tab w:val="clear" w:pos="720"/>
        </w:tabs>
        <w:snapToGrid w:val="0"/>
        <w:spacing w:line="300" w:lineRule="auto"/>
        <w:ind w:left="348" w:hanging="348" w:hangingChars="145"/>
        <w:rPr>
          <w:rFonts w:ascii="Arial" w:hAnsi="Arial" w:eastAsia="宋体" w:cs="Arial"/>
          <w:i/>
          <w:color w:val="000000"/>
          <w:kern w:val="0"/>
          <w:sz w:val="24"/>
          <w:szCs w:val="24"/>
        </w:rPr>
      </w:pPr>
      <w:r>
        <w:rPr>
          <w:rFonts w:ascii="Arial" w:hAnsi="Arial" w:eastAsia="宋体" w:cs="Arial"/>
          <w:i/>
          <w:iCs/>
          <w:color w:val="000000"/>
          <w:kern w:val="0"/>
          <w:sz w:val="24"/>
          <w:szCs w:val="24"/>
        </w:rPr>
        <w:t>hMPV RNA</w:t>
      </w:r>
      <w:r>
        <w:rPr>
          <w:rFonts w:ascii="Arial" w:hAnsi="Arial" w:eastAsia="宋体" w:cs="Arial"/>
          <w:i/>
          <w:color w:val="000000"/>
          <w:kern w:val="0"/>
          <w:sz w:val="24"/>
          <w:szCs w:val="24"/>
        </w:rPr>
        <w:t>序列的检测取决于适当的样本收集，处理，转运，储存和制备（包括提取）。任何一个步骤不按正确的程序操作，都可能导致不正确的结果。由于不正确地收集、转运或处理样本，就会导致假阴性结果的风险。</w:t>
      </w:r>
    </w:p>
    <w:p w14:paraId="006B9D0C">
      <w:pPr>
        <w:widowControl/>
        <w:numPr>
          <w:ilvl w:val="0"/>
          <w:numId w:val="13"/>
        </w:numPr>
        <w:tabs>
          <w:tab w:val="clear" w:pos="720"/>
        </w:tabs>
        <w:snapToGrid w:val="0"/>
        <w:spacing w:line="300" w:lineRule="auto"/>
        <w:ind w:left="348" w:hanging="348" w:hangingChars="145"/>
        <w:rPr>
          <w:rFonts w:ascii="Arial" w:hAnsi="Arial" w:eastAsia="宋体" w:cs="Arial"/>
          <w:i/>
          <w:color w:val="000000"/>
          <w:kern w:val="0"/>
          <w:sz w:val="24"/>
          <w:szCs w:val="24"/>
        </w:rPr>
      </w:pPr>
      <w:r>
        <w:rPr>
          <w:rFonts w:ascii="Arial" w:hAnsi="Arial" w:eastAsia="宋体" w:cs="Arial"/>
          <w:i/>
          <w:color w:val="000000"/>
          <w:kern w:val="0"/>
          <w:sz w:val="24"/>
          <w:szCs w:val="24"/>
        </w:rPr>
        <w:t>假阳性结果的风险，是由于靶生物体、其核酸或扩增产物的交叉污染，或检测中非特异性信号所引起。</w:t>
      </w:r>
    </w:p>
    <w:p w14:paraId="4629BD93">
      <w:pPr>
        <w:widowControl/>
        <w:numPr>
          <w:ilvl w:val="0"/>
          <w:numId w:val="13"/>
        </w:numPr>
        <w:tabs>
          <w:tab w:val="clear" w:pos="720"/>
        </w:tabs>
        <w:snapToGrid w:val="0"/>
        <w:spacing w:line="300" w:lineRule="auto"/>
        <w:ind w:left="348" w:hanging="348" w:hangingChars="145"/>
        <w:rPr>
          <w:rFonts w:ascii="Arial" w:hAnsi="Arial" w:eastAsia="宋体" w:cs="Arial"/>
          <w:i/>
          <w:color w:val="000000"/>
          <w:kern w:val="0"/>
          <w:sz w:val="24"/>
          <w:szCs w:val="24"/>
        </w:rPr>
      </w:pPr>
      <w:r>
        <w:rPr>
          <w:rFonts w:ascii="Arial" w:hAnsi="Arial" w:eastAsia="宋体" w:cs="Arial"/>
          <w:i/>
          <w:color w:val="000000"/>
          <w:kern w:val="0"/>
          <w:sz w:val="24"/>
          <w:szCs w:val="24"/>
        </w:rPr>
        <w:t>由于测定的病毒靶标中存在hMPV序列变异型，检测时会有假阴性结果的风险。</w:t>
      </w:r>
    </w:p>
    <w:p w14:paraId="59096A96">
      <w:pPr>
        <w:widowControl/>
        <w:numPr>
          <w:ilvl w:val="0"/>
          <w:numId w:val="13"/>
        </w:numPr>
        <w:tabs>
          <w:tab w:val="clear" w:pos="720"/>
        </w:tabs>
        <w:snapToGrid w:val="0"/>
        <w:spacing w:line="300" w:lineRule="auto"/>
        <w:ind w:left="348" w:hanging="348" w:hangingChars="145"/>
        <w:rPr>
          <w:rFonts w:ascii="Arial" w:hAnsi="Arial" w:eastAsia="宋体" w:cs="Arial"/>
          <w:i/>
          <w:color w:val="000000"/>
          <w:kern w:val="0"/>
          <w:sz w:val="24"/>
          <w:szCs w:val="24"/>
        </w:rPr>
      </w:pPr>
      <w:r>
        <w:rPr>
          <w:rFonts w:ascii="Arial" w:hAnsi="Arial" w:eastAsia="宋体" w:cs="Arial"/>
          <w:i/>
          <w:color w:val="000000"/>
          <w:kern w:val="0"/>
          <w:sz w:val="24"/>
          <w:szCs w:val="24"/>
        </w:rPr>
        <w:t>在免疫功能不全的患者中尚未确立该检测产品的性能。</w:t>
      </w:r>
    </w:p>
    <w:p w14:paraId="1181ACEE">
      <w:pPr>
        <w:widowControl/>
        <w:numPr>
          <w:ilvl w:val="0"/>
          <w:numId w:val="13"/>
        </w:numPr>
        <w:tabs>
          <w:tab w:val="clear" w:pos="720"/>
        </w:tabs>
        <w:snapToGrid w:val="0"/>
        <w:spacing w:line="300" w:lineRule="auto"/>
        <w:ind w:left="348" w:hanging="348" w:hangingChars="145"/>
        <w:rPr>
          <w:rFonts w:ascii="Arial" w:hAnsi="Arial" w:eastAsia="宋体" w:cs="Arial"/>
          <w:color w:val="000000"/>
          <w:kern w:val="0"/>
          <w:sz w:val="24"/>
          <w:szCs w:val="24"/>
        </w:rPr>
      </w:pPr>
      <w:r>
        <w:rPr>
          <w:rFonts w:ascii="Arial" w:hAnsi="Arial" w:eastAsia="宋体" w:cs="Arial"/>
          <w:i/>
          <w:color w:val="000000"/>
          <w:kern w:val="0"/>
          <w:sz w:val="24"/>
          <w:szCs w:val="24"/>
        </w:rPr>
        <w:t>阳性和阴性的预测值高度依赖于患病率。在[例如，2006/2007流行季]期间建立了该检测产品的性能，此性能可能会随患病率和检测的人群而变化。</w:t>
      </w:r>
    </w:p>
    <w:p w14:paraId="4851DD5A">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如果已有报告称常用的收集材料、或可能在检测前通过内源性或外源性引入样本的物质，会导致阳性或阴性干扰，应告知用户由于这种干扰导致假阴性或假阳性结果的可能性。</w:t>
      </w:r>
    </w:p>
    <w:p w14:paraId="09DA3728">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样本收集</w:t>
      </w:r>
    </w:p>
    <w:p w14:paraId="31BB5E9B">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我们建议贵公司说明不充分或不适当的样本收集、储存和转运可能会产生假阴性检测结果；还应说明，由于样本质量的重要性，强烈建议应对样本收集的操作人员进行培训。</w:t>
      </w:r>
    </w:p>
    <w:p w14:paraId="62EEA5D3">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结果</w:t>
      </w:r>
    </w:p>
    <w:p w14:paraId="4369B2BC">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我们建议贵公司在报告结果的“结果”部分中，加入以下说明(如适用)：</w:t>
      </w:r>
    </w:p>
    <w:p w14:paraId="7C947017">
      <w:pPr>
        <w:widowControl/>
        <w:snapToGrid w:val="0"/>
        <w:spacing w:line="300" w:lineRule="auto"/>
        <w:rPr>
          <w:rFonts w:ascii="Arial" w:hAnsi="Arial" w:eastAsia="宋体" w:cs="Arial"/>
          <w:i/>
          <w:color w:val="000000"/>
          <w:kern w:val="0"/>
          <w:sz w:val="24"/>
          <w:szCs w:val="24"/>
        </w:rPr>
      </w:pPr>
      <w:r>
        <w:rPr>
          <w:rFonts w:ascii="Arial" w:hAnsi="Arial" w:eastAsia="宋体" w:cs="Arial"/>
          <w:i/>
          <w:color w:val="000000"/>
          <w:kern w:val="0"/>
          <w:sz w:val="24"/>
          <w:szCs w:val="24"/>
        </w:rPr>
        <w:t>阴性检测结果报告为“</w:t>
      </w:r>
      <w:r>
        <w:rPr>
          <w:rFonts w:ascii="Arial" w:hAnsi="Arial" w:eastAsia="宋体" w:cs="Arial"/>
          <w:i/>
          <w:iCs/>
          <w:color w:val="000000"/>
          <w:kern w:val="0"/>
          <w:sz w:val="24"/>
          <w:szCs w:val="24"/>
        </w:rPr>
        <w:t>hMPV RNA未检出</w:t>
      </w:r>
      <w:r>
        <w:rPr>
          <w:rFonts w:ascii="Arial" w:hAnsi="Arial" w:eastAsia="宋体" w:cs="Arial"/>
          <w:i/>
          <w:color w:val="000000"/>
          <w:kern w:val="0"/>
          <w:sz w:val="24"/>
          <w:szCs w:val="24"/>
        </w:rPr>
        <w:t>，该结果并不排除</w:t>
      </w:r>
      <w:r>
        <w:rPr>
          <w:rFonts w:ascii="Arial" w:hAnsi="Arial" w:eastAsia="宋体" w:cs="Arial"/>
          <w:i/>
          <w:iCs/>
          <w:color w:val="000000"/>
          <w:kern w:val="0"/>
          <w:sz w:val="24"/>
          <w:szCs w:val="24"/>
        </w:rPr>
        <w:t>hMPV</w:t>
      </w:r>
      <w:r>
        <w:rPr>
          <w:rFonts w:ascii="Arial" w:hAnsi="Arial" w:eastAsia="宋体" w:cs="Arial"/>
          <w:i/>
          <w:color w:val="000000"/>
          <w:kern w:val="0"/>
          <w:sz w:val="24"/>
          <w:szCs w:val="24"/>
        </w:rPr>
        <w:t>感染。”</w:t>
      </w:r>
    </w:p>
    <w:p w14:paraId="618214AB">
      <w:pPr>
        <w:widowControl/>
        <w:snapToGrid w:val="0"/>
        <w:spacing w:line="300" w:lineRule="auto"/>
        <w:rPr>
          <w:rFonts w:ascii="Arial" w:hAnsi="Arial" w:eastAsia="宋体" w:cs="Arial"/>
          <w:i/>
          <w:color w:val="000000"/>
          <w:kern w:val="0"/>
          <w:sz w:val="24"/>
          <w:szCs w:val="24"/>
        </w:rPr>
      </w:pPr>
      <w:r>
        <w:rPr>
          <w:rFonts w:ascii="Arial" w:hAnsi="Arial" w:eastAsia="宋体" w:cs="Arial"/>
          <w:i/>
          <w:color w:val="000000"/>
          <w:kern w:val="0"/>
          <w:sz w:val="24"/>
          <w:szCs w:val="24"/>
        </w:rPr>
        <w:t>阳性检测结果报告为“检出</w:t>
      </w:r>
      <w:r>
        <w:rPr>
          <w:rFonts w:ascii="Arial" w:hAnsi="Arial" w:eastAsia="宋体" w:cs="Arial"/>
          <w:i/>
          <w:iCs/>
          <w:color w:val="000000"/>
          <w:kern w:val="0"/>
          <w:sz w:val="24"/>
          <w:szCs w:val="24"/>
        </w:rPr>
        <w:t>hMPV RNA</w:t>
      </w:r>
      <w:r>
        <w:rPr>
          <w:rFonts w:ascii="Arial" w:hAnsi="Arial" w:eastAsia="宋体" w:cs="Arial"/>
          <w:i/>
          <w:color w:val="000000"/>
          <w:kern w:val="0"/>
          <w:sz w:val="24"/>
          <w:szCs w:val="24"/>
        </w:rPr>
        <w:t>，该结果并不排除与其他病原体的合并感染。”</w:t>
      </w:r>
    </w:p>
    <w:p w14:paraId="3BD18EDC">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结果的解释</w:t>
      </w:r>
    </w:p>
    <w:p w14:paraId="7F002854">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在贵公司包装说明书中的结果的解释部分应列出所有可能的检测结果，并确定hMPV RNA和检测控制的存在或不存在。</w:t>
      </w:r>
    </w:p>
    <w:p w14:paraId="7E646F0E">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如果内部控制是确定有效的阳性和阴性结果的一部分，贵公司应提供每种可能的控制结果解释和对于任何无效或不确定结果如何进行后续操作的建议。</w:t>
      </w:r>
    </w:p>
    <w:p w14:paraId="3A0AE581">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如果该检测存在不明确区域，应提供解释和建议，对于不明确结果如何进行后续操作（例如，不明确的结果是否应该报告，或者是否应该重复检测）。</w:t>
      </w:r>
    </w:p>
    <w:p w14:paraId="3644CE6B">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如果对结果的解释认为，无效或不明确结果需要重复检测，应提供建议，是否应</w:t>
      </w:r>
      <w:r>
        <w:rPr>
          <w:rFonts w:ascii="Arial" w:hAnsi="Arial" w:eastAsia="宋体" w:cs="Arial"/>
          <w:sz w:val="24"/>
          <w:szCs w:val="24"/>
        </w:rPr>
        <w:t>重复对同一核酸制备物、新的提取物或新的患者样本进行检测。</w:t>
      </w:r>
    </w:p>
    <w:p w14:paraId="04B7753F">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如果该检测产品的性能（即灵敏度）证明了双侧95%CI的下限小于90%，则阴性结果可能需要被解释为推定结果，应提示通过替代方法（例如细胞培养）进行确认。</w:t>
      </w:r>
    </w:p>
    <w:p w14:paraId="68436107">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321A121D">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预期值</w:t>
      </w:r>
    </w:p>
    <w:p w14:paraId="307C8F49">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此部分应包括使用该检测产品的预期值和对于结果的解释，还应包括用于确定该预期值的人群的样本数、年龄、性别和人口统计学资料。</w:t>
      </w:r>
    </w:p>
    <w:p w14:paraId="4F3767F6">
      <w:pPr>
        <w:widowControl/>
        <w:snapToGrid w:val="0"/>
        <w:spacing w:line="300" w:lineRule="auto"/>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性能特征</w:t>
      </w:r>
    </w:p>
    <w:p w14:paraId="4E43C93F">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贵公司应在包装说明书中列出研究设计和研究结果的总结，这将有助于用户对检测结果的解释，贵公司应包括临床和分析性能特征的描述。临床性能特征通常包含了预期的临床研究结果，总结了该检测产品的性能（灵敏度、特异性、95%置信区间）。在某些也使用了回顾性临床样品的情况下，这些结果应该与预期临床研究结果分别列出，作为阳性和阴性结果的符合性。分析性能特征包括第6部分中概括的研究结果和方法学的描述。</w:t>
      </w:r>
    </w:p>
    <w:p w14:paraId="7D9907D0">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我们建议贵公司在性能特征部分描述用于确立该器械的性能特征的人群（即地理位置，样本类型和年龄组）和季节。</w:t>
      </w:r>
    </w:p>
    <w:p w14:paraId="02A9B64E">
      <w:pPr>
        <w:widowControl/>
        <w:snapToGrid w:val="0"/>
        <w:spacing w:before="360" w:after="360" w:line="300" w:lineRule="auto"/>
        <w:rPr>
          <w:rFonts w:ascii="Arial" w:hAnsi="Arial" w:eastAsia="宋体" w:cs="Arial"/>
          <w:kern w:val="0"/>
          <w:sz w:val="24"/>
          <w:szCs w:val="24"/>
        </w:rPr>
      </w:pPr>
      <w:r>
        <w:rPr>
          <w:rFonts w:ascii="Arial" w:hAnsi="Arial" w:eastAsia="宋体" w:cs="Arial"/>
          <w:kern w:val="0"/>
          <w:sz w:val="24"/>
          <w:szCs w:val="24"/>
        </w:rPr>
        <w:pict>
          <v:rect id="_x0000_i1026" o:spt="1" style="height:0.75pt;width:166.1pt;" fillcolor="#000000" filled="t" stroked="f" coordsize="21600,21600" o:hr="t" o:hrstd="t" o:hrnoshade="t" o:hrpct="400">
            <v:path/>
            <v:fill on="t" focussize="0,0"/>
            <v:stroke on="f"/>
            <v:imagedata o:title=""/>
            <o:lock v:ext="edit"/>
            <w10:wrap type="none"/>
            <w10:anchorlock/>
          </v:rect>
        </w:pict>
      </w:r>
    </w:p>
    <w:p w14:paraId="2FC80B01">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w:t>
      </w:r>
      <w:r>
        <w:rPr>
          <w:rFonts w:ascii="Arial" w:hAnsi="Arial" w:eastAsia="宋体" w:cs="Arial"/>
          <w:color w:val="000000"/>
          <w:kern w:val="0"/>
          <w:sz w:val="24"/>
          <w:szCs w:val="24"/>
        </w:rPr>
        <w:t>在本指南中，多重检测定义为，通过样品制备、扩增和/或检测的通用流程，检测两个或多个靶标并进行结果解释的那些检测。</w:t>
      </w:r>
    </w:p>
    <w:p w14:paraId="5CE4AFD7">
      <w:pPr>
        <w:widowControl/>
        <w:snapToGrid w:val="0"/>
        <w:spacing w:before="90" w:after="90" w:line="300" w:lineRule="auto"/>
        <w:jc w:val="left"/>
        <w:rPr>
          <w:rFonts w:ascii="Arial" w:hAnsi="Arial" w:eastAsia="宋体" w:cs="Arial"/>
          <w:color w:val="000000"/>
          <w:kern w:val="0"/>
          <w:sz w:val="24"/>
          <w:szCs w:val="24"/>
        </w:rPr>
      </w:pPr>
      <w:bookmarkStart w:id="1" w:name="ft2"/>
      <w:r>
        <w:rPr>
          <w:rFonts w:ascii="Arial" w:hAnsi="Arial" w:eastAsia="宋体" w:cs="Arial"/>
          <w:color w:val="000000"/>
          <w:kern w:val="0"/>
          <w:sz w:val="24"/>
          <w:szCs w:val="24"/>
          <w:vertAlign w:val="superscript"/>
        </w:rPr>
        <w:t>2</w:t>
      </w:r>
      <w:bookmarkEnd w:id="1"/>
      <w:r>
        <w:rPr>
          <w:rFonts w:ascii="Arial" w:hAnsi="Arial" w:eastAsia="宋体" w:cs="Arial"/>
          <w:color w:val="000000"/>
          <w:kern w:val="0"/>
          <w:sz w:val="24"/>
          <w:szCs w:val="24"/>
        </w:rPr>
        <w:t> </w:t>
      </w:r>
      <w:r>
        <w:fldChar w:fldCharType="begin"/>
      </w:r>
      <w:r>
        <w:instrText xml:space="preserve"> HYPERLINK "http://www.fda.gov/MedicalDevices/DeviceRegulationandGuidance/GuidanceDocuments/ucm084365.htm" </w:instrText>
      </w:r>
      <w:r>
        <w:fldChar w:fldCharType="separate"/>
      </w:r>
      <w:r>
        <w:rPr>
          <w:rFonts w:ascii="Arial" w:hAnsi="Arial" w:eastAsia="宋体" w:cs="Arial"/>
          <w:color w:val="800080"/>
          <w:kern w:val="0"/>
          <w:sz w:val="24"/>
          <w:szCs w:val="24"/>
          <w:u w:val="single"/>
        </w:rPr>
        <w:t>http://www.fda.gov /MedicalDevices/DeviceRegulationandGuidance/ GuidanceDocuments/ucm084365.htm</w:t>
      </w:r>
      <w:r>
        <w:rPr>
          <w:rFonts w:ascii="Arial" w:hAnsi="Arial" w:eastAsia="宋体" w:cs="Arial"/>
          <w:color w:val="800080"/>
          <w:kern w:val="0"/>
          <w:sz w:val="24"/>
          <w:szCs w:val="24"/>
          <w:u w:val="single"/>
        </w:rPr>
        <w:fldChar w:fldCharType="end"/>
      </w:r>
    </w:p>
    <w:p w14:paraId="4341A343">
      <w:pPr>
        <w:widowControl/>
        <w:snapToGrid w:val="0"/>
        <w:spacing w:before="90" w:after="90" w:line="300" w:lineRule="auto"/>
        <w:jc w:val="left"/>
        <w:rPr>
          <w:rFonts w:ascii="Arial" w:hAnsi="Arial" w:eastAsia="宋体" w:cs="Arial"/>
          <w:color w:val="000000"/>
          <w:kern w:val="0"/>
          <w:sz w:val="24"/>
          <w:szCs w:val="24"/>
        </w:rPr>
      </w:pPr>
      <w:bookmarkStart w:id="2" w:name="ft3"/>
      <w:r>
        <w:rPr>
          <w:rFonts w:ascii="Arial" w:hAnsi="Arial" w:eastAsia="宋体" w:cs="Arial"/>
          <w:color w:val="000000"/>
          <w:kern w:val="0"/>
          <w:sz w:val="24"/>
          <w:szCs w:val="24"/>
          <w:vertAlign w:val="superscript"/>
        </w:rPr>
        <w:t>3 </w:t>
      </w:r>
      <w:bookmarkEnd w:id="2"/>
      <w:r>
        <w:rPr>
          <w:rFonts w:ascii="Arial" w:hAnsi="Arial" w:eastAsia="宋体" w:cs="Arial"/>
          <w:color w:val="000000"/>
          <w:kern w:val="0"/>
          <w:sz w:val="24"/>
          <w:szCs w:val="24"/>
        </w:rPr>
        <w:fldChar w:fldCharType="begin"/>
      </w:r>
      <w:r>
        <w:rPr>
          <w:rFonts w:ascii="Arial" w:hAnsi="Arial" w:eastAsia="宋体" w:cs="Arial"/>
          <w:color w:val="000000"/>
          <w:kern w:val="0"/>
          <w:sz w:val="24"/>
          <w:szCs w:val="24"/>
        </w:rPr>
        <w:instrText xml:space="preserve"> HYPERLINK "http://www.fda.gov/MedicalDevices/DeviceRegulationandGuidance/HowtoMarketYourDevice/PremarketSubmissions/PremarketNotification510k/default.htm" </w:instrText>
      </w:r>
      <w:r>
        <w:rPr>
          <w:rFonts w:ascii="Arial" w:hAnsi="Arial" w:eastAsia="宋体" w:cs="Arial"/>
          <w:color w:val="000000"/>
          <w:kern w:val="0"/>
          <w:sz w:val="24"/>
          <w:szCs w:val="24"/>
        </w:rPr>
        <w:fldChar w:fldCharType="separate"/>
      </w:r>
      <w:r>
        <w:rPr>
          <w:rFonts w:ascii="Arial" w:hAnsi="Arial" w:eastAsia="宋体" w:cs="Arial"/>
          <w:color w:val="800080"/>
          <w:kern w:val="0"/>
          <w:sz w:val="24"/>
          <w:szCs w:val="24"/>
          <w:u w:val="single"/>
        </w:rPr>
        <w:t>http://www.fda.gov/ MedicalDevices/DeviceRegulationandGuidance/ HowtoMarketYourDevice/PremarketSubmissions/ PremarketNotification510k/default.htm</w:t>
      </w:r>
      <w:r>
        <w:rPr>
          <w:rFonts w:ascii="Arial" w:hAnsi="Arial" w:eastAsia="宋体" w:cs="Arial"/>
          <w:color w:val="000000"/>
          <w:kern w:val="0"/>
          <w:sz w:val="24"/>
          <w:szCs w:val="24"/>
        </w:rPr>
        <w:fldChar w:fldCharType="end"/>
      </w:r>
    </w:p>
    <w:p w14:paraId="56D68E2B">
      <w:pPr>
        <w:widowControl/>
        <w:snapToGrid w:val="0"/>
        <w:spacing w:before="90" w:after="90" w:line="300" w:lineRule="auto"/>
        <w:jc w:val="left"/>
        <w:rPr>
          <w:rFonts w:ascii="Arial" w:hAnsi="Arial" w:eastAsia="宋体" w:cs="Arial"/>
          <w:color w:val="000000"/>
          <w:kern w:val="0"/>
          <w:sz w:val="24"/>
          <w:szCs w:val="24"/>
        </w:rPr>
      </w:pPr>
      <w:bookmarkStart w:id="3" w:name="ft4"/>
      <w:r>
        <w:rPr>
          <w:rFonts w:ascii="Arial" w:hAnsi="Arial" w:eastAsia="宋体" w:cs="Arial"/>
          <w:color w:val="000000"/>
          <w:kern w:val="0"/>
          <w:sz w:val="24"/>
          <w:szCs w:val="24"/>
          <w:vertAlign w:val="superscript"/>
        </w:rPr>
        <w:t>4</w:t>
      </w:r>
      <w:bookmarkEnd w:id="3"/>
      <w:r>
        <w:rPr>
          <w:rFonts w:ascii="Arial" w:hAnsi="Arial" w:eastAsia="宋体" w:cs="Arial"/>
          <w:color w:val="000000"/>
          <w:kern w:val="0"/>
          <w:sz w:val="24"/>
          <w:szCs w:val="24"/>
        </w:rPr>
        <w:t> </w:t>
      </w:r>
      <w:r>
        <w:fldChar w:fldCharType="begin"/>
      </w:r>
      <w:r>
        <w:instrText xml:space="preserve"> HYPERLINK "http://www.fda.gov/MedicalDevices/DeviceRegulationandGuidance/GuidanceDocuments/ucm080187.htm" </w:instrText>
      </w:r>
      <w:r>
        <w:fldChar w:fldCharType="separate"/>
      </w:r>
      <w:r>
        <w:rPr>
          <w:rFonts w:ascii="Arial" w:hAnsi="Arial" w:eastAsia="宋体" w:cs="Arial"/>
          <w:color w:val="800080"/>
          <w:kern w:val="0"/>
          <w:sz w:val="24"/>
          <w:szCs w:val="24"/>
          <w:u w:val="single"/>
        </w:rPr>
        <w:t>http://www.fda.gov/ MedicalDevices/DeviceRegulationandGuidance/ GuidanceDocuments/ucm080187.htm</w:t>
      </w:r>
      <w:r>
        <w:rPr>
          <w:rFonts w:ascii="Arial" w:hAnsi="Arial" w:eastAsia="宋体" w:cs="Arial"/>
          <w:color w:val="800080"/>
          <w:kern w:val="0"/>
          <w:sz w:val="24"/>
          <w:szCs w:val="24"/>
          <w:u w:val="single"/>
        </w:rPr>
        <w:fldChar w:fldCharType="end"/>
      </w:r>
    </w:p>
    <w:p w14:paraId="528251EE">
      <w:pPr>
        <w:widowControl/>
        <w:snapToGrid w:val="0"/>
        <w:spacing w:before="90" w:after="90" w:line="300" w:lineRule="auto"/>
        <w:rPr>
          <w:rFonts w:ascii="Arial" w:hAnsi="Arial" w:eastAsia="宋体" w:cs="Arial"/>
          <w:color w:val="000000"/>
          <w:kern w:val="0"/>
          <w:sz w:val="24"/>
          <w:szCs w:val="24"/>
        </w:rPr>
      </w:pPr>
      <w:bookmarkStart w:id="4" w:name="ft5"/>
      <w:r>
        <w:rPr>
          <w:rFonts w:ascii="Arial" w:hAnsi="Arial" w:eastAsia="宋体" w:cs="Arial"/>
          <w:color w:val="000000"/>
          <w:kern w:val="0"/>
          <w:sz w:val="24"/>
          <w:szCs w:val="24"/>
          <w:vertAlign w:val="superscript"/>
        </w:rPr>
        <w:t>5</w:t>
      </w:r>
      <w:bookmarkEnd w:id="4"/>
      <w:r>
        <w:rPr>
          <w:rFonts w:ascii="Arial" w:hAnsi="Arial" w:eastAsia="宋体" w:cs="Arial"/>
          <w:color w:val="000000"/>
          <w:kern w:val="0"/>
          <w:sz w:val="24"/>
          <w:szCs w:val="24"/>
        </w:rPr>
        <w:t> 临床和实验室标准研究所。2006. 病毒培养; 批准的指南。CLSI文件M41-A [ISBN 1-56238-623-9] 临床和实验室标准研究所, Wayne PA.</w:t>
      </w:r>
    </w:p>
    <w:p w14:paraId="3BD2AFFA">
      <w:pPr>
        <w:widowControl/>
        <w:snapToGrid w:val="0"/>
        <w:spacing w:before="90" w:after="90" w:line="300" w:lineRule="auto"/>
        <w:rPr>
          <w:rFonts w:ascii="Arial" w:hAnsi="Arial" w:eastAsia="宋体" w:cs="Arial"/>
          <w:color w:val="000000"/>
          <w:kern w:val="0"/>
          <w:sz w:val="24"/>
          <w:szCs w:val="24"/>
        </w:rPr>
      </w:pPr>
      <w:bookmarkStart w:id="5" w:name="ft6"/>
      <w:r>
        <w:rPr>
          <w:rFonts w:ascii="Arial" w:hAnsi="Arial" w:eastAsia="宋体" w:cs="Arial"/>
          <w:color w:val="000000"/>
          <w:kern w:val="0"/>
          <w:sz w:val="24"/>
          <w:szCs w:val="24"/>
          <w:vertAlign w:val="superscript"/>
        </w:rPr>
        <w:t>6</w:t>
      </w:r>
      <w:bookmarkEnd w:id="5"/>
      <w:r>
        <w:rPr>
          <w:rFonts w:ascii="Arial" w:hAnsi="Arial" w:eastAsia="宋体" w:cs="Arial"/>
          <w:color w:val="000000"/>
          <w:kern w:val="0"/>
          <w:sz w:val="24"/>
          <w:szCs w:val="24"/>
        </w:rPr>
        <w:t> 临床和实验室标准研究所。2004. 诊断实验室医学中的核酸测序方法；批准的指南。CLSI文件 MM9-A [ISBN 1-56238-558-5] 临床和实验室标准研究所, Wayne PA.</w:t>
      </w:r>
    </w:p>
    <w:p w14:paraId="400F5DBA">
      <w:pPr>
        <w:widowControl/>
        <w:jc w:val="left"/>
        <w:rPr>
          <w:rFonts w:ascii="Arial" w:hAnsi="Arial" w:eastAsia="宋体" w:cs="Arial"/>
          <w:color w:val="000000"/>
          <w:kern w:val="0"/>
          <w:sz w:val="24"/>
          <w:szCs w:val="24"/>
          <w:vertAlign w:val="superscript"/>
        </w:rPr>
      </w:pPr>
      <w:r>
        <w:rPr>
          <w:rFonts w:ascii="Arial" w:hAnsi="Arial" w:eastAsia="宋体" w:cs="Arial"/>
          <w:color w:val="000000"/>
          <w:kern w:val="0"/>
          <w:sz w:val="24"/>
          <w:szCs w:val="24"/>
          <w:vertAlign w:val="superscript"/>
        </w:rPr>
        <w:br w:type="page"/>
      </w:r>
    </w:p>
    <w:p w14:paraId="534982A2">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7</w:t>
      </w:r>
      <w:r>
        <w:rPr>
          <w:rFonts w:ascii="Arial" w:hAnsi="Arial" w:eastAsia="宋体" w:cs="Arial"/>
          <w:color w:val="000000"/>
          <w:kern w:val="0"/>
          <w:sz w:val="24"/>
          <w:szCs w:val="24"/>
        </w:rPr>
        <w:t>即使确定了在该检测产品中可以使用一种或多种替代的辅助试剂，这些指定的替代品仍然只是一个辅助试剂。如果不确定特殊控制的这一方面是否适用于该器械，建议咨询食品药品监督管理局。</w:t>
      </w:r>
    </w:p>
    <w:p w14:paraId="572EBC0F">
      <w:pPr>
        <w:widowControl/>
        <w:snapToGrid w:val="0"/>
        <w:spacing w:before="90" w:after="90" w:line="300" w:lineRule="auto"/>
        <w:rPr>
          <w:rFonts w:ascii="Arial" w:hAnsi="Arial" w:eastAsia="宋体" w:cs="Arial"/>
          <w:color w:val="000000"/>
          <w:kern w:val="0"/>
          <w:sz w:val="24"/>
          <w:szCs w:val="24"/>
        </w:rPr>
      </w:pPr>
      <w:bookmarkStart w:id="6" w:name="ft8"/>
      <w:r>
        <w:rPr>
          <w:rFonts w:ascii="Arial" w:hAnsi="Arial" w:eastAsia="宋体" w:cs="Arial"/>
          <w:color w:val="000000"/>
          <w:kern w:val="0"/>
          <w:sz w:val="24"/>
          <w:szCs w:val="24"/>
          <w:vertAlign w:val="superscript"/>
        </w:rPr>
        <w:t>8</w:t>
      </w:r>
      <w:bookmarkEnd w:id="6"/>
      <w:r>
        <w:rPr>
          <w:rFonts w:ascii="Arial" w:hAnsi="Arial" w:eastAsia="宋体" w:cs="Arial"/>
          <w:i/>
          <w:iCs/>
          <w:color w:val="000000"/>
          <w:kern w:val="0"/>
          <w:sz w:val="24"/>
          <w:szCs w:val="24"/>
        </w:rPr>
        <w:t> </w:t>
      </w:r>
      <w:r>
        <w:rPr>
          <w:rFonts w:ascii="Arial" w:hAnsi="Arial" w:eastAsia="宋体" w:cs="Arial"/>
          <w:color w:val="000000"/>
          <w:kern w:val="0"/>
          <w:sz w:val="24"/>
          <w:szCs w:val="24"/>
        </w:rPr>
        <w:t>Pasloske BL, Walkerpeach CR, Obermoeller RD, Winkler M, and DuBois DB. Armored RNA Technology for Production of Ribonuclease-Resistant Viral RNA Controls and Standards. J. Clin. Microbiol. 1998; 36:3590-3594.</w:t>
      </w:r>
    </w:p>
    <w:p w14:paraId="33A3A381">
      <w:pPr>
        <w:widowControl/>
        <w:snapToGrid w:val="0"/>
        <w:spacing w:before="90" w:after="90" w:line="300" w:lineRule="auto"/>
        <w:rPr>
          <w:rFonts w:ascii="Arial" w:hAnsi="Arial" w:eastAsia="宋体" w:cs="Arial"/>
          <w:color w:val="000000"/>
          <w:kern w:val="0"/>
          <w:sz w:val="24"/>
          <w:szCs w:val="24"/>
        </w:rPr>
      </w:pPr>
      <w:bookmarkStart w:id="7" w:name="ft9"/>
      <w:r>
        <w:rPr>
          <w:rFonts w:ascii="Arial" w:hAnsi="Arial" w:eastAsia="宋体" w:cs="Arial"/>
          <w:color w:val="000000"/>
          <w:kern w:val="0"/>
          <w:sz w:val="24"/>
          <w:szCs w:val="24"/>
          <w:vertAlign w:val="superscript"/>
        </w:rPr>
        <w:t>9</w:t>
      </w:r>
      <w:bookmarkEnd w:id="7"/>
      <w:r>
        <w:rPr>
          <w:rFonts w:ascii="Arial" w:hAnsi="Arial" w:eastAsia="宋体" w:cs="Arial"/>
          <w:color w:val="000000"/>
          <w:kern w:val="0"/>
          <w:sz w:val="24"/>
          <w:szCs w:val="24"/>
        </w:rPr>
        <w:t>临床和实验室标准研究所。2006. 传染病的分子诊断方法; 批准的指南。CLSI文件MM3-A2 [ISBN 1-56238-596-8] 临床和实验室标准研究所, Wayne PA.</w:t>
      </w:r>
    </w:p>
    <w:p w14:paraId="12D2EAC0">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10</w:t>
      </w:r>
      <w:r>
        <w:rPr>
          <w:rFonts w:ascii="Arial" w:hAnsi="Arial" w:eastAsia="宋体" w:cs="Arial"/>
          <w:color w:val="000000"/>
          <w:kern w:val="0"/>
          <w:sz w:val="24"/>
          <w:szCs w:val="24"/>
        </w:rPr>
        <w:t>临床和实验室标准研究所。1997. 实验室工作人员免受经由血液，体液和组织传播的传染病的防护。CLSI文件M29-A。临床和实验室标准研究所，Wayne PA。</w:t>
      </w:r>
    </w:p>
    <w:p w14:paraId="107D66F1">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11</w:t>
      </w:r>
      <w:r>
        <w:rPr>
          <w:rFonts w:ascii="Arial" w:hAnsi="Arial" w:eastAsia="宋体" w:cs="Arial"/>
          <w:color w:val="000000"/>
          <w:kern w:val="0"/>
          <w:sz w:val="24"/>
          <w:szCs w:val="24"/>
        </w:rPr>
        <w:t>临床和实验室标准研究所。2004.用于确定检测限和定量限的方案; 批准的指南。CLSI文件EP17-A [ISBN 1-56238-551-8]临床和实验室标准研究所，Wayne PA</w:t>
      </w:r>
    </w:p>
    <w:p w14:paraId="213A4920">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12</w:t>
      </w:r>
      <w:r>
        <w:rPr>
          <w:rFonts w:ascii="Arial" w:hAnsi="Arial" w:eastAsia="宋体" w:cs="Arial"/>
          <w:color w:val="000000"/>
          <w:kern w:val="0"/>
          <w:sz w:val="24"/>
          <w:szCs w:val="24"/>
        </w:rPr>
        <w:t>临床和实验室标准研究所。2005. 临床化学的干扰实验; 批准的指南。CLSI文件EP7-A2 [ISBN 1-56238-584-4]</w:t>
      </w:r>
    </w:p>
    <w:p w14:paraId="31FEEC6A">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13</w:t>
      </w:r>
      <w:r>
        <w:rPr>
          <w:rFonts w:ascii="Arial" w:hAnsi="Arial" w:eastAsia="宋体" w:cs="Arial"/>
          <w:color w:val="000000"/>
          <w:kern w:val="0"/>
          <w:sz w:val="24"/>
          <w:szCs w:val="24"/>
        </w:rPr>
        <w:t xml:space="preserve"> I型误差是真阴性样品（待测物浓度为0的样品）检出待测物存在的值的概率。通常，I型误差设置为5%或更小。</w:t>
      </w:r>
    </w:p>
    <w:p w14:paraId="401AA3E0">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14</w:t>
      </w:r>
      <w:r>
        <w:rPr>
          <w:rFonts w:ascii="Arial" w:hAnsi="Arial" w:eastAsia="宋体" w:cs="Arial"/>
          <w:color w:val="000000"/>
          <w:kern w:val="0"/>
          <w:sz w:val="24"/>
          <w:szCs w:val="24"/>
        </w:rPr>
        <w:t>临床和实验室标准研究所。2004.定量检测方法的精密度性能评价; 批准的指南。EP5-A2 [ISBN 1-56238-542-9]</w:t>
      </w:r>
      <w:r>
        <w:rPr>
          <w:rFonts w:ascii="Arial" w:hAnsi="Arial" w:eastAsia="宋体" w:cs="Arial"/>
          <w:sz w:val="24"/>
          <w:szCs w:val="24"/>
        </w:rPr>
        <w:t xml:space="preserve"> </w:t>
      </w:r>
      <w:r>
        <w:rPr>
          <w:rFonts w:ascii="Arial" w:hAnsi="Arial" w:eastAsia="宋体" w:cs="Arial"/>
          <w:color w:val="000000"/>
          <w:kern w:val="0"/>
          <w:sz w:val="24"/>
          <w:szCs w:val="24"/>
        </w:rPr>
        <w:t>临床和实验室标准研究所，Wayne PA。</w:t>
      </w:r>
    </w:p>
    <w:p w14:paraId="76F3A50D">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15</w:t>
      </w:r>
      <w:r>
        <w:rPr>
          <w:rFonts w:ascii="Arial" w:hAnsi="Arial" w:eastAsia="宋体" w:cs="Arial"/>
          <w:color w:val="000000"/>
          <w:kern w:val="0"/>
          <w:sz w:val="24"/>
          <w:szCs w:val="24"/>
        </w:rPr>
        <w:t>临床和实验室标准研究所。2002. 用于评价定性检测性能的用户方案; 批准的指南，EP12-A。[ISBN 1-56238-468-6] 临床和实验室标准研究所，Wayne PA。</w:t>
      </w:r>
    </w:p>
    <w:p w14:paraId="48CF933E">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16</w:t>
      </w:r>
      <w:r>
        <w:rPr>
          <w:rFonts w:ascii="Arial" w:hAnsi="Arial" w:eastAsia="宋体" w:cs="Arial"/>
          <w:color w:val="000000"/>
          <w:kern w:val="0"/>
          <w:sz w:val="24"/>
          <w:szCs w:val="24"/>
        </w:rPr>
        <w:t>临床和实验室标准研究所。用户对于精密度和真实性的性能确认; 批准的指南ꟷ 第二版。EP15-A2。[ISBN 1-56238-574-7] 临床和实验室标准研究所，Wayne PA。</w:t>
      </w:r>
    </w:p>
    <w:p w14:paraId="55E8C41A">
      <w:pPr>
        <w:widowControl/>
        <w:snapToGrid w:val="0"/>
        <w:spacing w:before="90" w:after="90" w:line="300" w:lineRule="auto"/>
        <w:rPr>
          <w:rFonts w:ascii="Arial" w:hAnsi="Arial" w:eastAsia="宋体" w:cs="Arial"/>
          <w:color w:val="000000"/>
          <w:kern w:val="0"/>
          <w:sz w:val="24"/>
          <w:szCs w:val="24"/>
        </w:rPr>
      </w:pPr>
      <w:bookmarkStart w:id="8" w:name="ft17"/>
      <w:r>
        <w:rPr>
          <w:rFonts w:ascii="Arial" w:hAnsi="Arial" w:eastAsia="宋体" w:cs="Arial"/>
          <w:color w:val="000000"/>
          <w:kern w:val="0"/>
          <w:sz w:val="24"/>
          <w:szCs w:val="24"/>
          <w:vertAlign w:val="superscript"/>
        </w:rPr>
        <w:t>17</w:t>
      </w:r>
      <w:bookmarkEnd w:id="8"/>
      <w:r>
        <w:rPr>
          <w:rFonts w:ascii="Arial" w:hAnsi="Arial" w:eastAsia="宋体" w:cs="Arial"/>
          <w:color w:val="000000"/>
          <w:kern w:val="0"/>
          <w:sz w:val="24"/>
          <w:szCs w:val="24"/>
        </w:rPr>
        <w:t> Haeckel R. Proposals for the Description and Measurement of Carry-over Effects in Clinical Chemistry. Pure Appl. Chem. 1991; 63:302-306.</w:t>
      </w:r>
    </w:p>
    <w:p w14:paraId="037CD17E">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18</w:t>
      </w:r>
      <w:r>
        <w:rPr>
          <w:rFonts w:ascii="Arial" w:hAnsi="Arial" w:eastAsia="宋体" w:cs="Arial"/>
          <w:color w:val="000000"/>
          <w:kern w:val="0"/>
          <w:sz w:val="24"/>
          <w:szCs w:val="24"/>
        </w:rPr>
        <w:t> 在本指南中，我们将</w:t>
      </w:r>
      <w:r>
        <w:rPr>
          <w:rFonts w:ascii="Arial" w:hAnsi="Arial" w:eastAsia="宋体" w:cs="Arial"/>
          <w:i/>
          <w:color w:val="000000"/>
          <w:kern w:val="0"/>
          <w:sz w:val="24"/>
          <w:szCs w:val="24"/>
        </w:rPr>
        <w:t>预先收集的留存样本</w:t>
      </w:r>
      <w:r>
        <w:rPr>
          <w:rFonts w:ascii="Arial" w:hAnsi="Arial" w:eastAsia="宋体" w:cs="Arial"/>
          <w:color w:val="000000"/>
          <w:kern w:val="0"/>
          <w:sz w:val="24"/>
          <w:szCs w:val="24"/>
        </w:rPr>
        <w:t>定义为，从满足研究入组标准的所有患者中顺序收集的样本，并代表了预期使用人群（即未根据已知结果进行预先挑选的样本），其在两个预先确定的检测日期之间(例如，从一个流感季节的开始到结束)进入一个临床检测机构，因此不存在偏差，且保存了患病率。这些样本应适当储存（例如，在-70</w:t>
      </w:r>
      <w:r>
        <w:rPr>
          <w:rFonts w:hint="eastAsia" w:ascii="宋体" w:hAnsi="宋体" w:eastAsia="宋体" w:cs="宋体"/>
          <w:color w:val="000000"/>
          <w:kern w:val="0"/>
          <w:sz w:val="24"/>
          <w:szCs w:val="24"/>
        </w:rPr>
        <w:t>℃</w:t>
      </w:r>
      <w:r>
        <w:rPr>
          <w:rFonts w:ascii="Arial" w:hAnsi="Arial" w:eastAsia="宋体" w:cs="Arial"/>
          <w:color w:val="000000"/>
          <w:kern w:val="0"/>
          <w:sz w:val="24"/>
          <w:szCs w:val="24"/>
        </w:rPr>
        <w:t>冷冻），如文中所述，申办者应该说明，器械的性能不会因样本的储存/冻结/储存而发生变化。</w:t>
      </w:r>
    </w:p>
    <w:p w14:paraId="45C0E231">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19</w:t>
      </w:r>
      <w:r>
        <w:rPr>
          <w:rFonts w:ascii="Arial" w:hAnsi="Arial" w:eastAsia="宋体" w:cs="Arial"/>
          <w:color w:val="000000"/>
          <w:kern w:val="0"/>
          <w:sz w:val="24"/>
          <w:szCs w:val="24"/>
        </w:rPr>
        <w:t>临床和实验室标准研究所，2004。诊断实验室医学中的核酸测序方法; 批准的指南。CLSI文件MM9-A [ISBN 1-56238-558-5]，临床和实验室标准研究所，Wayne PA。</w:t>
      </w:r>
    </w:p>
    <w:p w14:paraId="6B1FAB5C">
      <w:pPr>
        <w:widowControl/>
        <w:snapToGrid w:val="0"/>
        <w:spacing w:before="90" w:after="90" w:line="300" w:lineRule="auto"/>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20</w:t>
      </w:r>
      <w:r>
        <w:rPr>
          <w:rFonts w:ascii="Arial" w:hAnsi="Arial" w:eastAsia="宋体" w:cs="Arial"/>
          <w:color w:val="000000"/>
          <w:kern w:val="0"/>
          <w:sz w:val="24"/>
          <w:szCs w:val="24"/>
        </w:rPr>
        <w:t>临床和实验室标准研究所，2006。传染病的分子诊断方法; 批准的指南。CLSI文件MM3-A2 [ISBN 1-56238-596-8]，临床和实验室标准研究所，Wayne PA。</w:t>
      </w:r>
    </w:p>
    <w:p w14:paraId="1F9AAA75">
      <w:pPr>
        <w:widowControl/>
        <w:snapToGrid w:val="0"/>
        <w:spacing w:line="300" w:lineRule="auto"/>
        <w:outlineLvl w:val="0"/>
        <w:rPr>
          <w:rFonts w:hint="eastAsia" w:eastAsia="宋体"/>
          <w:lang w:eastAsia="zh-CN"/>
        </w:rPr>
      </w:pPr>
    </w:p>
    <w:p w14:paraId="7216B604">
      <w:pPr>
        <w:widowControl/>
        <w:snapToGrid w:val="0"/>
        <w:spacing w:line="300" w:lineRule="auto"/>
        <w:jc w:val="center"/>
        <w:outlineLvl w:val="0"/>
        <w:rPr>
          <w:rFonts w:hint="eastAsia" w:eastAsia="宋体"/>
          <w:lang w:eastAsia="zh-CN"/>
        </w:rPr>
      </w:pPr>
    </w:p>
    <w:p w14:paraId="6CC3FF85">
      <w:pPr>
        <w:widowControl/>
        <w:snapToGrid w:val="0"/>
        <w:spacing w:line="300" w:lineRule="auto"/>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67B77"/>
    <w:multiLevelType w:val="multilevel"/>
    <w:tmpl w:val="0A767B77"/>
    <w:lvl w:ilvl="0" w:tentative="0">
      <w:start w:val="1"/>
      <w:numFmt w:val="decimal"/>
      <w:lvlText w:val="%1."/>
      <w:lvlJc w:val="left"/>
      <w:pPr>
        <w:tabs>
          <w:tab w:val="left" w:pos="720"/>
        </w:tabs>
        <w:ind w:left="720" w:hanging="360"/>
      </w:pPr>
      <w:rPr>
        <w:rFonts w:hint="eastAsia"/>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1">
    <w:nsid w:val="0F141958"/>
    <w:multiLevelType w:val="multilevel"/>
    <w:tmpl w:val="0F1419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59B5BA1"/>
    <w:multiLevelType w:val="multilevel"/>
    <w:tmpl w:val="259B5BA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E786DA5"/>
    <w:multiLevelType w:val="multilevel"/>
    <w:tmpl w:val="2E786D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5E556A2"/>
    <w:multiLevelType w:val="multilevel"/>
    <w:tmpl w:val="35E556A2"/>
    <w:lvl w:ilvl="0" w:tentative="0">
      <w:start w:val="2"/>
      <w:numFmt w:val="decimal"/>
      <w:lvlText w:val="%1."/>
      <w:lvlJc w:val="left"/>
      <w:pPr>
        <w:tabs>
          <w:tab w:val="left" w:pos="720"/>
        </w:tabs>
        <w:ind w:left="720" w:hanging="360"/>
      </w:pPr>
      <w:rPr>
        <w:rFonts w:hint="eastAsia"/>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5">
    <w:nsid w:val="361F75A5"/>
    <w:multiLevelType w:val="multilevel"/>
    <w:tmpl w:val="361F75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6D07626"/>
    <w:multiLevelType w:val="multilevel"/>
    <w:tmpl w:val="36D076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A61692B"/>
    <w:multiLevelType w:val="multilevel"/>
    <w:tmpl w:val="3A6169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05A085C"/>
    <w:multiLevelType w:val="multilevel"/>
    <w:tmpl w:val="405A08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BA0015D"/>
    <w:multiLevelType w:val="multilevel"/>
    <w:tmpl w:val="4BA001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DCB39CD"/>
    <w:multiLevelType w:val="multilevel"/>
    <w:tmpl w:val="4DCB39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5285D1F"/>
    <w:multiLevelType w:val="multilevel"/>
    <w:tmpl w:val="75285D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78051BF5"/>
    <w:multiLevelType w:val="multilevel"/>
    <w:tmpl w:val="78051B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5"/>
  </w:num>
  <w:num w:numId="3">
    <w:abstractNumId w:val="3"/>
  </w:num>
  <w:num w:numId="4">
    <w:abstractNumId w:val="9"/>
  </w:num>
  <w:num w:numId="5">
    <w:abstractNumId w:val="1"/>
  </w:num>
  <w:num w:numId="6">
    <w:abstractNumId w:val="7"/>
  </w:num>
  <w:num w:numId="7">
    <w:abstractNumId w:val="10"/>
  </w:num>
  <w:num w:numId="8">
    <w:abstractNumId w:val="6"/>
  </w:num>
  <w:num w:numId="9">
    <w:abstractNumId w:val="11"/>
  </w:num>
  <w:num w:numId="10">
    <w:abstractNumId w:val="12"/>
  </w:num>
  <w:num w:numId="11">
    <w:abstractNumId w:val="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68"/>
    <w:rsid w:val="0000520E"/>
    <w:rsid w:val="0002469F"/>
    <w:rsid w:val="0003550E"/>
    <w:rsid w:val="0006337C"/>
    <w:rsid w:val="0007470B"/>
    <w:rsid w:val="00077D57"/>
    <w:rsid w:val="00085E0E"/>
    <w:rsid w:val="000930FA"/>
    <w:rsid w:val="0009489A"/>
    <w:rsid w:val="00097229"/>
    <w:rsid w:val="000B09A4"/>
    <w:rsid w:val="000C4100"/>
    <w:rsid w:val="000C5E20"/>
    <w:rsid w:val="000E4693"/>
    <w:rsid w:val="000E797B"/>
    <w:rsid w:val="000F14F8"/>
    <w:rsid w:val="0012238D"/>
    <w:rsid w:val="001240BD"/>
    <w:rsid w:val="0013215B"/>
    <w:rsid w:val="0018440A"/>
    <w:rsid w:val="001A2B2E"/>
    <w:rsid w:val="001A5D78"/>
    <w:rsid w:val="001B45E8"/>
    <w:rsid w:val="001C4DCE"/>
    <w:rsid w:val="001D4E45"/>
    <w:rsid w:val="001F1547"/>
    <w:rsid w:val="00204E7B"/>
    <w:rsid w:val="00214B75"/>
    <w:rsid w:val="002307C4"/>
    <w:rsid w:val="00235C1A"/>
    <w:rsid w:val="00251C7F"/>
    <w:rsid w:val="00253D07"/>
    <w:rsid w:val="0026688C"/>
    <w:rsid w:val="002758F3"/>
    <w:rsid w:val="00281B68"/>
    <w:rsid w:val="00294FA8"/>
    <w:rsid w:val="00295C3B"/>
    <w:rsid w:val="002A6794"/>
    <w:rsid w:val="002C7E3A"/>
    <w:rsid w:val="002D6871"/>
    <w:rsid w:val="002F1D72"/>
    <w:rsid w:val="002F2C51"/>
    <w:rsid w:val="00304790"/>
    <w:rsid w:val="00321693"/>
    <w:rsid w:val="00322018"/>
    <w:rsid w:val="00324C2A"/>
    <w:rsid w:val="0034337A"/>
    <w:rsid w:val="00351F84"/>
    <w:rsid w:val="00352C7E"/>
    <w:rsid w:val="00360541"/>
    <w:rsid w:val="00360BEC"/>
    <w:rsid w:val="00365D26"/>
    <w:rsid w:val="003949ED"/>
    <w:rsid w:val="003B2938"/>
    <w:rsid w:val="003C001A"/>
    <w:rsid w:val="003C212D"/>
    <w:rsid w:val="003C21A9"/>
    <w:rsid w:val="003D4F9B"/>
    <w:rsid w:val="003E7D11"/>
    <w:rsid w:val="00403FD9"/>
    <w:rsid w:val="00404C18"/>
    <w:rsid w:val="00406854"/>
    <w:rsid w:val="00415EDD"/>
    <w:rsid w:val="004177DC"/>
    <w:rsid w:val="00426216"/>
    <w:rsid w:val="0043502B"/>
    <w:rsid w:val="00436824"/>
    <w:rsid w:val="00437D95"/>
    <w:rsid w:val="0047238D"/>
    <w:rsid w:val="00482915"/>
    <w:rsid w:val="00487598"/>
    <w:rsid w:val="004A531F"/>
    <w:rsid w:val="004C7145"/>
    <w:rsid w:val="00503490"/>
    <w:rsid w:val="00503652"/>
    <w:rsid w:val="005072EB"/>
    <w:rsid w:val="00512824"/>
    <w:rsid w:val="00514730"/>
    <w:rsid w:val="0053144E"/>
    <w:rsid w:val="0055430A"/>
    <w:rsid w:val="0056628E"/>
    <w:rsid w:val="0057167B"/>
    <w:rsid w:val="005741C6"/>
    <w:rsid w:val="00596FED"/>
    <w:rsid w:val="005A5A42"/>
    <w:rsid w:val="005D1658"/>
    <w:rsid w:val="005E492C"/>
    <w:rsid w:val="005E6A9D"/>
    <w:rsid w:val="005E77BD"/>
    <w:rsid w:val="005F6307"/>
    <w:rsid w:val="006128C8"/>
    <w:rsid w:val="00622D74"/>
    <w:rsid w:val="00636367"/>
    <w:rsid w:val="006526ED"/>
    <w:rsid w:val="006630DE"/>
    <w:rsid w:val="00683380"/>
    <w:rsid w:val="006936EE"/>
    <w:rsid w:val="006B0769"/>
    <w:rsid w:val="006C5A5B"/>
    <w:rsid w:val="006D0387"/>
    <w:rsid w:val="006F310B"/>
    <w:rsid w:val="0073358E"/>
    <w:rsid w:val="00743684"/>
    <w:rsid w:val="00754CFC"/>
    <w:rsid w:val="00763C2E"/>
    <w:rsid w:val="0077290C"/>
    <w:rsid w:val="00775905"/>
    <w:rsid w:val="007759D0"/>
    <w:rsid w:val="00790647"/>
    <w:rsid w:val="00790A61"/>
    <w:rsid w:val="007B43C0"/>
    <w:rsid w:val="007C0B36"/>
    <w:rsid w:val="007D34D9"/>
    <w:rsid w:val="007E7FD5"/>
    <w:rsid w:val="008016F3"/>
    <w:rsid w:val="00802028"/>
    <w:rsid w:val="00830290"/>
    <w:rsid w:val="00836603"/>
    <w:rsid w:val="00841704"/>
    <w:rsid w:val="0084301F"/>
    <w:rsid w:val="00851231"/>
    <w:rsid w:val="0086348F"/>
    <w:rsid w:val="00872A3B"/>
    <w:rsid w:val="008740A1"/>
    <w:rsid w:val="00875FCB"/>
    <w:rsid w:val="008841CA"/>
    <w:rsid w:val="00885F06"/>
    <w:rsid w:val="00896AED"/>
    <w:rsid w:val="008B2F56"/>
    <w:rsid w:val="008C2002"/>
    <w:rsid w:val="008D2AF8"/>
    <w:rsid w:val="008F4272"/>
    <w:rsid w:val="008F7D8B"/>
    <w:rsid w:val="009154ED"/>
    <w:rsid w:val="009161C7"/>
    <w:rsid w:val="00933200"/>
    <w:rsid w:val="00942153"/>
    <w:rsid w:val="009501B7"/>
    <w:rsid w:val="00957E44"/>
    <w:rsid w:val="0096701D"/>
    <w:rsid w:val="00974C6D"/>
    <w:rsid w:val="009757BD"/>
    <w:rsid w:val="00977E7E"/>
    <w:rsid w:val="009C6AA5"/>
    <w:rsid w:val="009D5C03"/>
    <w:rsid w:val="009E0549"/>
    <w:rsid w:val="009E0FE1"/>
    <w:rsid w:val="009E2529"/>
    <w:rsid w:val="009F3A7C"/>
    <w:rsid w:val="00A07214"/>
    <w:rsid w:val="00A20033"/>
    <w:rsid w:val="00A239D7"/>
    <w:rsid w:val="00A2623A"/>
    <w:rsid w:val="00A278B2"/>
    <w:rsid w:val="00A311DB"/>
    <w:rsid w:val="00A367EB"/>
    <w:rsid w:val="00A4260A"/>
    <w:rsid w:val="00A52D66"/>
    <w:rsid w:val="00A56326"/>
    <w:rsid w:val="00A61EA6"/>
    <w:rsid w:val="00A63BB8"/>
    <w:rsid w:val="00A9360B"/>
    <w:rsid w:val="00A94F25"/>
    <w:rsid w:val="00AA51EF"/>
    <w:rsid w:val="00AB2044"/>
    <w:rsid w:val="00AC6792"/>
    <w:rsid w:val="00AD5361"/>
    <w:rsid w:val="00B20DCD"/>
    <w:rsid w:val="00B31B54"/>
    <w:rsid w:val="00B623D9"/>
    <w:rsid w:val="00B803D1"/>
    <w:rsid w:val="00BA302B"/>
    <w:rsid w:val="00BB75AA"/>
    <w:rsid w:val="00BC3105"/>
    <w:rsid w:val="00BF1316"/>
    <w:rsid w:val="00BF211F"/>
    <w:rsid w:val="00C1287F"/>
    <w:rsid w:val="00C15F86"/>
    <w:rsid w:val="00C4330A"/>
    <w:rsid w:val="00C62129"/>
    <w:rsid w:val="00C80B8B"/>
    <w:rsid w:val="00C90853"/>
    <w:rsid w:val="00C92F2F"/>
    <w:rsid w:val="00CA4BB1"/>
    <w:rsid w:val="00CA55A7"/>
    <w:rsid w:val="00CA5E36"/>
    <w:rsid w:val="00CB6F2D"/>
    <w:rsid w:val="00CD02CC"/>
    <w:rsid w:val="00CD0450"/>
    <w:rsid w:val="00CD2DFF"/>
    <w:rsid w:val="00CF7ED8"/>
    <w:rsid w:val="00D05610"/>
    <w:rsid w:val="00D074B6"/>
    <w:rsid w:val="00D14CE5"/>
    <w:rsid w:val="00D22E05"/>
    <w:rsid w:val="00D263B0"/>
    <w:rsid w:val="00D26AC7"/>
    <w:rsid w:val="00D670C8"/>
    <w:rsid w:val="00D80622"/>
    <w:rsid w:val="00D8590D"/>
    <w:rsid w:val="00DA25FD"/>
    <w:rsid w:val="00DB723B"/>
    <w:rsid w:val="00DC6509"/>
    <w:rsid w:val="00DD14DA"/>
    <w:rsid w:val="00DE3057"/>
    <w:rsid w:val="00DF0E77"/>
    <w:rsid w:val="00DF1DF1"/>
    <w:rsid w:val="00E017D0"/>
    <w:rsid w:val="00E05797"/>
    <w:rsid w:val="00E46255"/>
    <w:rsid w:val="00E52C19"/>
    <w:rsid w:val="00E5342F"/>
    <w:rsid w:val="00E64767"/>
    <w:rsid w:val="00E775CE"/>
    <w:rsid w:val="00EB719A"/>
    <w:rsid w:val="00EB7452"/>
    <w:rsid w:val="00EC5139"/>
    <w:rsid w:val="00EE0766"/>
    <w:rsid w:val="00EE5B02"/>
    <w:rsid w:val="00EF5614"/>
    <w:rsid w:val="00F23786"/>
    <w:rsid w:val="00F2425A"/>
    <w:rsid w:val="00F3438F"/>
    <w:rsid w:val="00F43545"/>
    <w:rsid w:val="00F4726F"/>
    <w:rsid w:val="00F5737F"/>
    <w:rsid w:val="00F579BB"/>
    <w:rsid w:val="00F616D7"/>
    <w:rsid w:val="00F834D1"/>
    <w:rsid w:val="00F83816"/>
    <w:rsid w:val="00FC3CF3"/>
    <w:rsid w:val="00FE4E76"/>
    <w:rsid w:val="00FE59E4"/>
    <w:rsid w:val="00FE7FCF"/>
    <w:rsid w:val="00FF3E4F"/>
    <w:rsid w:val="00FF4A22"/>
    <w:rsid w:val="09CA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1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link w:val="2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link w:val="21"/>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6">
    <w:name w:val="heading 6"/>
    <w:basedOn w:val="1"/>
    <w:link w:val="22"/>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7">
    <w:name w:val="Balloon Text"/>
    <w:basedOn w:val="1"/>
    <w:link w:val="24"/>
    <w:semiHidden/>
    <w:unhideWhenUsed/>
    <w:qFormat/>
    <w:uiPriority w:val="99"/>
    <w:rPr>
      <w:sz w:val="18"/>
      <w:szCs w:val="18"/>
    </w:rPr>
  </w:style>
  <w:style w:type="paragraph" w:styleId="8">
    <w:name w:val="footer"/>
    <w:basedOn w:val="1"/>
    <w:link w:val="17"/>
    <w:unhideWhenUsed/>
    <w:uiPriority w:val="99"/>
    <w:pPr>
      <w:tabs>
        <w:tab w:val="center" w:pos="4153"/>
        <w:tab w:val="right" w:pos="8306"/>
      </w:tabs>
      <w:snapToGrid w:val="0"/>
      <w:jc w:val="left"/>
    </w:pPr>
    <w:rPr>
      <w:sz w:val="18"/>
      <w:szCs w:val="18"/>
    </w:rPr>
  </w:style>
  <w:style w:type="paragraph" w:styleId="9">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basedOn w:val="12"/>
    <w:unhideWhenUsed/>
    <w:uiPriority w:val="99"/>
    <w:rPr>
      <w:color w:val="0000FF"/>
      <w:u w:val="single"/>
    </w:rPr>
  </w:style>
  <w:style w:type="character" w:customStyle="1" w:styleId="16">
    <w:name w:val="页眉 Char"/>
    <w:basedOn w:val="12"/>
    <w:link w:val="9"/>
    <w:uiPriority w:val="99"/>
    <w:rPr>
      <w:sz w:val="18"/>
      <w:szCs w:val="18"/>
    </w:rPr>
  </w:style>
  <w:style w:type="character" w:customStyle="1" w:styleId="17">
    <w:name w:val="页脚 Char"/>
    <w:basedOn w:val="12"/>
    <w:link w:val="8"/>
    <w:qFormat/>
    <w:uiPriority w:val="99"/>
    <w:rPr>
      <w:sz w:val="18"/>
      <w:szCs w:val="18"/>
    </w:rPr>
  </w:style>
  <w:style w:type="character" w:customStyle="1" w:styleId="18">
    <w:name w:val="标题 1 Char"/>
    <w:basedOn w:val="12"/>
    <w:link w:val="2"/>
    <w:qFormat/>
    <w:uiPriority w:val="9"/>
    <w:rPr>
      <w:rFonts w:ascii="宋体" w:hAnsi="宋体" w:eastAsia="宋体" w:cs="宋体"/>
      <w:b/>
      <w:bCs/>
      <w:kern w:val="36"/>
      <w:sz w:val="48"/>
      <w:szCs w:val="48"/>
    </w:rPr>
  </w:style>
  <w:style w:type="character" w:customStyle="1" w:styleId="19">
    <w:name w:val="标题 3 Char"/>
    <w:basedOn w:val="12"/>
    <w:link w:val="3"/>
    <w:qFormat/>
    <w:uiPriority w:val="9"/>
    <w:rPr>
      <w:rFonts w:ascii="宋体" w:hAnsi="宋体" w:eastAsia="宋体" w:cs="宋体"/>
      <w:b/>
      <w:bCs/>
      <w:kern w:val="0"/>
      <w:sz w:val="27"/>
      <w:szCs w:val="27"/>
    </w:rPr>
  </w:style>
  <w:style w:type="character" w:customStyle="1" w:styleId="20">
    <w:name w:val="标题 4 Char"/>
    <w:basedOn w:val="12"/>
    <w:link w:val="4"/>
    <w:uiPriority w:val="9"/>
    <w:rPr>
      <w:rFonts w:ascii="宋体" w:hAnsi="宋体" w:eastAsia="宋体" w:cs="宋体"/>
      <w:b/>
      <w:bCs/>
      <w:kern w:val="0"/>
      <w:sz w:val="24"/>
      <w:szCs w:val="24"/>
    </w:rPr>
  </w:style>
  <w:style w:type="character" w:customStyle="1" w:styleId="21">
    <w:name w:val="标题 5 Char"/>
    <w:basedOn w:val="12"/>
    <w:link w:val="5"/>
    <w:uiPriority w:val="9"/>
    <w:rPr>
      <w:rFonts w:ascii="宋体" w:hAnsi="宋体" w:eastAsia="宋体" w:cs="宋体"/>
      <w:b/>
      <w:bCs/>
      <w:kern w:val="0"/>
      <w:sz w:val="20"/>
      <w:szCs w:val="20"/>
    </w:rPr>
  </w:style>
  <w:style w:type="character" w:customStyle="1" w:styleId="22">
    <w:name w:val="标题 6 Char"/>
    <w:basedOn w:val="12"/>
    <w:link w:val="6"/>
    <w:qFormat/>
    <w:uiPriority w:val="9"/>
    <w:rPr>
      <w:rFonts w:ascii="宋体" w:hAnsi="宋体" w:eastAsia="宋体" w:cs="宋体"/>
      <w:b/>
      <w:bCs/>
      <w:kern w:val="0"/>
      <w:sz w:val="15"/>
      <w:szCs w:val="15"/>
    </w:rPr>
  </w:style>
  <w:style w:type="character" w:customStyle="1" w:styleId="23">
    <w:name w:val="apple-converted-space"/>
    <w:basedOn w:val="12"/>
    <w:qFormat/>
    <w:uiPriority w:val="0"/>
  </w:style>
  <w:style w:type="character" w:customStyle="1" w:styleId="24">
    <w:name w:val="批注框文本 Char"/>
    <w:basedOn w:val="12"/>
    <w:link w:val="7"/>
    <w:semiHidden/>
    <w:qFormat/>
    <w:uiPriority w:val="99"/>
    <w:rPr>
      <w:sz w:val="18"/>
      <w:szCs w:val="18"/>
    </w:rPr>
  </w:style>
  <w:style w:type="paragraph" w:styleId="25">
    <w:name w:val="List Paragraph"/>
    <w:basedOn w:val="1"/>
    <w:qFormat/>
    <w:uiPriority w:val="34"/>
    <w:pPr>
      <w:ind w:firstLine="420" w:firstLineChars="200"/>
    </w:pPr>
  </w:style>
  <w:style w:type="character" w:customStyle="1" w:styleId="26">
    <w:name w:val="正文文本 (3)_"/>
    <w:basedOn w:val="12"/>
    <w:link w:val="27"/>
    <w:uiPriority w:val="0"/>
    <w:rPr>
      <w:rFonts w:ascii="Times New Roman" w:hAnsi="Times New Roman" w:eastAsia="Times New Roman" w:cs="Times New Roman"/>
      <w:b/>
      <w:bCs/>
      <w:sz w:val="60"/>
      <w:szCs w:val="60"/>
      <w:shd w:val="clear" w:color="auto" w:fill="FFFFFF"/>
    </w:rPr>
  </w:style>
  <w:style w:type="paragraph" w:customStyle="1" w:styleId="27">
    <w:name w:val="正文文本 (3)"/>
    <w:basedOn w:val="1"/>
    <w:link w:val="26"/>
    <w:uiPriority w:val="0"/>
    <w:pPr>
      <w:shd w:val="clear" w:color="auto" w:fill="FFFFFF"/>
      <w:spacing w:line="686" w:lineRule="exact"/>
      <w:jc w:val="center"/>
    </w:pPr>
    <w:rPr>
      <w:rFonts w:ascii="Times New Roman" w:hAnsi="Times New Roman" w:eastAsia="Times New Roman" w:cs="Times New Roman"/>
      <w:b/>
      <w:bCs/>
      <w:sz w:val="60"/>
      <w:szCs w:val="6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F4195-01BF-49C4-A2E5-CBFBD00E840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25</Pages>
  <Words>12742</Words>
  <Characters>13829</Characters>
  <Lines>178</Lines>
  <Paragraphs>50</Paragraphs>
  <TotalTime>0</TotalTime>
  <ScaleCrop>false</ScaleCrop>
  <LinksUpToDate>false</LinksUpToDate>
  <CharactersWithSpaces>13952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2017-04-10T10:10:00Z</dcterms:created>
  <dc:creator>pc</dc:creator>
  <cp:lastModifiedBy>太极箫客</cp:lastModifiedBy>
  <dcterms:modified xsi:type="dcterms:W3CDTF">2025-08-14T06:17:51Z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20E657287AF14085B40BD44056DA0FAF_12</vt:lpwstr>
  </property>
</Properties>
</file>