
<file path=[Content_Types].xml><?xml version="1.0" encoding="utf-8"?>
<Types xmlns="http://schemas.openxmlformats.org/package/2006/content-types">
  <Default Extension="xml" ContentType="application/xml"/>
  <Default Extension="gif" ContentType="image/gi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A101CD">
      <w:pPr>
        <w:pStyle w:val="28"/>
        <w:shd w:val="clear" w:color="auto" w:fill="auto"/>
        <w:snapToGrid w:val="0"/>
        <w:spacing w:line="300" w:lineRule="auto"/>
        <w:jc w:val="left"/>
        <w:rPr>
          <w:rFonts w:ascii="Arial" w:hAnsi="Arial" w:eastAsia="宋体" w:cs="Arial"/>
        </w:rPr>
      </w:pPr>
      <w:bookmarkStart w:id="7" w:name="_GoBack"/>
      <w:bookmarkEnd w:id="7"/>
      <w:r>
        <w:rPr>
          <w:rFonts w:ascii="Arial" w:hAnsi="Arial" w:eastAsia="宋体" w:cs="Arial"/>
        </w:rPr>
        <w:t>行业和食品药品监督管理局工作人员指南</w:t>
      </w:r>
    </w:p>
    <w:p w14:paraId="26D65D9D">
      <w:pPr>
        <w:pStyle w:val="28"/>
        <w:shd w:val="clear" w:color="auto" w:fill="auto"/>
        <w:snapToGrid w:val="0"/>
        <w:spacing w:line="300" w:lineRule="auto"/>
        <w:jc w:val="left"/>
        <w:rPr>
          <w:rFonts w:ascii="Arial" w:hAnsi="Arial" w:eastAsia="宋体" w:cs="Arial"/>
          <w:sz w:val="40"/>
          <w:szCs w:val="40"/>
        </w:rPr>
      </w:pPr>
      <w:r>
        <w:rPr>
          <w:rFonts w:ascii="Arial" w:hAnsi="Arial" w:eastAsia="宋体" w:cs="Arial"/>
          <w:sz w:val="48"/>
          <w:szCs w:val="50"/>
        </w:rPr>
        <w:t>II类特殊控制指导性文件：</w:t>
      </w:r>
      <w:r>
        <w:rPr>
          <w:rFonts w:ascii="Arial" w:hAnsi="Arial" w:eastAsia="宋体" w:cs="Arial"/>
          <w:sz w:val="40"/>
          <w:szCs w:val="40"/>
        </w:rPr>
        <w:t>使用多重检测进行甲型流感病毒亚型的检测和分型测定</w:t>
      </w:r>
    </w:p>
    <w:p w14:paraId="61CB2086">
      <w:pPr>
        <w:pStyle w:val="28"/>
        <w:shd w:val="clear" w:color="auto" w:fill="auto"/>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发布日期：2009年10月9日</w:t>
      </w:r>
    </w:p>
    <w:p w14:paraId="58C9C573">
      <w:pPr>
        <w:widowControl/>
        <w:snapToGrid w:val="0"/>
        <w:spacing w:line="300" w:lineRule="auto"/>
        <w:jc w:val="left"/>
        <w:rPr>
          <w:rFonts w:ascii="Arial" w:hAnsi="Arial" w:eastAsia="宋体" w:cs="Arial"/>
          <w:sz w:val="24"/>
          <w:szCs w:val="24"/>
        </w:rPr>
      </w:pPr>
    </w:p>
    <w:p w14:paraId="45F15E4F">
      <w:pPr>
        <w:widowControl/>
        <w:snapToGrid w:val="0"/>
        <w:spacing w:line="300" w:lineRule="auto"/>
        <w:jc w:val="left"/>
        <w:rPr>
          <w:rFonts w:ascii="Arial" w:hAnsi="Arial" w:eastAsia="宋体" w:cs="Arial"/>
          <w:sz w:val="24"/>
          <w:szCs w:val="24"/>
          <w:u w:val="single"/>
        </w:rPr>
      </w:pPr>
      <w:r>
        <w:rPr>
          <w:rFonts w:ascii="Arial" w:hAnsi="Arial" w:eastAsia="宋体" w:cs="Arial"/>
          <w:sz w:val="24"/>
          <w:szCs w:val="24"/>
        </w:rPr>
        <w:t>有关本文件的任何疑问，请联系Claudia Gaffey，电话：301-796-6196 或电子邮件：</w:t>
      </w:r>
      <w:r>
        <w:fldChar w:fldCharType="begin"/>
      </w:r>
      <w:r>
        <w:instrText xml:space="preserve"> HYPERLINK "mailto:Claudia.Gaffey@fda.hhs.gov" </w:instrText>
      </w:r>
      <w:r>
        <w:fldChar w:fldCharType="separate"/>
      </w:r>
      <w:r>
        <w:rPr>
          <w:rFonts w:ascii="Arial" w:hAnsi="Arial" w:eastAsia="宋体" w:cs="Arial"/>
          <w:color w:val="800080"/>
          <w:sz w:val="24"/>
          <w:szCs w:val="24"/>
          <w:u w:val="single"/>
        </w:rPr>
        <w:t>Claudia.Gaffey@fda.hhs.gov</w:t>
      </w:r>
      <w:r>
        <w:rPr>
          <w:rFonts w:ascii="Arial" w:hAnsi="Arial" w:eastAsia="宋体" w:cs="Arial"/>
          <w:color w:val="800080"/>
          <w:sz w:val="24"/>
          <w:szCs w:val="24"/>
          <w:u w:val="single"/>
        </w:rPr>
        <w:fldChar w:fldCharType="end"/>
      </w:r>
    </w:p>
    <w:p w14:paraId="314F3CB8">
      <w:pPr>
        <w:widowControl/>
        <w:snapToGrid w:val="0"/>
        <w:spacing w:line="300" w:lineRule="auto"/>
        <w:jc w:val="left"/>
        <w:rPr>
          <w:rFonts w:ascii="Arial" w:hAnsi="Arial" w:eastAsia="宋体" w:cs="Arial"/>
          <w:color w:val="000000"/>
          <w:kern w:val="0"/>
          <w:sz w:val="24"/>
          <w:szCs w:val="24"/>
        </w:rPr>
      </w:pPr>
    </w:p>
    <w:tbl>
      <w:tblPr>
        <w:tblStyle w:val="11"/>
        <w:tblW w:w="5000" w:type="pct"/>
        <w:tblCellSpacing w:w="0" w:type="dxa"/>
        <w:tblInd w:w="0" w:type="dxa"/>
        <w:tblLayout w:type="autofit"/>
        <w:tblCellMar>
          <w:top w:w="75" w:type="dxa"/>
          <w:left w:w="75" w:type="dxa"/>
          <w:bottom w:w="75" w:type="dxa"/>
          <w:right w:w="75" w:type="dxa"/>
        </w:tblCellMar>
      </w:tblPr>
      <w:tblGrid>
        <w:gridCol w:w="3160"/>
        <w:gridCol w:w="6487"/>
      </w:tblGrid>
      <w:tr w14:paraId="490E4B80">
        <w:tblPrEx>
          <w:tblCellMar>
            <w:top w:w="75" w:type="dxa"/>
            <w:left w:w="75" w:type="dxa"/>
            <w:bottom w:w="75" w:type="dxa"/>
            <w:right w:w="75" w:type="dxa"/>
          </w:tblCellMar>
        </w:tblPrEx>
        <w:trPr>
          <w:tblCellSpacing w:w="0" w:type="dxa"/>
        </w:trPr>
        <w:tc>
          <w:tcPr>
            <w:tcW w:w="0" w:type="auto"/>
            <w:shd w:val="clear" w:color="auto" w:fill="auto"/>
          </w:tcPr>
          <w:p w14:paraId="1AD72C49">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drawing>
                <wp:inline distT="0" distB="0" distL="0" distR="0">
                  <wp:extent cx="923925" cy="952500"/>
                  <wp:effectExtent l="19050" t="0" r="9525" b="0"/>
                  <wp:docPr id="1" name="图片 1" descr="CDR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DRH Logo"/>
                          <pic:cNvPicPr>
                            <a:picLocks noChangeAspect="1" noChangeArrowheads="1"/>
                          </pic:cNvPicPr>
                        </pic:nvPicPr>
                        <pic:blipFill>
                          <a:blip r:embed="rId4" cstate="print"/>
                          <a:srcRect/>
                          <a:stretch>
                            <a:fillRect/>
                          </a:stretch>
                        </pic:blipFill>
                        <pic:spPr>
                          <a:xfrm>
                            <a:off x="0" y="0"/>
                            <a:ext cx="923925" cy="952500"/>
                          </a:xfrm>
                          <a:prstGeom prst="rect">
                            <a:avLst/>
                          </a:prstGeom>
                          <a:noFill/>
                          <a:ln w="9525">
                            <a:noFill/>
                            <a:miter lim="800000"/>
                            <a:headEnd/>
                            <a:tailEnd/>
                          </a:ln>
                        </pic:spPr>
                      </pic:pic>
                    </a:graphicData>
                  </a:graphic>
                </wp:inline>
              </w:drawing>
            </w:r>
            <w:r>
              <w:rPr>
                <w:rFonts w:ascii="Arial" w:hAnsi="Arial" w:eastAsia="宋体" w:cs="Arial"/>
                <w:color w:val="000000"/>
                <w:kern w:val="0"/>
                <w:sz w:val="24"/>
                <w:szCs w:val="24"/>
              </w:rPr>
              <w:t> </w:t>
            </w:r>
          </w:p>
        </w:tc>
        <w:tc>
          <w:tcPr>
            <w:tcW w:w="0" w:type="auto"/>
            <w:shd w:val="clear" w:color="auto" w:fill="auto"/>
          </w:tcPr>
          <w:p w14:paraId="63E3CFB3">
            <w:pPr>
              <w:widowControl/>
              <w:snapToGrid w:val="0"/>
              <w:spacing w:line="300" w:lineRule="auto"/>
              <w:jc w:val="left"/>
              <w:rPr>
                <w:rFonts w:ascii="Arial" w:hAnsi="Arial" w:eastAsia="宋体" w:cs="Arial"/>
                <w:b/>
                <w:bCs/>
                <w:color w:val="000000"/>
                <w:kern w:val="0"/>
                <w:sz w:val="24"/>
                <w:szCs w:val="24"/>
              </w:rPr>
            </w:pPr>
            <w:r>
              <w:rPr>
                <w:rFonts w:ascii="Arial" w:hAnsi="Arial" w:eastAsia="宋体" w:cs="Arial"/>
                <w:b/>
                <w:bCs/>
                <w:color w:val="000000"/>
                <w:kern w:val="0"/>
                <w:sz w:val="24"/>
                <w:szCs w:val="24"/>
              </w:rPr>
              <w:t>美国卫生与公众服务部</w:t>
            </w:r>
          </w:p>
          <w:p w14:paraId="18B6D8AE">
            <w:pPr>
              <w:widowControl/>
              <w:snapToGrid w:val="0"/>
              <w:spacing w:line="300" w:lineRule="auto"/>
              <w:jc w:val="left"/>
              <w:rPr>
                <w:rFonts w:ascii="Arial" w:hAnsi="Arial" w:eastAsia="宋体" w:cs="Arial"/>
                <w:b/>
                <w:bCs/>
                <w:color w:val="000000"/>
                <w:kern w:val="0"/>
                <w:sz w:val="24"/>
                <w:szCs w:val="24"/>
              </w:rPr>
            </w:pPr>
            <w:r>
              <w:rPr>
                <w:rFonts w:ascii="Arial" w:hAnsi="Arial" w:eastAsia="宋体" w:cs="Arial"/>
                <w:b/>
                <w:bCs/>
                <w:color w:val="000000"/>
                <w:kern w:val="0"/>
                <w:sz w:val="24"/>
                <w:szCs w:val="24"/>
              </w:rPr>
              <w:t>食品药品监督管理局</w:t>
            </w:r>
          </w:p>
          <w:p w14:paraId="274CF122">
            <w:pPr>
              <w:widowControl/>
              <w:snapToGrid w:val="0"/>
              <w:spacing w:line="300" w:lineRule="auto"/>
              <w:jc w:val="left"/>
              <w:rPr>
                <w:rFonts w:ascii="Arial" w:hAnsi="Arial" w:eastAsia="宋体" w:cs="Arial"/>
                <w:b/>
                <w:bCs/>
                <w:color w:val="000000"/>
                <w:kern w:val="0"/>
                <w:sz w:val="24"/>
                <w:szCs w:val="24"/>
              </w:rPr>
            </w:pPr>
            <w:r>
              <w:rPr>
                <w:rFonts w:ascii="Arial" w:hAnsi="Arial" w:eastAsia="宋体" w:cs="Arial"/>
                <w:b/>
                <w:bCs/>
                <w:color w:val="000000"/>
                <w:kern w:val="0"/>
                <w:sz w:val="24"/>
                <w:szCs w:val="24"/>
              </w:rPr>
              <w:t>器械与放射健康中心</w:t>
            </w:r>
            <w:r>
              <w:rPr>
                <w:rFonts w:ascii="Arial" w:hAnsi="Arial" w:eastAsia="宋体" w:cs="Arial"/>
                <w:b/>
                <w:bCs/>
                <w:color w:val="000000"/>
                <w:kern w:val="0"/>
                <w:sz w:val="24"/>
                <w:szCs w:val="24"/>
              </w:rPr>
              <w:br w:type="textWrapping"/>
            </w:r>
            <w:r>
              <w:rPr>
                <w:rFonts w:ascii="Arial" w:hAnsi="Arial" w:eastAsia="宋体" w:cs="Arial"/>
                <w:b/>
                <w:bCs/>
                <w:color w:val="000000"/>
                <w:kern w:val="0"/>
                <w:sz w:val="24"/>
                <w:szCs w:val="24"/>
              </w:rPr>
              <w:t>体外诊断器械评估和安全办公室</w:t>
            </w:r>
          </w:p>
          <w:p w14:paraId="33F169C1">
            <w:pPr>
              <w:widowControl/>
              <w:snapToGrid w:val="0"/>
              <w:spacing w:line="300" w:lineRule="auto"/>
              <w:jc w:val="left"/>
              <w:rPr>
                <w:rFonts w:ascii="Arial" w:hAnsi="Arial" w:eastAsia="宋体" w:cs="Arial"/>
                <w:b/>
                <w:bCs/>
                <w:color w:val="000000"/>
                <w:kern w:val="0"/>
                <w:sz w:val="24"/>
                <w:szCs w:val="24"/>
              </w:rPr>
            </w:pPr>
            <w:r>
              <w:rPr>
                <w:rFonts w:ascii="Arial" w:hAnsi="Arial" w:eastAsia="宋体" w:cs="Arial"/>
                <w:b/>
                <w:bCs/>
                <w:color w:val="000000"/>
                <w:kern w:val="0"/>
                <w:sz w:val="24"/>
                <w:szCs w:val="24"/>
              </w:rPr>
              <w:t>微生物检测器械部</w:t>
            </w:r>
          </w:p>
          <w:p w14:paraId="5C6288B7">
            <w:pPr>
              <w:widowControl/>
              <w:snapToGrid w:val="0"/>
              <w:spacing w:line="300" w:lineRule="auto"/>
              <w:jc w:val="left"/>
              <w:rPr>
                <w:rFonts w:ascii="Arial" w:hAnsi="Arial" w:eastAsia="宋体" w:cs="Arial"/>
                <w:color w:val="000000"/>
                <w:kern w:val="0"/>
                <w:sz w:val="24"/>
                <w:szCs w:val="24"/>
              </w:rPr>
            </w:pPr>
          </w:p>
        </w:tc>
      </w:tr>
    </w:tbl>
    <w:p w14:paraId="3F6AB85F">
      <w:pPr>
        <w:widowControl/>
        <w:snapToGrid w:val="0"/>
        <w:spacing w:line="300" w:lineRule="auto"/>
        <w:jc w:val="left"/>
        <w:outlineLvl w:val="2"/>
        <w:rPr>
          <w:rFonts w:ascii="Arial" w:hAnsi="Arial" w:eastAsia="宋体" w:cs="Arial"/>
          <w:b/>
          <w:bCs/>
          <w:color w:val="000000"/>
          <w:kern w:val="0"/>
          <w:sz w:val="24"/>
          <w:szCs w:val="24"/>
        </w:rPr>
      </w:pPr>
    </w:p>
    <w:p w14:paraId="2B489B7F">
      <w:pPr>
        <w:widowControl/>
        <w:snapToGrid w:val="0"/>
        <w:spacing w:line="300" w:lineRule="auto"/>
        <w:jc w:val="left"/>
        <w:outlineLvl w:val="2"/>
        <w:rPr>
          <w:rFonts w:ascii="Arial" w:hAnsi="Arial" w:eastAsia="宋体" w:cs="Arial"/>
          <w:b/>
          <w:sz w:val="32"/>
          <w:szCs w:val="32"/>
        </w:rPr>
      </w:pPr>
      <w:r>
        <w:rPr>
          <w:rFonts w:ascii="Arial" w:hAnsi="Arial" w:eastAsia="宋体" w:cs="Arial"/>
          <w:b/>
          <w:bCs/>
          <w:color w:val="000000"/>
          <w:kern w:val="0"/>
          <w:sz w:val="44"/>
          <w:szCs w:val="44"/>
        </w:rPr>
        <w:t>前言</w:t>
      </w:r>
    </w:p>
    <w:p w14:paraId="43F4B2B3">
      <w:pPr>
        <w:snapToGrid w:val="0"/>
        <w:spacing w:line="300" w:lineRule="auto"/>
        <w:rPr>
          <w:rFonts w:ascii="Arial" w:hAnsi="Arial" w:eastAsia="宋体" w:cs="Arial"/>
          <w:b/>
          <w:sz w:val="32"/>
          <w:szCs w:val="32"/>
        </w:rPr>
      </w:pPr>
      <w:r>
        <w:rPr>
          <w:rFonts w:ascii="Arial" w:hAnsi="Arial" w:eastAsia="宋体" w:cs="Arial"/>
          <w:b/>
          <w:sz w:val="32"/>
          <w:szCs w:val="32"/>
        </w:rPr>
        <w:t>公众评论</w:t>
      </w:r>
    </w:p>
    <w:p w14:paraId="7C64B8ED">
      <w:pPr>
        <w:snapToGrid w:val="0"/>
        <w:spacing w:line="300" w:lineRule="auto"/>
        <w:rPr>
          <w:rFonts w:ascii="Arial" w:hAnsi="Arial" w:eastAsia="宋体" w:cs="Arial"/>
          <w:sz w:val="24"/>
          <w:szCs w:val="24"/>
        </w:rPr>
      </w:pPr>
      <w:r>
        <w:rPr>
          <w:rFonts w:ascii="Arial" w:hAnsi="Arial" w:eastAsia="宋体" w:cs="Arial"/>
          <w:sz w:val="24"/>
          <w:szCs w:val="24"/>
        </w:rPr>
        <w:t xml:space="preserve">书面评论和建议可随时向文档管理部（HFA-305）, FDA，9200 </w:t>
      </w:r>
      <w:r>
        <w:rPr>
          <w:rFonts w:ascii="Arial" w:hAnsi="Arial" w:eastAsia="宋体" w:cs="Arial"/>
          <w:color w:val="000000"/>
          <w:kern w:val="0"/>
          <w:sz w:val="24"/>
          <w:szCs w:val="24"/>
        </w:rPr>
        <w:t>630 Fishers Lane, rm. 1061, Rockville, MD 20852</w:t>
      </w:r>
      <w:r>
        <w:rPr>
          <w:rFonts w:ascii="Arial" w:hAnsi="Arial" w:eastAsia="宋体" w:cs="Arial"/>
          <w:sz w:val="24"/>
          <w:szCs w:val="24"/>
        </w:rPr>
        <w:t>提交，供部门审议；或者，电子版评论可提交至</w:t>
      </w:r>
      <w:r>
        <w:fldChar w:fldCharType="begin"/>
      </w:r>
      <w:r>
        <w:instrText xml:space="preserve"> HYPERLINK "http://www.regulations.gov/" </w:instrText>
      </w:r>
      <w:r>
        <w:fldChar w:fldCharType="separate"/>
      </w:r>
      <w:r>
        <w:rPr>
          <w:rFonts w:ascii="Arial" w:hAnsi="Arial" w:eastAsia="宋体" w:cs="Arial"/>
          <w:color w:val="800080"/>
          <w:kern w:val="0"/>
          <w:sz w:val="24"/>
          <w:szCs w:val="24"/>
          <w:u w:val="single"/>
        </w:rPr>
        <w:t>http://www.regulations.gov</w:t>
      </w:r>
      <w:r>
        <w:rPr>
          <w:rFonts w:ascii="Arial" w:hAnsi="Arial" w:eastAsia="宋体" w:cs="Arial"/>
          <w:color w:val="800080"/>
          <w:kern w:val="0"/>
          <w:sz w:val="24"/>
          <w:szCs w:val="24"/>
          <w:u w:val="single"/>
        </w:rPr>
        <w:fldChar w:fldCharType="end"/>
      </w:r>
      <w:r>
        <w:rPr>
          <w:rFonts w:ascii="Arial" w:hAnsi="Arial" w:eastAsia="宋体" w:cs="Arial"/>
          <w:color w:val="000000"/>
          <w:kern w:val="0"/>
          <w:sz w:val="24"/>
          <w:szCs w:val="24"/>
        </w:rPr>
        <w:t>.。所有评论都应该使用在联邦公报上公布的可用性通知的文档编号来标识。</w:t>
      </w:r>
      <w:r>
        <w:rPr>
          <w:rFonts w:ascii="Arial" w:hAnsi="Arial" w:eastAsia="宋体" w:cs="Arial"/>
          <w:sz w:val="24"/>
          <w:szCs w:val="24"/>
        </w:rPr>
        <w:t>可能直到文件下次修订或更新时，评论才会被机构受理。</w:t>
      </w:r>
    </w:p>
    <w:p w14:paraId="32970954">
      <w:pPr>
        <w:snapToGrid w:val="0"/>
        <w:spacing w:line="300" w:lineRule="auto"/>
        <w:rPr>
          <w:rFonts w:ascii="Arial" w:hAnsi="Arial" w:eastAsia="宋体" w:cs="Arial"/>
          <w:b/>
          <w:sz w:val="32"/>
          <w:szCs w:val="32"/>
        </w:rPr>
      </w:pPr>
      <w:r>
        <w:rPr>
          <w:rFonts w:ascii="Arial" w:hAnsi="Arial" w:eastAsia="宋体" w:cs="Arial"/>
          <w:b/>
          <w:sz w:val="32"/>
          <w:szCs w:val="32"/>
        </w:rPr>
        <w:t>其他副本</w:t>
      </w:r>
    </w:p>
    <w:p w14:paraId="26583FEE">
      <w:pPr>
        <w:snapToGrid w:val="0"/>
        <w:spacing w:line="300" w:lineRule="auto"/>
        <w:rPr>
          <w:rFonts w:ascii="Arial" w:hAnsi="Arial" w:eastAsia="宋体" w:cs="Arial"/>
          <w:sz w:val="24"/>
          <w:szCs w:val="24"/>
        </w:rPr>
      </w:pPr>
      <w:r>
        <w:rPr>
          <w:rFonts w:ascii="Arial" w:hAnsi="Arial" w:eastAsia="宋体" w:cs="Arial"/>
          <w:sz w:val="24"/>
          <w:szCs w:val="24"/>
        </w:rPr>
        <w:t xml:space="preserve">其他副本可从互联网获得。贵公司还可以发送电子邮件请求本指南的电子副本： </w:t>
      </w:r>
      <w:r>
        <w:fldChar w:fldCharType="begin"/>
      </w:r>
      <w:r>
        <w:instrText xml:space="preserve"> HYPERLINK "mailto:dsmica@fda.hhs.gov" </w:instrText>
      </w:r>
      <w:r>
        <w:fldChar w:fldCharType="separate"/>
      </w:r>
      <w:r>
        <w:rPr>
          <w:rFonts w:ascii="Arial" w:hAnsi="Arial" w:eastAsia="宋体" w:cs="Arial"/>
          <w:color w:val="800080"/>
          <w:kern w:val="0"/>
          <w:sz w:val="24"/>
          <w:szCs w:val="24"/>
          <w:u w:val="single"/>
        </w:rPr>
        <w:t>dsmica@fda.hhs.gov</w:t>
      </w:r>
      <w:r>
        <w:rPr>
          <w:rFonts w:ascii="Arial" w:hAnsi="Arial" w:eastAsia="宋体" w:cs="Arial"/>
          <w:color w:val="800080"/>
          <w:kern w:val="0"/>
          <w:sz w:val="24"/>
          <w:szCs w:val="24"/>
          <w:u w:val="single"/>
        </w:rPr>
        <w:fldChar w:fldCharType="end"/>
      </w:r>
      <w:r>
        <w:rPr>
          <w:rFonts w:ascii="Arial" w:hAnsi="Arial" w:eastAsia="宋体" w:cs="Arial"/>
          <w:sz w:val="24"/>
          <w:szCs w:val="24"/>
        </w:rPr>
        <w:t>，或向301-847-8149发送传真请求以接收复印件。在贵公司提出请求时，请使用本指南的文档编号（1672）以供识别。</w:t>
      </w:r>
    </w:p>
    <w:p w14:paraId="79EA3A2F">
      <w:pPr>
        <w:widowControl/>
        <w:snapToGrid w:val="0"/>
        <w:spacing w:line="300" w:lineRule="auto"/>
        <w:jc w:val="left"/>
        <w:rPr>
          <w:rFonts w:ascii="Arial" w:hAnsi="Arial" w:eastAsia="宋体" w:cs="Arial"/>
          <w:kern w:val="0"/>
          <w:sz w:val="24"/>
          <w:szCs w:val="24"/>
        </w:rPr>
      </w:pPr>
      <w:r>
        <w:rPr>
          <w:rFonts w:ascii="Arial" w:hAnsi="Arial" w:eastAsia="宋体" w:cs="Arial"/>
          <w:kern w:val="0"/>
          <w:sz w:val="24"/>
          <w:szCs w:val="24"/>
        </w:rPr>
        <w:pict>
          <v:rect id="_x0000_i1025" o:spt="1" style="height:0.75pt;width:0pt;" fillcolor="#000000" filled="t" stroked="f" coordsize="21600,21600" o:hr="t" o:hrstd="t" o:hrnoshade="t">
            <v:path/>
            <v:fill on="t" focussize="0,0"/>
            <v:stroke on="f"/>
            <v:imagedata o:title=""/>
            <o:lock v:ext="edit"/>
            <w10:wrap type="none"/>
            <w10:anchorlock/>
          </v:rect>
        </w:pict>
      </w:r>
    </w:p>
    <w:p w14:paraId="193ECF5F">
      <w:pPr>
        <w:widowControl/>
        <w:jc w:val="left"/>
        <w:rPr>
          <w:rFonts w:ascii="Arial" w:hAnsi="Arial" w:eastAsia="宋体" w:cs="Arial"/>
          <w:b/>
          <w:bCs/>
          <w:color w:val="000000"/>
          <w:kern w:val="0"/>
          <w:sz w:val="24"/>
          <w:szCs w:val="24"/>
        </w:rPr>
      </w:pPr>
      <w:r>
        <w:rPr>
          <w:rFonts w:ascii="Arial" w:hAnsi="Arial" w:eastAsia="宋体" w:cs="Arial"/>
          <w:b/>
          <w:bCs/>
          <w:color w:val="000000"/>
          <w:kern w:val="0"/>
          <w:sz w:val="24"/>
          <w:szCs w:val="24"/>
        </w:rPr>
        <w:br w:type="page"/>
      </w:r>
    </w:p>
    <w:p w14:paraId="30C06424">
      <w:pPr>
        <w:widowControl/>
        <w:snapToGrid w:val="0"/>
        <w:spacing w:line="300" w:lineRule="auto"/>
        <w:jc w:val="left"/>
        <w:outlineLvl w:val="2"/>
        <w:rPr>
          <w:rFonts w:ascii="Arial" w:hAnsi="Arial" w:eastAsia="宋体" w:cs="Arial"/>
          <w:b/>
          <w:bCs/>
          <w:color w:val="000000"/>
          <w:kern w:val="0"/>
          <w:sz w:val="24"/>
          <w:szCs w:val="24"/>
        </w:rPr>
      </w:pPr>
      <w:r>
        <w:rPr>
          <w:rFonts w:ascii="Arial" w:hAnsi="Arial" w:eastAsia="宋体" w:cs="Arial"/>
          <w:b/>
          <w:bCs/>
          <w:color w:val="000000"/>
          <w:kern w:val="0"/>
          <w:sz w:val="24"/>
          <w:szCs w:val="24"/>
        </w:rPr>
        <w:t>目录</w:t>
      </w:r>
    </w:p>
    <w:p w14:paraId="1D761366">
      <w:pPr>
        <w:widowControl/>
        <w:numPr>
          <w:ilvl w:val="0"/>
          <w:numId w:val="1"/>
        </w:numPr>
        <w:tabs>
          <w:tab w:val="clear" w:pos="720"/>
        </w:tabs>
        <w:snapToGrid w:val="0"/>
        <w:spacing w:line="300" w:lineRule="auto"/>
        <w:ind w:left="0" w:firstLine="0"/>
        <w:jc w:val="left"/>
        <w:rPr>
          <w:rFonts w:ascii="Arial" w:hAnsi="Arial" w:eastAsia="宋体" w:cs="Arial"/>
          <w:color w:val="800080"/>
          <w:kern w:val="0"/>
          <w:szCs w:val="21"/>
          <w:u w:val="single"/>
        </w:rPr>
      </w:pPr>
      <w:r>
        <w:rPr>
          <w:rFonts w:ascii="Arial" w:hAnsi="Arial" w:eastAsia="宋体" w:cs="Arial"/>
          <w:color w:val="800080"/>
          <w:kern w:val="0"/>
          <w:szCs w:val="21"/>
          <w:u w:val="single"/>
        </w:rPr>
        <w:t>简介</w:t>
      </w:r>
    </w:p>
    <w:p w14:paraId="17B57836">
      <w:pPr>
        <w:widowControl/>
        <w:numPr>
          <w:ilvl w:val="0"/>
          <w:numId w:val="1"/>
        </w:numPr>
        <w:tabs>
          <w:tab w:val="clear" w:pos="720"/>
        </w:tabs>
        <w:snapToGrid w:val="0"/>
        <w:spacing w:line="300" w:lineRule="auto"/>
        <w:ind w:left="0" w:firstLine="0"/>
        <w:jc w:val="left"/>
        <w:rPr>
          <w:rFonts w:ascii="Arial" w:hAnsi="Arial" w:eastAsia="宋体" w:cs="Arial"/>
          <w:color w:val="000000"/>
          <w:kern w:val="0"/>
          <w:szCs w:val="21"/>
        </w:rPr>
      </w:pPr>
      <w:r>
        <w:rPr>
          <w:rFonts w:ascii="Arial" w:hAnsi="Arial" w:eastAsia="宋体" w:cs="Arial"/>
          <w:color w:val="800080"/>
          <w:kern w:val="0"/>
          <w:szCs w:val="21"/>
          <w:u w:val="single"/>
        </w:rPr>
        <w:t>背景- 上市前通告</w:t>
      </w:r>
    </w:p>
    <w:p w14:paraId="73A57C2D">
      <w:pPr>
        <w:widowControl/>
        <w:numPr>
          <w:ilvl w:val="0"/>
          <w:numId w:val="1"/>
        </w:numPr>
        <w:tabs>
          <w:tab w:val="clear" w:pos="720"/>
        </w:tabs>
        <w:snapToGrid w:val="0"/>
        <w:spacing w:line="300" w:lineRule="auto"/>
        <w:ind w:left="0" w:firstLine="0"/>
        <w:jc w:val="left"/>
        <w:rPr>
          <w:rFonts w:ascii="Arial" w:hAnsi="Arial" w:eastAsia="宋体" w:cs="Arial"/>
          <w:color w:val="000000"/>
          <w:kern w:val="0"/>
          <w:szCs w:val="21"/>
        </w:rPr>
      </w:pPr>
      <w:r>
        <w:fldChar w:fldCharType="begin"/>
      </w:r>
      <w:r>
        <w:instrText xml:space="preserve"> HYPERLINK "http://www.fda.gov/MedicalDevices/DeviceRegulationandGuidance/GuidanceDocuments/ucm180306.htm" \l "3" </w:instrText>
      </w:r>
      <w:r>
        <w:fldChar w:fldCharType="separate"/>
      </w:r>
      <w:r>
        <w:rPr>
          <w:rFonts w:ascii="Arial" w:hAnsi="Arial" w:eastAsia="宋体" w:cs="Arial"/>
          <w:color w:val="800080"/>
          <w:kern w:val="0"/>
          <w:szCs w:val="21"/>
          <w:u w:val="single"/>
        </w:rPr>
        <w:t>本文件和相关文件的范围</w:t>
      </w:r>
      <w:r>
        <w:rPr>
          <w:rFonts w:ascii="Arial" w:hAnsi="Arial" w:eastAsia="宋体" w:cs="Arial"/>
          <w:color w:val="800080"/>
          <w:kern w:val="0"/>
          <w:szCs w:val="21"/>
          <w:u w:val="single"/>
        </w:rPr>
        <w:fldChar w:fldCharType="end"/>
      </w:r>
    </w:p>
    <w:p w14:paraId="6F5860D3">
      <w:pPr>
        <w:widowControl/>
        <w:numPr>
          <w:ilvl w:val="0"/>
          <w:numId w:val="1"/>
        </w:numPr>
        <w:tabs>
          <w:tab w:val="clear" w:pos="720"/>
        </w:tabs>
        <w:snapToGrid w:val="0"/>
        <w:spacing w:line="300" w:lineRule="auto"/>
        <w:ind w:left="0" w:firstLine="0"/>
        <w:jc w:val="left"/>
        <w:rPr>
          <w:rFonts w:ascii="Arial" w:hAnsi="Arial" w:eastAsia="宋体" w:cs="Arial"/>
          <w:color w:val="000000"/>
          <w:kern w:val="0"/>
          <w:szCs w:val="21"/>
        </w:rPr>
      </w:pPr>
      <w:r>
        <w:fldChar w:fldCharType="begin"/>
      </w:r>
      <w:r>
        <w:instrText xml:space="preserve"> HYPERLINK "http://www.fda.gov/MedicalDevices/DeviceRegulationandGuidance/GuidanceDocuments/ucm180306.htm" \l "4" </w:instrText>
      </w:r>
      <w:r>
        <w:fldChar w:fldCharType="separate"/>
      </w:r>
      <w:r>
        <w:rPr>
          <w:rFonts w:ascii="Arial" w:hAnsi="Arial" w:eastAsia="宋体" w:cs="Arial"/>
          <w:color w:val="800080"/>
          <w:kern w:val="0"/>
          <w:szCs w:val="21"/>
          <w:u w:val="single"/>
        </w:rPr>
        <w:t>健康风险</w:t>
      </w:r>
      <w:r>
        <w:rPr>
          <w:rFonts w:ascii="Arial" w:hAnsi="Arial" w:eastAsia="宋体" w:cs="Arial"/>
          <w:color w:val="800080"/>
          <w:kern w:val="0"/>
          <w:szCs w:val="21"/>
          <w:u w:val="single"/>
        </w:rPr>
        <w:fldChar w:fldCharType="end"/>
      </w:r>
    </w:p>
    <w:p w14:paraId="4D088C22">
      <w:pPr>
        <w:widowControl/>
        <w:numPr>
          <w:ilvl w:val="0"/>
          <w:numId w:val="1"/>
        </w:numPr>
        <w:tabs>
          <w:tab w:val="clear" w:pos="720"/>
        </w:tabs>
        <w:snapToGrid w:val="0"/>
        <w:spacing w:line="300" w:lineRule="auto"/>
        <w:ind w:left="0" w:firstLine="0"/>
        <w:jc w:val="left"/>
        <w:rPr>
          <w:rFonts w:ascii="Arial" w:hAnsi="Arial" w:eastAsia="宋体" w:cs="Arial"/>
          <w:color w:val="000000"/>
          <w:kern w:val="0"/>
          <w:szCs w:val="21"/>
        </w:rPr>
      </w:pPr>
      <w:r>
        <w:fldChar w:fldCharType="begin"/>
      </w:r>
      <w:r>
        <w:instrText xml:space="preserve"> HYPERLINK "http://www.fda.gov/MedicalDevices/DeviceRegulationandGuidance/GuidanceDocuments/ucm180306.htm" \l "5" </w:instrText>
      </w:r>
      <w:r>
        <w:fldChar w:fldCharType="separate"/>
      </w:r>
      <w:r>
        <w:rPr>
          <w:rFonts w:ascii="Arial" w:hAnsi="Arial" w:eastAsia="宋体" w:cs="Arial"/>
          <w:color w:val="800080"/>
          <w:kern w:val="0"/>
          <w:szCs w:val="21"/>
          <w:u w:val="single"/>
        </w:rPr>
        <w:t>器械描述</w:t>
      </w:r>
      <w:r>
        <w:rPr>
          <w:rFonts w:ascii="Arial" w:hAnsi="Arial" w:eastAsia="宋体" w:cs="Arial"/>
          <w:color w:val="800080"/>
          <w:kern w:val="0"/>
          <w:szCs w:val="21"/>
          <w:u w:val="single"/>
        </w:rPr>
        <w:fldChar w:fldCharType="end"/>
      </w:r>
    </w:p>
    <w:p w14:paraId="058736D8">
      <w:pPr>
        <w:widowControl/>
        <w:numPr>
          <w:ilvl w:val="1"/>
          <w:numId w:val="1"/>
        </w:numPr>
        <w:tabs>
          <w:tab w:val="clear" w:pos="1440"/>
        </w:tabs>
        <w:snapToGrid w:val="0"/>
        <w:spacing w:line="300" w:lineRule="auto"/>
        <w:ind w:left="0" w:firstLine="0"/>
        <w:jc w:val="left"/>
        <w:rPr>
          <w:rFonts w:ascii="Arial" w:hAnsi="Arial" w:eastAsia="宋体" w:cs="Arial"/>
          <w:color w:val="000000"/>
          <w:kern w:val="0"/>
          <w:szCs w:val="21"/>
        </w:rPr>
      </w:pPr>
      <w:r>
        <w:rPr>
          <w:rFonts w:ascii="Arial" w:hAnsi="Arial" w:eastAsia="宋体" w:cs="Arial"/>
          <w:color w:val="000000"/>
          <w:kern w:val="0"/>
          <w:szCs w:val="21"/>
        </w:rPr>
        <w:t>预期用途</w:t>
      </w:r>
    </w:p>
    <w:p w14:paraId="68C9CB29">
      <w:pPr>
        <w:widowControl/>
        <w:numPr>
          <w:ilvl w:val="1"/>
          <w:numId w:val="1"/>
        </w:numPr>
        <w:tabs>
          <w:tab w:val="clear" w:pos="1440"/>
        </w:tabs>
        <w:snapToGrid w:val="0"/>
        <w:spacing w:line="300" w:lineRule="auto"/>
        <w:ind w:left="0" w:firstLine="0"/>
        <w:jc w:val="left"/>
        <w:rPr>
          <w:rFonts w:ascii="Arial" w:hAnsi="Arial" w:eastAsia="宋体" w:cs="Arial"/>
          <w:color w:val="000000"/>
          <w:kern w:val="0"/>
          <w:szCs w:val="21"/>
        </w:rPr>
      </w:pPr>
      <w:r>
        <w:rPr>
          <w:rFonts w:ascii="Arial" w:hAnsi="Arial" w:eastAsia="宋体" w:cs="Arial"/>
          <w:color w:val="000000"/>
          <w:kern w:val="0"/>
          <w:szCs w:val="21"/>
        </w:rPr>
        <w:t>检测方法学</w:t>
      </w:r>
    </w:p>
    <w:p w14:paraId="65C8D889">
      <w:pPr>
        <w:widowControl/>
        <w:numPr>
          <w:ilvl w:val="1"/>
          <w:numId w:val="1"/>
        </w:numPr>
        <w:tabs>
          <w:tab w:val="clear" w:pos="1440"/>
        </w:tabs>
        <w:snapToGrid w:val="0"/>
        <w:spacing w:line="300" w:lineRule="auto"/>
        <w:ind w:left="0" w:firstLine="0"/>
        <w:jc w:val="left"/>
        <w:rPr>
          <w:rFonts w:ascii="Arial" w:hAnsi="Arial" w:eastAsia="宋体" w:cs="Arial"/>
          <w:color w:val="000000"/>
          <w:kern w:val="0"/>
          <w:szCs w:val="21"/>
        </w:rPr>
      </w:pPr>
      <w:r>
        <w:rPr>
          <w:rFonts w:ascii="Arial" w:hAnsi="Arial" w:eastAsia="宋体" w:cs="Arial"/>
          <w:color w:val="000000"/>
          <w:kern w:val="0"/>
          <w:szCs w:val="21"/>
        </w:rPr>
        <w:t>辅助试剂</w:t>
      </w:r>
    </w:p>
    <w:p w14:paraId="74657F04">
      <w:pPr>
        <w:widowControl/>
        <w:numPr>
          <w:ilvl w:val="1"/>
          <w:numId w:val="1"/>
        </w:numPr>
        <w:tabs>
          <w:tab w:val="clear" w:pos="1440"/>
        </w:tabs>
        <w:snapToGrid w:val="0"/>
        <w:spacing w:line="300" w:lineRule="auto"/>
        <w:ind w:left="0" w:firstLine="0"/>
        <w:jc w:val="left"/>
        <w:rPr>
          <w:rFonts w:ascii="Arial" w:hAnsi="Arial" w:eastAsia="宋体" w:cs="Arial"/>
          <w:color w:val="000000"/>
          <w:kern w:val="0"/>
          <w:szCs w:val="21"/>
        </w:rPr>
      </w:pPr>
      <w:r>
        <w:rPr>
          <w:rFonts w:ascii="Arial" w:hAnsi="Arial" w:eastAsia="宋体" w:cs="Arial"/>
          <w:color w:val="000000"/>
          <w:kern w:val="0"/>
          <w:szCs w:val="21"/>
        </w:rPr>
        <w:t>对照</w:t>
      </w:r>
    </w:p>
    <w:p w14:paraId="3A670795">
      <w:pPr>
        <w:widowControl/>
        <w:numPr>
          <w:ilvl w:val="1"/>
          <w:numId w:val="1"/>
        </w:numPr>
        <w:tabs>
          <w:tab w:val="clear" w:pos="1440"/>
        </w:tabs>
        <w:snapToGrid w:val="0"/>
        <w:spacing w:line="300" w:lineRule="auto"/>
        <w:ind w:left="0" w:firstLine="0"/>
        <w:jc w:val="left"/>
        <w:rPr>
          <w:rFonts w:ascii="Arial" w:hAnsi="Arial" w:eastAsia="宋体" w:cs="Arial"/>
          <w:color w:val="000000"/>
          <w:kern w:val="0"/>
          <w:szCs w:val="21"/>
        </w:rPr>
      </w:pPr>
      <w:r>
        <w:rPr>
          <w:rFonts w:ascii="Arial" w:hAnsi="Arial" w:eastAsia="宋体" w:cs="Arial"/>
          <w:color w:val="000000"/>
          <w:kern w:val="0"/>
          <w:szCs w:val="21"/>
        </w:rPr>
        <w:t>检测结果的解释/报告</w:t>
      </w:r>
    </w:p>
    <w:p w14:paraId="7761135B">
      <w:pPr>
        <w:widowControl/>
        <w:numPr>
          <w:ilvl w:val="0"/>
          <w:numId w:val="1"/>
        </w:numPr>
        <w:tabs>
          <w:tab w:val="clear" w:pos="720"/>
        </w:tabs>
        <w:snapToGrid w:val="0"/>
        <w:spacing w:line="300" w:lineRule="auto"/>
        <w:ind w:left="0" w:firstLine="0"/>
        <w:jc w:val="left"/>
        <w:rPr>
          <w:rFonts w:ascii="Arial" w:hAnsi="Arial" w:eastAsia="宋体" w:cs="Arial"/>
          <w:color w:val="000000"/>
          <w:kern w:val="0"/>
          <w:szCs w:val="21"/>
        </w:rPr>
      </w:pPr>
      <w:r>
        <w:fldChar w:fldCharType="begin"/>
      </w:r>
      <w:r>
        <w:instrText xml:space="preserve"> HYPERLINK "http://www.fda.gov/MedicalDevices/DeviceRegulationandGuidance/GuidanceDocuments/ucm180306.htm" \l "6" </w:instrText>
      </w:r>
      <w:r>
        <w:fldChar w:fldCharType="separate"/>
      </w:r>
      <w:r>
        <w:rPr>
          <w:rFonts w:ascii="Arial" w:hAnsi="Arial" w:eastAsia="宋体" w:cs="Arial"/>
          <w:color w:val="800080"/>
          <w:kern w:val="0"/>
          <w:szCs w:val="21"/>
          <w:u w:val="single"/>
        </w:rPr>
        <w:t>性能特征</w:t>
      </w:r>
      <w:r>
        <w:rPr>
          <w:rFonts w:ascii="Arial" w:hAnsi="Arial" w:eastAsia="宋体" w:cs="Arial"/>
          <w:color w:val="800080"/>
          <w:kern w:val="0"/>
          <w:szCs w:val="21"/>
          <w:u w:val="single"/>
        </w:rPr>
        <w:fldChar w:fldCharType="end"/>
      </w:r>
    </w:p>
    <w:p w14:paraId="5EFF8AF8">
      <w:pPr>
        <w:widowControl/>
        <w:numPr>
          <w:ilvl w:val="1"/>
          <w:numId w:val="1"/>
        </w:numPr>
        <w:tabs>
          <w:tab w:val="clear" w:pos="1440"/>
        </w:tabs>
        <w:snapToGrid w:val="0"/>
        <w:spacing w:line="300" w:lineRule="auto"/>
        <w:ind w:left="0" w:firstLine="0"/>
        <w:jc w:val="left"/>
        <w:rPr>
          <w:rFonts w:ascii="Arial" w:hAnsi="Arial" w:eastAsia="宋体" w:cs="Arial"/>
          <w:color w:val="000000"/>
          <w:kern w:val="0"/>
          <w:szCs w:val="21"/>
        </w:rPr>
      </w:pPr>
      <w:r>
        <w:rPr>
          <w:rFonts w:ascii="Arial" w:hAnsi="Arial" w:eastAsia="宋体" w:cs="Arial"/>
          <w:color w:val="000000"/>
          <w:kern w:val="0"/>
          <w:szCs w:val="21"/>
        </w:rPr>
        <w:t>预分析因素</w:t>
      </w:r>
    </w:p>
    <w:p w14:paraId="28EE39DA">
      <w:pPr>
        <w:widowControl/>
        <w:numPr>
          <w:ilvl w:val="1"/>
          <w:numId w:val="1"/>
        </w:numPr>
        <w:tabs>
          <w:tab w:val="clear" w:pos="1440"/>
        </w:tabs>
        <w:snapToGrid w:val="0"/>
        <w:spacing w:line="300" w:lineRule="auto"/>
        <w:ind w:left="0" w:firstLine="0"/>
        <w:jc w:val="left"/>
        <w:rPr>
          <w:rFonts w:ascii="Arial" w:hAnsi="Arial" w:eastAsia="宋体" w:cs="Arial"/>
          <w:color w:val="000000"/>
          <w:kern w:val="0"/>
          <w:szCs w:val="21"/>
        </w:rPr>
      </w:pPr>
      <w:r>
        <w:rPr>
          <w:rFonts w:ascii="Arial" w:hAnsi="Arial" w:eastAsia="宋体" w:cs="Arial"/>
          <w:color w:val="000000"/>
          <w:kern w:val="0"/>
          <w:szCs w:val="21"/>
        </w:rPr>
        <w:t>分析性能</w:t>
      </w:r>
    </w:p>
    <w:p w14:paraId="185B8297">
      <w:pPr>
        <w:widowControl/>
        <w:numPr>
          <w:ilvl w:val="1"/>
          <w:numId w:val="1"/>
        </w:numPr>
        <w:tabs>
          <w:tab w:val="clear" w:pos="1440"/>
        </w:tabs>
        <w:snapToGrid w:val="0"/>
        <w:spacing w:line="300" w:lineRule="auto"/>
        <w:ind w:left="0" w:firstLine="0"/>
        <w:jc w:val="left"/>
        <w:rPr>
          <w:rFonts w:ascii="Arial" w:hAnsi="Arial" w:eastAsia="宋体" w:cs="Arial"/>
          <w:color w:val="000000"/>
          <w:kern w:val="0"/>
          <w:szCs w:val="21"/>
        </w:rPr>
      </w:pPr>
      <w:r>
        <w:rPr>
          <w:rFonts w:ascii="Arial" w:hAnsi="Arial" w:eastAsia="宋体" w:cs="Arial"/>
          <w:color w:val="000000"/>
          <w:kern w:val="0"/>
          <w:szCs w:val="21"/>
        </w:rPr>
        <w:t>临床性能研究</w:t>
      </w:r>
    </w:p>
    <w:p w14:paraId="317C7085">
      <w:pPr>
        <w:widowControl/>
        <w:numPr>
          <w:ilvl w:val="0"/>
          <w:numId w:val="1"/>
        </w:numPr>
        <w:tabs>
          <w:tab w:val="clear" w:pos="720"/>
        </w:tabs>
        <w:snapToGrid w:val="0"/>
        <w:spacing w:line="300" w:lineRule="auto"/>
        <w:ind w:left="0" w:firstLine="0"/>
        <w:jc w:val="left"/>
        <w:rPr>
          <w:rFonts w:ascii="Arial" w:hAnsi="Arial" w:eastAsia="宋体" w:cs="Arial"/>
          <w:color w:val="000000"/>
          <w:kern w:val="0"/>
          <w:szCs w:val="21"/>
        </w:rPr>
      </w:pPr>
      <w:r>
        <w:fldChar w:fldCharType="begin"/>
      </w:r>
      <w:r>
        <w:instrText xml:space="preserve"> HYPERLINK "http://www.fda.gov/MedicalDevices/DeviceRegulationandGuidance/GuidanceDocuments/ucm180306.htm" \l "7" </w:instrText>
      </w:r>
      <w:r>
        <w:fldChar w:fldCharType="separate"/>
      </w:r>
      <w:r>
        <w:rPr>
          <w:rFonts w:ascii="Arial" w:hAnsi="Arial" w:eastAsia="宋体" w:cs="Arial"/>
          <w:color w:val="800080"/>
          <w:kern w:val="0"/>
          <w:szCs w:val="21"/>
          <w:u w:val="single"/>
        </w:rPr>
        <w:t>标签</w:t>
      </w:r>
      <w:r>
        <w:rPr>
          <w:rFonts w:ascii="Arial" w:hAnsi="Arial" w:eastAsia="宋体" w:cs="Arial"/>
          <w:color w:val="800080"/>
          <w:kern w:val="0"/>
          <w:szCs w:val="21"/>
          <w:u w:val="single"/>
        </w:rPr>
        <w:fldChar w:fldCharType="end"/>
      </w:r>
    </w:p>
    <w:p w14:paraId="001C58C6">
      <w:pPr>
        <w:pStyle w:val="28"/>
        <w:shd w:val="clear" w:color="auto" w:fill="auto"/>
        <w:snapToGrid w:val="0"/>
        <w:spacing w:line="300" w:lineRule="auto"/>
        <w:jc w:val="left"/>
        <w:rPr>
          <w:rFonts w:ascii="Arial" w:hAnsi="Arial" w:eastAsia="宋体" w:cs="Arial"/>
          <w:sz w:val="48"/>
          <w:szCs w:val="48"/>
        </w:rPr>
      </w:pPr>
      <w:r>
        <w:rPr>
          <w:rFonts w:ascii="Arial" w:hAnsi="Arial" w:eastAsia="宋体" w:cs="Arial"/>
          <w:sz w:val="48"/>
          <w:szCs w:val="48"/>
        </w:rPr>
        <w:t>行业和食品药品监督管理局工作人员指南</w:t>
      </w:r>
    </w:p>
    <w:p w14:paraId="68804CB3">
      <w:pPr>
        <w:pStyle w:val="28"/>
        <w:shd w:val="clear" w:color="auto" w:fill="auto"/>
        <w:snapToGrid w:val="0"/>
        <w:spacing w:line="300" w:lineRule="auto"/>
        <w:jc w:val="left"/>
        <w:rPr>
          <w:rFonts w:ascii="Arial" w:hAnsi="Arial" w:eastAsia="宋体" w:cs="Arial"/>
          <w:sz w:val="30"/>
          <w:szCs w:val="30"/>
        </w:rPr>
      </w:pPr>
      <w:r>
        <w:rPr>
          <w:rFonts w:ascii="Arial" w:hAnsi="Arial" w:eastAsia="宋体" w:cs="Arial"/>
          <w:sz w:val="30"/>
          <w:szCs w:val="30"/>
        </w:rPr>
        <w:t>II类特殊控制指导性文件：</w:t>
      </w:r>
    </w:p>
    <w:p w14:paraId="24487B9D">
      <w:pPr>
        <w:pStyle w:val="28"/>
        <w:shd w:val="clear" w:color="auto" w:fill="auto"/>
        <w:snapToGrid w:val="0"/>
        <w:spacing w:line="300" w:lineRule="auto"/>
        <w:jc w:val="left"/>
        <w:rPr>
          <w:rFonts w:ascii="Arial" w:hAnsi="Arial" w:eastAsia="宋体" w:cs="Arial"/>
          <w:sz w:val="28"/>
          <w:szCs w:val="28"/>
        </w:rPr>
      </w:pPr>
      <w:r>
        <w:rPr>
          <w:rFonts w:ascii="Arial" w:hAnsi="Arial" w:eastAsia="宋体" w:cs="Arial"/>
          <w:sz w:val="28"/>
          <w:szCs w:val="28"/>
        </w:rPr>
        <w:t>使用多重检测进行甲型流感病毒亚型的检测和分型测定</w:t>
      </w:r>
    </w:p>
    <w:p w14:paraId="1FED87AD">
      <w:pPr>
        <w:widowControl/>
        <w:tabs>
          <w:tab w:val="left" w:pos="0"/>
        </w:tabs>
        <w:snapToGrid w:val="0"/>
        <w:spacing w:line="300" w:lineRule="auto"/>
        <w:jc w:val="left"/>
        <w:outlineLvl w:val="2"/>
        <w:rPr>
          <w:rFonts w:ascii="Arial" w:hAnsi="Arial" w:eastAsia="宋体" w:cs="Arial"/>
          <w:b/>
          <w:bCs/>
          <w:color w:val="000000"/>
          <w:kern w:val="0"/>
          <w:sz w:val="28"/>
          <w:szCs w:val="28"/>
        </w:rPr>
      </w:pPr>
      <w:r>
        <w:rPr>
          <w:rFonts w:ascii="Arial" w:hAnsi="Arial" w:eastAsia="宋体" w:cs="Arial"/>
          <w:b/>
          <w:bCs/>
          <w:color w:val="000000"/>
          <w:kern w:val="0"/>
          <w:sz w:val="28"/>
          <w:szCs w:val="28"/>
        </w:rPr>
        <w:t>1. 简介</w:t>
      </w:r>
    </w:p>
    <w:p w14:paraId="0AFC2E3D">
      <w:pPr>
        <w:widowControl/>
        <w:snapToGrid w:val="0"/>
        <w:spacing w:line="300" w:lineRule="auto"/>
        <w:jc w:val="left"/>
        <w:rPr>
          <w:rFonts w:ascii="Arial" w:hAnsi="Arial" w:eastAsia="宋体" w:cs="Arial"/>
          <w:kern w:val="0"/>
          <w:sz w:val="24"/>
          <w:szCs w:val="24"/>
        </w:rPr>
      </w:pPr>
      <w:r>
        <w:rPr>
          <w:rFonts w:ascii="Arial" w:hAnsi="Arial" w:eastAsia="宋体" w:cs="Arial"/>
          <w:color w:val="000000"/>
          <w:kern w:val="0"/>
          <w:sz w:val="24"/>
          <w:szCs w:val="24"/>
        </w:rPr>
        <w:t>该文件作为一种特殊控制而制定，以支持分类为II类（特殊控制）的呼吸道病毒板的多重</w:t>
      </w:r>
      <w:r>
        <w:rPr>
          <w:rFonts w:ascii="Arial" w:hAnsi="Arial" w:eastAsia="宋体" w:cs="Arial"/>
          <w:color w:val="000000"/>
          <w:kern w:val="0"/>
          <w:sz w:val="24"/>
          <w:szCs w:val="24"/>
          <w:vertAlign w:val="superscript"/>
        </w:rPr>
        <w:t>1</w:t>
      </w:r>
      <w:r>
        <w:rPr>
          <w:rFonts w:ascii="Arial" w:hAnsi="Arial" w:eastAsia="宋体" w:cs="Arial"/>
          <w:color w:val="000000"/>
          <w:kern w:val="0"/>
          <w:sz w:val="24"/>
          <w:szCs w:val="24"/>
        </w:rPr>
        <w:t>核酸检测，包括甲型流感病毒亚型的检测和分型。该指南仅针对使用呼吸道病毒板的多重甲型流感病毒核酸检测和分型的测定。呼吸道病毒多重核酸检测是定性的体外诊断器械，旨在同时检测和鉴定从人的呼吸样本或病毒培养物中提取的多种病毒核酸。用于甲型流感病毒亚型检测和分型的多重核酸检测，旨在检测从人的呼吸样本或病毒培养物中提取的甲流RNA和特异的甲流亚型RNA，并区分这些亚型。对表现出呼吸道感染体征和症状的个体的特定病毒核酸进行检测和鉴定，并与其他临床和实验室结果相结合，有助于呼吸道病毒感染的诊断。</w:t>
      </w:r>
      <w:r>
        <w:rPr>
          <w:rFonts w:ascii="Arial" w:hAnsi="Arial" w:eastAsia="宋体" w:cs="Arial"/>
          <w:kern w:val="0"/>
          <w:sz w:val="24"/>
          <w:szCs w:val="24"/>
        </w:rPr>
        <w:t>此外，特异亚型RNA的分型有助于实验室对甲型流感病毒亚型进行推测鉴别，以提供关于流感的诊断和流行病学信息。该诊断器械预期用于检测和鉴别至少包括下列病毒的所有组合：</w:t>
      </w:r>
    </w:p>
    <w:p w14:paraId="2C56C077">
      <w:pPr>
        <w:widowControl/>
        <w:numPr>
          <w:ilvl w:val="0"/>
          <w:numId w:val="2"/>
        </w:numPr>
        <w:snapToGrid w:val="0"/>
        <w:spacing w:line="300" w:lineRule="auto"/>
        <w:ind w:left="0" w:firstLine="0"/>
        <w:jc w:val="left"/>
        <w:rPr>
          <w:rFonts w:ascii="Arial" w:hAnsi="Arial" w:eastAsia="宋体" w:cs="Arial"/>
          <w:color w:val="000000"/>
          <w:kern w:val="0"/>
          <w:sz w:val="24"/>
          <w:szCs w:val="24"/>
        </w:rPr>
      </w:pPr>
      <w:r>
        <w:rPr>
          <w:rFonts w:ascii="Arial" w:hAnsi="Arial" w:eastAsia="宋体" w:cs="Arial"/>
          <w:color w:val="000000"/>
          <w:kern w:val="0"/>
          <w:sz w:val="24"/>
          <w:szCs w:val="24"/>
        </w:rPr>
        <w:t>甲型流感</w:t>
      </w:r>
    </w:p>
    <w:p w14:paraId="1452A166">
      <w:pPr>
        <w:widowControl/>
        <w:numPr>
          <w:ilvl w:val="0"/>
          <w:numId w:val="2"/>
        </w:numPr>
        <w:snapToGrid w:val="0"/>
        <w:spacing w:line="300" w:lineRule="auto"/>
        <w:ind w:left="0" w:firstLine="0"/>
        <w:jc w:val="left"/>
        <w:rPr>
          <w:rFonts w:ascii="Arial" w:hAnsi="Arial" w:eastAsia="宋体" w:cs="Arial"/>
          <w:color w:val="000000"/>
          <w:kern w:val="0"/>
          <w:sz w:val="24"/>
          <w:szCs w:val="24"/>
        </w:rPr>
      </w:pPr>
      <w:r>
        <w:rPr>
          <w:rFonts w:ascii="Arial" w:hAnsi="Arial" w:eastAsia="宋体" w:cs="Arial"/>
          <w:color w:val="000000"/>
          <w:kern w:val="0"/>
          <w:sz w:val="24"/>
          <w:szCs w:val="24"/>
        </w:rPr>
        <w:t>甲型流感H1亚型</w:t>
      </w:r>
    </w:p>
    <w:p w14:paraId="30B12E6C">
      <w:pPr>
        <w:widowControl/>
        <w:numPr>
          <w:ilvl w:val="0"/>
          <w:numId w:val="2"/>
        </w:numPr>
        <w:snapToGrid w:val="0"/>
        <w:spacing w:line="300" w:lineRule="auto"/>
        <w:ind w:left="0" w:firstLine="0"/>
        <w:jc w:val="left"/>
        <w:rPr>
          <w:rFonts w:ascii="Arial" w:hAnsi="Arial" w:eastAsia="宋体" w:cs="Arial"/>
          <w:color w:val="000000"/>
          <w:kern w:val="0"/>
          <w:sz w:val="24"/>
          <w:szCs w:val="24"/>
        </w:rPr>
      </w:pPr>
      <w:r>
        <w:rPr>
          <w:rFonts w:ascii="Arial" w:hAnsi="Arial" w:eastAsia="宋体" w:cs="Arial"/>
          <w:color w:val="000000"/>
          <w:kern w:val="0"/>
          <w:sz w:val="24"/>
          <w:szCs w:val="24"/>
        </w:rPr>
        <w:t>甲型流感H3亚型</w:t>
      </w:r>
    </w:p>
    <w:p w14:paraId="7BDD6890">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该指南为制造商提供了有关准备呼吸道病毒板多重核酸检测上市前通告的建议，包括甲型流感病毒亚型的检测和分型。本文件中的建议适用于采用诸如聚合酶链反应（PCR），逆转录酶聚合酶链反应（RT-PCR）和珠基液态阵列和微阵列等技术的检测。</w:t>
      </w:r>
    </w:p>
    <w:p w14:paraId="0E1D2D4C">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本指南涉及的诊断器械，用于与其他临床表现和实验室结果（例如，免疫荧光检测，细菌培养，胸部X射线/放射照相）相结合，以助于对甲型流感病毒感染的诊断。本指南不是用于诊断的唯一性检测，也不是用于区别病毒与非病毒感染的诊断性检测。对于本指南所述的检测，阳性结果并不能排除细菌感染，或其他病毒的合并感染。</w:t>
      </w:r>
    </w:p>
    <w:p w14:paraId="1FE4DF5D">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本指南与联邦公报公告共同发布了呼吸病毒检测板多重核酸检测的分类。将该指南指定为特殊控制意味着，任何提交510（k）申请甲流亚型的检测和分型的呼吸道病毒板多重核酸检测试剂的公司，必须解决本特殊控制指南中涵盖的问题，以及在分类法规中的另一项特殊控制指南</w:t>
      </w:r>
      <w:r>
        <w:rPr>
          <w:rFonts w:ascii="Arial" w:hAnsi="Arial" w:eastAsia="宋体" w:cs="Arial"/>
          <w:b/>
          <w:color w:val="000000"/>
          <w:kern w:val="0"/>
          <w:sz w:val="24"/>
          <w:szCs w:val="24"/>
        </w:rPr>
        <w:t>“II类特殊控制指导性文件：呼吸道病毒板多重核酸检测”</w:t>
      </w:r>
      <w:r>
        <w:rPr>
          <w:rFonts w:ascii="Arial" w:hAnsi="Arial" w:eastAsia="宋体" w:cs="Arial"/>
          <w:color w:val="000000"/>
          <w:kern w:val="0"/>
          <w:sz w:val="24"/>
          <w:szCs w:val="24"/>
        </w:rPr>
        <w:t>中涉及的问题。除了这些指导性文件，对于包括人类偏肺病毒（hMPV）的检测和鉴定的呼吸道病毒板，另有一项特殊控制指南</w:t>
      </w:r>
      <w:r>
        <w:rPr>
          <w:rFonts w:ascii="Arial" w:hAnsi="Arial" w:eastAsia="宋体" w:cs="Arial"/>
          <w:b/>
          <w:color w:val="000000"/>
          <w:kern w:val="0"/>
          <w:sz w:val="24"/>
          <w:szCs w:val="24"/>
        </w:rPr>
        <w:t>“II类特殊控制指导性文件：使用核酸检测进行人类偏肺病毒（hMPV）测定”</w:t>
      </w:r>
      <w:r>
        <w:rPr>
          <w:rFonts w:ascii="Arial" w:hAnsi="Arial" w:eastAsia="宋体" w:cs="Arial"/>
          <w:color w:val="000000"/>
          <w:kern w:val="0"/>
          <w:sz w:val="24"/>
          <w:szCs w:val="24"/>
        </w:rPr>
        <w:t>，参见21 CFR 866.3980（b）。公司必须表明所申请的诊断器械解决了本指南（以及适用的其他特别控制指南）中确定的安全性和有效性问题，可通过满足本指南的建议或其他方法，提供安全性和有效性的等同性保证。</w:t>
      </w:r>
    </w:p>
    <w:p w14:paraId="1173043E">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本指导性文件的第3部分制定了使用多重核酸检测进行甲型流感病毒亚型分型的分类规则和产品代码。本指导性文件的其他部分确定了与此器械类型相关的风险，并提供了解决这些风险的建议。</w:t>
      </w:r>
    </w:p>
    <w:p w14:paraId="596DAB66">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如果贵公司想讨论满足该器械特殊控制要求的替代方法，可以联系负责实施本指南的食品药品监督管理局工作人员。如果无法确定适当的食品药品监督管理局工作人员，请拨打本指南标题页上列出的适用号码。</w:t>
      </w:r>
    </w:p>
    <w:p w14:paraId="5B243D64">
      <w:pPr>
        <w:widowControl/>
        <w:snapToGrid w:val="0"/>
        <w:spacing w:line="300" w:lineRule="auto"/>
        <w:jc w:val="left"/>
        <w:outlineLvl w:val="3"/>
        <w:rPr>
          <w:rFonts w:ascii="Arial" w:hAnsi="Arial" w:eastAsia="宋体" w:cs="Arial"/>
          <w:b/>
          <w:bCs/>
          <w:color w:val="000000"/>
          <w:kern w:val="0"/>
          <w:sz w:val="28"/>
          <w:szCs w:val="28"/>
        </w:rPr>
      </w:pPr>
      <w:r>
        <w:rPr>
          <w:rFonts w:ascii="Arial" w:hAnsi="Arial" w:eastAsia="宋体" w:cs="Arial"/>
          <w:b/>
          <w:bCs/>
          <w:color w:val="000000"/>
          <w:kern w:val="0"/>
          <w:sz w:val="28"/>
          <w:szCs w:val="28"/>
        </w:rPr>
        <w:t>负担最小方法</w:t>
      </w:r>
    </w:p>
    <w:p w14:paraId="14269C98">
      <w:pPr>
        <w:widowControl/>
        <w:snapToGrid w:val="0"/>
        <w:spacing w:line="300" w:lineRule="auto"/>
        <w:jc w:val="left"/>
        <w:rPr>
          <w:rFonts w:ascii="Arial" w:hAnsi="Arial" w:eastAsia="宋体" w:cs="Arial"/>
        </w:rPr>
      </w:pPr>
      <w:r>
        <w:rPr>
          <w:rFonts w:ascii="Arial" w:hAnsi="Arial" w:eastAsia="宋体" w:cs="Arial"/>
          <w:color w:val="000000"/>
          <w:kern w:val="0"/>
          <w:sz w:val="24"/>
          <w:szCs w:val="24"/>
        </w:rPr>
        <w:t>本指导性文件中确定的问题代表了我们认为在所申请的器械上市之前应解决的问题。在制定指南时，我们仔细考虑了相关的法定标准以供当局决策，还考虑了贵公司在尝试遵守指南并解决我们确定的问题时可能产生的负担。我们认为，我们已经考虑了采用最小负担方法来解决指导性文件中提出的问题。但是，如果贵公司认为有更简便的解决这些问题的方式，可根据</w:t>
      </w:r>
      <w:r>
        <w:rPr>
          <w:rFonts w:ascii="Arial" w:hAnsi="Arial" w:eastAsia="宋体" w:cs="Arial"/>
          <w:b/>
          <w:color w:val="000000"/>
          <w:kern w:val="0"/>
          <w:sz w:val="24"/>
          <w:szCs w:val="24"/>
        </w:rPr>
        <w:t>“解决最小负担的问题的建议方法”</w:t>
      </w:r>
      <w:r>
        <w:rPr>
          <w:rFonts w:ascii="Arial" w:hAnsi="Arial" w:eastAsia="宋体" w:cs="Arial"/>
          <w:color w:val="000000"/>
          <w:kern w:val="0"/>
          <w:sz w:val="24"/>
          <w:szCs w:val="24"/>
        </w:rPr>
        <w:t>文件中所概述的程序进行，参见本中心网页</w:t>
      </w:r>
      <w:bookmarkStart w:id="0" w:name="2"/>
      <w:r>
        <w:rPr>
          <w:rFonts w:ascii="Arial" w:hAnsi="Arial" w:eastAsia="宋体" w:cs="Arial"/>
          <w:color w:val="000000"/>
          <w:kern w:val="0"/>
          <w:sz w:val="24"/>
          <w:szCs w:val="24"/>
        </w:rPr>
        <w:t>：</w:t>
      </w:r>
      <w:r>
        <w:rPr>
          <w:rFonts w:ascii="Arial" w:hAnsi="Arial" w:eastAsia="宋体" w:cs="Arial"/>
        </w:rPr>
        <w:t xml:space="preserve"> </w:t>
      </w:r>
      <w:r>
        <w:fldChar w:fldCharType="begin"/>
      </w:r>
      <w:r>
        <w:instrText xml:space="preserve"> HYPERLINK "http://www.fda.gov/MedicalDevices/DeviceRegulationandGuidance/GuidanceDocuments/ucm085994.htm" </w:instrText>
      </w:r>
      <w:r>
        <w:fldChar w:fldCharType="separate"/>
      </w:r>
      <w:r>
        <w:rPr>
          <w:rFonts w:ascii="Arial" w:hAnsi="Arial" w:eastAsia="宋体" w:cs="Arial"/>
          <w:color w:val="800080"/>
          <w:kern w:val="0"/>
          <w:sz w:val="24"/>
          <w:szCs w:val="24"/>
          <w:u w:val="single"/>
        </w:rPr>
        <w:t>http://www.fda.gov/MedicalDevices/DeviceRegulationandGuidance/ GuidanceDocuments/ucm085994.htm</w:t>
      </w:r>
      <w:r>
        <w:rPr>
          <w:rFonts w:ascii="Arial" w:hAnsi="Arial" w:eastAsia="宋体" w:cs="Arial"/>
          <w:color w:val="800080"/>
          <w:kern w:val="0"/>
          <w:sz w:val="24"/>
          <w:szCs w:val="24"/>
          <w:u w:val="single"/>
        </w:rPr>
        <w:fldChar w:fldCharType="end"/>
      </w:r>
    </w:p>
    <w:bookmarkEnd w:id="0"/>
    <w:p w14:paraId="0F85F9D8">
      <w:pPr>
        <w:widowControl/>
        <w:snapToGrid w:val="0"/>
        <w:spacing w:line="300" w:lineRule="auto"/>
        <w:jc w:val="left"/>
        <w:outlineLvl w:val="2"/>
        <w:rPr>
          <w:rFonts w:ascii="Arial" w:hAnsi="Arial" w:eastAsia="宋体" w:cs="Arial"/>
          <w:b/>
          <w:bCs/>
          <w:color w:val="000000"/>
          <w:kern w:val="0"/>
          <w:sz w:val="24"/>
          <w:szCs w:val="24"/>
        </w:rPr>
      </w:pPr>
    </w:p>
    <w:p w14:paraId="7E6EC36B">
      <w:pPr>
        <w:widowControl/>
        <w:snapToGrid w:val="0"/>
        <w:spacing w:line="300" w:lineRule="auto"/>
        <w:jc w:val="left"/>
        <w:outlineLvl w:val="2"/>
        <w:rPr>
          <w:rFonts w:ascii="Arial" w:hAnsi="Arial" w:eastAsia="宋体" w:cs="Arial"/>
          <w:b/>
          <w:bCs/>
          <w:color w:val="000000"/>
          <w:kern w:val="0"/>
          <w:sz w:val="28"/>
          <w:szCs w:val="28"/>
        </w:rPr>
      </w:pPr>
      <w:r>
        <w:rPr>
          <w:rFonts w:ascii="Arial" w:hAnsi="Arial" w:eastAsia="宋体" w:cs="Arial"/>
          <w:b/>
          <w:bCs/>
          <w:color w:val="000000"/>
          <w:kern w:val="0"/>
          <w:sz w:val="28"/>
          <w:szCs w:val="28"/>
        </w:rPr>
        <w:t>2. 背景 - 上市前通告</w:t>
      </w:r>
    </w:p>
    <w:p w14:paraId="024A8650">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预期销售此类通用型器械的制造商必须</w:t>
      </w:r>
    </w:p>
    <w:p w14:paraId="5EEDD8C7">
      <w:pPr>
        <w:widowControl/>
        <w:jc w:val="left"/>
        <w:rPr>
          <w:rFonts w:ascii="Arial" w:hAnsi="Arial" w:eastAsia="宋体" w:cs="Arial"/>
          <w:color w:val="000000"/>
          <w:kern w:val="0"/>
          <w:sz w:val="24"/>
          <w:szCs w:val="24"/>
        </w:rPr>
      </w:pPr>
      <w:r>
        <w:rPr>
          <w:rFonts w:ascii="Arial" w:hAnsi="Arial" w:eastAsia="宋体" w:cs="Arial"/>
          <w:color w:val="000000"/>
          <w:kern w:val="0"/>
          <w:sz w:val="24"/>
          <w:szCs w:val="24"/>
        </w:rPr>
        <w:br w:type="page"/>
      </w:r>
    </w:p>
    <w:p w14:paraId="53AAF291">
      <w:pPr>
        <w:widowControl/>
        <w:snapToGrid w:val="0"/>
        <w:spacing w:line="300" w:lineRule="auto"/>
        <w:jc w:val="left"/>
        <w:rPr>
          <w:rFonts w:ascii="Arial" w:hAnsi="Arial" w:eastAsia="宋体" w:cs="Arial"/>
          <w:color w:val="000000"/>
          <w:kern w:val="0"/>
          <w:sz w:val="24"/>
          <w:szCs w:val="24"/>
        </w:rPr>
      </w:pPr>
    </w:p>
    <w:p w14:paraId="7F143FE1">
      <w:pPr>
        <w:widowControl/>
        <w:numPr>
          <w:ilvl w:val="0"/>
          <w:numId w:val="3"/>
        </w:numPr>
        <w:tabs>
          <w:tab w:val="clear" w:pos="720"/>
        </w:tabs>
        <w:snapToGrid w:val="0"/>
        <w:spacing w:line="300" w:lineRule="auto"/>
        <w:ind w:left="322" w:hanging="321" w:hangingChars="134"/>
        <w:jc w:val="left"/>
        <w:rPr>
          <w:rFonts w:ascii="Arial" w:hAnsi="Arial" w:eastAsia="宋体" w:cs="Arial"/>
          <w:color w:val="000000"/>
          <w:kern w:val="0"/>
          <w:sz w:val="24"/>
          <w:szCs w:val="24"/>
        </w:rPr>
      </w:pPr>
      <w:r>
        <w:rPr>
          <w:rFonts w:ascii="Arial" w:hAnsi="Arial" w:eastAsia="宋体" w:cs="Arial"/>
          <w:color w:val="000000"/>
          <w:kern w:val="0"/>
          <w:sz w:val="24"/>
          <w:szCs w:val="24"/>
        </w:rPr>
        <w:t>符合联邦食品、药品和化妆品法案（该法案）中的一般控制，包括21 CFR 807  E子部分中所述的上市前通告要求，</w:t>
      </w:r>
    </w:p>
    <w:p w14:paraId="57D948BF">
      <w:pPr>
        <w:widowControl/>
        <w:numPr>
          <w:ilvl w:val="0"/>
          <w:numId w:val="3"/>
        </w:numPr>
        <w:tabs>
          <w:tab w:val="clear" w:pos="720"/>
        </w:tabs>
        <w:snapToGrid w:val="0"/>
        <w:spacing w:line="300" w:lineRule="auto"/>
        <w:ind w:left="322" w:hanging="321" w:hangingChars="134"/>
        <w:jc w:val="left"/>
        <w:rPr>
          <w:rFonts w:ascii="Arial" w:hAnsi="Arial" w:eastAsia="宋体" w:cs="Arial"/>
          <w:color w:val="000000"/>
          <w:kern w:val="0"/>
          <w:sz w:val="24"/>
          <w:szCs w:val="24"/>
        </w:rPr>
      </w:pPr>
      <w:r>
        <w:rPr>
          <w:rFonts w:ascii="Arial" w:hAnsi="Arial" w:eastAsia="宋体" w:cs="Arial"/>
          <w:color w:val="000000"/>
          <w:kern w:val="0"/>
          <w:sz w:val="24"/>
          <w:szCs w:val="24"/>
        </w:rPr>
        <w:t>通过解决本指南中确定的特定健康风险，以符合特殊控制（见下文第4部分）。</w:t>
      </w:r>
    </w:p>
    <w:p w14:paraId="199546CC">
      <w:pPr>
        <w:widowControl/>
        <w:numPr>
          <w:ilvl w:val="0"/>
          <w:numId w:val="3"/>
        </w:numPr>
        <w:tabs>
          <w:tab w:val="clear" w:pos="720"/>
        </w:tabs>
        <w:snapToGrid w:val="0"/>
        <w:spacing w:line="300" w:lineRule="auto"/>
        <w:ind w:left="322" w:hanging="321" w:hangingChars="134"/>
        <w:jc w:val="left"/>
        <w:rPr>
          <w:rFonts w:ascii="Arial" w:hAnsi="Arial" w:eastAsia="宋体" w:cs="Arial"/>
          <w:color w:val="000000"/>
          <w:kern w:val="0"/>
          <w:sz w:val="24"/>
          <w:szCs w:val="24"/>
        </w:rPr>
      </w:pPr>
      <w:r>
        <w:rPr>
          <w:rFonts w:ascii="Arial" w:hAnsi="Arial" w:eastAsia="宋体" w:cs="Arial"/>
          <w:color w:val="000000"/>
          <w:kern w:val="0"/>
          <w:sz w:val="24"/>
          <w:szCs w:val="24"/>
        </w:rPr>
        <w:t>满足21 CFR 866.3980中规定的其他适用的特殊控制及这种类型器械的分类规定，并且</w:t>
      </w:r>
    </w:p>
    <w:p w14:paraId="6C8D9753">
      <w:pPr>
        <w:widowControl/>
        <w:numPr>
          <w:ilvl w:val="0"/>
          <w:numId w:val="3"/>
        </w:numPr>
        <w:tabs>
          <w:tab w:val="clear" w:pos="720"/>
        </w:tabs>
        <w:snapToGrid w:val="0"/>
        <w:spacing w:line="300" w:lineRule="auto"/>
        <w:ind w:left="322" w:hanging="321" w:hangingChars="134"/>
        <w:jc w:val="left"/>
        <w:rPr>
          <w:rFonts w:ascii="Arial" w:hAnsi="Arial" w:eastAsia="宋体" w:cs="Arial"/>
          <w:color w:val="000000"/>
          <w:kern w:val="0"/>
          <w:sz w:val="24"/>
          <w:szCs w:val="24"/>
        </w:rPr>
      </w:pPr>
      <w:r>
        <w:rPr>
          <w:rFonts w:ascii="Arial" w:hAnsi="Arial" w:eastAsia="宋体" w:cs="Arial"/>
          <w:color w:val="000000"/>
          <w:kern w:val="0"/>
          <w:sz w:val="24"/>
          <w:szCs w:val="24"/>
        </w:rPr>
        <w:t>在销售器械之前，获得食品药品监督管理局的实质等同性认定。（参见21CFR807.81和807.87）。</w:t>
      </w:r>
    </w:p>
    <w:p w14:paraId="5F8615E2">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食品药品监督管理局认为，</w:t>
      </w:r>
      <w:r>
        <w:rPr>
          <w:rFonts w:ascii="Arial" w:hAnsi="Arial" w:eastAsia="宋体" w:cs="Arial"/>
          <w:sz w:val="24"/>
          <w:szCs w:val="24"/>
        </w:rPr>
        <w:t>在与一般控制联合使用时，特殊控制</w:t>
      </w:r>
      <w:r>
        <w:rPr>
          <w:rFonts w:ascii="Arial" w:hAnsi="Arial" w:eastAsia="宋体" w:cs="Arial"/>
          <w:color w:val="000000"/>
          <w:kern w:val="0"/>
          <w:sz w:val="24"/>
          <w:szCs w:val="24"/>
        </w:rPr>
        <w:t>将足以对用于hMPV测定的核酸检测的安全性和有效性提供合理的保证。</w:t>
      </w:r>
    </w:p>
    <w:p w14:paraId="55356ECE">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食品药品监督管理局认为，</w:t>
      </w:r>
      <w:r>
        <w:rPr>
          <w:rFonts w:ascii="Arial" w:hAnsi="Arial" w:eastAsia="宋体" w:cs="Arial"/>
          <w:sz w:val="24"/>
          <w:szCs w:val="24"/>
        </w:rPr>
        <w:t>在与一般控制联合使用时，特殊控制</w:t>
      </w:r>
      <w:r>
        <w:rPr>
          <w:rFonts w:ascii="Arial" w:hAnsi="Arial" w:eastAsia="宋体" w:cs="Arial"/>
          <w:color w:val="000000"/>
          <w:kern w:val="0"/>
          <w:sz w:val="24"/>
          <w:szCs w:val="24"/>
        </w:rPr>
        <w:t>将足以对用于甲流亚型检测和分型的多重核酸检测的安全性和有效性提供合理的保证。</w:t>
      </w:r>
    </w:p>
    <w:p w14:paraId="4BD39B55">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本文件补充了其他食品药品监督管理局关于上市前通告提交的具体内容要求的文件。贵公司还应参考21 CFR 807.87，指南，</w:t>
      </w:r>
      <w:r>
        <w:rPr>
          <w:rFonts w:ascii="Arial" w:hAnsi="Arial" w:eastAsia="宋体" w:cs="Arial"/>
          <w:b/>
          <w:color w:val="000000"/>
          <w:kern w:val="0"/>
          <w:sz w:val="24"/>
          <w:szCs w:val="24"/>
        </w:rPr>
        <w:t>传统和简化510（k）s格式</w:t>
      </w:r>
      <w:r>
        <w:fldChar w:fldCharType="begin"/>
      </w:r>
      <w:r>
        <w:instrText xml:space="preserve"> HYPERLINK "http://www.fda.gov/MedicalDevices/DeviceRegulationandGuidance/GuidanceDocuments/ucm180306.htm" \l "ft2" </w:instrText>
      </w:r>
      <w:r>
        <w:fldChar w:fldCharType="separate"/>
      </w:r>
      <w:r>
        <w:rPr>
          <w:rFonts w:ascii="Arial" w:hAnsi="Arial" w:eastAsia="宋体" w:cs="Arial"/>
          <w:color w:val="800080"/>
          <w:kern w:val="0"/>
          <w:sz w:val="24"/>
          <w:szCs w:val="24"/>
          <w:u w:val="single"/>
          <w:vertAlign w:val="superscript"/>
        </w:rPr>
        <w:t>2</w:t>
      </w:r>
      <w:r>
        <w:rPr>
          <w:rFonts w:ascii="Arial" w:hAnsi="Arial" w:eastAsia="宋体" w:cs="Arial"/>
          <w:color w:val="800080"/>
          <w:kern w:val="0"/>
          <w:sz w:val="24"/>
          <w:szCs w:val="24"/>
          <w:u w:val="single"/>
          <w:vertAlign w:val="superscript"/>
        </w:rPr>
        <w:fldChar w:fldCharType="end"/>
      </w:r>
      <w:r>
        <w:rPr>
          <w:rFonts w:ascii="Arial" w:hAnsi="Arial" w:eastAsia="宋体" w:cs="Arial"/>
          <w:color w:val="000000"/>
          <w:kern w:val="0"/>
          <w:sz w:val="24"/>
          <w:szCs w:val="24"/>
        </w:rPr>
        <w:t>和CDRH的器械建议网页，</w:t>
      </w:r>
      <w:r>
        <w:rPr>
          <w:rFonts w:ascii="Arial" w:hAnsi="Arial" w:eastAsia="宋体" w:cs="Arial"/>
          <w:b/>
          <w:color w:val="000000"/>
          <w:kern w:val="0"/>
          <w:sz w:val="24"/>
          <w:szCs w:val="24"/>
        </w:rPr>
        <w:t>上市前通告510（k）</w:t>
      </w:r>
      <w:r>
        <w:fldChar w:fldCharType="begin"/>
      </w:r>
      <w:r>
        <w:instrText xml:space="preserve"> HYPERLINK "http://www.fda.gov/MedicalDevices/DeviceRegulationandGuidance/GuidanceDocuments/ucm180306.htm" \l "ft3" </w:instrText>
      </w:r>
      <w:r>
        <w:fldChar w:fldCharType="separate"/>
      </w:r>
      <w:r>
        <w:rPr>
          <w:rFonts w:ascii="Arial" w:hAnsi="Arial" w:eastAsia="宋体" w:cs="Arial"/>
          <w:color w:val="800080"/>
          <w:kern w:val="0"/>
          <w:sz w:val="24"/>
          <w:szCs w:val="24"/>
          <w:u w:val="single"/>
          <w:vertAlign w:val="superscript"/>
        </w:rPr>
        <w:t>3</w:t>
      </w:r>
      <w:r>
        <w:rPr>
          <w:rFonts w:ascii="Arial" w:hAnsi="Arial" w:eastAsia="宋体" w:cs="Arial"/>
          <w:color w:val="800080"/>
          <w:kern w:val="0"/>
          <w:sz w:val="24"/>
          <w:szCs w:val="24"/>
          <w:u w:val="single"/>
          <w:vertAlign w:val="superscript"/>
        </w:rPr>
        <w:fldChar w:fldCharType="end"/>
      </w:r>
      <w:r>
        <w:rPr>
          <w:rFonts w:ascii="Arial" w:hAnsi="Arial" w:eastAsia="宋体" w:cs="Arial"/>
          <w:color w:val="000000"/>
          <w:kern w:val="0"/>
          <w:sz w:val="24"/>
          <w:szCs w:val="24"/>
        </w:rPr>
        <w:t>的部分。</w:t>
      </w:r>
    </w:p>
    <w:p w14:paraId="64F8C381">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如</w:t>
      </w:r>
      <w:r>
        <w:rPr>
          <w:rFonts w:ascii="Arial" w:hAnsi="Arial" w:eastAsia="宋体" w:cs="Arial"/>
          <w:b/>
          <w:color w:val="000000"/>
          <w:kern w:val="0"/>
          <w:sz w:val="24"/>
          <w:szCs w:val="24"/>
        </w:rPr>
        <w:t>新版510（k）范例 - 在上市前通告中证明实质等同性的替代方法；最终指南</w:t>
      </w:r>
      <w:r>
        <w:fldChar w:fldCharType="begin"/>
      </w:r>
      <w:r>
        <w:instrText xml:space="preserve"> HYPERLINK "http://www.fda.gov/MedicalDevices/DeviceRegulationandGuidance/GuidanceDocuments/ucm180306.htm" \l "ft4" </w:instrText>
      </w:r>
      <w:r>
        <w:fldChar w:fldCharType="separate"/>
      </w:r>
      <w:r>
        <w:rPr>
          <w:rFonts w:ascii="Arial" w:hAnsi="Arial" w:eastAsia="宋体" w:cs="Arial"/>
          <w:color w:val="800080"/>
          <w:kern w:val="0"/>
          <w:sz w:val="24"/>
          <w:szCs w:val="24"/>
          <w:u w:val="single"/>
          <w:vertAlign w:val="superscript"/>
        </w:rPr>
        <w:t>4</w:t>
      </w:r>
      <w:r>
        <w:rPr>
          <w:rFonts w:ascii="Arial" w:hAnsi="Arial" w:eastAsia="宋体" w:cs="Arial"/>
          <w:color w:val="800080"/>
          <w:kern w:val="0"/>
          <w:sz w:val="24"/>
          <w:szCs w:val="24"/>
          <w:u w:val="single"/>
          <w:vertAlign w:val="superscript"/>
        </w:rPr>
        <w:fldChar w:fldCharType="end"/>
      </w:r>
      <w:r>
        <w:rPr>
          <w:rFonts w:ascii="Arial" w:hAnsi="Arial" w:eastAsia="宋体" w:cs="Arial"/>
          <w:color w:val="000000"/>
          <w:kern w:val="0"/>
          <w:sz w:val="24"/>
          <w:szCs w:val="24"/>
        </w:rPr>
        <w:t> 中所述，制造商可以提交传统的510（k），简化的510（k）或特殊的510（k）。制造商可以选择提交简化的510（k）的情况为，存在指南性文件时、特殊控制已经制定时、或当食品药品监督管理局已经认可相关的共识标准时。制造商在考虑对他们已通过审评的器械进行某些修改时，可以提交特殊的510（k）来减轻合规性的负担。更多关于提交给食品药品监督管理局的上市前通告510（k）类型的信息，可参见CDRH的器械建议网页，</w:t>
      </w:r>
      <w:r>
        <w:rPr>
          <w:rFonts w:ascii="Arial" w:hAnsi="Arial" w:eastAsia="宋体" w:cs="Arial"/>
          <w:b/>
          <w:color w:val="000000"/>
          <w:kern w:val="0"/>
          <w:sz w:val="24"/>
          <w:szCs w:val="24"/>
        </w:rPr>
        <w:t>上市前通告510（k）</w:t>
      </w:r>
      <w:r>
        <w:rPr>
          <w:rFonts w:ascii="Arial" w:hAnsi="Arial" w:eastAsia="宋体" w:cs="Arial"/>
          <w:color w:val="000000"/>
          <w:kern w:val="0"/>
          <w:sz w:val="24"/>
          <w:szCs w:val="24"/>
        </w:rPr>
        <w:t>。</w:t>
      </w:r>
    </w:p>
    <w:p w14:paraId="3A946E95">
      <w:pPr>
        <w:widowControl/>
        <w:snapToGrid w:val="0"/>
        <w:spacing w:line="300" w:lineRule="auto"/>
        <w:jc w:val="left"/>
        <w:outlineLvl w:val="2"/>
        <w:rPr>
          <w:rFonts w:ascii="Arial" w:hAnsi="Arial" w:eastAsia="宋体" w:cs="Arial"/>
          <w:b/>
          <w:bCs/>
          <w:color w:val="000000"/>
          <w:kern w:val="0"/>
          <w:sz w:val="24"/>
          <w:szCs w:val="24"/>
        </w:rPr>
      </w:pPr>
    </w:p>
    <w:p w14:paraId="58191ED5">
      <w:pPr>
        <w:widowControl/>
        <w:snapToGrid w:val="0"/>
        <w:spacing w:line="300" w:lineRule="auto"/>
        <w:jc w:val="left"/>
        <w:outlineLvl w:val="2"/>
        <w:rPr>
          <w:rFonts w:ascii="Arial" w:hAnsi="Arial" w:eastAsia="宋体" w:cs="Arial"/>
          <w:b/>
          <w:bCs/>
          <w:color w:val="000000"/>
          <w:kern w:val="0"/>
          <w:sz w:val="28"/>
          <w:szCs w:val="28"/>
        </w:rPr>
      </w:pPr>
      <w:r>
        <w:rPr>
          <w:rFonts w:ascii="Arial" w:hAnsi="Arial" w:eastAsia="宋体" w:cs="Arial"/>
          <w:b/>
          <w:bCs/>
          <w:color w:val="000000"/>
          <w:kern w:val="0"/>
          <w:sz w:val="28"/>
          <w:szCs w:val="28"/>
        </w:rPr>
        <w:t>3. 本文件范围内的器械</w:t>
      </w:r>
    </w:p>
    <w:p w14:paraId="2D0B4310">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本文件的范围仅限于21 CFR 866.3980中所述的以下器械：</w:t>
      </w:r>
    </w:p>
    <w:p w14:paraId="5DA84758">
      <w:pPr>
        <w:widowControl/>
        <w:snapToGrid w:val="0"/>
        <w:spacing w:line="300" w:lineRule="auto"/>
        <w:jc w:val="left"/>
        <w:rPr>
          <w:rFonts w:ascii="Arial" w:hAnsi="Arial" w:eastAsia="宋体" w:cs="Arial"/>
          <w:color w:val="000000"/>
          <w:kern w:val="0"/>
          <w:sz w:val="24"/>
          <w:szCs w:val="24"/>
        </w:rPr>
      </w:pPr>
      <w:r>
        <w:rPr>
          <w:rFonts w:ascii="Arial" w:hAnsi="Arial" w:eastAsia="宋体" w:cs="Arial"/>
          <w:b/>
          <w:color w:val="000000"/>
          <w:kern w:val="0"/>
          <w:sz w:val="24"/>
          <w:szCs w:val="24"/>
        </w:rPr>
        <w:t>21 CFR 866.3980呼吸道病毒板多重核酸检测。</w:t>
      </w:r>
      <w:r>
        <w:rPr>
          <w:rFonts w:ascii="Arial" w:hAnsi="Arial" w:eastAsia="宋体" w:cs="Arial"/>
          <w:color w:val="000000"/>
          <w:kern w:val="0"/>
          <w:sz w:val="24"/>
          <w:szCs w:val="24"/>
        </w:rPr>
        <w:t>呼吸道病毒板多重核酸检测是定性的体外诊断器械，其旨在同时检测和鉴定从人的呼吸样本或病毒培养物中提取的多种病毒核酸。对表现出呼吸道感染体征和症状的个体的特定病毒核酸进行检测和鉴定，并与其他临床和实验室结果相结合，有助于呼吸道病毒感染的诊断。</w:t>
      </w:r>
      <w:r>
        <w:rPr>
          <w:rFonts w:ascii="Arial" w:hAnsi="Arial" w:eastAsia="宋体" w:cs="Arial"/>
          <w:kern w:val="0"/>
          <w:sz w:val="24"/>
          <w:szCs w:val="24"/>
        </w:rPr>
        <w:t>该器械用于检测和鉴别下列病毒的组合</w:t>
      </w:r>
      <w:r>
        <w:rPr>
          <w:rFonts w:ascii="Arial" w:hAnsi="Arial" w:eastAsia="宋体" w:cs="Arial"/>
          <w:color w:val="000000"/>
          <w:kern w:val="0"/>
          <w:sz w:val="24"/>
          <w:szCs w:val="24"/>
        </w:rPr>
        <w:t>：</w:t>
      </w:r>
    </w:p>
    <w:p w14:paraId="190B3DD5">
      <w:pPr>
        <w:widowControl/>
        <w:snapToGrid w:val="0"/>
        <w:spacing w:line="300" w:lineRule="auto"/>
        <w:ind w:firstLine="348" w:firstLineChars="145"/>
        <w:jc w:val="left"/>
        <w:rPr>
          <w:rFonts w:ascii="Arial" w:hAnsi="Arial" w:eastAsia="宋体" w:cs="Arial"/>
          <w:color w:val="000000"/>
          <w:kern w:val="0"/>
          <w:sz w:val="24"/>
          <w:szCs w:val="24"/>
        </w:rPr>
      </w:pPr>
      <w:r>
        <w:rPr>
          <w:rFonts w:ascii="Arial" w:hAnsi="Arial" w:eastAsia="宋体" w:cs="Arial"/>
          <w:color w:val="000000"/>
          <w:kern w:val="0"/>
          <w:sz w:val="24"/>
          <w:szCs w:val="24"/>
        </w:rPr>
        <w:t>1. 甲型和乙型流感</w:t>
      </w:r>
    </w:p>
    <w:p w14:paraId="35A5C68C">
      <w:pPr>
        <w:widowControl/>
        <w:snapToGrid w:val="0"/>
        <w:spacing w:line="300" w:lineRule="auto"/>
        <w:ind w:firstLine="348" w:firstLineChars="145"/>
        <w:jc w:val="left"/>
        <w:rPr>
          <w:rFonts w:ascii="Arial" w:hAnsi="Arial" w:eastAsia="宋体" w:cs="Arial"/>
          <w:color w:val="000000"/>
          <w:kern w:val="0"/>
          <w:sz w:val="24"/>
          <w:szCs w:val="24"/>
        </w:rPr>
      </w:pPr>
      <w:r>
        <w:rPr>
          <w:rFonts w:ascii="Arial" w:hAnsi="Arial" w:eastAsia="宋体" w:cs="Arial"/>
          <w:color w:val="000000"/>
          <w:kern w:val="0"/>
          <w:sz w:val="24"/>
          <w:szCs w:val="24"/>
        </w:rPr>
        <w:t>2. 甲型流感H1和H3亚型</w:t>
      </w:r>
    </w:p>
    <w:p w14:paraId="70AB4091">
      <w:pPr>
        <w:widowControl/>
        <w:snapToGrid w:val="0"/>
        <w:spacing w:line="300" w:lineRule="auto"/>
        <w:ind w:firstLine="348" w:firstLineChars="145"/>
        <w:jc w:val="left"/>
        <w:rPr>
          <w:rFonts w:ascii="Arial" w:hAnsi="Arial" w:eastAsia="宋体" w:cs="Arial"/>
          <w:color w:val="000000"/>
          <w:kern w:val="0"/>
          <w:sz w:val="24"/>
          <w:szCs w:val="24"/>
        </w:rPr>
      </w:pPr>
      <w:r>
        <w:rPr>
          <w:rFonts w:ascii="Arial" w:hAnsi="Arial" w:eastAsia="宋体" w:cs="Arial"/>
          <w:color w:val="000000"/>
          <w:kern w:val="0"/>
          <w:sz w:val="24"/>
          <w:szCs w:val="24"/>
        </w:rPr>
        <w:t>3. 呼吸道合胞病毒亚型A和呼吸道合胞病毒亚型B</w:t>
      </w:r>
    </w:p>
    <w:p w14:paraId="2090D670">
      <w:pPr>
        <w:widowControl/>
        <w:snapToGrid w:val="0"/>
        <w:spacing w:line="300" w:lineRule="auto"/>
        <w:ind w:firstLine="348" w:firstLineChars="145"/>
        <w:jc w:val="left"/>
        <w:rPr>
          <w:rFonts w:ascii="Arial" w:hAnsi="Arial" w:eastAsia="宋体" w:cs="Arial"/>
          <w:color w:val="000000"/>
          <w:kern w:val="0"/>
          <w:sz w:val="24"/>
          <w:szCs w:val="24"/>
        </w:rPr>
      </w:pPr>
      <w:r>
        <w:rPr>
          <w:rFonts w:ascii="Arial" w:hAnsi="Arial" w:eastAsia="宋体" w:cs="Arial"/>
          <w:color w:val="000000"/>
          <w:kern w:val="0"/>
          <w:sz w:val="24"/>
          <w:szCs w:val="24"/>
        </w:rPr>
        <w:t xml:space="preserve">4. 副流感病毒1，副流感病毒2和副流感病毒3 </w:t>
      </w:r>
    </w:p>
    <w:p w14:paraId="39CC0FF5">
      <w:pPr>
        <w:widowControl/>
        <w:snapToGrid w:val="0"/>
        <w:spacing w:line="300" w:lineRule="auto"/>
        <w:ind w:firstLine="348" w:firstLineChars="145"/>
        <w:jc w:val="left"/>
        <w:rPr>
          <w:rFonts w:ascii="Arial" w:hAnsi="Arial" w:eastAsia="宋体" w:cs="Arial"/>
          <w:color w:val="000000"/>
          <w:kern w:val="0"/>
          <w:sz w:val="24"/>
          <w:szCs w:val="24"/>
        </w:rPr>
      </w:pPr>
      <w:r>
        <w:rPr>
          <w:rFonts w:ascii="Arial" w:hAnsi="Arial" w:eastAsia="宋体" w:cs="Arial"/>
          <w:color w:val="000000"/>
          <w:kern w:val="0"/>
          <w:sz w:val="24"/>
          <w:szCs w:val="24"/>
        </w:rPr>
        <w:t>5. 人类偏肺病毒</w:t>
      </w:r>
    </w:p>
    <w:p w14:paraId="2ED78CE4">
      <w:pPr>
        <w:widowControl/>
        <w:snapToGrid w:val="0"/>
        <w:spacing w:line="300" w:lineRule="auto"/>
        <w:ind w:firstLine="348" w:firstLineChars="145"/>
        <w:jc w:val="left"/>
        <w:rPr>
          <w:rFonts w:ascii="Arial" w:hAnsi="Arial" w:eastAsia="宋体" w:cs="Arial"/>
          <w:color w:val="000000"/>
          <w:kern w:val="0"/>
          <w:sz w:val="24"/>
          <w:szCs w:val="24"/>
        </w:rPr>
      </w:pPr>
      <w:r>
        <w:rPr>
          <w:rFonts w:ascii="Arial" w:hAnsi="Arial" w:eastAsia="宋体" w:cs="Arial"/>
          <w:color w:val="000000"/>
          <w:kern w:val="0"/>
          <w:sz w:val="24"/>
          <w:szCs w:val="24"/>
        </w:rPr>
        <w:t>6. 鼻病毒</w:t>
      </w:r>
    </w:p>
    <w:p w14:paraId="612A391A">
      <w:pPr>
        <w:widowControl/>
        <w:snapToGrid w:val="0"/>
        <w:spacing w:line="300" w:lineRule="auto"/>
        <w:ind w:firstLine="348" w:firstLineChars="145"/>
        <w:jc w:val="left"/>
        <w:rPr>
          <w:rFonts w:ascii="Arial" w:hAnsi="Arial" w:eastAsia="宋体" w:cs="Arial"/>
          <w:color w:val="000000"/>
          <w:kern w:val="0"/>
          <w:sz w:val="24"/>
          <w:szCs w:val="24"/>
        </w:rPr>
      </w:pPr>
      <w:r>
        <w:rPr>
          <w:rFonts w:ascii="Arial" w:hAnsi="Arial" w:eastAsia="宋体" w:cs="Arial"/>
          <w:color w:val="000000"/>
          <w:kern w:val="0"/>
          <w:sz w:val="24"/>
          <w:szCs w:val="24"/>
        </w:rPr>
        <w:t>7. 腺病毒</w:t>
      </w:r>
    </w:p>
    <w:p w14:paraId="520B2996">
      <w:pPr>
        <w:widowControl/>
        <w:jc w:val="left"/>
        <w:rPr>
          <w:rFonts w:ascii="Arial" w:hAnsi="Arial" w:eastAsia="宋体" w:cs="Arial"/>
          <w:color w:val="000000"/>
          <w:kern w:val="0"/>
          <w:sz w:val="24"/>
          <w:szCs w:val="24"/>
        </w:rPr>
      </w:pPr>
      <w:r>
        <w:rPr>
          <w:rFonts w:ascii="Arial" w:hAnsi="Arial" w:eastAsia="宋体" w:cs="Arial"/>
          <w:color w:val="000000"/>
          <w:kern w:val="0"/>
          <w:sz w:val="24"/>
          <w:szCs w:val="24"/>
        </w:rPr>
        <w:br w:type="page"/>
      </w:r>
    </w:p>
    <w:p w14:paraId="7A82E243">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根据21 CFR 866.3980，本指南中描述的器械所适用的产品代码：</w:t>
      </w:r>
    </w:p>
    <w:p w14:paraId="070A41A0">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OCC - 呼吸道病毒板核酸检测系统</w:t>
      </w:r>
      <w:r>
        <w:rPr>
          <w:rFonts w:ascii="Arial" w:hAnsi="Arial" w:eastAsia="宋体" w:cs="Arial"/>
          <w:color w:val="000000"/>
          <w:kern w:val="0"/>
          <w:sz w:val="24"/>
          <w:szCs w:val="24"/>
        </w:rPr>
        <w:br w:type="textWrapping"/>
      </w:r>
      <w:r>
        <w:rPr>
          <w:rFonts w:ascii="Arial" w:hAnsi="Arial" w:eastAsia="宋体" w:cs="Arial"/>
          <w:color w:val="000000"/>
          <w:kern w:val="0"/>
          <w:sz w:val="24"/>
          <w:szCs w:val="24"/>
        </w:rPr>
        <w:t>OEP- 甲型流感病毒亚型分型的核酸检测</w:t>
      </w:r>
    </w:p>
    <w:p w14:paraId="5A8420CA">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如前所述，受控于这一特殊控制指南性文件的器械也受控于特殊控制指南</w:t>
      </w:r>
      <w:r>
        <w:rPr>
          <w:rFonts w:ascii="Arial" w:hAnsi="Arial" w:eastAsia="宋体" w:cs="Arial"/>
          <w:b/>
          <w:color w:val="000000"/>
          <w:kern w:val="0"/>
          <w:sz w:val="24"/>
          <w:szCs w:val="24"/>
        </w:rPr>
        <w:t>“II类特殊控制指导性文件：呼吸道病毒板多重核酸检测”</w:t>
      </w:r>
      <w:r>
        <w:rPr>
          <w:rFonts w:ascii="Arial" w:hAnsi="Arial" w:eastAsia="宋体" w:cs="Arial"/>
          <w:color w:val="000000"/>
          <w:kern w:val="0"/>
          <w:sz w:val="24"/>
          <w:szCs w:val="24"/>
        </w:rPr>
        <w:t>，如果器械中包括对hMPV的检测，亦需受控于特殊控制指南“</w:t>
      </w:r>
      <w:r>
        <w:rPr>
          <w:rFonts w:ascii="Arial" w:hAnsi="Arial" w:eastAsia="宋体" w:cs="Arial"/>
          <w:b/>
          <w:color w:val="000000"/>
          <w:kern w:val="0"/>
          <w:sz w:val="24"/>
          <w:szCs w:val="24"/>
        </w:rPr>
        <w:t>II类特殊控制指导性文件：使用核酸检测进行人类偏肺病毒（hMPV）测定</w:t>
      </w:r>
      <w:r>
        <w:rPr>
          <w:rFonts w:ascii="Arial" w:hAnsi="Arial" w:eastAsia="宋体" w:cs="Arial"/>
          <w:color w:val="000000"/>
          <w:kern w:val="0"/>
          <w:sz w:val="24"/>
          <w:szCs w:val="24"/>
        </w:rPr>
        <w:t>”，参见21 CFR 866.3980（b）。这些特殊控制指南中包含了与这些特殊器械上市前通告提交相关的附加信息。</w:t>
      </w:r>
    </w:p>
    <w:p w14:paraId="2B691A38">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此外，特殊的新型甲流病毒检测试剂的制造商要建立所申请的器械与归类在21 CFR 866.3332的器械的实质等同性，应参考此分类所指定的特殊控制指导性文件“II类特殊控制指导性文件：特殊的新型甲流病毒检测试剂” （</w:t>
      </w:r>
      <w:r>
        <w:fldChar w:fldCharType="begin"/>
      </w:r>
      <w:r>
        <w:instrText xml:space="preserve"> HYPERLINK </w:instrText>
      </w:r>
      <w:r>
        <w:fldChar w:fldCharType="separate"/>
      </w:r>
      <w:r>
        <w:rPr>
          <w:rStyle w:val="16"/>
          <w:rFonts w:ascii="Arial" w:hAnsi="Arial" w:eastAsia="宋体" w:cs="Arial"/>
          <w:kern w:val="0"/>
          <w:sz w:val="24"/>
          <w:szCs w:val="24"/>
        </w:rPr>
        <w:t>http://www.fda.gov /MedicalDevices/ DeviceRegulationandGuidance/ GuidanceDocuments/ucm078583.htm</w:t>
      </w:r>
      <w:r>
        <w:rPr>
          <w:rStyle w:val="16"/>
          <w:rFonts w:ascii="Arial" w:hAnsi="Arial" w:eastAsia="宋体" w:cs="Arial"/>
          <w:kern w:val="0"/>
          <w:sz w:val="24"/>
          <w:szCs w:val="24"/>
        </w:rPr>
        <w:fldChar w:fldCharType="end"/>
      </w:r>
      <w:r>
        <w:rPr>
          <w:rFonts w:ascii="Arial" w:hAnsi="Arial" w:eastAsia="宋体" w:cs="Arial"/>
          <w:color w:val="000000"/>
          <w:kern w:val="0"/>
          <w:sz w:val="24"/>
          <w:szCs w:val="24"/>
        </w:rPr>
        <w:t>），为上市前的申请提交了解相关信息，并为满足该分类中确定的额外的特殊控制做准备。</w:t>
      </w:r>
    </w:p>
    <w:p w14:paraId="0DF494F6">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最后，食品药品监督管理局还提供了以下指南性文件，其并非特殊控制文件，而是针对流感的IVDs：“检测甲型流感病毒的体外诊断器械：标签和法规途径”， </w:t>
      </w:r>
      <w:r>
        <w:fldChar w:fldCharType="begin"/>
      </w:r>
      <w:r>
        <w:instrText xml:space="preserve"> HYPERLINK "http://www.fda.gov/MedicalDevices/DeviceRegulationandGuidance/GuidanceDocuments/ucm078538.htm" </w:instrText>
      </w:r>
      <w:r>
        <w:fldChar w:fldCharType="separate"/>
      </w:r>
      <w:r>
        <w:rPr>
          <w:rFonts w:ascii="Arial" w:hAnsi="Arial" w:eastAsia="宋体" w:cs="Arial"/>
          <w:color w:val="800080"/>
          <w:kern w:val="0"/>
          <w:sz w:val="24"/>
          <w:szCs w:val="24"/>
          <w:u w:val="single"/>
        </w:rPr>
        <w:t>（http://www.fda.gov/ MedicalDevices/DeviceRegulationandGuidance/ GuidanceDocuments/ucm078538.htm</w:t>
      </w:r>
      <w:r>
        <w:rPr>
          <w:rFonts w:ascii="Arial" w:hAnsi="Arial" w:eastAsia="宋体" w:cs="Arial"/>
          <w:color w:val="800080"/>
          <w:kern w:val="0"/>
          <w:sz w:val="24"/>
          <w:szCs w:val="24"/>
          <w:u w:val="single"/>
        </w:rPr>
        <w:fldChar w:fldCharType="end"/>
      </w:r>
      <w:r>
        <w:rPr>
          <w:rFonts w:ascii="Arial" w:hAnsi="Arial" w:eastAsia="宋体" w:cs="Arial"/>
          <w:color w:val="000000"/>
          <w:kern w:val="0"/>
          <w:sz w:val="24"/>
          <w:szCs w:val="24"/>
        </w:rPr>
        <w:t>）（“标签指南”）和指导性文件草案“建立用于流感病毒的检测或检测和分型的体外诊断器械的性能特征”（</w:t>
      </w:r>
      <w:r>
        <w:fldChar w:fldCharType="begin"/>
      </w:r>
      <w:r>
        <w:instrText xml:space="preserve"> HYPERLINK "http://www.fda.gov/MedicalDevices/DeviceRegulationandGuidance/GuidanceDocuments/ucm079171.htm" </w:instrText>
      </w:r>
      <w:r>
        <w:fldChar w:fldCharType="separate"/>
      </w:r>
      <w:r>
        <w:rPr>
          <w:rFonts w:ascii="Arial" w:hAnsi="Arial" w:eastAsia="宋体" w:cs="Arial"/>
          <w:color w:val="800080"/>
          <w:kern w:val="0"/>
          <w:sz w:val="24"/>
          <w:szCs w:val="24"/>
          <w:u w:val="single"/>
        </w:rPr>
        <w:t>http://www.fda.gov/ MedicalDevices/DeviceRegulationandGuidance/ GuidanceDocuments/ucm079171.htm</w:t>
      </w:r>
      <w:r>
        <w:rPr>
          <w:rFonts w:ascii="Arial" w:hAnsi="Arial" w:eastAsia="宋体" w:cs="Arial"/>
          <w:color w:val="800080"/>
          <w:kern w:val="0"/>
          <w:sz w:val="24"/>
          <w:szCs w:val="24"/>
          <w:u w:val="single"/>
        </w:rPr>
        <w:fldChar w:fldCharType="end"/>
      </w:r>
      <w:r>
        <w:rPr>
          <w:rFonts w:ascii="Arial" w:hAnsi="Arial" w:eastAsia="宋体" w:cs="Arial"/>
          <w:color w:val="000000"/>
          <w:kern w:val="0"/>
          <w:sz w:val="24"/>
          <w:szCs w:val="24"/>
        </w:rPr>
        <w:t>）.。这些文件的建议与本项特殊控制是一致的，食品药品监督管理局建议，建立性能特征的指南草案在定稿时，标签指南可作为食品药品监督管理局关于流感诊断试剂的当前监管思考的额外信息参考。</w:t>
      </w:r>
    </w:p>
    <w:p w14:paraId="197BA85B">
      <w:pPr>
        <w:widowControl/>
        <w:snapToGrid w:val="0"/>
        <w:spacing w:line="300" w:lineRule="auto"/>
        <w:jc w:val="left"/>
        <w:outlineLvl w:val="2"/>
        <w:rPr>
          <w:rFonts w:ascii="Arial" w:hAnsi="Arial" w:eastAsia="宋体" w:cs="Arial"/>
          <w:b/>
          <w:bCs/>
          <w:color w:val="000000"/>
          <w:kern w:val="0"/>
          <w:sz w:val="24"/>
          <w:szCs w:val="24"/>
        </w:rPr>
      </w:pPr>
    </w:p>
    <w:p w14:paraId="3393423E">
      <w:pPr>
        <w:widowControl/>
        <w:snapToGrid w:val="0"/>
        <w:spacing w:line="300" w:lineRule="auto"/>
        <w:jc w:val="left"/>
        <w:outlineLvl w:val="2"/>
        <w:rPr>
          <w:rFonts w:ascii="Arial" w:hAnsi="Arial" w:eastAsia="宋体" w:cs="Arial"/>
          <w:b/>
          <w:bCs/>
          <w:color w:val="000000"/>
          <w:kern w:val="0"/>
          <w:sz w:val="28"/>
          <w:szCs w:val="28"/>
        </w:rPr>
      </w:pPr>
      <w:r>
        <w:rPr>
          <w:rFonts w:ascii="Arial" w:hAnsi="Arial" w:eastAsia="宋体" w:cs="Arial"/>
          <w:b/>
          <w:bCs/>
          <w:color w:val="000000"/>
          <w:kern w:val="0"/>
          <w:sz w:val="28"/>
          <w:szCs w:val="28"/>
        </w:rPr>
        <w:t>4. 健康风险</w:t>
      </w:r>
    </w:p>
    <w:p w14:paraId="43CAB9DE">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人类流感是一种具有高度传染性的急性呼吸道疾病。人类流感病毒有三类：甲型、乙型和丙型。感染甲型流感病毒是最严重的，在上个世纪有几次著名的大流行。甲流病毒根据病毒包膜上的血凝素（HA）和神经氨酸酶（NA）糖蛋白的抗原性不同，可分为不同亚型。</w:t>
      </w:r>
    </w:p>
    <w:p w14:paraId="373B199A">
      <w:pPr>
        <w:widowControl/>
        <w:snapToGrid w:val="0"/>
        <w:spacing w:line="300" w:lineRule="auto"/>
        <w:jc w:val="left"/>
        <w:rPr>
          <w:rFonts w:ascii="Arial" w:hAnsi="Arial" w:eastAsia="宋体" w:cs="Arial"/>
          <w:color w:val="000000"/>
          <w:kern w:val="0"/>
          <w:sz w:val="24"/>
          <w:szCs w:val="24"/>
        </w:rPr>
      </w:pPr>
    </w:p>
    <w:p w14:paraId="6C8FD12C">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目前，通常只有一些甲流亚型（即H1N1，H1N2和H3N2）在人类中传播，其他亚型最常见于其他动物物种。禽流感病毒是非常值得关注的，因为一些亚型可能是高度致病性的，会引起偶发性人类感染，并可能引起大流行。目前，涉及人类疾病的禽流感病毒包括高致病性禽流感（HPAI）H5N1和H7N7毒株和低致病性禽流感（LPAI）H9N2，H7N2和H7N3毒株。</w:t>
      </w:r>
    </w:p>
    <w:p w14:paraId="68A3651A">
      <w:pPr>
        <w:widowControl/>
        <w:snapToGrid w:val="0"/>
        <w:spacing w:line="300" w:lineRule="auto"/>
        <w:jc w:val="left"/>
        <w:rPr>
          <w:rFonts w:ascii="Arial" w:hAnsi="Arial" w:eastAsia="宋体" w:cs="Arial"/>
          <w:color w:val="000000"/>
          <w:kern w:val="0"/>
          <w:sz w:val="24"/>
          <w:szCs w:val="24"/>
        </w:rPr>
      </w:pPr>
    </w:p>
    <w:p w14:paraId="615B63FE">
      <w:pPr>
        <w:widowControl/>
        <w:jc w:val="left"/>
        <w:rPr>
          <w:rFonts w:ascii="Arial" w:hAnsi="Arial" w:eastAsia="宋体" w:cs="Arial"/>
          <w:color w:val="000000"/>
          <w:kern w:val="0"/>
          <w:sz w:val="24"/>
          <w:szCs w:val="24"/>
        </w:rPr>
      </w:pPr>
      <w:r>
        <w:rPr>
          <w:rFonts w:ascii="Arial" w:hAnsi="Arial" w:eastAsia="宋体" w:cs="Arial"/>
          <w:color w:val="000000"/>
          <w:kern w:val="0"/>
          <w:sz w:val="24"/>
          <w:szCs w:val="24"/>
        </w:rPr>
        <w:br w:type="page"/>
      </w:r>
    </w:p>
    <w:p w14:paraId="1080F9A4">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由常见的甲型流感病毒引起的流感可能具有高发病率和死亡率，特别是在特殊群体如老年人和婴幼儿中。对季节性流感病毒的获得性免疫是有限的，因为流感病毒在年度间会发生微小的但是重要的变异（该过程称为抗原漂移）。新型流感病毒</w:t>
      </w:r>
      <w:r>
        <w:rPr>
          <w:rFonts w:ascii="Arial" w:hAnsi="Arial" w:eastAsia="宋体" w:cs="Arial"/>
          <w:color w:val="000000"/>
          <w:kern w:val="0"/>
          <w:sz w:val="24"/>
          <w:szCs w:val="24"/>
          <w:vertAlign w:val="superscript"/>
        </w:rPr>
        <w:t>5</w:t>
      </w:r>
      <w:r>
        <w:rPr>
          <w:rFonts w:ascii="Arial" w:hAnsi="Arial" w:eastAsia="宋体" w:cs="Arial"/>
          <w:color w:val="000000"/>
          <w:kern w:val="0"/>
          <w:sz w:val="24"/>
          <w:szCs w:val="24"/>
        </w:rPr>
        <w:t>的发病率和死亡率可能更高，并可能会引起广泛的疾病和/或极其严重的疾病，因为极少人（或根本没有人）此前对这些病毒的表面糖蛋白有过免疫暴露。此外，其他的致病因素可能会增加病毒的毒力。</w:t>
      </w:r>
    </w:p>
    <w:p w14:paraId="052C7389">
      <w:pPr>
        <w:widowControl/>
        <w:snapToGrid w:val="0"/>
        <w:spacing w:line="300" w:lineRule="auto"/>
        <w:jc w:val="left"/>
        <w:rPr>
          <w:rFonts w:ascii="Arial" w:hAnsi="Arial" w:eastAsia="宋体" w:cs="Arial"/>
          <w:color w:val="000000"/>
          <w:kern w:val="0"/>
          <w:sz w:val="24"/>
          <w:szCs w:val="24"/>
        </w:rPr>
      </w:pPr>
    </w:p>
    <w:p w14:paraId="20547E96">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用于检测甲流亚型的器械可用于区分目前流行的季节性流感亚型（甲型/H1和甲型/H3）。但是，有流感样症状患者的样本，若检测结果为甲流阳性、A/H1和A/H3阴性，则认为是疑似新型流感病毒阳性，并应当进一步检测。（参见CDC / MMWR 说明（</w:t>
      </w:r>
      <w:r>
        <w:fldChar w:fldCharType="begin"/>
      </w:r>
      <w:r>
        <w:instrText xml:space="preserve"> HYPERLINK "http://www.cdc.gov/%20mmwr/preview/mmwrhtml/%20mm5613a4.htm" </w:instrText>
      </w:r>
      <w:r>
        <w:fldChar w:fldCharType="separate"/>
      </w:r>
      <w:r>
        <w:rPr>
          <w:rStyle w:val="16"/>
          <w:rFonts w:ascii="Arial" w:hAnsi="Arial" w:eastAsia="宋体" w:cs="Arial"/>
          <w:color w:val="800080"/>
          <w:kern w:val="0"/>
          <w:sz w:val="24"/>
          <w:szCs w:val="24"/>
        </w:rPr>
        <w:t>http://www.cdc.gov/ mmwr/preview/mmwrhtml/ mm5613a4.htm</w:t>
      </w:r>
      <w:r>
        <w:rPr>
          <w:rStyle w:val="16"/>
          <w:rFonts w:ascii="Arial" w:hAnsi="Arial" w:eastAsia="宋体" w:cs="Arial"/>
          <w:color w:val="800080"/>
          <w:kern w:val="0"/>
          <w:sz w:val="24"/>
          <w:szCs w:val="24"/>
        </w:rPr>
        <w:fldChar w:fldCharType="end"/>
      </w:r>
      <w:r>
        <w:rPr>
          <w:rFonts w:ascii="Arial" w:hAnsi="Arial" w:eastAsia="宋体" w:cs="Arial"/>
          <w:color w:val="000000"/>
          <w:kern w:val="0"/>
          <w:sz w:val="24"/>
          <w:szCs w:val="24"/>
        </w:rPr>
        <w:t>  和 </w:t>
      </w:r>
      <w:r>
        <w:fldChar w:fldCharType="begin"/>
      </w:r>
      <w:r>
        <w:instrText xml:space="preserve"> HYPERLINK "http://www.cste.org/ps/%202007pdfs/%20novelfluanndssjan10final23.pdf" </w:instrText>
      </w:r>
      <w:r>
        <w:fldChar w:fldCharType="separate"/>
      </w:r>
      <w:r>
        <w:rPr>
          <w:rStyle w:val="16"/>
          <w:rFonts w:ascii="Arial" w:hAnsi="Arial" w:eastAsia="宋体" w:cs="Arial"/>
          <w:color w:val="800080"/>
          <w:kern w:val="0"/>
          <w:sz w:val="24"/>
          <w:szCs w:val="24"/>
        </w:rPr>
        <w:t>http://www.cste.org/ps/ 2007pdfs/ novelfluanndssjan10final23.pdf</w:t>
      </w:r>
      <w:r>
        <w:rPr>
          <w:rStyle w:val="16"/>
          <w:rFonts w:ascii="Arial" w:hAnsi="Arial" w:eastAsia="宋体" w:cs="Arial"/>
          <w:color w:val="800080"/>
          <w:kern w:val="0"/>
          <w:sz w:val="24"/>
          <w:szCs w:val="24"/>
        </w:rPr>
        <w:fldChar w:fldCharType="end"/>
      </w:r>
      <w:r>
        <w:rPr>
          <w:rFonts w:ascii="Arial" w:hAnsi="Arial" w:eastAsia="宋体" w:cs="Arial"/>
          <w:color w:val="000000"/>
          <w:kern w:val="0"/>
          <w:sz w:val="24"/>
          <w:szCs w:val="24"/>
        </w:rPr>
        <w:t>）.</w:t>
      </w:r>
      <w:r>
        <w:fldChar w:fldCharType="begin"/>
      </w:r>
      <w:r>
        <w:instrText xml:space="preserve"> HYPERLINK "http://www.fda.gov/MedicalDevices/DeviceRegulationandGuidance/GuidanceDocuments/ucm180306.htm" \l "ft6" </w:instrText>
      </w:r>
      <w:r>
        <w:fldChar w:fldCharType="separate"/>
      </w:r>
      <w:r>
        <w:rPr>
          <w:rFonts w:ascii="Arial" w:hAnsi="Arial" w:eastAsia="宋体" w:cs="Arial"/>
          <w:color w:val="800080"/>
          <w:kern w:val="0"/>
          <w:sz w:val="24"/>
          <w:szCs w:val="24"/>
          <w:u w:val="single"/>
          <w:vertAlign w:val="superscript"/>
        </w:rPr>
        <w:t>6</w:t>
      </w:r>
      <w:r>
        <w:rPr>
          <w:rFonts w:ascii="Arial" w:hAnsi="Arial" w:eastAsia="宋体" w:cs="Arial"/>
          <w:color w:val="800080"/>
          <w:kern w:val="0"/>
          <w:sz w:val="24"/>
          <w:szCs w:val="24"/>
          <w:u w:val="single"/>
          <w:vertAlign w:val="superscript"/>
        </w:rPr>
        <w:fldChar w:fldCharType="end"/>
      </w:r>
      <w:r>
        <w:rPr>
          <w:rFonts w:ascii="Arial" w:hAnsi="Arial" w:eastAsia="宋体" w:cs="Arial"/>
          <w:color w:val="000000"/>
          <w:kern w:val="0"/>
          <w:sz w:val="24"/>
          <w:szCs w:val="24"/>
        </w:rPr>
        <w:t>  这些器械可区分季节性流感病毒与大患病率流感病毒的潜在能力，除了帮助患者管理的临床作用之外，还会对公共健康产生很大的影响。因此，FDA已经确定了下述有关此类型器械的潜在的健康风险，即，可能影响甲流亚型检测和分型的呼吸道病毒板多重核酸检测的安全性或有效性的问题，包括：器械未按说明进行操作导致不准确的结果或结果缺失，以及对结果的不正确解释；这两种潜在风险都可能导致不正确的患者管理决策。</w:t>
      </w:r>
    </w:p>
    <w:p w14:paraId="38709AC2">
      <w:pPr>
        <w:widowControl/>
        <w:snapToGrid w:val="0"/>
        <w:spacing w:line="300" w:lineRule="auto"/>
        <w:jc w:val="left"/>
        <w:outlineLvl w:val="3"/>
        <w:rPr>
          <w:rFonts w:ascii="Arial" w:hAnsi="Arial" w:eastAsia="宋体" w:cs="Arial"/>
          <w:b/>
          <w:bCs/>
          <w:i/>
          <w:iCs/>
          <w:color w:val="000000"/>
          <w:kern w:val="0"/>
          <w:sz w:val="24"/>
          <w:szCs w:val="24"/>
        </w:rPr>
      </w:pPr>
    </w:p>
    <w:p w14:paraId="583343A0">
      <w:pPr>
        <w:widowControl/>
        <w:snapToGrid w:val="0"/>
        <w:spacing w:line="300" w:lineRule="auto"/>
        <w:jc w:val="left"/>
        <w:outlineLvl w:val="3"/>
        <w:rPr>
          <w:rFonts w:ascii="Arial" w:hAnsi="Arial" w:eastAsia="宋体" w:cs="Arial"/>
          <w:b/>
          <w:bCs/>
          <w:i/>
          <w:color w:val="000000"/>
          <w:kern w:val="0"/>
          <w:sz w:val="28"/>
          <w:szCs w:val="28"/>
        </w:rPr>
      </w:pPr>
      <w:r>
        <w:rPr>
          <w:rFonts w:ascii="Arial" w:hAnsi="Arial" w:eastAsia="宋体" w:cs="Arial"/>
          <w:b/>
          <w:bCs/>
          <w:i/>
          <w:color w:val="000000"/>
          <w:kern w:val="0"/>
          <w:sz w:val="28"/>
          <w:szCs w:val="28"/>
        </w:rPr>
        <w:t>器械未按说明进行操作：</w:t>
      </w:r>
    </w:p>
    <w:p w14:paraId="7AF50C81">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当患者感染这些病毒时，甲型流感病毒核酸序列未能检出（假阴性结果）可能导致临床误诊，停止适当的治疗，并且不启动预防/控制工作。当患者未感染时却检出了特异性甲型流感核酸（假阳性结果），可能导致使用有潜在毒性的药物进行不必要的治疗或未能对流感进行适当的诊断和治疗。假阳性结果可能会导致不必要的隔离程序或接触者追踪，而器械未能产生检测结果则可能导致患者的诊断和治疗延迟。</w:t>
      </w:r>
    </w:p>
    <w:p w14:paraId="02561B1B">
      <w:pPr>
        <w:widowControl/>
        <w:snapToGrid w:val="0"/>
        <w:spacing w:line="300" w:lineRule="auto"/>
        <w:jc w:val="left"/>
        <w:rPr>
          <w:rFonts w:ascii="Arial" w:hAnsi="Arial" w:eastAsia="宋体" w:cs="Arial"/>
          <w:color w:val="000000"/>
          <w:kern w:val="0"/>
          <w:sz w:val="24"/>
          <w:szCs w:val="24"/>
        </w:rPr>
      </w:pPr>
    </w:p>
    <w:p w14:paraId="6DE779CE">
      <w:pPr>
        <w:widowControl/>
        <w:snapToGrid w:val="0"/>
        <w:spacing w:line="300" w:lineRule="auto"/>
        <w:jc w:val="left"/>
        <w:rPr>
          <w:rFonts w:ascii="Arial" w:hAnsi="Arial" w:eastAsia="宋体" w:cs="Arial"/>
          <w:color w:val="000000"/>
          <w:kern w:val="0"/>
          <w:sz w:val="24"/>
          <w:szCs w:val="24"/>
        </w:rPr>
      </w:pPr>
      <w:r>
        <w:rPr>
          <w:rFonts w:ascii="Arial" w:hAnsi="Arial" w:eastAsia="宋体" w:cs="Arial"/>
          <w:b/>
          <w:bCs/>
          <w:i/>
          <w:color w:val="000000"/>
          <w:kern w:val="0"/>
          <w:sz w:val="28"/>
          <w:szCs w:val="28"/>
        </w:rPr>
        <w:t>未能对结果进行正确解释：</w:t>
      </w:r>
    </w:p>
    <w:p w14:paraId="54B82A6F">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检测和区分甲型流感病毒亚型的呼吸道病毒板多重核酸检测，预期用于与其他临床和实验室结果相结合，以帮助甲型流感感染的诊断。因此，在有了其他实验室结果和临床表现的情况下，检测结果解释失误可能会导致不适当的或延迟的治疗。例如，阳性检测结果无法排除细菌合并感染或其他病毒的合并感染，而且检出的甲流亚型可能不一定是临床症状或疾病的原因。此外，核酸检测不一定表明有活动性病毒的感染，因为甲流病毒的RNA序列可以在体内保持独立于病毒的活力。通过细胞培养可以区分无法存活的病毒与具有感染性的病毒颗粒。当病毒可能已经被杀灭时，错误地认为其存在活动性感染或持续性感染，可能会导致不必要的治疗或治疗延长。因此，需要额外的检测 （例如，细菌培养，免疫荧光和胸部x射线/放射照相）以得到甲流感染的最终诊断，包括对特定病毒亚型的鉴定。</w:t>
      </w:r>
    </w:p>
    <w:p w14:paraId="048CEAD2">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该特殊控制指南通过解决以下特定的错误来源，为减少与此类检测相关的风险提出建议：</w:t>
      </w:r>
    </w:p>
    <w:p w14:paraId="2D6765C5">
      <w:pPr>
        <w:widowControl/>
        <w:snapToGrid w:val="0"/>
        <w:spacing w:before="156" w:beforeLines="50"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不准确的结果（即假阳性或假阴性结果）或结果缺失可能由以下原因引起：</w:t>
      </w:r>
    </w:p>
    <w:p w14:paraId="38AAE9F4">
      <w:pPr>
        <w:widowControl/>
        <w:numPr>
          <w:ilvl w:val="0"/>
          <w:numId w:val="4"/>
        </w:numPr>
        <w:snapToGrid w:val="0"/>
        <w:spacing w:line="300" w:lineRule="auto"/>
        <w:ind w:left="0" w:firstLine="0"/>
        <w:jc w:val="left"/>
        <w:rPr>
          <w:rFonts w:ascii="Arial" w:hAnsi="Arial" w:eastAsia="宋体" w:cs="Arial"/>
          <w:color w:val="000000"/>
          <w:kern w:val="0"/>
          <w:sz w:val="24"/>
          <w:szCs w:val="24"/>
        </w:rPr>
      </w:pPr>
      <w:r>
        <w:rPr>
          <w:rFonts w:ascii="Arial" w:hAnsi="Arial" w:eastAsia="宋体" w:cs="Arial"/>
          <w:color w:val="000000"/>
          <w:kern w:val="0"/>
          <w:sz w:val="24"/>
          <w:szCs w:val="24"/>
        </w:rPr>
        <w:t>该检测所涉及的试剂、仪器、数据管理或软件的故障或不当使用。</w:t>
      </w:r>
    </w:p>
    <w:p w14:paraId="064603F2">
      <w:pPr>
        <w:widowControl/>
        <w:numPr>
          <w:ilvl w:val="0"/>
          <w:numId w:val="4"/>
        </w:numPr>
        <w:snapToGrid w:val="0"/>
        <w:spacing w:line="300" w:lineRule="auto"/>
        <w:ind w:left="0" w:firstLine="0"/>
        <w:jc w:val="left"/>
        <w:rPr>
          <w:rFonts w:ascii="Arial" w:hAnsi="Arial" w:eastAsia="宋体" w:cs="Arial"/>
          <w:color w:val="000000"/>
          <w:kern w:val="0"/>
          <w:sz w:val="24"/>
          <w:szCs w:val="24"/>
        </w:rPr>
      </w:pPr>
      <w:r>
        <w:rPr>
          <w:rFonts w:ascii="Arial" w:hAnsi="Arial" w:eastAsia="宋体" w:cs="Arial"/>
          <w:color w:val="000000"/>
          <w:kern w:val="0"/>
          <w:sz w:val="24"/>
          <w:szCs w:val="24"/>
        </w:rPr>
        <w:t>辅助试剂的失效或不当使用，或辅助试剂的质量问题。</w:t>
      </w:r>
    </w:p>
    <w:p w14:paraId="5D13BA9E">
      <w:pPr>
        <w:widowControl/>
        <w:numPr>
          <w:ilvl w:val="0"/>
          <w:numId w:val="4"/>
        </w:numPr>
        <w:snapToGrid w:val="0"/>
        <w:spacing w:line="300" w:lineRule="auto"/>
        <w:ind w:left="0" w:firstLine="0"/>
        <w:jc w:val="left"/>
        <w:rPr>
          <w:rFonts w:ascii="Arial" w:hAnsi="Arial" w:eastAsia="宋体" w:cs="Arial"/>
          <w:color w:val="000000"/>
          <w:kern w:val="0"/>
          <w:sz w:val="24"/>
          <w:szCs w:val="24"/>
        </w:rPr>
      </w:pPr>
      <w:r>
        <w:rPr>
          <w:rFonts w:ascii="Arial" w:hAnsi="Arial" w:eastAsia="宋体" w:cs="Arial"/>
          <w:color w:val="000000"/>
          <w:kern w:val="0"/>
          <w:sz w:val="24"/>
          <w:szCs w:val="24"/>
        </w:rPr>
        <w:t>在分子检测方面缺乏专业知识的实验室人员进行了不正确的检测。</w:t>
      </w:r>
    </w:p>
    <w:p w14:paraId="2ECC4E36">
      <w:pPr>
        <w:widowControl/>
        <w:snapToGrid w:val="0"/>
        <w:spacing w:before="156" w:beforeLines="50"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假阳性结果可能由以下原因引起：</w:t>
      </w:r>
    </w:p>
    <w:p w14:paraId="4AED8C6C">
      <w:pPr>
        <w:widowControl/>
        <w:numPr>
          <w:ilvl w:val="0"/>
          <w:numId w:val="4"/>
        </w:numPr>
        <w:snapToGrid w:val="0"/>
        <w:spacing w:line="300" w:lineRule="auto"/>
        <w:ind w:left="684" w:hanging="684" w:hangingChars="285"/>
        <w:jc w:val="left"/>
        <w:rPr>
          <w:rFonts w:ascii="Arial" w:hAnsi="Arial" w:eastAsia="宋体" w:cs="Arial"/>
          <w:color w:val="000000"/>
          <w:kern w:val="0"/>
          <w:sz w:val="24"/>
          <w:szCs w:val="24"/>
        </w:rPr>
      </w:pPr>
      <w:r>
        <w:rPr>
          <w:rFonts w:ascii="Arial" w:hAnsi="Arial" w:eastAsia="宋体" w:cs="Arial"/>
          <w:color w:val="000000"/>
          <w:kern w:val="0"/>
          <w:sz w:val="24"/>
          <w:szCs w:val="24"/>
        </w:rPr>
        <w:t>检测引物和探针与来自非流感病毒的核酸序列可能会发生交叉反应，也会被该诊断器械检出（如有）；该核酸序列来自可能存在于患者样本中的其他病原体或其它内源性的核酸序列。</w:t>
      </w:r>
    </w:p>
    <w:p w14:paraId="7C89BEA7">
      <w:pPr>
        <w:widowControl/>
        <w:numPr>
          <w:ilvl w:val="0"/>
          <w:numId w:val="4"/>
        </w:numPr>
        <w:snapToGrid w:val="0"/>
        <w:spacing w:line="300" w:lineRule="auto"/>
        <w:ind w:left="684" w:hanging="684" w:hangingChars="285"/>
        <w:jc w:val="left"/>
        <w:rPr>
          <w:rFonts w:ascii="Arial" w:hAnsi="Arial" w:eastAsia="宋体" w:cs="Arial"/>
          <w:color w:val="000000"/>
          <w:kern w:val="0"/>
          <w:sz w:val="24"/>
          <w:szCs w:val="24"/>
        </w:rPr>
      </w:pPr>
      <w:r>
        <w:rPr>
          <w:rFonts w:ascii="Arial" w:hAnsi="Arial" w:eastAsia="宋体" w:cs="Arial"/>
          <w:color w:val="000000"/>
          <w:kern w:val="0"/>
          <w:sz w:val="24"/>
          <w:szCs w:val="24"/>
        </w:rPr>
        <w:t>在开放性检测系统的情况下，如果不采取适当的控制措施，则可能存在交叉污染和扩增子的污染。</w:t>
      </w:r>
    </w:p>
    <w:p w14:paraId="5B15FA32">
      <w:pPr>
        <w:widowControl/>
        <w:snapToGrid w:val="0"/>
        <w:spacing w:before="156" w:beforeLines="50"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假阴性结果可能由以下原因引起：</w:t>
      </w:r>
    </w:p>
    <w:p w14:paraId="39789829">
      <w:pPr>
        <w:widowControl/>
        <w:numPr>
          <w:ilvl w:val="0"/>
          <w:numId w:val="4"/>
        </w:numPr>
        <w:snapToGrid w:val="0"/>
        <w:spacing w:line="300" w:lineRule="auto"/>
        <w:ind w:left="684" w:hanging="684" w:hangingChars="285"/>
        <w:jc w:val="left"/>
        <w:rPr>
          <w:rFonts w:ascii="Arial" w:hAnsi="Arial" w:eastAsia="宋体" w:cs="Arial"/>
          <w:color w:val="000000"/>
          <w:kern w:val="0"/>
          <w:sz w:val="24"/>
          <w:szCs w:val="24"/>
        </w:rPr>
      </w:pPr>
      <w:r>
        <w:rPr>
          <w:rFonts w:ascii="Arial" w:hAnsi="Arial" w:eastAsia="宋体" w:cs="Arial"/>
          <w:color w:val="000000"/>
          <w:kern w:val="0"/>
          <w:sz w:val="24"/>
          <w:szCs w:val="24"/>
        </w:rPr>
        <w:t>由于对样品和所提取核酸的不当储存或转运，或核酸物质的提取不充分，而导致的RNA降解。</w:t>
      </w:r>
    </w:p>
    <w:p w14:paraId="6E1A2250">
      <w:pPr>
        <w:widowControl/>
        <w:numPr>
          <w:ilvl w:val="0"/>
          <w:numId w:val="4"/>
        </w:numPr>
        <w:snapToGrid w:val="0"/>
        <w:spacing w:line="300" w:lineRule="auto"/>
        <w:ind w:left="684" w:hanging="684" w:hangingChars="285"/>
        <w:jc w:val="left"/>
        <w:rPr>
          <w:rFonts w:ascii="Arial" w:hAnsi="Arial" w:eastAsia="宋体" w:cs="Arial"/>
          <w:color w:val="000000"/>
          <w:kern w:val="0"/>
          <w:sz w:val="24"/>
          <w:szCs w:val="24"/>
        </w:rPr>
      </w:pPr>
      <w:r>
        <w:rPr>
          <w:rFonts w:ascii="Arial" w:hAnsi="Arial" w:eastAsia="宋体" w:cs="Arial"/>
          <w:color w:val="000000"/>
          <w:kern w:val="0"/>
          <w:sz w:val="24"/>
          <w:szCs w:val="24"/>
        </w:rPr>
        <w:t>流感病毒突变的倾向或新亚型的出现。引物和探针的选择通常基于其与病毒RNA片段的高度保守区的同源性。引物和探针可能无法与新分离的遗传亚型或新出现的遗传突变体发生反应，降低了检测性能。</w:t>
      </w:r>
    </w:p>
    <w:p w14:paraId="4E5FBF6F">
      <w:pPr>
        <w:widowControl/>
        <w:numPr>
          <w:ilvl w:val="0"/>
          <w:numId w:val="4"/>
        </w:numPr>
        <w:snapToGrid w:val="0"/>
        <w:spacing w:line="300" w:lineRule="auto"/>
        <w:ind w:left="684" w:hanging="684" w:hangingChars="285"/>
        <w:jc w:val="left"/>
        <w:rPr>
          <w:rFonts w:ascii="Arial" w:hAnsi="Arial" w:eastAsia="宋体" w:cs="Arial"/>
          <w:color w:val="000000"/>
          <w:kern w:val="0"/>
          <w:sz w:val="24"/>
          <w:szCs w:val="24"/>
        </w:rPr>
      </w:pPr>
      <w:r>
        <w:rPr>
          <w:rFonts w:ascii="Arial" w:hAnsi="Arial" w:eastAsia="宋体" w:cs="Arial"/>
          <w:color w:val="000000"/>
          <w:kern w:val="0"/>
          <w:sz w:val="24"/>
          <w:szCs w:val="24"/>
        </w:rPr>
        <w:t>在样品处理/处置期间，存在于患者样本中的、或引入分析系统的其他物质的竞争性抑制或干扰。</w:t>
      </w:r>
    </w:p>
    <w:p w14:paraId="4B85EE74">
      <w:pPr>
        <w:widowControl/>
        <w:snapToGrid w:val="0"/>
        <w:spacing w:before="156" w:beforeLines="50"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未能正确解释检测结果，原因如下：</w:t>
      </w:r>
    </w:p>
    <w:p w14:paraId="1070A03F">
      <w:pPr>
        <w:widowControl/>
        <w:numPr>
          <w:ilvl w:val="0"/>
          <w:numId w:val="5"/>
        </w:numPr>
        <w:snapToGrid w:val="0"/>
        <w:spacing w:line="300" w:lineRule="auto"/>
        <w:ind w:left="0" w:firstLine="0"/>
        <w:jc w:val="left"/>
        <w:rPr>
          <w:rFonts w:ascii="Arial" w:hAnsi="Arial" w:eastAsia="宋体" w:cs="Arial"/>
          <w:color w:val="000000"/>
          <w:kern w:val="0"/>
          <w:sz w:val="24"/>
          <w:szCs w:val="24"/>
        </w:rPr>
      </w:pPr>
      <w:r>
        <w:rPr>
          <w:rFonts w:ascii="Arial" w:hAnsi="Arial" w:eastAsia="宋体" w:cs="Arial"/>
          <w:color w:val="000000"/>
          <w:kern w:val="0"/>
          <w:sz w:val="24"/>
          <w:szCs w:val="24"/>
        </w:rPr>
        <w:t>细菌合并感染的可能性。</w:t>
      </w:r>
    </w:p>
    <w:p w14:paraId="491DD123">
      <w:pPr>
        <w:widowControl/>
        <w:numPr>
          <w:ilvl w:val="0"/>
          <w:numId w:val="5"/>
        </w:numPr>
        <w:snapToGrid w:val="0"/>
        <w:spacing w:line="300" w:lineRule="auto"/>
        <w:ind w:left="0" w:firstLine="0"/>
        <w:jc w:val="left"/>
        <w:rPr>
          <w:rFonts w:ascii="Arial" w:hAnsi="Arial" w:eastAsia="宋体" w:cs="Arial"/>
          <w:color w:val="000000"/>
          <w:kern w:val="0"/>
          <w:sz w:val="24"/>
          <w:szCs w:val="24"/>
        </w:rPr>
      </w:pPr>
      <w:r>
        <w:rPr>
          <w:rFonts w:ascii="Arial" w:hAnsi="Arial" w:eastAsia="宋体" w:cs="Arial"/>
          <w:color w:val="000000"/>
          <w:kern w:val="0"/>
          <w:sz w:val="24"/>
          <w:szCs w:val="24"/>
        </w:rPr>
        <w:t>缺乏病毒诊断专业知识的实验室人员对检测结果的不准确解释和报告。</w:t>
      </w:r>
    </w:p>
    <w:p w14:paraId="681075C5">
      <w:pPr>
        <w:widowControl/>
        <w:numPr>
          <w:ilvl w:val="0"/>
          <w:numId w:val="5"/>
        </w:numPr>
        <w:snapToGrid w:val="0"/>
        <w:spacing w:line="300" w:lineRule="auto"/>
        <w:ind w:left="0" w:firstLine="0"/>
        <w:jc w:val="left"/>
        <w:rPr>
          <w:rFonts w:ascii="Arial" w:hAnsi="Arial" w:eastAsia="宋体" w:cs="Arial"/>
          <w:color w:val="000000"/>
          <w:kern w:val="0"/>
          <w:sz w:val="24"/>
          <w:szCs w:val="24"/>
        </w:rPr>
      </w:pPr>
      <w:r>
        <w:rPr>
          <w:rFonts w:ascii="Arial" w:hAnsi="Arial" w:eastAsia="宋体" w:cs="Arial"/>
          <w:color w:val="000000"/>
          <w:kern w:val="0"/>
          <w:sz w:val="24"/>
          <w:szCs w:val="24"/>
        </w:rPr>
        <w:t>由于与甲型流感病毒患病率和特定患者人群相关的性能变异而造成的曲解。</w:t>
      </w:r>
    </w:p>
    <w:p w14:paraId="3C8AB99F">
      <w:pPr>
        <w:widowControl/>
        <w:numPr>
          <w:ilvl w:val="0"/>
          <w:numId w:val="4"/>
        </w:numPr>
        <w:snapToGrid w:val="0"/>
        <w:spacing w:line="300" w:lineRule="auto"/>
        <w:ind w:left="684" w:hanging="684" w:hangingChars="285"/>
        <w:jc w:val="left"/>
        <w:rPr>
          <w:rFonts w:ascii="Arial" w:hAnsi="Arial" w:eastAsia="宋体" w:cs="Arial"/>
          <w:color w:val="000000"/>
          <w:kern w:val="0"/>
          <w:sz w:val="24"/>
          <w:szCs w:val="24"/>
        </w:rPr>
      </w:pPr>
      <w:r>
        <w:rPr>
          <w:rFonts w:ascii="Arial" w:hAnsi="Arial" w:eastAsia="宋体" w:cs="Arial"/>
          <w:color w:val="000000"/>
          <w:kern w:val="0"/>
          <w:sz w:val="24"/>
          <w:szCs w:val="24"/>
        </w:rPr>
        <w:t>在提交上市前通告之前，贵公司应进行风险分析并识别器械特有的任何其他风险。风险可能会因核酸检测的类型、检测的具体预期用途、样本类型以及结果如何使用而变化。上市前通告中应描述用于进行风险分析的方法。</w:t>
      </w:r>
    </w:p>
    <w:p w14:paraId="6C52C82F">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在下表中，FDA已经确定了通常与使用该器械相关的健康风险。本指导性文件中描述了建议规避已识别风险的措施，如下表所示。如果选择使用替代方法来解决本文件中指出的风险，或已发现本文件以外的风险，应提供足够的详细信息以支持用于解决该风险的方法。</w:t>
      </w:r>
    </w:p>
    <w:tbl>
      <w:tblPr>
        <w:tblStyle w:val="11"/>
        <w:tblW w:w="0" w:type="auto"/>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CCE8CF"/>
        <w:tblLayout w:type="autofit"/>
        <w:tblCellMar>
          <w:top w:w="45" w:type="dxa"/>
          <w:left w:w="45" w:type="dxa"/>
          <w:bottom w:w="45" w:type="dxa"/>
          <w:right w:w="45" w:type="dxa"/>
        </w:tblCellMar>
      </w:tblPr>
      <w:tblGrid>
        <w:gridCol w:w="4680"/>
        <w:gridCol w:w="2534"/>
      </w:tblGrid>
      <w:tr w14:paraId="2262B0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CCE8CF"/>
          <w:tblCellMar>
            <w:top w:w="45" w:type="dxa"/>
            <w:left w:w="45" w:type="dxa"/>
            <w:bottom w:w="45" w:type="dxa"/>
            <w:right w:w="45"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EFFFF"/>
            <w:vAlign w:val="center"/>
          </w:tcPr>
          <w:p w14:paraId="0FF34E9C">
            <w:pPr>
              <w:widowControl/>
              <w:snapToGrid w:val="0"/>
              <w:spacing w:line="300" w:lineRule="auto"/>
              <w:jc w:val="left"/>
              <w:rPr>
                <w:rFonts w:ascii="Arial" w:hAnsi="Arial" w:eastAsia="宋体" w:cs="Arial"/>
                <w:b/>
                <w:bCs/>
                <w:color w:val="000000"/>
                <w:kern w:val="0"/>
                <w:sz w:val="24"/>
                <w:szCs w:val="24"/>
              </w:rPr>
            </w:pPr>
            <w:r>
              <w:rPr>
                <w:rFonts w:ascii="Arial" w:hAnsi="Arial" w:eastAsia="宋体" w:cs="Arial"/>
                <w:b/>
                <w:bCs/>
                <w:color w:val="000000"/>
                <w:kern w:val="0"/>
                <w:sz w:val="24"/>
                <w:szCs w:val="24"/>
              </w:rPr>
              <w:t>已识别的风险</w:t>
            </w:r>
          </w:p>
        </w:tc>
        <w:tc>
          <w:tcPr>
            <w:tcW w:w="0" w:type="auto"/>
            <w:tcBorders>
              <w:top w:val="outset" w:color="auto" w:sz="6" w:space="0"/>
              <w:left w:val="outset" w:color="auto" w:sz="6" w:space="0"/>
              <w:bottom w:val="outset" w:color="auto" w:sz="6" w:space="0"/>
              <w:right w:val="outset" w:color="auto" w:sz="6" w:space="0"/>
            </w:tcBorders>
            <w:shd w:val="clear" w:color="auto" w:fill="CEFFFF"/>
            <w:vAlign w:val="center"/>
          </w:tcPr>
          <w:p w14:paraId="514A9DC5">
            <w:pPr>
              <w:widowControl/>
              <w:snapToGrid w:val="0"/>
              <w:spacing w:line="300" w:lineRule="auto"/>
              <w:jc w:val="left"/>
              <w:rPr>
                <w:rFonts w:ascii="Arial" w:hAnsi="Arial" w:eastAsia="宋体" w:cs="Arial"/>
                <w:b/>
                <w:bCs/>
                <w:color w:val="000000"/>
                <w:kern w:val="0"/>
                <w:sz w:val="24"/>
                <w:szCs w:val="24"/>
              </w:rPr>
            </w:pPr>
            <w:r>
              <w:rPr>
                <w:rFonts w:ascii="Arial" w:hAnsi="Arial" w:eastAsia="宋体" w:cs="Arial"/>
                <w:b/>
                <w:bCs/>
                <w:color w:val="000000"/>
                <w:kern w:val="0"/>
                <w:sz w:val="24"/>
                <w:szCs w:val="24"/>
              </w:rPr>
              <w:t>建议的缓解措施</w:t>
            </w:r>
          </w:p>
        </w:tc>
      </w:tr>
      <w:tr w14:paraId="1F54FCB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CCE8CF"/>
          <w:tblCellMar>
            <w:top w:w="45" w:type="dxa"/>
            <w:left w:w="45" w:type="dxa"/>
            <w:bottom w:w="45" w:type="dxa"/>
            <w:right w:w="45"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1D8C8D9E">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器械未按说明进行操作：</w:t>
            </w:r>
          </w:p>
          <w:p w14:paraId="6F7288C1">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不准确的结果</w:t>
            </w:r>
            <w:r>
              <w:rPr>
                <w:rFonts w:ascii="Arial" w:hAnsi="Arial" w:eastAsia="宋体" w:cs="Arial"/>
                <w:color w:val="000000"/>
                <w:kern w:val="0"/>
                <w:sz w:val="24"/>
                <w:szCs w:val="24"/>
              </w:rPr>
              <w:br w:type="textWrapping"/>
            </w:r>
            <w:r>
              <w:rPr>
                <w:rFonts w:ascii="Arial" w:hAnsi="Arial" w:eastAsia="宋体" w:cs="Arial"/>
                <w:color w:val="000000"/>
                <w:kern w:val="0"/>
                <w:sz w:val="24"/>
                <w:szCs w:val="24"/>
              </w:rPr>
              <w:t>（即，假阳性或假阴性结果），或结果缺失</w:t>
            </w:r>
          </w:p>
        </w:tc>
        <w:tc>
          <w:tcPr>
            <w:tcW w:w="0" w:type="auto"/>
            <w:tcBorders>
              <w:top w:val="outset" w:color="auto" w:sz="6" w:space="0"/>
              <w:left w:val="outset" w:color="auto" w:sz="6" w:space="0"/>
              <w:bottom w:val="outset" w:color="auto" w:sz="6" w:space="0"/>
              <w:right w:val="outset" w:color="auto" w:sz="6" w:space="0"/>
            </w:tcBorders>
            <w:shd w:val="clear" w:color="auto" w:fill="CCE8CF"/>
            <w:vAlign w:val="center"/>
          </w:tcPr>
          <w:p w14:paraId="4ACC7917">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标签（第7部分）</w:t>
            </w:r>
          </w:p>
          <w:p w14:paraId="4E4C9975">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性能特征（第6部分）</w:t>
            </w:r>
          </w:p>
          <w:p w14:paraId="4D54C80F">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器械描述（第5部分）</w:t>
            </w:r>
          </w:p>
        </w:tc>
      </w:tr>
      <w:tr w14:paraId="1511D44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CCE8CF"/>
          <w:tblCellMar>
            <w:top w:w="45" w:type="dxa"/>
            <w:left w:w="45" w:type="dxa"/>
            <w:bottom w:w="45" w:type="dxa"/>
            <w:right w:w="45"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vAlign w:val="center"/>
          </w:tcPr>
          <w:p w14:paraId="0E287D00">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未能正确解释检测结果</w:t>
            </w:r>
          </w:p>
        </w:tc>
        <w:tc>
          <w:tcPr>
            <w:tcW w:w="0" w:type="auto"/>
            <w:tcBorders>
              <w:top w:val="outset" w:color="auto" w:sz="6" w:space="0"/>
              <w:left w:val="outset" w:color="auto" w:sz="6" w:space="0"/>
              <w:bottom w:val="outset" w:color="auto" w:sz="6" w:space="0"/>
              <w:right w:val="outset" w:color="auto" w:sz="6" w:space="0"/>
            </w:tcBorders>
            <w:shd w:val="clear" w:color="auto" w:fill="CCE8CF"/>
            <w:vAlign w:val="center"/>
          </w:tcPr>
          <w:p w14:paraId="4B2DDD1F">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标签（第7部分）</w:t>
            </w:r>
          </w:p>
        </w:tc>
      </w:tr>
    </w:tbl>
    <w:p w14:paraId="77DA3AA5">
      <w:pPr>
        <w:widowControl/>
        <w:snapToGrid w:val="0"/>
        <w:spacing w:line="300" w:lineRule="auto"/>
        <w:jc w:val="left"/>
        <w:outlineLvl w:val="2"/>
        <w:rPr>
          <w:rFonts w:ascii="Arial" w:hAnsi="Arial" w:eastAsia="宋体" w:cs="Arial"/>
          <w:b/>
          <w:bCs/>
          <w:color w:val="000000"/>
          <w:kern w:val="0"/>
          <w:sz w:val="28"/>
          <w:szCs w:val="28"/>
        </w:rPr>
      </w:pPr>
      <w:r>
        <w:rPr>
          <w:rFonts w:ascii="Arial" w:hAnsi="Arial" w:eastAsia="宋体" w:cs="Arial"/>
          <w:b/>
          <w:bCs/>
          <w:color w:val="000000"/>
          <w:kern w:val="0"/>
          <w:sz w:val="28"/>
          <w:szCs w:val="28"/>
        </w:rPr>
        <w:t>5. 器械描述</w:t>
      </w:r>
    </w:p>
    <w:p w14:paraId="096662A0">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在提交510（k）时，应该确定法规、产品代码和已经合法上市的比较器械，</w:t>
      </w:r>
      <w:r>
        <w:rPr>
          <w:rFonts w:ascii="Arial" w:hAnsi="Arial" w:eastAsia="宋体" w:cs="Arial"/>
          <w:sz w:val="24"/>
          <w:szCs w:val="24"/>
        </w:rPr>
        <w:t>建议加入一个表格以概括比较器械和申请器械之间的异同点。</w:t>
      </w:r>
    </w:p>
    <w:p w14:paraId="7D3AD235">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贵公司应该包括以下描述性信息，以充分说明申请的呼吸道病毒板多重核酸检测的特征，其预期用于甲型流感病毒的检测和分型。</w:t>
      </w:r>
    </w:p>
    <w:p w14:paraId="11D689EA">
      <w:pPr>
        <w:widowControl/>
        <w:snapToGrid w:val="0"/>
        <w:spacing w:line="300" w:lineRule="auto"/>
        <w:jc w:val="left"/>
        <w:outlineLvl w:val="3"/>
        <w:rPr>
          <w:rFonts w:ascii="Arial" w:hAnsi="Arial" w:eastAsia="宋体" w:cs="Arial"/>
          <w:b/>
          <w:bCs/>
          <w:color w:val="000000"/>
          <w:kern w:val="0"/>
          <w:sz w:val="24"/>
          <w:szCs w:val="24"/>
        </w:rPr>
      </w:pPr>
    </w:p>
    <w:p w14:paraId="666BA397">
      <w:pPr>
        <w:widowControl/>
        <w:snapToGrid w:val="0"/>
        <w:spacing w:line="300" w:lineRule="auto"/>
        <w:jc w:val="left"/>
        <w:outlineLvl w:val="2"/>
        <w:rPr>
          <w:rFonts w:ascii="Arial" w:hAnsi="Arial" w:eastAsia="宋体" w:cs="Arial"/>
          <w:b/>
          <w:bCs/>
          <w:color w:val="000000"/>
          <w:kern w:val="0"/>
          <w:sz w:val="28"/>
          <w:szCs w:val="28"/>
        </w:rPr>
      </w:pPr>
      <w:r>
        <w:rPr>
          <w:rFonts w:ascii="Arial" w:hAnsi="Arial" w:eastAsia="宋体" w:cs="Arial"/>
          <w:b/>
          <w:bCs/>
          <w:color w:val="000000"/>
          <w:kern w:val="0"/>
          <w:sz w:val="28"/>
          <w:szCs w:val="28"/>
        </w:rPr>
        <w:t>5. A预期用途</w:t>
      </w:r>
    </w:p>
    <w:p w14:paraId="604929DC">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预期用途应指明该器械检测和鉴别的甲流病毒的类型和亚型、待测物（例如RNA）的性质、检测平台，说明用于检测的样本类型，该检测适用的临床适应症，以及该检测所针对的特定群体。预期用途应说明在该检测是定性的情况下，待测物测定是否为推定性检测，以及任何特定的使用条件。</w:t>
      </w:r>
    </w:p>
    <w:p w14:paraId="346AB226">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在510（k）中，贵公司应清楚地描述与产品预期用途相关的以下信息：</w:t>
      </w:r>
    </w:p>
    <w:p w14:paraId="1D6064E0">
      <w:pPr>
        <w:widowControl/>
        <w:numPr>
          <w:ilvl w:val="0"/>
          <w:numId w:val="4"/>
        </w:numPr>
        <w:snapToGrid w:val="0"/>
        <w:spacing w:line="300" w:lineRule="auto"/>
        <w:ind w:left="684" w:hanging="684" w:hangingChars="285"/>
        <w:jc w:val="left"/>
        <w:rPr>
          <w:rFonts w:ascii="Arial" w:hAnsi="Arial" w:eastAsia="宋体" w:cs="Arial"/>
          <w:color w:val="000000"/>
          <w:kern w:val="0"/>
          <w:sz w:val="24"/>
          <w:szCs w:val="24"/>
        </w:rPr>
      </w:pPr>
      <w:r>
        <w:rPr>
          <w:rFonts w:ascii="Arial" w:hAnsi="Arial" w:eastAsia="宋体" w:cs="Arial"/>
          <w:color w:val="000000"/>
          <w:kern w:val="0"/>
          <w:sz w:val="24"/>
          <w:szCs w:val="24"/>
        </w:rPr>
        <w:t>该器械旨在检测的流感病毒的认定、系统发育关系或其他公认的特征</w:t>
      </w:r>
    </w:p>
    <w:p w14:paraId="57A57433">
      <w:pPr>
        <w:widowControl/>
        <w:numPr>
          <w:ilvl w:val="0"/>
          <w:numId w:val="4"/>
        </w:numPr>
        <w:snapToGrid w:val="0"/>
        <w:spacing w:line="300" w:lineRule="auto"/>
        <w:ind w:left="684" w:hanging="684" w:hangingChars="285"/>
        <w:jc w:val="left"/>
        <w:rPr>
          <w:rFonts w:ascii="Arial" w:hAnsi="Arial" w:eastAsia="宋体" w:cs="Arial"/>
          <w:color w:val="000000"/>
          <w:kern w:val="0"/>
          <w:sz w:val="24"/>
          <w:szCs w:val="24"/>
        </w:rPr>
      </w:pPr>
      <w:r>
        <w:rPr>
          <w:rFonts w:ascii="Arial" w:hAnsi="Arial" w:eastAsia="宋体" w:cs="Arial"/>
          <w:color w:val="000000"/>
          <w:kern w:val="0"/>
          <w:sz w:val="24"/>
          <w:szCs w:val="24"/>
        </w:rPr>
        <w:t>该器械的结果如何用于诊断性算法，以及实验室鉴定甲型流感病毒和特定的甲流病毒亚型可能需要的其他措施。</w:t>
      </w:r>
    </w:p>
    <w:p w14:paraId="25A779B7">
      <w:pPr>
        <w:widowControl/>
        <w:numPr>
          <w:ilvl w:val="0"/>
          <w:numId w:val="4"/>
        </w:numPr>
        <w:snapToGrid w:val="0"/>
        <w:spacing w:line="300" w:lineRule="auto"/>
        <w:ind w:left="684" w:hanging="684" w:hangingChars="285"/>
        <w:jc w:val="left"/>
        <w:rPr>
          <w:rFonts w:ascii="Arial" w:hAnsi="Arial" w:eastAsia="宋体" w:cs="Arial"/>
          <w:color w:val="000000"/>
          <w:kern w:val="0"/>
          <w:sz w:val="24"/>
          <w:szCs w:val="24"/>
        </w:rPr>
      </w:pPr>
      <w:r>
        <w:rPr>
          <w:rFonts w:ascii="Arial" w:hAnsi="Arial" w:eastAsia="宋体" w:cs="Arial"/>
          <w:color w:val="000000"/>
          <w:kern w:val="0"/>
          <w:sz w:val="24"/>
          <w:szCs w:val="24"/>
        </w:rPr>
        <w:t>与患者病例诊断相关的临床和流行病学参数（如适用）。世界卫生组织（WHO）和其他公共卫生机构提供了标准，可用作定义患者病例的指南。</w:t>
      </w:r>
    </w:p>
    <w:p w14:paraId="426FD572">
      <w:pPr>
        <w:widowControl/>
        <w:snapToGrid w:val="0"/>
        <w:spacing w:line="300" w:lineRule="auto"/>
        <w:jc w:val="left"/>
        <w:outlineLvl w:val="3"/>
        <w:rPr>
          <w:rFonts w:ascii="Arial" w:hAnsi="Arial" w:eastAsia="宋体" w:cs="Arial"/>
          <w:color w:val="000000"/>
          <w:kern w:val="0"/>
          <w:sz w:val="24"/>
          <w:szCs w:val="24"/>
        </w:rPr>
      </w:pPr>
    </w:p>
    <w:p w14:paraId="6D87FF92">
      <w:pPr>
        <w:widowControl/>
        <w:snapToGrid w:val="0"/>
        <w:spacing w:line="300" w:lineRule="auto"/>
        <w:jc w:val="left"/>
        <w:outlineLvl w:val="3"/>
        <w:rPr>
          <w:rFonts w:ascii="Arial" w:hAnsi="Arial" w:eastAsia="宋体" w:cs="Arial"/>
          <w:b/>
          <w:bCs/>
          <w:color w:val="000000"/>
          <w:kern w:val="0"/>
          <w:sz w:val="28"/>
          <w:szCs w:val="28"/>
        </w:rPr>
      </w:pPr>
      <w:r>
        <w:rPr>
          <w:rFonts w:ascii="Arial" w:hAnsi="Arial" w:eastAsia="宋体" w:cs="Arial"/>
          <w:b/>
          <w:bCs/>
          <w:color w:val="000000"/>
          <w:kern w:val="0"/>
          <w:sz w:val="28"/>
          <w:szCs w:val="28"/>
        </w:rPr>
        <w:t>5.B 检测方法学</w:t>
      </w:r>
    </w:p>
    <w:p w14:paraId="3AB3C58F">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贵公司应该详细描述该器械使用的方法。例如，应描述适用于该器械的以下元素：</w:t>
      </w:r>
    </w:p>
    <w:p w14:paraId="3FBFFC3E">
      <w:pPr>
        <w:widowControl/>
        <w:numPr>
          <w:ilvl w:val="0"/>
          <w:numId w:val="4"/>
        </w:numPr>
        <w:snapToGrid w:val="0"/>
        <w:spacing w:line="300" w:lineRule="auto"/>
        <w:ind w:left="684" w:hanging="684" w:hangingChars="285"/>
        <w:jc w:val="left"/>
        <w:rPr>
          <w:rFonts w:ascii="Arial" w:hAnsi="Arial" w:eastAsia="宋体" w:cs="Arial"/>
          <w:color w:val="000000"/>
          <w:kern w:val="0"/>
          <w:sz w:val="24"/>
          <w:szCs w:val="24"/>
        </w:rPr>
      </w:pPr>
      <w:r>
        <w:rPr>
          <w:rFonts w:ascii="Arial" w:hAnsi="Arial" w:eastAsia="宋体" w:cs="Arial"/>
          <w:color w:val="000000"/>
          <w:kern w:val="0"/>
          <w:sz w:val="24"/>
          <w:szCs w:val="24"/>
        </w:rPr>
        <w:t>检测平台（例如，RT-PCR，珠阵列）</w:t>
      </w:r>
    </w:p>
    <w:p w14:paraId="2D6C3551">
      <w:pPr>
        <w:widowControl/>
        <w:numPr>
          <w:ilvl w:val="0"/>
          <w:numId w:val="4"/>
        </w:numPr>
        <w:snapToGrid w:val="0"/>
        <w:spacing w:line="300" w:lineRule="auto"/>
        <w:ind w:left="684" w:hanging="684" w:hangingChars="285"/>
        <w:jc w:val="left"/>
        <w:rPr>
          <w:rFonts w:ascii="Arial" w:hAnsi="Arial" w:eastAsia="宋体" w:cs="Arial"/>
          <w:color w:val="000000"/>
          <w:kern w:val="0"/>
          <w:sz w:val="24"/>
          <w:szCs w:val="24"/>
        </w:rPr>
      </w:pPr>
      <w:r>
        <w:rPr>
          <w:rFonts w:ascii="Arial" w:hAnsi="Arial" w:eastAsia="宋体" w:cs="Arial"/>
          <w:color w:val="000000"/>
          <w:kern w:val="0"/>
          <w:sz w:val="24"/>
          <w:szCs w:val="24"/>
        </w:rPr>
        <w:t>相关流感序列的探针特异性。</w:t>
      </w:r>
    </w:p>
    <w:p w14:paraId="39352560">
      <w:pPr>
        <w:widowControl/>
        <w:numPr>
          <w:ilvl w:val="0"/>
          <w:numId w:val="4"/>
        </w:numPr>
        <w:snapToGrid w:val="0"/>
        <w:spacing w:line="300" w:lineRule="auto"/>
        <w:ind w:left="684" w:hanging="684" w:hangingChars="285"/>
        <w:jc w:val="left"/>
        <w:rPr>
          <w:rFonts w:ascii="Arial" w:hAnsi="Arial" w:eastAsia="宋体" w:cs="Arial"/>
          <w:color w:val="000000"/>
          <w:kern w:val="0"/>
          <w:sz w:val="24"/>
          <w:szCs w:val="24"/>
        </w:rPr>
      </w:pPr>
      <w:r>
        <w:rPr>
          <w:rFonts w:ascii="Arial" w:hAnsi="Arial" w:eastAsia="宋体" w:cs="Arial"/>
          <w:color w:val="000000"/>
          <w:kern w:val="0"/>
          <w:sz w:val="24"/>
          <w:szCs w:val="24"/>
        </w:rPr>
        <w:t>选择特定靶序列的资料和原理，以及用于设计引物和探针的方法。</w:t>
      </w:r>
    </w:p>
    <w:p w14:paraId="2DE16CCE">
      <w:pPr>
        <w:widowControl/>
        <w:numPr>
          <w:ilvl w:val="0"/>
          <w:numId w:val="4"/>
        </w:numPr>
        <w:snapToGrid w:val="0"/>
        <w:spacing w:line="300" w:lineRule="auto"/>
        <w:ind w:left="684" w:hanging="684" w:hangingChars="285"/>
        <w:jc w:val="left"/>
        <w:rPr>
          <w:rFonts w:ascii="Arial" w:hAnsi="Arial" w:eastAsia="宋体" w:cs="Arial"/>
          <w:color w:val="000000"/>
          <w:kern w:val="0"/>
          <w:sz w:val="24"/>
          <w:szCs w:val="24"/>
        </w:rPr>
      </w:pPr>
      <w:r>
        <w:rPr>
          <w:rFonts w:ascii="Arial" w:hAnsi="Arial" w:eastAsia="宋体" w:cs="Arial"/>
          <w:color w:val="000000"/>
          <w:kern w:val="0"/>
          <w:sz w:val="24"/>
          <w:szCs w:val="24"/>
        </w:rPr>
        <w:t>测定的限制因素（例如杂交的饱和度、最大循环次数）</w:t>
      </w:r>
    </w:p>
    <w:p w14:paraId="4D4E0B04">
      <w:pPr>
        <w:widowControl/>
        <w:numPr>
          <w:ilvl w:val="0"/>
          <w:numId w:val="4"/>
        </w:numPr>
        <w:snapToGrid w:val="0"/>
        <w:spacing w:line="300" w:lineRule="auto"/>
        <w:ind w:left="684" w:hanging="684" w:hangingChars="285"/>
        <w:jc w:val="left"/>
        <w:rPr>
          <w:rFonts w:ascii="Arial" w:hAnsi="Arial" w:eastAsia="宋体" w:cs="Arial"/>
          <w:color w:val="000000"/>
          <w:kern w:val="0"/>
          <w:sz w:val="24"/>
          <w:szCs w:val="24"/>
        </w:rPr>
      </w:pPr>
      <w:r>
        <w:rPr>
          <w:rFonts w:ascii="Arial" w:hAnsi="Arial" w:eastAsia="宋体" w:cs="Arial"/>
          <w:color w:val="000000"/>
          <w:kern w:val="0"/>
          <w:sz w:val="24"/>
          <w:szCs w:val="24"/>
        </w:rPr>
        <w:t>样本类型（例如拭子、呼吸道抽吸液和病毒培养基），收集和处理方法</w:t>
      </w:r>
    </w:p>
    <w:p w14:paraId="589B9CFB">
      <w:pPr>
        <w:widowControl/>
        <w:numPr>
          <w:ilvl w:val="0"/>
          <w:numId w:val="4"/>
        </w:numPr>
        <w:snapToGrid w:val="0"/>
        <w:spacing w:line="300" w:lineRule="auto"/>
        <w:ind w:left="684" w:hanging="684" w:hangingChars="285"/>
        <w:jc w:val="left"/>
        <w:rPr>
          <w:rFonts w:ascii="Arial" w:hAnsi="Arial" w:eastAsia="宋体" w:cs="Arial"/>
          <w:color w:val="000000"/>
          <w:kern w:val="0"/>
          <w:sz w:val="24"/>
          <w:szCs w:val="24"/>
        </w:rPr>
      </w:pPr>
      <w:r>
        <w:rPr>
          <w:rFonts w:ascii="Arial" w:hAnsi="Arial" w:eastAsia="宋体" w:cs="Arial"/>
          <w:color w:val="000000"/>
          <w:kern w:val="0"/>
          <w:sz w:val="24"/>
          <w:szCs w:val="24"/>
        </w:rPr>
        <w:t>提供或推荐使用的试剂组分及其在系统内的功能（例如，缓冲液、酶、荧光染料、化学发光试剂、其他信号/扩增试剂）。</w:t>
      </w:r>
    </w:p>
    <w:p w14:paraId="2C9FE90F">
      <w:pPr>
        <w:widowControl/>
        <w:numPr>
          <w:ilvl w:val="0"/>
          <w:numId w:val="4"/>
        </w:numPr>
        <w:snapToGrid w:val="0"/>
        <w:spacing w:line="300" w:lineRule="auto"/>
        <w:ind w:left="684" w:hanging="684" w:hangingChars="285"/>
        <w:jc w:val="left"/>
        <w:rPr>
          <w:rFonts w:ascii="Arial" w:hAnsi="Arial" w:eastAsia="宋体" w:cs="Arial"/>
          <w:color w:val="000000"/>
          <w:kern w:val="0"/>
          <w:sz w:val="24"/>
          <w:szCs w:val="24"/>
        </w:rPr>
      </w:pPr>
      <w:r>
        <w:rPr>
          <w:rFonts w:ascii="Arial" w:hAnsi="Arial" w:eastAsia="宋体" w:cs="Arial"/>
          <w:color w:val="000000"/>
          <w:kern w:val="0"/>
          <w:sz w:val="24"/>
          <w:szCs w:val="24"/>
        </w:rPr>
        <w:t>特异性和非特异性探针交叉杂交的可能性。</w:t>
      </w:r>
    </w:p>
    <w:p w14:paraId="0379890C">
      <w:pPr>
        <w:widowControl/>
        <w:numPr>
          <w:ilvl w:val="0"/>
          <w:numId w:val="4"/>
        </w:numPr>
        <w:snapToGrid w:val="0"/>
        <w:spacing w:line="300" w:lineRule="auto"/>
        <w:ind w:left="684" w:hanging="684" w:hangingChars="285"/>
        <w:jc w:val="left"/>
        <w:rPr>
          <w:rFonts w:ascii="Arial" w:hAnsi="Arial" w:eastAsia="宋体" w:cs="Arial"/>
          <w:color w:val="000000"/>
          <w:kern w:val="0"/>
          <w:sz w:val="24"/>
          <w:szCs w:val="24"/>
        </w:rPr>
      </w:pPr>
      <w:r>
        <w:rPr>
          <w:rFonts w:ascii="Arial" w:hAnsi="Arial" w:eastAsia="宋体" w:cs="Arial"/>
          <w:color w:val="000000"/>
          <w:kern w:val="0"/>
          <w:sz w:val="24"/>
          <w:szCs w:val="24"/>
        </w:rPr>
        <w:t>内部控制及其在系统中的具体功能的描述。</w:t>
      </w:r>
    </w:p>
    <w:p w14:paraId="24A4C3DB">
      <w:pPr>
        <w:widowControl/>
        <w:numPr>
          <w:ilvl w:val="0"/>
          <w:numId w:val="4"/>
        </w:numPr>
        <w:snapToGrid w:val="0"/>
        <w:spacing w:line="300" w:lineRule="auto"/>
        <w:ind w:left="684" w:hanging="684" w:hangingChars="285"/>
        <w:jc w:val="left"/>
        <w:rPr>
          <w:rFonts w:ascii="Arial" w:hAnsi="Arial" w:eastAsia="宋体" w:cs="Arial"/>
          <w:color w:val="000000"/>
          <w:kern w:val="0"/>
          <w:sz w:val="24"/>
          <w:szCs w:val="24"/>
        </w:rPr>
      </w:pPr>
      <w:r>
        <w:rPr>
          <w:rFonts w:ascii="Arial" w:hAnsi="Arial" w:eastAsia="宋体" w:cs="Arial"/>
          <w:color w:val="000000"/>
          <w:kern w:val="0"/>
          <w:sz w:val="24"/>
          <w:szCs w:val="24"/>
        </w:rPr>
        <w:t>推荐或提供给用户的外部控制。</w:t>
      </w:r>
    </w:p>
    <w:p w14:paraId="5ADF5159">
      <w:pPr>
        <w:widowControl/>
        <w:numPr>
          <w:ilvl w:val="0"/>
          <w:numId w:val="4"/>
        </w:numPr>
        <w:snapToGrid w:val="0"/>
        <w:spacing w:line="300" w:lineRule="auto"/>
        <w:ind w:left="684" w:hanging="684" w:hangingChars="285"/>
        <w:jc w:val="left"/>
        <w:rPr>
          <w:rFonts w:ascii="Arial" w:hAnsi="Arial" w:eastAsia="宋体" w:cs="Arial"/>
          <w:color w:val="000000"/>
          <w:kern w:val="0"/>
          <w:sz w:val="24"/>
          <w:szCs w:val="24"/>
        </w:rPr>
      </w:pPr>
      <w:r>
        <w:rPr>
          <w:rFonts w:ascii="Arial" w:hAnsi="Arial" w:eastAsia="宋体" w:cs="Arial"/>
          <w:color w:val="000000"/>
          <w:kern w:val="0"/>
          <w:sz w:val="24"/>
          <w:szCs w:val="24"/>
        </w:rPr>
        <w:t>器械所需的仪器，包括系统中的组件及其功能。</w:t>
      </w:r>
    </w:p>
    <w:p w14:paraId="599A3C40">
      <w:pPr>
        <w:widowControl/>
        <w:numPr>
          <w:ilvl w:val="0"/>
          <w:numId w:val="6"/>
        </w:numPr>
        <w:snapToGrid w:val="0"/>
        <w:spacing w:line="300" w:lineRule="auto"/>
        <w:ind w:left="0" w:firstLine="0"/>
        <w:jc w:val="left"/>
        <w:rPr>
          <w:rFonts w:ascii="Arial" w:hAnsi="Arial" w:eastAsia="宋体" w:cs="Arial"/>
          <w:color w:val="000000"/>
          <w:kern w:val="0"/>
          <w:sz w:val="24"/>
          <w:szCs w:val="24"/>
        </w:rPr>
      </w:pPr>
      <w:r>
        <w:rPr>
          <w:rFonts w:ascii="Arial" w:hAnsi="Arial" w:eastAsia="宋体" w:cs="Arial"/>
          <w:color w:val="000000"/>
          <w:kern w:val="0"/>
          <w:sz w:val="24"/>
          <w:szCs w:val="24"/>
        </w:rPr>
        <w:t>仪器和系统参数生成的结果类型（例如，测量范围）。</w:t>
      </w:r>
    </w:p>
    <w:p w14:paraId="4E99A5E8">
      <w:pPr>
        <w:widowControl/>
        <w:numPr>
          <w:ilvl w:val="0"/>
          <w:numId w:val="4"/>
        </w:numPr>
        <w:snapToGrid w:val="0"/>
        <w:spacing w:line="300" w:lineRule="auto"/>
        <w:ind w:left="684" w:hanging="684" w:hangingChars="285"/>
        <w:jc w:val="left"/>
        <w:rPr>
          <w:rFonts w:ascii="Arial" w:hAnsi="Arial" w:eastAsia="宋体" w:cs="Arial"/>
          <w:color w:val="000000"/>
          <w:kern w:val="0"/>
          <w:sz w:val="24"/>
          <w:szCs w:val="24"/>
        </w:rPr>
      </w:pPr>
      <w:r>
        <w:rPr>
          <w:rFonts w:ascii="Arial" w:hAnsi="Arial" w:eastAsia="宋体" w:cs="Arial"/>
          <w:color w:val="000000"/>
          <w:kern w:val="0"/>
          <w:sz w:val="24"/>
          <w:szCs w:val="24"/>
        </w:rPr>
        <w:t>从原始数据到报告结果的计算路径（例如，原始信号如何转换为信号），包括足够的软件控制，用于识别和处理数据集内的明显问题。应说明归一化的背景信号调整（如适用）。</w:t>
      </w:r>
    </w:p>
    <w:p w14:paraId="242BCB2B">
      <w:pPr>
        <w:widowControl/>
        <w:numPr>
          <w:ilvl w:val="0"/>
          <w:numId w:val="6"/>
        </w:numPr>
        <w:snapToGrid w:val="0"/>
        <w:spacing w:line="300" w:lineRule="auto"/>
        <w:ind w:left="0" w:firstLine="0"/>
        <w:jc w:val="left"/>
        <w:rPr>
          <w:rFonts w:ascii="Arial" w:hAnsi="Arial" w:eastAsia="宋体" w:cs="Arial"/>
          <w:color w:val="000000"/>
          <w:kern w:val="0"/>
          <w:sz w:val="24"/>
          <w:szCs w:val="24"/>
        </w:rPr>
      </w:pPr>
      <w:r>
        <w:rPr>
          <w:rFonts w:ascii="Arial" w:hAnsi="Arial" w:eastAsia="宋体" w:cs="Arial"/>
          <w:color w:val="000000"/>
          <w:kern w:val="0"/>
          <w:sz w:val="24"/>
          <w:szCs w:val="24"/>
        </w:rPr>
        <w:t>非标准设备或方法的图示或照片，如有。</w:t>
      </w:r>
    </w:p>
    <w:p w14:paraId="0FDF2EB4">
      <w:pPr>
        <w:widowControl/>
        <w:snapToGrid w:val="0"/>
        <w:spacing w:before="156" w:beforeLines="50"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如适用，应描述该器械的设计控制标准，以解决或减少与用于检测病毒RNA片段的引物、探针和控制相关的风险，举例以下：</w:t>
      </w:r>
    </w:p>
    <w:p w14:paraId="3266337A">
      <w:pPr>
        <w:widowControl/>
        <w:numPr>
          <w:ilvl w:val="0"/>
          <w:numId w:val="7"/>
        </w:numPr>
        <w:snapToGrid w:val="0"/>
        <w:spacing w:line="300" w:lineRule="auto"/>
        <w:ind w:left="0" w:firstLine="0"/>
        <w:jc w:val="left"/>
        <w:rPr>
          <w:rFonts w:ascii="Arial" w:hAnsi="Arial" w:eastAsia="宋体" w:cs="Arial"/>
          <w:color w:val="000000"/>
          <w:kern w:val="0"/>
          <w:sz w:val="24"/>
          <w:szCs w:val="24"/>
        </w:rPr>
      </w:pPr>
      <w:r>
        <w:rPr>
          <w:rFonts w:ascii="Arial" w:hAnsi="Arial" w:eastAsia="宋体" w:cs="Arial"/>
          <w:color w:val="000000"/>
          <w:kern w:val="0"/>
          <w:sz w:val="24"/>
          <w:szCs w:val="24"/>
        </w:rPr>
        <w:t>防止多重检测中的探针交叉污染，其中许多探针在制造过程中进行了处理。</w:t>
      </w:r>
    </w:p>
    <w:p w14:paraId="00C1843D">
      <w:pPr>
        <w:widowControl/>
        <w:numPr>
          <w:ilvl w:val="0"/>
          <w:numId w:val="4"/>
        </w:numPr>
        <w:snapToGrid w:val="0"/>
        <w:spacing w:line="300" w:lineRule="auto"/>
        <w:ind w:left="684" w:hanging="684" w:hangingChars="285"/>
        <w:jc w:val="left"/>
        <w:rPr>
          <w:rFonts w:ascii="Arial" w:hAnsi="Arial" w:eastAsia="宋体" w:cs="Arial"/>
          <w:color w:val="000000"/>
          <w:kern w:val="0"/>
          <w:sz w:val="24"/>
          <w:szCs w:val="24"/>
        </w:rPr>
      </w:pPr>
      <w:r>
        <w:rPr>
          <w:rFonts w:ascii="Arial" w:hAnsi="Arial" w:eastAsia="宋体" w:cs="Arial"/>
          <w:color w:val="000000"/>
          <w:kern w:val="0"/>
          <w:sz w:val="24"/>
          <w:szCs w:val="24"/>
        </w:rPr>
        <w:t>检测特征物（例如，探针）正确的放置和身份。</w:t>
      </w:r>
    </w:p>
    <w:p w14:paraId="580C1BDD">
      <w:pPr>
        <w:widowControl/>
        <w:numPr>
          <w:ilvl w:val="0"/>
          <w:numId w:val="4"/>
        </w:numPr>
        <w:snapToGrid w:val="0"/>
        <w:spacing w:line="300" w:lineRule="auto"/>
        <w:ind w:left="684" w:hanging="684" w:hangingChars="285"/>
        <w:jc w:val="left"/>
        <w:rPr>
          <w:rFonts w:ascii="Arial" w:hAnsi="Arial" w:eastAsia="宋体" w:cs="Arial"/>
          <w:color w:val="000000"/>
          <w:kern w:val="0"/>
          <w:sz w:val="24"/>
          <w:szCs w:val="24"/>
        </w:rPr>
      </w:pPr>
      <w:r>
        <w:rPr>
          <w:rFonts w:ascii="Arial" w:hAnsi="Arial" w:eastAsia="宋体" w:cs="Arial"/>
          <w:color w:val="000000"/>
          <w:kern w:val="0"/>
          <w:sz w:val="24"/>
          <w:szCs w:val="24"/>
        </w:rPr>
        <w:t>将源于样品的污染或残留物所导致的假阳性最小化。</w:t>
      </w:r>
    </w:p>
    <w:p w14:paraId="4977A237">
      <w:pPr>
        <w:widowControl/>
        <w:numPr>
          <w:ilvl w:val="0"/>
          <w:numId w:val="4"/>
        </w:numPr>
        <w:snapToGrid w:val="0"/>
        <w:spacing w:line="300" w:lineRule="auto"/>
        <w:ind w:left="684" w:hanging="684" w:hangingChars="285"/>
        <w:jc w:val="left"/>
        <w:rPr>
          <w:rFonts w:ascii="Arial" w:hAnsi="Arial" w:eastAsia="宋体" w:cs="Arial"/>
          <w:color w:val="000000"/>
          <w:kern w:val="0"/>
          <w:sz w:val="24"/>
          <w:szCs w:val="24"/>
        </w:rPr>
      </w:pPr>
      <w:r>
        <w:rPr>
          <w:rFonts w:ascii="Arial" w:hAnsi="Arial" w:eastAsia="宋体" w:cs="Arial"/>
          <w:color w:val="000000"/>
          <w:kern w:val="0"/>
          <w:sz w:val="24"/>
          <w:szCs w:val="24"/>
        </w:rPr>
        <w:t>将多个探针用于单个待测物，可以检出病毒变异体，其源于靶RNA片段内的突变或指定的流感病毒株（或谱系）中的变异。</w:t>
      </w:r>
    </w:p>
    <w:p w14:paraId="6CDC6644">
      <w:pPr>
        <w:widowControl/>
        <w:numPr>
          <w:ilvl w:val="0"/>
          <w:numId w:val="4"/>
        </w:numPr>
        <w:snapToGrid w:val="0"/>
        <w:spacing w:line="300" w:lineRule="auto"/>
        <w:ind w:left="684" w:hanging="684" w:hangingChars="285"/>
        <w:jc w:val="left"/>
        <w:rPr>
          <w:rFonts w:ascii="Arial" w:hAnsi="Arial" w:eastAsia="宋体" w:cs="Arial"/>
          <w:color w:val="000000"/>
          <w:kern w:val="0"/>
          <w:sz w:val="24"/>
          <w:szCs w:val="24"/>
        </w:rPr>
      </w:pPr>
      <w:r>
        <w:rPr>
          <w:rFonts w:ascii="Arial" w:hAnsi="Arial" w:eastAsia="宋体" w:cs="Arial"/>
          <w:color w:val="000000"/>
          <w:kern w:val="0"/>
          <w:sz w:val="24"/>
          <w:szCs w:val="24"/>
        </w:rPr>
        <w:t>开发的或推荐的用于核酸提取和纯化的经过验证的方法，可以产生适当质量和数量的病毒核酸，与该检测试剂一起用于检测系统。针对该器械预期用途中所载明的不同样品类型，应提供适当的经过验证的提取方法。</w:t>
      </w:r>
    </w:p>
    <w:p w14:paraId="698A5DB4">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在510（k）中，贵公司</w:t>
      </w:r>
      <w:r>
        <w:rPr>
          <w:rFonts w:ascii="Arial" w:hAnsi="Arial" w:eastAsia="宋体" w:cs="Arial"/>
          <w:sz w:val="24"/>
          <w:szCs w:val="24"/>
        </w:rPr>
        <w:t>应提供性能信息，以支持满足设计要求的结论。</w:t>
      </w:r>
      <w:r>
        <w:rPr>
          <w:rFonts w:ascii="Arial" w:hAnsi="Arial" w:eastAsia="宋体" w:cs="Arial"/>
          <w:color w:val="000000"/>
          <w:kern w:val="0"/>
          <w:sz w:val="24"/>
          <w:szCs w:val="24"/>
        </w:rPr>
        <w:t>还应提供资料以证明该检测试剂的设计，例如选择特定的保守靶序列的理由，以及用于设计引物和探针的方法（参见第6部分 - 性能特征）。</w:t>
      </w:r>
    </w:p>
    <w:p w14:paraId="3153EF1E">
      <w:pPr>
        <w:widowControl/>
        <w:snapToGrid w:val="0"/>
        <w:spacing w:line="300" w:lineRule="auto"/>
        <w:jc w:val="left"/>
        <w:outlineLvl w:val="3"/>
        <w:rPr>
          <w:rFonts w:ascii="Arial" w:hAnsi="Arial" w:eastAsia="宋体" w:cs="Arial"/>
          <w:b/>
          <w:bCs/>
          <w:color w:val="000000"/>
          <w:kern w:val="0"/>
          <w:sz w:val="24"/>
          <w:szCs w:val="24"/>
        </w:rPr>
      </w:pPr>
    </w:p>
    <w:p w14:paraId="1E32CED8">
      <w:pPr>
        <w:widowControl/>
        <w:snapToGrid w:val="0"/>
        <w:spacing w:line="300" w:lineRule="auto"/>
        <w:jc w:val="left"/>
        <w:outlineLvl w:val="3"/>
        <w:rPr>
          <w:rFonts w:ascii="Arial" w:hAnsi="Arial" w:eastAsia="宋体" w:cs="Arial"/>
          <w:b/>
          <w:bCs/>
          <w:color w:val="000000"/>
          <w:kern w:val="0"/>
          <w:sz w:val="28"/>
          <w:szCs w:val="28"/>
        </w:rPr>
      </w:pPr>
      <w:r>
        <w:rPr>
          <w:rFonts w:ascii="Arial" w:hAnsi="Arial" w:eastAsia="宋体" w:cs="Arial"/>
          <w:b/>
          <w:bCs/>
          <w:color w:val="000000"/>
          <w:kern w:val="0"/>
          <w:sz w:val="28"/>
          <w:szCs w:val="28"/>
        </w:rPr>
        <w:t>5.C 辅助试剂</w:t>
      </w:r>
    </w:p>
    <w:p w14:paraId="56F15643">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辅助试剂是该检测产品制造商在器械的标签中说明为“必需但未提供的”试剂，用以按照使用说明书进行检测，并达到该检测试剂盒的标签中所要求的测定性能。出于本文件的目的，相关的辅助试剂是必须根据制造商和目录号或产品编号或其他特定名称所规定的、使器械能达到其标签所示的性能特征的试剂。例如，如果器械标签中规定使用Brand X DNA扩增酶，且使用任何其他的DNA扩增酶可能会改变标签中报告的器械性能特征，那么Brand X DNA扩增酶就是一种与本文件相关的辅助试剂</w:t>
      </w:r>
      <w:r>
        <w:fldChar w:fldCharType="begin"/>
      </w:r>
      <w:r>
        <w:instrText xml:space="preserve"> HYPERLINK "http://www.fda.gov/MedicalDevices/DeviceRegulationandGuidance/GuidanceDocuments/ucm180306.htm" \l "ft7" </w:instrText>
      </w:r>
      <w:r>
        <w:fldChar w:fldCharType="separate"/>
      </w:r>
      <w:r>
        <w:rPr>
          <w:rFonts w:ascii="Arial" w:hAnsi="Arial" w:eastAsia="宋体" w:cs="Arial"/>
          <w:color w:val="800080"/>
          <w:kern w:val="0"/>
          <w:sz w:val="24"/>
          <w:szCs w:val="24"/>
          <w:u w:val="single"/>
          <w:vertAlign w:val="superscript"/>
        </w:rPr>
        <w:t>7</w:t>
      </w:r>
      <w:r>
        <w:rPr>
          <w:rFonts w:ascii="Arial" w:hAnsi="Arial" w:eastAsia="宋体" w:cs="Arial"/>
          <w:color w:val="800080"/>
          <w:kern w:val="0"/>
          <w:sz w:val="24"/>
          <w:szCs w:val="24"/>
          <w:u w:val="single"/>
          <w:vertAlign w:val="superscript"/>
        </w:rPr>
        <w:fldChar w:fldCharType="end"/>
      </w:r>
      <w:r>
        <w:rPr>
          <w:rFonts w:ascii="Arial" w:hAnsi="Arial" w:eastAsia="宋体" w:cs="Arial"/>
          <w:color w:val="000000"/>
          <w:kern w:val="0"/>
          <w:sz w:val="24"/>
          <w:szCs w:val="24"/>
        </w:rPr>
        <w:t>。</w:t>
      </w:r>
    </w:p>
    <w:p w14:paraId="75AEA9AF">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相比之下，如果该器械需要使用95%乙醇，而任何品牌的95%乙醇均可使器械达到标签中所提供的性能特征，那么95%乙醇就不是与本文件目的相关的辅助试剂。</w:t>
      </w:r>
    </w:p>
    <w:p w14:paraId="2E0C1099">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如果该器械的使用说明书中，指定了一个或多个相关的辅助试剂，应该说明如何确保使用该器械和这些辅助试剂的检测结果与说明书一致，并与所提交的上市前申请文件中所建立的性能一致。贵公司的计划可能包括质量系统方法的应用、产品标签和其他措施。</w:t>
      </w:r>
    </w:p>
    <w:p w14:paraId="7086419A">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为了解决特殊控制的这一方面，510（k）申请应涉及下述要素，FDA将评估所提交的计划是否有助于减少器械所带来的风险，为器械的安全性和有效性提供合理的保证，并确立 其实质等效性。</w:t>
      </w:r>
    </w:p>
    <w:p w14:paraId="59AB2396">
      <w:pPr>
        <w:widowControl/>
        <w:jc w:val="left"/>
        <w:rPr>
          <w:rFonts w:ascii="Arial" w:hAnsi="Arial" w:eastAsia="宋体" w:cs="Arial"/>
          <w:color w:val="000000"/>
          <w:kern w:val="0"/>
          <w:sz w:val="24"/>
          <w:szCs w:val="24"/>
        </w:rPr>
      </w:pPr>
      <w:r>
        <w:rPr>
          <w:rFonts w:ascii="Arial" w:hAnsi="Arial" w:eastAsia="宋体" w:cs="Arial"/>
          <w:color w:val="000000"/>
          <w:kern w:val="0"/>
          <w:sz w:val="24"/>
          <w:szCs w:val="24"/>
        </w:rPr>
        <w:br w:type="page"/>
      </w:r>
    </w:p>
    <w:p w14:paraId="12556B93">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1. 应在510（k）中纳入针对使用辅助试剂的风险评估，包括与试剂质量和变异性管理相关的风险，器械制造商所提供的说明书与辅助试剂直接提供的使用说明书之间不一致的风险，以及使用该器械可能存在得到不正确结果的风险。</w:t>
      </w:r>
    </w:p>
    <w:p w14:paraId="01F08092">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2. 使用风险评估作为适用性的基础，贵公司应在510（k）中说明，怎样通过对辅助试剂实施必要的控制来规避风险，这些措施可能包括，如适用：</w:t>
      </w:r>
    </w:p>
    <w:p w14:paraId="710BB7A8">
      <w:pPr>
        <w:widowControl/>
        <w:numPr>
          <w:ilvl w:val="0"/>
          <w:numId w:val="8"/>
        </w:numPr>
        <w:tabs>
          <w:tab w:val="clear" w:pos="720"/>
        </w:tabs>
        <w:snapToGrid w:val="0"/>
        <w:spacing w:line="300" w:lineRule="auto"/>
        <w:ind w:left="880" w:leftChars="200" w:hanging="460" w:hangingChars="192"/>
        <w:jc w:val="left"/>
        <w:rPr>
          <w:rFonts w:ascii="Arial" w:hAnsi="Arial" w:eastAsia="宋体" w:cs="Arial"/>
          <w:color w:val="000000"/>
          <w:kern w:val="0"/>
          <w:sz w:val="24"/>
          <w:szCs w:val="24"/>
        </w:rPr>
      </w:pPr>
      <w:r>
        <w:rPr>
          <w:rFonts w:ascii="Arial" w:hAnsi="Arial" w:eastAsia="宋体" w:cs="Arial"/>
          <w:color w:val="000000"/>
          <w:kern w:val="0"/>
          <w:sz w:val="24"/>
          <w:szCs w:val="24"/>
        </w:rPr>
        <w:t>用户标签，以确保辅助试剂的合理使用（进一步的讨论请参见“标签”）。</w:t>
      </w:r>
    </w:p>
    <w:p w14:paraId="28F7103B">
      <w:pPr>
        <w:widowControl/>
        <w:numPr>
          <w:ilvl w:val="0"/>
          <w:numId w:val="8"/>
        </w:numPr>
        <w:tabs>
          <w:tab w:val="clear" w:pos="720"/>
        </w:tabs>
        <w:snapToGrid w:val="0"/>
        <w:spacing w:line="300" w:lineRule="auto"/>
        <w:ind w:left="880" w:leftChars="200" w:hanging="460" w:hangingChars="192"/>
        <w:jc w:val="left"/>
        <w:rPr>
          <w:rFonts w:ascii="Arial" w:hAnsi="Arial" w:eastAsia="宋体" w:cs="Arial"/>
          <w:color w:val="000000"/>
          <w:kern w:val="0"/>
          <w:sz w:val="24"/>
          <w:szCs w:val="24"/>
        </w:rPr>
      </w:pPr>
      <w:r>
        <w:rPr>
          <w:rFonts w:ascii="Arial" w:hAnsi="Arial" w:eastAsia="宋体" w:cs="Arial"/>
          <w:color w:val="000000"/>
          <w:kern w:val="0"/>
          <w:sz w:val="24"/>
          <w:szCs w:val="24"/>
        </w:rPr>
        <w:t>评估用户是否遵守辅助试剂标签说明书的计划。</w:t>
      </w:r>
    </w:p>
    <w:p w14:paraId="49E1389E">
      <w:pPr>
        <w:widowControl/>
        <w:numPr>
          <w:ilvl w:val="0"/>
          <w:numId w:val="8"/>
        </w:numPr>
        <w:tabs>
          <w:tab w:val="clear" w:pos="720"/>
        </w:tabs>
        <w:snapToGrid w:val="0"/>
        <w:spacing w:line="300" w:lineRule="auto"/>
        <w:ind w:left="880" w:leftChars="200" w:hanging="460" w:hangingChars="192"/>
        <w:jc w:val="left"/>
        <w:rPr>
          <w:rFonts w:ascii="Arial" w:hAnsi="Arial" w:eastAsia="宋体" w:cs="Arial"/>
          <w:color w:val="000000"/>
          <w:kern w:val="0"/>
          <w:sz w:val="24"/>
          <w:szCs w:val="24"/>
        </w:rPr>
      </w:pPr>
      <w:r>
        <w:rPr>
          <w:rFonts w:ascii="Arial" w:hAnsi="Arial" w:eastAsia="宋体" w:cs="Arial"/>
          <w:color w:val="000000"/>
          <w:kern w:val="0"/>
          <w:sz w:val="24"/>
          <w:szCs w:val="24"/>
        </w:rPr>
        <w:t>辅助试剂的材料标准。</w:t>
      </w:r>
    </w:p>
    <w:p w14:paraId="26E832DB">
      <w:pPr>
        <w:widowControl/>
        <w:numPr>
          <w:ilvl w:val="0"/>
          <w:numId w:val="8"/>
        </w:numPr>
        <w:tabs>
          <w:tab w:val="clear" w:pos="720"/>
        </w:tabs>
        <w:snapToGrid w:val="0"/>
        <w:spacing w:line="300" w:lineRule="auto"/>
        <w:ind w:left="880" w:leftChars="200" w:hanging="460" w:hangingChars="192"/>
        <w:jc w:val="left"/>
        <w:rPr>
          <w:rFonts w:ascii="Arial" w:hAnsi="Arial" w:eastAsia="宋体" w:cs="Arial"/>
          <w:color w:val="000000"/>
          <w:kern w:val="0"/>
          <w:sz w:val="24"/>
          <w:szCs w:val="24"/>
        </w:rPr>
      </w:pPr>
      <w:r>
        <w:rPr>
          <w:rFonts w:ascii="Arial" w:hAnsi="Arial" w:eastAsia="宋体" w:cs="Arial"/>
          <w:color w:val="000000"/>
          <w:kern w:val="0"/>
          <w:sz w:val="24"/>
          <w:szCs w:val="24"/>
        </w:rPr>
        <w:t>对试剂进行多批次鉴定，以使器械具有适宜的性能。</w:t>
      </w:r>
    </w:p>
    <w:p w14:paraId="0678BCD1">
      <w:pPr>
        <w:widowControl/>
        <w:numPr>
          <w:ilvl w:val="0"/>
          <w:numId w:val="8"/>
        </w:numPr>
        <w:tabs>
          <w:tab w:val="clear" w:pos="720"/>
        </w:tabs>
        <w:snapToGrid w:val="0"/>
        <w:spacing w:line="300" w:lineRule="auto"/>
        <w:ind w:left="880" w:leftChars="200" w:hanging="460" w:hangingChars="192"/>
        <w:jc w:val="left"/>
        <w:rPr>
          <w:rFonts w:ascii="Arial" w:hAnsi="Arial" w:eastAsia="宋体" w:cs="Arial"/>
          <w:color w:val="000000"/>
          <w:kern w:val="0"/>
          <w:sz w:val="24"/>
          <w:szCs w:val="24"/>
        </w:rPr>
      </w:pPr>
      <w:r>
        <w:rPr>
          <w:rFonts w:ascii="Arial" w:hAnsi="Arial" w:eastAsia="宋体" w:cs="Arial"/>
          <w:color w:val="000000"/>
          <w:kern w:val="0"/>
          <w:sz w:val="24"/>
          <w:szCs w:val="24"/>
        </w:rPr>
        <w:t>稳定性试验。</w:t>
      </w:r>
    </w:p>
    <w:p w14:paraId="0651F9E5">
      <w:pPr>
        <w:widowControl/>
        <w:numPr>
          <w:ilvl w:val="0"/>
          <w:numId w:val="8"/>
        </w:numPr>
        <w:tabs>
          <w:tab w:val="clear" w:pos="720"/>
        </w:tabs>
        <w:snapToGrid w:val="0"/>
        <w:spacing w:line="300" w:lineRule="auto"/>
        <w:ind w:left="880" w:leftChars="200" w:hanging="460" w:hangingChars="192"/>
        <w:jc w:val="left"/>
        <w:rPr>
          <w:rFonts w:ascii="Arial" w:hAnsi="Arial" w:eastAsia="宋体" w:cs="Arial"/>
          <w:color w:val="000000"/>
          <w:kern w:val="0"/>
          <w:sz w:val="24"/>
          <w:szCs w:val="24"/>
        </w:rPr>
      </w:pPr>
      <w:r>
        <w:rPr>
          <w:rFonts w:ascii="Arial" w:hAnsi="Arial" w:eastAsia="宋体" w:cs="Arial"/>
          <w:color w:val="000000"/>
          <w:kern w:val="0"/>
          <w:sz w:val="24"/>
          <w:szCs w:val="24"/>
        </w:rPr>
        <w:t>投诉处理。</w:t>
      </w:r>
    </w:p>
    <w:p w14:paraId="09DF8872">
      <w:pPr>
        <w:widowControl/>
        <w:numPr>
          <w:ilvl w:val="0"/>
          <w:numId w:val="8"/>
        </w:numPr>
        <w:tabs>
          <w:tab w:val="clear" w:pos="720"/>
        </w:tabs>
        <w:snapToGrid w:val="0"/>
        <w:spacing w:line="300" w:lineRule="auto"/>
        <w:ind w:left="880" w:leftChars="200" w:hanging="460" w:hangingChars="192"/>
        <w:jc w:val="left"/>
        <w:rPr>
          <w:rFonts w:ascii="Arial" w:hAnsi="Arial" w:eastAsia="宋体" w:cs="Arial"/>
          <w:color w:val="000000"/>
          <w:kern w:val="0"/>
          <w:sz w:val="24"/>
          <w:szCs w:val="24"/>
        </w:rPr>
      </w:pPr>
      <w:r>
        <w:rPr>
          <w:rFonts w:ascii="Arial" w:hAnsi="Arial" w:eastAsia="宋体" w:cs="Arial"/>
          <w:color w:val="000000"/>
          <w:kern w:val="0"/>
          <w:sz w:val="24"/>
          <w:szCs w:val="24"/>
        </w:rPr>
        <w:t>纠正和预防措施。</w:t>
      </w:r>
    </w:p>
    <w:p w14:paraId="7940749B">
      <w:pPr>
        <w:widowControl/>
        <w:numPr>
          <w:ilvl w:val="0"/>
          <w:numId w:val="8"/>
        </w:numPr>
        <w:tabs>
          <w:tab w:val="clear" w:pos="720"/>
        </w:tabs>
        <w:snapToGrid w:val="0"/>
        <w:spacing w:line="300" w:lineRule="auto"/>
        <w:ind w:left="880" w:leftChars="200" w:hanging="460" w:hangingChars="192"/>
        <w:jc w:val="left"/>
        <w:rPr>
          <w:rFonts w:ascii="Arial" w:hAnsi="Arial" w:eastAsia="宋体" w:cs="Arial"/>
          <w:color w:val="000000"/>
          <w:kern w:val="0"/>
          <w:sz w:val="24"/>
          <w:szCs w:val="24"/>
        </w:rPr>
      </w:pPr>
      <w:r>
        <w:rPr>
          <w:rFonts w:ascii="Arial" w:hAnsi="Arial" w:eastAsia="宋体" w:cs="Arial"/>
          <w:color w:val="000000"/>
          <w:kern w:val="0"/>
          <w:sz w:val="24"/>
          <w:szCs w:val="24"/>
        </w:rPr>
        <w:t>在发生涉及辅助试剂的问题时对用户的提醒计划，该问题会影响器械的性能。</w:t>
      </w:r>
    </w:p>
    <w:p w14:paraId="2C548FD4">
      <w:pPr>
        <w:widowControl/>
        <w:numPr>
          <w:ilvl w:val="0"/>
          <w:numId w:val="8"/>
        </w:numPr>
        <w:tabs>
          <w:tab w:val="clear" w:pos="720"/>
        </w:tabs>
        <w:snapToGrid w:val="0"/>
        <w:spacing w:line="300" w:lineRule="auto"/>
        <w:ind w:left="880" w:leftChars="200" w:hanging="460" w:hangingChars="192"/>
        <w:jc w:val="left"/>
        <w:rPr>
          <w:rFonts w:ascii="Arial" w:hAnsi="Arial" w:eastAsia="宋体" w:cs="Arial"/>
          <w:color w:val="000000"/>
          <w:kern w:val="0"/>
          <w:sz w:val="24"/>
          <w:szCs w:val="24"/>
        </w:rPr>
      </w:pPr>
      <w:r>
        <w:rPr>
          <w:rFonts w:ascii="Arial" w:hAnsi="Arial" w:eastAsia="宋体" w:cs="Arial"/>
          <w:color w:val="000000"/>
          <w:kern w:val="0"/>
          <w:sz w:val="24"/>
          <w:szCs w:val="24"/>
        </w:rPr>
        <w:t>任何其他必须解决的问题，以确保根据器械的使用说明，安全有效地使用该检测产品和所指定的辅助试剂。</w:t>
      </w:r>
    </w:p>
    <w:p w14:paraId="09E149D9">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此外，应提供试验数据，以确认所提供或推荐的控制（控制）和辅助试剂足以满足检测性能或稳定性。</w:t>
      </w:r>
    </w:p>
    <w:p w14:paraId="1A5F31BB">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如果贵公司对辅助试剂的认定、使用或控制有疑问，请联系食品药品监督管理局寻求建议。</w:t>
      </w:r>
    </w:p>
    <w:p w14:paraId="775F697D">
      <w:pPr>
        <w:widowControl/>
        <w:snapToGrid w:val="0"/>
        <w:spacing w:line="300" w:lineRule="auto"/>
        <w:jc w:val="left"/>
        <w:outlineLvl w:val="3"/>
        <w:rPr>
          <w:rFonts w:ascii="Arial" w:hAnsi="Arial" w:eastAsia="宋体" w:cs="Arial"/>
          <w:b/>
          <w:bCs/>
          <w:color w:val="000000"/>
          <w:kern w:val="0"/>
          <w:sz w:val="24"/>
          <w:szCs w:val="24"/>
        </w:rPr>
      </w:pPr>
    </w:p>
    <w:p w14:paraId="7CE31859">
      <w:pPr>
        <w:widowControl/>
        <w:snapToGrid w:val="0"/>
        <w:spacing w:line="300" w:lineRule="auto"/>
        <w:jc w:val="left"/>
        <w:outlineLvl w:val="3"/>
        <w:rPr>
          <w:rFonts w:ascii="Arial" w:hAnsi="Arial" w:eastAsia="宋体" w:cs="Arial"/>
          <w:b/>
          <w:bCs/>
          <w:color w:val="000000"/>
          <w:kern w:val="0"/>
          <w:sz w:val="28"/>
          <w:szCs w:val="28"/>
        </w:rPr>
      </w:pPr>
      <w:r>
        <w:rPr>
          <w:rFonts w:ascii="Arial" w:hAnsi="Arial" w:eastAsia="宋体" w:cs="Arial"/>
          <w:b/>
          <w:bCs/>
          <w:color w:val="000000"/>
          <w:kern w:val="0"/>
          <w:sz w:val="28"/>
          <w:szCs w:val="28"/>
        </w:rPr>
        <w:t>5.D对照</w:t>
      </w:r>
    </w:p>
    <w:p w14:paraId="145B626F">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对照应提供的材料：（1）样品质量，（2）核酸质量，和（3）过程质量。我们通常建议包括以下类型的对照：</w:t>
      </w:r>
    </w:p>
    <w:p w14:paraId="20A67553">
      <w:pPr>
        <w:widowControl/>
        <w:snapToGrid w:val="0"/>
        <w:spacing w:line="300" w:lineRule="auto"/>
        <w:jc w:val="left"/>
        <w:outlineLvl w:val="4"/>
        <w:rPr>
          <w:rFonts w:ascii="Arial" w:hAnsi="Arial" w:eastAsia="宋体" w:cs="Arial"/>
          <w:b/>
          <w:bCs/>
          <w:color w:val="000000"/>
          <w:kern w:val="0"/>
          <w:sz w:val="28"/>
          <w:szCs w:val="28"/>
        </w:rPr>
      </w:pPr>
      <w:r>
        <w:rPr>
          <w:rFonts w:ascii="Arial" w:hAnsi="Arial" w:eastAsia="宋体" w:cs="Arial"/>
          <w:b/>
          <w:bCs/>
          <w:color w:val="000000"/>
          <w:kern w:val="0"/>
          <w:sz w:val="28"/>
          <w:szCs w:val="28"/>
        </w:rPr>
        <w:t>5.D.i 阴性对照</w:t>
      </w:r>
    </w:p>
    <w:p w14:paraId="088613B9">
      <w:pPr>
        <w:widowControl/>
        <w:snapToGrid w:val="0"/>
        <w:spacing w:line="300" w:lineRule="auto"/>
        <w:jc w:val="left"/>
        <w:outlineLvl w:val="5"/>
        <w:rPr>
          <w:rFonts w:ascii="Arial" w:hAnsi="Arial" w:eastAsia="宋体" w:cs="Arial"/>
          <w:b/>
          <w:bCs/>
          <w:i/>
          <w:color w:val="000000"/>
          <w:kern w:val="0"/>
          <w:sz w:val="28"/>
          <w:szCs w:val="28"/>
        </w:rPr>
      </w:pPr>
      <w:r>
        <w:rPr>
          <w:rFonts w:ascii="Arial" w:hAnsi="Arial" w:eastAsia="宋体" w:cs="Arial"/>
          <w:b/>
          <w:bCs/>
          <w:i/>
          <w:color w:val="000000"/>
          <w:kern w:val="0"/>
          <w:sz w:val="28"/>
          <w:szCs w:val="28"/>
        </w:rPr>
        <w:t>空白或无模板对照</w:t>
      </w:r>
    </w:p>
    <w:p w14:paraId="6CB5D71E">
      <w:pPr>
        <w:widowControl/>
        <w:jc w:val="left"/>
        <w:rPr>
          <w:rFonts w:ascii="Arial" w:hAnsi="Arial" w:eastAsia="宋体" w:cs="Arial"/>
          <w:color w:val="000000"/>
          <w:kern w:val="0"/>
          <w:sz w:val="24"/>
          <w:szCs w:val="24"/>
        </w:rPr>
      </w:pPr>
      <w:r>
        <w:rPr>
          <w:rFonts w:ascii="Arial" w:hAnsi="Arial" w:eastAsia="宋体" w:cs="Arial"/>
          <w:color w:val="000000"/>
          <w:kern w:val="0"/>
          <w:sz w:val="24"/>
          <w:szCs w:val="24"/>
        </w:rPr>
        <w:br w:type="page"/>
      </w:r>
    </w:p>
    <w:p w14:paraId="28B91237">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空白或无模板对照包括：缓冲液或样品转运培养基和除核酸以外的所有测定组分。该对照用于排除靶核酸的污染或扩增反应中增强的背景，在一次性试剂盒或试管中进行的单次测定可能不需要使用。</w:t>
      </w:r>
    </w:p>
    <w:p w14:paraId="0C096244">
      <w:pPr>
        <w:widowControl/>
        <w:snapToGrid w:val="0"/>
        <w:spacing w:line="300" w:lineRule="auto"/>
        <w:jc w:val="left"/>
        <w:outlineLvl w:val="5"/>
        <w:rPr>
          <w:rFonts w:ascii="Arial" w:hAnsi="Arial" w:eastAsia="宋体" w:cs="Arial"/>
          <w:b/>
          <w:bCs/>
          <w:i/>
          <w:color w:val="000000"/>
          <w:kern w:val="0"/>
          <w:sz w:val="28"/>
          <w:szCs w:val="28"/>
        </w:rPr>
      </w:pPr>
      <w:r>
        <w:rPr>
          <w:rFonts w:ascii="Arial" w:hAnsi="Arial" w:eastAsia="宋体" w:cs="Arial"/>
          <w:b/>
          <w:bCs/>
          <w:i/>
          <w:color w:val="000000"/>
          <w:kern w:val="0"/>
          <w:sz w:val="28"/>
          <w:szCs w:val="28"/>
        </w:rPr>
        <w:t>阴性样品对照</w:t>
      </w:r>
    </w:p>
    <w:p w14:paraId="0E9C0DB2">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阴性样品对照包含非靶标核酸，或者，如果用于评价提取程序，其包含全部微生物（除了该检测的靶标外）。其显示了非特异性的引发或检测，并表明在不存在靶序列的情况下不会获得信号。可接受的阴性样品对照包括（举例）：</w:t>
      </w:r>
    </w:p>
    <w:p w14:paraId="7F8DB2D3">
      <w:pPr>
        <w:widowControl/>
        <w:numPr>
          <w:ilvl w:val="0"/>
          <w:numId w:val="9"/>
        </w:numPr>
        <w:snapToGrid w:val="0"/>
        <w:spacing w:line="300" w:lineRule="auto"/>
        <w:ind w:left="0" w:firstLine="0"/>
        <w:jc w:val="left"/>
        <w:rPr>
          <w:rFonts w:ascii="Arial" w:hAnsi="Arial" w:eastAsia="宋体" w:cs="Arial"/>
          <w:color w:val="000000"/>
          <w:kern w:val="0"/>
          <w:sz w:val="24"/>
          <w:szCs w:val="24"/>
        </w:rPr>
      </w:pPr>
      <w:r>
        <w:rPr>
          <w:rFonts w:ascii="Arial" w:hAnsi="Arial" w:eastAsia="宋体" w:cs="Arial"/>
          <w:color w:val="000000"/>
          <w:kern w:val="0"/>
          <w:sz w:val="24"/>
          <w:szCs w:val="24"/>
        </w:rPr>
        <w:t>来自非呼吸道病毒感染的个体的患者样本</w:t>
      </w:r>
    </w:p>
    <w:p w14:paraId="17D77557">
      <w:pPr>
        <w:widowControl/>
        <w:numPr>
          <w:ilvl w:val="0"/>
          <w:numId w:val="9"/>
        </w:numPr>
        <w:snapToGrid w:val="0"/>
        <w:spacing w:line="300" w:lineRule="auto"/>
        <w:ind w:left="0" w:firstLine="0"/>
        <w:jc w:val="left"/>
        <w:rPr>
          <w:rFonts w:ascii="Arial" w:hAnsi="Arial" w:eastAsia="宋体" w:cs="Arial"/>
          <w:color w:val="000000"/>
          <w:kern w:val="0"/>
          <w:sz w:val="24"/>
          <w:szCs w:val="24"/>
        </w:rPr>
      </w:pPr>
      <w:r>
        <w:rPr>
          <w:rFonts w:ascii="Arial" w:hAnsi="Arial" w:eastAsia="宋体" w:cs="Arial"/>
          <w:color w:val="000000"/>
          <w:kern w:val="0"/>
          <w:sz w:val="24"/>
          <w:szCs w:val="24"/>
        </w:rPr>
        <w:t>含有非靶标生物体的样品（例如，感染非呼吸道病毒的细胞系）</w:t>
      </w:r>
    </w:p>
    <w:p w14:paraId="394FBE62">
      <w:pPr>
        <w:widowControl/>
        <w:numPr>
          <w:ilvl w:val="0"/>
          <w:numId w:val="9"/>
        </w:numPr>
        <w:snapToGrid w:val="0"/>
        <w:spacing w:line="300" w:lineRule="auto"/>
        <w:ind w:left="0" w:firstLine="0"/>
        <w:jc w:val="left"/>
        <w:rPr>
          <w:rFonts w:ascii="Arial" w:hAnsi="Arial" w:eastAsia="宋体" w:cs="Arial"/>
          <w:color w:val="000000"/>
          <w:kern w:val="0"/>
          <w:sz w:val="24"/>
          <w:szCs w:val="24"/>
        </w:rPr>
      </w:pPr>
      <w:r>
        <w:rPr>
          <w:rFonts w:ascii="Arial" w:hAnsi="Arial" w:eastAsia="宋体" w:cs="Arial"/>
          <w:color w:val="000000"/>
          <w:kern w:val="0"/>
          <w:sz w:val="24"/>
          <w:szCs w:val="24"/>
        </w:rPr>
        <w:t>替代的阴性对照，例如，包装的RNA</w:t>
      </w:r>
    </w:p>
    <w:p w14:paraId="17A608E5">
      <w:pPr>
        <w:widowControl/>
        <w:snapToGrid w:val="0"/>
        <w:spacing w:line="300" w:lineRule="auto"/>
        <w:jc w:val="left"/>
        <w:rPr>
          <w:rFonts w:ascii="Arial" w:hAnsi="Arial" w:eastAsia="宋体" w:cs="Arial"/>
          <w:color w:val="000000"/>
          <w:kern w:val="0"/>
          <w:sz w:val="24"/>
          <w:szCs w:val="24"/>
        </w:rPr>
      </w:pPr>
    </w:p>
    <w:p w14:paraId="2E94269C">
      <w:pPr>
        <w:widowControl/>
        <w:snapToGrid w:val="0"/>
        <w:spacing w:line="300" w:lineRule="auto"/>
        <w:jc w:val="left"/>
        <w:outlineLvl w:val="4"/>
        <w:rPr>
          <w:rFonts w:ascii="Arial" w:hAnsi="Arial" w:eastAsia="宋体" w:cs="Arial"/>
          <w:b/>
          <w:bCs/>
          <w:color w:val="000000"/>
          <w:kern w:val="0"/>
          <w:sz w:val="28"/>
          <w:szCs w:val="28"/>
        </w:rPr>
      </w:pPr>
      <w:r>
        <w:rPr>
          <w:rFonts w:ascii="Arial" w:hAnsi="Arial" w:eastAsia="宋体" w:cs="Arial"/>
          <w:b/>
          <w:bCs/>
          <w:color w:val="000000"/>
          <w:kern w:val="0"/>
          <w:sz w:val="28"/>
          <w:szCs w:val="28"/>
        </w:rPr>
        <w:t>5.D.ii阳性对照</w:t>
      </w:r>
    </w:p>
    <w:p w14:paraId="4981859B">
      <w:pPr>
        <w:widowControl/>
        <w:snapToGrid w:val="0"/>
        <w:spacing w:line="300" w:lineRule="auto"/>
        <w:jc w:val="left"/>
        <w:outlineLvl w:val="5"/>
        <w:rPr>
          <w:rFonts w:ascii="Arial" w:hAnsi="Arial" w:eastAsia="宋体" w:cs="Arial"/>
          <w:b/>
          <w:bCs/>
          <w:i/>
          <w:color w:val="000000"/>
          <w:kern w:val="0"/>
          <w:sz w:val="28"/>
          <w:szCs w:val="28"/>
        </w:rPr>
      </w:pPr>
      <w:r>
        <w:rPr>
          <w:rFonts w:ascii="Arial" w:hAnsi="Arial" w:eastAsia="宋体" w:cs="Arial"/>
          <w:b/>
          <w:bCs/>
          <w:i/>
          <w:color w:val="000000"/>
          <w:kern w:val="0"/>
          <w:sz w:val="28"/>
          <w:szCs w:val="28"/>
        </w:rPr>
        <w:t>用于完全测定的阳性对照</w:t>
      </w:r>
    </w:p>
    <w:p w14:paraId="14761C42">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阳性对照模拟患者样本设计，包含靶核酸，用于对照整个检测过程，包括核酸提取、扩增和检测。可接受的阳性检测对照包括非病原性病毒株感染的细胞系，其可在适当的基质模拟的检测样本类型中被检出。</w:t>
      </w:r>
    </w:p>
    <w:p w14:paraId="28D9AA9F">
      <w:pPr>
        <w:widowControl/>
        <w:snapToGrid w:val="0"/>
        <w:spacing w:line="300" w:lineRule="auto"/>
        <w:jc w:val="left"/>
        <w:outlineLvl w:val="5"/>
        <w:rPr>
          <w:rFonts w:ascii="Arial" w:hAnsi="Arial" w:eastAsia="宋体" w:cs="Arial"/>
          <w:b/>
          <w:bCs/>
          <w:i/>
          <w:color w:val="000000"/>
          <w:kern w:val="0"/>
          <w:sz w:val="28"/>
          <w:szCs w:val="28"/>
        </w:rPr>
      </w:pPr>
      <w:r>
        <w:rPr>
          <w:rFonts w:ascii="Arial" w:hAnsi="Arial" w:eastAsia="宋体" w:cs="Arial"/>
          <w:b/>
          <w:bCs/>
          <w:i/>
          <w:color w:val="000000"/>
          <w:kern w:val="0"/>
          <w:sz w:val="28"/>
          <w:szCs w:val="28"/>
        </w:rPr>
        <w:t>用于扩增/检测的阳性对照</w:t>
      </w:r>
    </w:p>
    <w:p w14:paraId="7A4B3A05">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用于扩增/检测的阳性对照包含纯化的靶核酸，浓度等于或接近定性测定的检测限。在获得阴性结果时，可对照样品和反应组分的完整性，其表明，样品中如果存在靶核酸，即可被测得。</w:t>
      </w:r>
    </w:p>
    <w:p w14:paraId="04D2672B">
      <w:pPr>
        <w:widowControl/>
        <w:snapToGrid w:val="0"/>
        <w:spacing w:line="300" w:lineRule="auto"/>
        <w:jc w:val="left"/>
        <w:outlineLvl w:val="4"/>
        <w:rPr>
          <w:rFonts w:ascii="Arial" w:hAnsi="Arial" w:eastAsia="宋体" w:cs="Arial"/>
          <w:b/>
          <w:bCs/>
          <w:color w:val="000000"/>
          <w:kern w:val="0"/>
          <w:sz w:val="24"/>
          <w:szCs w:val="24"/>
        </w:rPr>
      </w:pPr>
    </w:p>
    <w:p w14:paraId="2A432D3A">
      <w:pPr>
        <w:widowControl/>
        <w:snapToGrid w:val="0"/>
        <w:spacing w:line="300" w:lineRule="auto"/>
        <w:jc w:val="left"/>
        <w:outlineLvl w:val="4"/>
        <w:rPr>
          <w:rFonts w:ascii="Arial" w:hAnsi="Arial" w:eastAsia="宋体" w:cs="Arial"/>
          <w:b/>
          <w:bCs/>
          <w:color w:val="000000"/>
          <w:kern w:val="0"/>
          <w:sz w:val="28"/>
          <w:szCs w:val="28"/>
        </w:rPr>
      </w:pPr>
      <w:r>
        <w:rPr>
          <w:rFonts w:ascii="Arial" w:hAnsi="Arial" w:eastAsia="宋体" w:cs="Arial"/>
          <w:b/>
          <w:bCs/>
          <w:color w:val="000000"/>
          <w:kern w:val="0"/>
          <w:sz w:val="28"/>
          <w:szCs w:val="28"/>
        </w:rPr>
        <w:t>5.D.iii内部对照</w:t>
      </w:r>
    </w:p>
    <w:p w14:paraId="270C3A93">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内部对照</w:t>
      </w:r>
      <w:r>
        <w:rPr>
          <w:rFonts w:ascii="Arial" w:hAnsi="Arial" w:eastAsia="宋体" w:cs="Arial"/>
          <w:sz w:val="24"/>
          <w:szCs w:val="24"/>
        </w:rPr>
        <w:t>是与靶核酸共提取和共扩增的非靶核酸序列。它对照试剂（如：聚合酶，引物等）的完整性，设备功能（如：热循环仪）和样品中扩增抑制剂的存在。可接受的内部对照包括（举例）：与流感病毒共提取的人类核酸和扩增的人类持家基因（如：RNaseP，</w:t>
      </w:r>
      <w:r>
        <w:rPr>
          <w:rFonts w:ascii="Arial" w:hAnsi="Arial" w:eastAsia="宋体" w:cs="Arial"/>
          <w:color w:val="000000"/>
          <w:kern w:val="0"/>
          <w:sz w:val="24"/>
          <w:szCs w:val="24"/>
        </w:rPr>
        <w:t>β-</w:t>
      </w:r>
      <w:r>
        <w:rPr>
          <w:rFonts w:ascii="Arial" w:hAnsi="Arial" w:eastAsia="宋体" w:cs="Arial"/>
          <w:sz w:val="24"/>
          <w:szCs w:val="24"/>
        </w:rPr>
        <w:t>肌动蛋白）的引物。这种对照的必要性取决于对器械个例的具体分析</w:t>
      </w:r>
      <w:r>
        <w:rPr>
          <w:rFonts w:ascii="Arial" w:hAnsi="Arial" w:eastAsia="宋体" w:cs="Arial"/>
          <w:color w:val="000000"/>
          <w:kern w:val="0"/>
          <w:sz w:val="24"/>
          <w:szCs w:val="24"/>
        </w:rPr>
        <w:t>。</w:t>
      </w:r>
    </w:p>
    <w:p w14:paraId="2A54FF2D">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对照应接近所推荐样本的成份和核酸浓度，以充分挑战系统，并解决界值附近的再现性。</w:t>
      </w:r>
    </w:p>
    <w:p w14:paraId="7C728CF8">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在510（k）中，我们建议贵公司说明以下有关质量控制和校准的项目：</w:t>
      </w:r>
    </w:p>
    <w:p w14:paraId="21505CF0">
      <w:pPr>
        <w:widowControl/>
        <w:numPr>
          <w:ilvl w:val="0"/>
          <w:numId w:val="10"/>
        </w:numPr>
        <w:tabs>
          <w:tab w:val="clear" w:pos="720"/>
        </w:tabs>
        <w:snapToGrid w:val="0"/>
        <w:spacing w:line="300" w:lineRule="auto"/>
        <w:ind w:left="490" w:hanging="489" w:hangingChars="204"/>
        <w:jc w:val="left"/>
        <w:rPr>
          <w:rFonts w:ascii="Arial" w:hAnsi="Arial" w:eastAsia="宋体" w:cs="Arial"/>
          <w:color w:val="000000"/>
          <w:kern w:val="0"/>
          <w:sz w:val="24"/>
          <w:szCs w:val="24"/>
        </w:rPr>
      </w:pPr>
      <w:r>
        <w:rPr>
          <w:rFonts w:ascii="Arial" w:hAnsi="Arial" w:eastAsia="宋体" w:cs="Arial"/>
          <w:color w:val="000000"/>
          <w:kern w:val="0"/>
          <w:sz w:val="24"/>
          <w:szCs w:val="24"/>
        </w:rPr>
        <w:t>该器械中包括的或推荐使用的各种控制的性质和功能，这些控制应该使用户能够确定所有步骤和关键反应是否已经适当地进行，没有出现污染或交叉杂交。</w:t>
      </w:r>
    </w:p>
    <w:p w14:paraId="6451BB42">
      <w:pPr>
        <w:widowControl/>
        <w:numPr>
          <w:ilvl w:val="0"/>
          <w:numId w:val="10"/>
        </w:numPr>
        <w:tabs>
          <w:tab w:val="clear" w:pos="720"/>
        </w:tabs>
        <w:snapToGrid w:val="0"/>
        <w:spacing w:line="300" w:lineRule="auto"/>
        <w:ind w:left="490" w:hanging="489" w:hangingChars="204"/>
        <w:jc w:val="left"/>
        <w:rPr>
          <w:rFonts w:ascii="Arial" w:hAnsi="Arial" w:eastAsia="宋体" w:cs="Arial"/>
          <w:color w:val="000000"/>
          <w:kern w:val="0"/>
          <w:sz w:val="24"/>
          <w:szCs w:val="24"/>
        </w:rPr>
      </w:pPr>
      <w:r>
        <w:rPr>
          <w:rFonts w:ascii="Arial" w:hAnsi="Arial" w:eastAsia="宋体" w:cs="Arial"/>
          <w:color w:val="000000"/>
          <w:kern w:val="0"/>
          <w:sz w:val="24"/>
          <w:szCs w:val="24"/>
        </w:rPr>
        <w:t>用于赋值（相对或绝对）的方法，以及控制和校准品的验证（如适用）。</w:t>
      </w:r>
    </w:p>
    <w:p w14:paraId="23434A22">
      <w:pPr>
        <w:widowControl/>
        <w:numPr>
          <w:ilvl w:val="0"/>
          <w:numId w:val="10"/>
        </w:numPr>
        <w:tabs>
          <w:tab w:val="clear" w:pos="720"/>
        </w:tabs>
        <w:snapToGrid w:val="0"/>
        <w:spacing w:line="300" w:lineRule="auto"/>
        <w:ind w:left="490" w:hanging="489" w:hangingChars="204"/>
        <w:jc w:val="left"/>
        <w:rPr>
          <w:rFonts w:ascii="Arial" w:hAnsi="Arial" w:eastAsia="宋体" w:cs="Arial"/>
          <w:color w:val="000000"/>
          <w:kern w:val="0"/>
          <w:sz w:val="24"/>
          <w:szCs w:val="24"/>
        </w:rPr>
      </w:pPr>
      <w:r>
        <w:rPr>
          <w:rFonts w:ascii="Arial" w:hAnsi="Arial" w:eastAsia="宋体" w:cs="Arial"/>
          <w:color w:val="000000"/>
          <w:kern w:val="0"/>
          <w:sz w:val="24"/>
          <w:szCs w:val="24"/>
        </w:rPr>
        <w:t>该控制参数可用于检测仪器故障，以满足所要求的标准。</w:t>
      </w:r>
    </w:p>
    <w:p w14:paraId="6AB5BE36">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在为器械设计特殊的控制时，建议咨询食品药品监督管理局。</w:t>
      </w:r>
    </w:p>
    <w:p w14:paraId="390F0818">
      <w:pPr>
        <w:widowControl/>
        <w:jc w:val="left"/>
        <w:rPr>
          <w:rFonts w:ascii="Arial" w:hAnsi="Arial" w:eastAsia="宋体" w:cs="Arial"/>
          <w:color w:val="000000"/>
          <w:kern w:val="0"/>
          <w:sz w:val="24"/>
          <w:szCs w:val="24"/>
        </w:rPr>
      </w:pPr>
      <w:r>
        <w:rPr>
          <w:rFonts w:ascii="Arial" w:hAnsi="Arial" w:eastAsia="宋体" w:cs="Arial"/>
          <w:color w:val="000000"/>
          <w:kern w:val="0"/>
          <w:sz w:val="24"/>
          <w:szCs w:val="24"/>
        </w:rPr>
        <w:br w:type="page"/>
      </w:r>
    </w:p>
    <w:p w14:paraId="2BA3013C">
      <w:pPr>
        <w:widowControl/>
        <w:snapToGrid w:val="0"/>
        <w:spacing w:line="300" w:lineRule="auto"/>
        <w:jc w:val="left"/>
        <w:outlineLvl w:val="3"/>
        <w:rPr>
          <w:rFonts w:ascii="Arial" w:hAnsi="Arial" w:eastAsia="宋体" w:cs="Arial"/>
          <w:b/>
          <w:bCs/>
          <w:color w:val="000000"/>
          <w:kern w:val="0"/>
          <w:sz w:val="28"/>
          <w:szCs w:val="28"/>
        </w:rPr>
      </w:pPr>
      <w:r>
        <w:rPr>
          <w:rFonts w:ascii="Arial" w:hAnsi="Arial" w:eastAsia="宋体" w:cs="Arial"/>
          <w:b/>
          <w:bCs/>
          <w:color w:val="000000"/>
          <w:kern w:val="0"/>
          <w:sz w:val="28"/>
          <w:szCs w:val="28"/>
        </w:rPr>
        <w:t>5.E检测结果的解释/报告</w:t>
      </w:r>
    </w:p>
    <w:p w14:paraId="5CC240BD">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在510（k）中，贵公司应描述如何对</w:t>
      </w:r>
      <w:r>
        <w:rPr>
          <w:rFonts w:ascii="Arial" w:hAnsi="Arial" w:eastAsia="宋体" w:cs="Arial"/>
          <w:sz w:val="24"/>
          <w:szCs w:val="24"/>
        </w:rPr>
        <w:t>阳性、阴性、可疑</w:t>
      </w:r>
      <w:r>
        <w:rPr>
          <w:rFonts w:ascii="Arial" w:hAnsi="Arial" w:eastAsia="宋体" w:cs="Arial"/>
          <w:color w:val="000000"/>
          <w:kern w:val="0"/>
          <w:sz w:val="24"/>
          <w:szCs w:val="24"/>
        </w:rPr>
        <w:t>（如适用）</w:t>
      </w:r>
      <w:r>
        <w:rPr>
          <w:rFonts w:ascii="Arial" w:hAnsi="Arial" w:eastAsia="宋体" w:cs="Arial"/>
          <w:sz w:val="24"/>
          <w:szCs w:val="24"/>
        </w:rPr>
        <w:t>或无效结果进行</w:t>
      </w:r>
      <w:r>
        <w:rPr>
          <w:rFonts w:ascii="Arial" w:hAnsi="Arial" w:eastAsia="宋体" w:cs="Arial"/>
          <w:color w:val="000000"/>
          <w:kern w:val="0"/>
          <w:sz w:val="24"/>
          <w:szCs w:val="24"/>
        </w:rPr>
        <w:t>确定，以及如何解释。在510（k）的提交资料中，我们建议贵公司指出该检测所有结果的临界值。</w:t>
      </w:r>
    </w:p>
    <w:p w14:paraId="133CE21F">
      <w:pPr>
        <w:widowControl/>
        <w:numPr>
          <w:ilvl w:val="0"/>
          <w:numId w:val="10"/>
        </w:numPr>
        <w:tabs>
          <w:tab w:val="clear" w:pos="720"/>
        </w:tabs>
        <w:snapToGrid w:val="0"/>
        <w:spacing w:line="300" w:lineRule="auto"/>
        <w:ind w:left="490" w:hanging="489" w:hangingChars="204"/>
        <w:jc w:val="left"/>
        <w:rPr>
          <w:rFonts w:ascii="Arial" w:hAnsi="Arial" w:eastAsia="宋体" w:cs="Arial"/>
          <w:color w:val="000000"/>
          <w:kern w:val="0"/>
          <w:sz w:val="24"/>
          <w:szCs w:val="24"/>
        </w:rPr>
      </w:pPr>
      <w:r>
        <w:rPr>
          <w:rFonts w:ascii="Arial" w:hAnsi="Arial" w:eastAsia="宋体" w:cs="Arial"/>
          <w:color w:val="000000"/>
          <w:kern w:val="0"/>
          <w:sz w:val="24"/>
          <w:szCs w:val="24"/>
        </w:rPr>
        <w:t>具体来说，贵公司应该提供用于定义该检测的阴性结果的临界值。如果该检测仅有两个检出结果（阴性/阳性），则该临界值也用于定义阳性结果。</w:t>
      </w:r>
    </w:p>
    <w:p w14:paraId="42594065">
      <w:pPr>
        <w:widowControl/>
        <w:numPr>
          <w:ilvl w:val="0"/>
          <w:numId w:val="10"/>
        </w:numPr>
        <w:tabs>
          <w:tab w:val="clear" w:pos="720"/>
        </w:tabs>
        <w:snapToGrid w:val="0"/>
        <w:spacing w:line="300" w:lineRule="auto"/>
        <w:ind w:left="490" w:hanging="489" w:hangingChars="204"/>
        <w:jc w:val="left"/>
        <w:rPr>
          <w:rFonts w:ascii="Arial" w:hAnsi="Arial" w:eastAsia="宋体" w:cs="Arial"/>
          <w:color w:val="000000"/>
          <w:kern w:val="0"/>
          <w:sz w:val="24"/>
          <w:szCs w:val="24"/>
        </w:rPr>
      </w:pPr>
      <w:r>
        <w:rPr>
          <w:rFonts w:ascii="Arial" w:hAnsi="Arial" w:eastAsia="宋体" w:cs="Arial"/>
          <w:color w:val="000000"/>
          <w:kern w:val="0"/>
          <w:sz w:val="24"/>
          <w:szCs w:val="24"/>
        </w:rPr>
        <w:t>如果该检测存在不明确区域，建议提供不明确区域的临界值（限值）。</w:t>
      </w:r>
    </w:p>
    <w:p w14:paraId="64DFB8E6">
      <w:pPr>
        <w:widowControl/>
        <w:numPr>
          <w:ilvl w:val="0"/>
          <w:numId w:val="10"/>
        </w:numPr>
        <w:tabs>
          <w:tab w:val="clear" w:pos="720"/>
        </w:tabs>
        <w:snapToGrid w:val="0"/>
        <w:spacing w:line="300" w:lineRule="auto"/>
        <w:ind w:left="490" w:hanging="489" w:hangingChars="204"/>
        <w:jc w:val="left"/>
        <w:rPr>
          <w:rFonts w:ascii="Arial" w:hAnsi="Arial" w:eastAsia="宋体" w:cs="Arial"/>
          <w:color w:val="000000"/>
          <w:kern w:val="0"/>
          <w:sz w:val="24"/>
          <w:szCs w:val="24"/>
        </w:rPr>
      </w:pPr>
      <w:r>
        <w:rPr>
          <w:rFonts w:ascii="Arial" w:hAnsi="Arial" w:eastAsia="宋体" w:cs="Arial"/>
          <w:color w:val="000000"/>
          <w:kern w:val="0"/>
          <w:sz w:val="24"/>
          <w:szCs w:val="24"/>
        </w:rPr>
        <w:t>如果对初始的可疑结果的解释需要重新检测，我们建议提供（1）是否应重复对同一核酸制备物、新的提取物或新的患者样本进行复测，以及（2）结合初始的可疑结果和复测后的结果来确定最终结</w:t>
      </w:r>
      <w:r>
        <w:rPr>
          <w:rFonts w:ascii="Arial" w:hAnsi="Arial" w:eastAsia="宋体" w:cs="Arial"/>
          <w:sz w:val="24"/>
          <w:szCs w:val="24"/>
        </w:rPr>
        <w:t>果的算法（注意，此算法的开发应在评估该检测临床性能的关键临床研究之前进行）。</w:t>
      </w:r>
    </w:p>
    <w:p w14:paraId="15F3DA9A">
      <w:pPr>
        <w:widowControl/>
        <w:numPr>
          <w:ilvl w:val="0"/>
          <w:numId w:val="10"/>
        </w:numPr>
        <w:tabs>
          <w:tab w:val="clear" w:pos="720"/>
        </w:tabs>
        <w:snapToGrid w:val="0"/>
        <w:spacing w:line="300" w:lineRule="auto"/>
        <w:ind w:left="490" w:hanging="489" w:hangingChars="204"/>
        <w:jc w:val="left"/>
        <w:rPr>
          <w:rFonts w:ascii="Arial" w:hAnsi="Arial" w:eastAsia="宋体" w:cs="Arial"/>
          <w:color w:val="000000"/>
          <w:kern w:val="0"/>
          <w:sz w:val="24"/>
          <w:szCs w:val="24"/>
        </w:rPr>
      </w:pPr>
      <w:r>
        <w:rPr>
          <w:rFonts w:ascii="Arial" w:hAnsi="Arial" w:eastAsia="宋体" w:cs="Arial"/>
          <w:color w:val="000000"/>
          <w:kern w:val="0"/>
          <w:sz w:val="24"/>
          <w:szCs w:val="24"/>
        </w:rPr>
        <w:t>如果报告的测定结果之一可能是一个可疑结果，应针对检测板上每个病原体的可疑结果，为用户提供后续操作的解释和建议。</w:t>
      </w:r>
    </w:p>
    <w:p w14:paraId="34D5A912">
      <w:pPr>
        <w:widowControl/>
        <w:numPr>
          <w:ilvl w:val="0"/>
          <w:numId w:val="10"/>
        </w:numPr>
        <w:tabs>
          <w:tab w:val="clear" w:pos="720"/>
        </w:tabs>
        <w:snapToGrid w:val="0"/>
        <w:spacing w:line="300" w:lineRule="auto"/>
        <w:ind w:left="490" w:hanging="489" w:hangingChars="204"/>
        <w:jc w:val="left"/>
        <w:rPr>
          <w:rFonts w:ascii="Arial" w:hAnsi="Arial" w:eastAsia="宋体" w:cs="Arial"/>
          <w:color w:val="000000"/>
          <w:kern w:val="0"/>
          <w:sz w:val="24"/>
          <w:szCs w:val="24"/>
        </w:rPr>
      </w:pPr>
      <w:r>
        <w:rPr>
          <w:rFonts w:ascii="Arial" w:hAnsi="Arial" w:eastAsia="宋体" w:cs="Arial"/>
          <w:color w:val="000000"/>
          <w:kern w:val="0"/>
          <w:sz w:val="24"/>
          <w:szCs w:val="24"/>
        </w:rPr>
        <w:t>如果测定结果无效，贵公司应描述如何定义无效结果。如果内部控制是确定无效结果的一部分，应提供对每种可能的控制结果的组合的解释，以定义无效结果。提供对无效结果的后续操作的建议，即，</w:t>
      </w:r>
      <w:r>
        <w:rPr>
          <w:rFonts w:ascii="Arial" w:hAnsi="Arial" w:eastAsia="宋体" w:cs="Arial"/>
          <w:sz w:val="24"/>
          <w:szCs w:val="24"/>
        </w:rPr>
        <w:t>建议将结果报告为无效还是重新检测。如果推荐重新检测，应提供与可疑结果复测类似的信息（即，是否应重复对同一核酸制备物、新的提取物或新的患者样本进行复测）。</w:t>
      </w:r>
    </w:p>
    <w:p w14:paraId="4A2368A7">
      <w:pPr>
        <w:widowControl/>
        <w:snapToGrid w:val="0"/>
        <w:spacing w:line="300" w:lineRule="auto"/>
        <w:jc w:val="left"/>
        <w:outlineLvl w:val="2"/>
        <w:rPr>
          <w:rFonts w:ascii="Arial" w:hAnsi="Arial" w:eastAsia="宋体" w:cs="Arial"/>
          <w:b/>
          <w:bCs/>
          <w:color w:val="000000"/>
          <w:kern w:val="0"/>
          <w:sz w:val="24"/>
          <w:szCs w:val="24"/>
        </w:rPr>
      </w:pPr>
    </w:p>
    <w:p w14:paraId="6CB2C742">
      <w:pPr>
        <w:widowControl/>
        <w:snapToGrid w:val="0"/>
        <w:spacing w:line="300" w:lineRule="auto"/>
        <w:jc w:val="left"/>
        <w:outlineLvl w:val="2"/>
        <w:rPr>
          <w:rFonts w:ascii="Arial" w:hAnsi="Arial" w:eastAsia="宋体" w:cs="Arial"/>
          <w:b/>
          <w:bCs/>
          <w:color w:val="000000"/>
          <w:kern w:val="0"/>
          <w:sz w:val="28"/>
          <w:szCs w:val="28"/>
        </w:rPr>
      </w:pPr>
      <w:r>
        <w:rPr>
          <w:rFonts w:ascii="Arial" w:hAnsi="Arial" w:eastAsia="宋体" w:cs="Arial"/>
          <w:b/>
          <w:bCs/>
          <w:color w:val="000000"/>
          <w:kern w:val="0"/>
          <w:sz w:val="28"/>
          <w:szCs w:val="28"/>
        </w:rPr>
        <w:t>6. 性能特性</w:t>
      </w:r>
    </w:p>
    <w:p w14:paraId="495677C3">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在510（k）中，我们建议贵公司详细介绍用于评估下述每个性能特征的研究设计。</w:t>
      </w:r>
    </w:p>
    <w:p w14:paraId="25A580C4">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如果该产品的标签中要求使用辅助试剂，所提交的用于支持510（k）的上市前性能测试中，应使用在说明书中提及的辅助试剂。基于标签中描述的特殊检测配置，根据21 CFR 809.10（b），通过上市前的测试所确定的性能将在标签中反映。</w:t>
      </w:r>
    </w:p>
    <w:p w14:paraId="2D55A3BA">
      <w:pPr>
        <w:widowControl/>
        <w:snapToGrid w:val="0"/>
        <w:spacing w:line="300" w:lineRule="auto"/>
        <w:jc w:val="left"/>
        <w:outlineLvl w:val="2"/>
        <w:rPr>
          <w:rFonts w:ascii="Arial" w:hAnsi="Arial" w:eastAsia="宋体" w:cs="Arial"/>
          <w:b/>
          <w:bCs/>
          <w:color w:val="000000"/>
          <w:kern w:val="0"/>
          <w:sz w:val="28"/>
          <w:szCs w:val="28"/>
        </w:rPr>
      </w:pPr>
      <w:r>
        <w:rPr>
          <w:rFonts w:ascii="Arial" w:hAnsi="Arial" w:eastAsia="宋体" w:cs="Arial"/>
          <w:b/>
          <w:bCs/>
          <w:color w:val="000000"/>
          <w:kern w:val="0"/>
          <w:sz w:val="28"/>
          <w:szCs w:val="28"/>
        </w:rPr>
        <w:t>6.A 分析前的因素</w:t>
      </w:r>
    </w:p>
    <w:p w14:paraId="279917E0">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对于高质量的呼吸道病毒板核酸检测，考虑分析前的因素是至关重要的。在510（k）中，我们建议贵公司解决以下与分析前的因素相关的问题。</w:t>
      </w:r>
    </w:p>
    <w:p w14:paraId="2B426192">
      <w:pPr>
        <w:widowControl/>
        <w:jc w:val="left"/>
        <w:rPr>
          <w:rFonts w:ascii="Arial" w:hAnsi="Arial" w:eastAsia="宋体" w:cs="Arial"/>
          <w:color w:val="000000"/>
          <w:kern w:val="0"/>
          <w:sz w:val="24"/>
          <w:szCs w:val="24"/>
        </w:rPr>
      </w:pPr>
      <w:r>
        <w:rPr>
          <w:rFonts w:ascii="Arial" w:hAnsi="Arial" w:eastAsia="宋体" w:cs="Arial"/>
          <w:color w:val="000000"/>
          <w:kern w:val="0"/>
          <w:sz w:val="24"/>
          <w:szCs w:val="24"/>
        </w:rPr>
        <w:br w:type="page"/>
      </w:r>
    </w:p>
    <w:p w14:paraId="250D5A37">
      <w:pPr>
        <w:widowControl/>
        <w:snapToGrid w:val="0"/>
        <w:spacing w:line="300" w:lineRule="auto"/>
        <w:jc w:val="left"/>
        <w:outlineLvl w:val="2"/>
        <w:rPr>
          <w:rFonts w:ascii="Arial" w:hAnsi="Arial" w:eastAsia="宋体" w:cs="Arial"/>
          <w:b/>
          <w:bCs/>
          <w:color w:val="000000"/>
          <w:kern w:val="0"/>
          <w:sz w:val="28"/>
          <w:szCs w:val="28"/>
        </w:rPr>
      </w:pPr>
      <w:r>
        <w:rPr>
          <w:rFonts w:ascii="Arial" w:hAnsi="Arial" w:eastAsia="宋体" w:cs="Arial"/>
          <w:b/>
          <w:bCs/>
          <w:color w:val="000000"/>
          <w:kern w:val="0"/>
          <w:sz w:val="28"/>
          <w:szCs w:val="28"/>
        </w:rPr>
        <w:t>6.A.i样本的收集和处理</w:t>
      </w:r>
    </w:p>
    <w:p w14:paraId="1921A37A">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贵公司应明确用于检测的样本类型，可以使用不同类型的呼吸道样本；但是，鼻部洗液和鼻咽部抽吸液比口咽拭子更敏感。样本采集的时间非常重要，因为在流感样症状发作的四天内获得的呼吸道样本中，病毒量是最高的。</w:t>
      </w:r>
    </w:p>
    <w:p w14:paraId="56F5CE60">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提取的靶标物的质量和数量，高度依赖于多个因素，例如样本源，收集方法和处理（例如，转运和储存的时间和温度）。在510（k）中提供的检测资料，应验证（1）系统为该检测可检出的所有待测物（即不同的病毒类型和亚型）提供了充足而适当的核酸；以及（2）该器械在标签中推荐的所有不同条件下维持可接受的性能（例如，准确度、再现性）。</w:t>
      </w:r>
    </w:p>
    <w:p w14:paraId="06975A7A">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例如，应该使用在推荐的时间和温度条件下储存和/或转运的样品的等分试样进行分析，来评估所推荐的储存时间和温度对样品稳定性和回收率的影响，应说明所有样本的稳定性参数的可接受标准。</w:t>
      </w:r>
    </w:p>
    <w:p w14:paraId="6F3FE2CE">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用于病原体鉴定的样本的收集和处理，应采用所有适用的州和联邦生物安全性指南，有关处理样品的标准预防措施，请参阅相关的CLSI文件</w:t>
      </w:r>
      <w:r>
        <w:fldChar w:fldCharType="begin"/>
      </w:r>
      <w:r>
        <w:instrText xml:space="preserve"> HYPERLINK "http://www.fda.gov/MedicalDevices/DeviceRegulationandGuidance/GuidanceDocuments/ucm180306.htm" \l "ft8" </w:instrText>
      </w:r>
      <w:r>
        <w:fldChar w:fldCharType="separate"/>
      </w:r>
      <w:r>
        <w:rPr>
          <w:rFonts w:ascii="Arial" w:hAnsi="Arial" w:eastAsia="宋体" w:cs="Arial"/>
          <w:color w:val="800080"/>
          <w:kern w:val="0"/>
          <w:sz w:val="24"/>
          <w:szCs w:val="24"/>
          <w:u w:val="single"/>
          <w:vertAlign w:val="superscript"/>
        </w:rPr>
        <w:t>8</w:t>
      </w:r>
      <w:r>
        <w:rPr>
          <w:rFonts w:ascii="Arial" w:hAnsi="Arial" w:eastAsia="宋体" w:cs="Arial"/>
          <w:color w:val="800080"/>
          <w:kern w:val="0"/>
          <w:sz w:val="24"/>
          <w:szCs w:val="24"/>
          <w:u w:val="single"/>
          <w:vertAlign w:val="superscript"/>
        </w:rPr>
        <w:fldChar w:fldCharType="end"/>
      </w:r>
      <w:r>
        <w:rPr>
          <w:rFonts w:ascii="Arial" w:hAnsi="Arial" w:eastAsia="宋体" w:cs="Arial"/>
          <w:color w:val="000000"/>
          <w:kern w:val="0"/>
          <w:sz w:val="24"/>
          <w:szCs w:val="24"/>
        </w:rPr>
        <w:t>的最新版本。</w:t>
      </w:r>
    </w:p>
    <w:p w14:paraId="14A185ED">
      <w:pPr>
        <w:widowControl/>
        <w:snapToGrid w:val="0"/>
        <w:spacing w:line="300" w:lineRule="auto"/>
        <w:jc w:val="left"/>
        <w:outlineLvl w:val="4"/>
        <w:rPr>
          <w:rFonts w:ascii="Arial" w:hAnsi="Arial" w:eastAsia="宋体" w:cs="Arial"/>
          <w:b/>
          <w:bCs/>
          <w:color w:val="000000"/>
          <w:kern w:val="0"/>
          <w:sz w:val="28"/>
          <w:szCs w:val="28"/>
        </w:rPr>
      </w:pPr>
      <w:r>
        <w:rPr>
          <w:rFonts w:ascii="Arial" w:hAnsi="Arial" w:eastAsia="宋体" w:cs="Arial"/>
          <w:b/>
          <w:bCs/>
          <w:color w:val="000000"/>
          <w:kern w:val="0"/>
          <w:sz w:val="28"/>
          <w:szCs w:val="28"/>
        </w:rPr>
        <w:t>6.A.ii 新鲜样品 vs. 冷冻样品（稳定性）</w:t>
      </w:r>
    </w:p>
    <w:p w14:paraId="16232106">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一些病毒的检测灵敏度取决于样品是新鲜的和还是冷冻的，在开发检测产品时，我们建议贵公司对该器械是否需关注该问题进行充分的评估。我们建议贵公司评估反复冻/融循环对病毒核酸产量的影响及其对检测性能的影响。</w:t>
      </w:r>
    </w:p>
    <w:p w14:paraId="473D1FFB">
      <w:pPr>
        <w:widowControl/>
        <w:snapToGrid w:val="0"/>
        <w:spacing w:line="300" w:lineRule="auto"/>
        <w:jc w:val="left"/>
        <w:outlineLvl w:val="4"/>
        <w:rPr>
          <w:rFonts w:ascii="Arial" w:hAnsi="Arial" w:eastAsia="宋体" w:cs="Arial"/>
          <w:b/>
          <w:bCs/>
          <w:color w:val="000000"/>
          <w:kern w:val="0"/>
          <w:sz w:val="28"/>
          <w:szCs w:val="28"/>
        </w:rPr>
      </w:pPr>
      <w:r>
        <w:rPr>
          <w:rFonts w:ascii="Arial" w:hAnsi="Arial" w:eastAsia="宋体" w:cs="Arial"/>
          <w:b/>
          <w:bCs/>
          <w:color w:val="000000"/>
          <w:kern w:val="0"/>
          <w:sz w:val="28"/>
          <w:szCs w:val="28"/>
        </w:rPr>
        <w:t>6.A.iii 核酸提取</w:t>
      </w:r>
    </w:p>
    <w:p w14:paraId="6DBBCCF0">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不同的提取方法会产生不同数量和质量的核酸，因此提取方法对于成功的结果是至关重要的。应该评估所选择的提取方法对于检测性能的影响，核酸数量和质量可满足该检测的预期用途。建议使用推荐的用于检测的整个预分析过程（包括提取程序），来评估每种病毒类型和亚型的检测分析和临床性能特征。具体来说，应该使用推荐的提取程序来证明该检测的再现性和检测限（LoD）。此外，外部场所研究（包括再现性和临床研究）应包括标签中规定的提取程序。贵公司应在510（k）中描述这些评估的设计和结果。</w:t>
      </w:r>
    </w:p>
    <w:p w14:paraId="48099D1D">
      <w:pPr>
        <w:widowControl/>
        <w:snapToGrid w:val="0"/>
        <w:spacing w:line="300" w:lineRule="auto"/>
        <w:jc w:val="left"/>
        <w:rPr>
          <w:rFonts w:ascii="Arial" w:hAnsi="Arial" w:eastAsia="宋体" w:cs="Arial"/>
          <w:color w:val="000000"/>
          <w:kern w:val="0"/>
          <w:sz w:val="24"/>
          <w:szCs w:val="24"/>
        </w:rPr>
      </w:pPr>
      <w:r>
        <w:rPr>
          <w:rFonts w:ascii="Arial" w:hAnsi="Arial" w:eastAsia="宋体" w:cs="Arial"/>
          <w:sz w:val="24"/>
          <w:szCs w:val="24"/>
        </w:rPr>
        <w:t>我们建议贵公司进行这些评估，无论是确实在检测试剂盒中提供了用于提取和制备核酸的试剂，还是对用户就适当的试剂进行简单的指导。</w:t>
      </w:r>
    </w:p>
    <w:p w14:paraId="6554A6E3">
      <w:pPr>
        <w:widowControl/>
        <w:snapToGrid w:val="0"/>
        <w:spacing w:line="300" w:lineRule="auto"/>
        <w:jc w:val="left"/>
        <w:rPr>
          <w:rFonts w:ascii="Arial" w:hAnsi="Arial" w:eastAsia="宋体" w:cs="Arial"/>
          <w:sz w:val="24"/>
          <w:szCs w:val="24"/>
        </w:rPr>
      </w:pPr>
      <w:r>
        <w:rPr>
          <w:rFonts w:ascii="Arial" w:hAnsi="Arial" w:eastAsia="宋体" w:cs="Arial"/>
          <w:sz w:val="24"/>
          <w:szCs w:val="24"/>
        </w:rPr>
        <w:t>如果检测中包括或推荐了多种提取方法，应证明提取的质量和有效性，以及使用每种提取方法和每种病毒类型或亚型时，该检测的分析和临床性能，特别应证明每种方法的LoD和再现性。可以将提取方法的变量与每个中心的性能变量相结合，例如，如果推荐了三种不同的提取方法，可以设计一个再现性研究，在每个检测中心对三种提取方法之一进行评估：中心1检测时使用提取方法A，中心2为方法B，中心3为方法C。但是，如果来自三个检测中心的结果具有统计学显著性差异，则应该扩大再现性研究，包括在三个研究中心对每种提取方法进行检测（例如，中心1提取方法A，B和C，中心2提取方法A，B和C，以及中心3提取方法A，B和C）。</w:t>
      </w:r>
    </w:p>
    <w:p w14:paraId="647F853E">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如果包括或推荐多种提取方法用于贵公司的测定，贵公司应该证明提取质量和效率，以及贵公司的测定的分析和临床性能与每种提取方法和每种病毒类型或亚型。具体来说，贵公司应该证明每种方法的LoD和可重复性。贵公司可以将提取方法变量与每个站点性能变量组合。例如，如果贵公司推荐三种不同的提取方法，贵公司可以通过在每个测试位置评估三种提取方法之一来设计再现性研究：位点1处的测试提取方法A，位点2处的方法B和位点3处的方法C然而，如果来自三个位点的研究表明在测定性能方面具有统计学显着性差异，则应该扩展再现性研究以包括在所有三个研究位点测试每种提取方法（例如，位点1提取方法A，B和C， 2提取方法A，B和C，以及位点3提取方法A，B和C）。</w:t>
      </w:r>
    </w:p>
    <w:p w14:paraId="5D972591">
      <w:pPr>
        <w:widowControl/>
        <w:snapToGrid w:val="0"/>
        <w:spacing w:line="300" w:lineRule="auto"/>
        <w:jc w:val="left"/>
        <w:rPr>
          <w:rFonts w:ascii="Arial" w:hAnsi="Arial" w:eastAsia="宋体" w:cs="Arial"/>
          <w:color w:val="000000"/>
          <w:kern w:val="0"/>
          <w:sz w:val="24"/>
          <w:szCs w:val="24"/>
        </w:rPr>
      </w:pPr>
      <w:r>
        <w:rPr>
          <w:rFonts w:ascii="Arial" w:hAnsi="Arial" w:eastAsia="宋体" w:cs="Arial"/>
          <w:sz w:val="24"/>
          <w:szCs w:val="24"/>
        </w:rPr>
        <w:t>除了分析研究（LoD和</w:t>
      </w:r>
      <w:r>
        <w:rPr>
          <w:rFonts w:ascii="Arial" w:hAnsi="Arial" w:eastAsia="宋体" w:cs="Arial"/>
          <w:color w:val="000000"/>
          <w:kern w:val="0"/>
          <w:sz w:val="24"/>
          <w:szCs w:val="24"/>
        </w:rPr>
        <w:t>外部场所的</w:t>
      </w:r>
      <w:r>
        <w:rPr>
          <w:rFonts w:ascii="Arial" w:hAnsi="Arial" w:eastAsia="宋体" w:cs="Arial"/>
          <w:sz w:val="24"/>
          <w:szCs w:val="24"/>
        </w:rPr>
        <w:t>再现性）之外，在临床试验期间，应在至少一个临床中心使用每种提取方法来得到临床性能的数据。如果扩大的再现性检测结果表明，提取方法之间的效能有显著差异，那么，来自每个临床检测中心（使用不同的核酸提取方法）的数据不被认为是等同的，并且不能合并，而应单独分析。因此，可能需要纳入额外的预期临床样品以支持所申请的提取方法。</w:t>
      </w:r>
    </w:p>
    <w:p w14:paraId="6A083D90">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贵公司应对该检测说明书中的不同样本类型提供建议，以确保样本的充足性。例如，核酸的质量可以使用内部控制来评估，其可以确定核酸的存在和/或质量。当使用设计样品进行分析验证时，应确保用于加标的样本来自多个患者，以说明生物变异性。</w:t>
      </w:r>
    </w:p>
    <w:p w14:paraId="50731639">
      <w:pPr>
        <w:widowControl/>
        <w:snapToGrid w:val="0"/>
        <w:spacing w:line="300" w:lineRule="auto"/>
        <w:jc w:val="left"/>
        <w:outlineLvl w:val="4"/>
        <w:rPr>
          <w:rFonts w:ascii="Arial" w:hAnsi="Arial" w:eastAsia="宋体" w:cs="Arial"/>
          <w:b/>
          <w:bCs/>
          <w:color w:val="000000"/>
          <w:kern w:val="0"/>
          <w:sz w:val="30"/>
          <w:szCs w:val="30"/>
        </w:rPr>
      </w:pPr>
      <w:r>
        <w:rPr>
          <w:rFonts w:ascii="Arial" w:hAnsi="Arial" w:eastAsia="宋体" w:cs="Arial"/>
          <w:b/>
          <w:bCs/>
          <w:color w:val="000000"/>
          <w:kern w:val="0"/>
          <w:sz w:val="30"/>
          <w:szCs w:val="30"/>
        </w:rPr>
        <w:t>6.A.iv 使用自动提取系统的孔-孔间交叉污染</w:t>
      </w:r>
    </w:p>
    <w:p w14:paraId="486ACF9E">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如果使用或推荐使用自动化系统进行核酸提取，则应评估孔ꟷ孔间交叉污染的可能性，作为提取设备性能确认的一部分。贵公司应提交自动提取系统的软件危害分析，作为510（k）的一部分。提取过程的验证试验可以采用网格设计，使具有临床预期的最高浓度的含核酸样品，周围均为“无模板控制”，结果应能证明不会发生孔ꟷ孔间交叉污染。</w:t>
      </w:r>
    </w:p>
    <w:p w14:paraId="7F199F1F">
      <w:pPr>
        <w:widowControl/>
        <w:snapToGrid w:val="0"/>
        <w:spacing w:line="300" w:lineRule="auto"/>
        <w:jc w:val="left"/>
        <w:outlineLvl w:val="4"/>
        <w:rPr>
          <w:rFonts w:ascii="Arial" w:hAnsi="Arial" w:eastAsia="宋体" w:cs="Arial"/>
          <w:b/>
          <w:bCs/>
          <w:color w:val="000000"/>
          <w:kern w:val="0"/>
          <w:sz w:val="30"/>
          <w:szCs w:val="30"/>
        </w:rPr>
      </w:pPr>
      <w:r>
        <w:rPr>
          <w:rFonts w:ascii="Arial" w:hAnsi="Arial" w:eastAsia="宋体" w:cs="Arial"/>
          <w:b/>
          <w:bCs/>
          <w:color w:val="000000"/>
          <w:kern w:val="0"/>
          <w:sz w:val="30"/>
          <w:szCs w:val="30"/>
        </w:rPr>
        <w:t>6.A.v性能研究的质量控制</w:t>
      </w:r>
    </w:p>
    <w:p w14:paraId="762DD8B5">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测定性能的评估应包括对分析和临床研究持续时间的适当控制。这包括您的测定提供的任何阳性和阴性对照，以及推荐使用适当的外部对照，但不一定在测定中提供。</w:t>
      </w:r>
    </w:p>
    <w:p w14:paraId="36FD709C">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外部阳性控制</w:t>
      </w:r>
      <w:r>
        <w:rPr>
          <w:rFonts w:ascii="Arial" w:hAnsi="Arial" w:eastAsia="宋体" w:cs="Arial"/>
          <w:sz w:val="24"/>
          <w:szCs w:val="24"/>
        </w:rPr>
        <w:t>包含靶核酸，并用于控制整个测定过程，包括核酸提取、扩增和检测；其模仿患者样本设计，根据实验室质量体系（QS）确定的频率，在测定患者样本时，同时进行阳性控制的单独测定。可接受的阳性测定控制材料包括（举例）：</w:t>
      </w:r>
    </w:p>
    <w:p w14:paraId="70EB83E9">
      <w:pPr>
        <w:widowControl/>
        <w:numPr>
          <w:ilvl w:val="0"/>
          <w:numId w:val="11"/>
        </w:numPr>
        <w:snapToGrid w:val="0"/>
        <w:spacing w:line="300" w:lineRule="auto"/>
        <w:ind w:left="0" w:firstLine="0"/>
        <w:jc w:val="left"/>
        <w:rPr>
          <w:rFonts w:ascii="Arial" w:hAnsi="Arial" w:eastAsia="宋体" w:cs="Arial"/>
          <w:color w:val="000000"/>
          <w:kern w:val="0"/>
          <w:sz w:val="24"/>
          <w:szCs w:val="24"/>
        </w:rPr>
      </w:pPr>
      <w:r>
        <w:rPr>
          <w:rFonts w:ascii="Arial" w:hAnsi="Arial" w:eastAsia="宋体" w:cs="Arial"/>
          <w:color w:val="000000"/>
          <w:kern w:val="0"/>
          <w:sz w:val="24"/>
          <w:szCs w:val="24"/>
        </w:rPr>
        <w:t>通过测定法检出的感染了非病原性病毒株的细胞系</w:t>
      </w:r>
    </w:p>
    <w:p w14:paraId="703C3C1E">
      <w:pPr>
        <w:widowControl/>
        <w:numPr>
          <w:ilvl w:val="0"/>
          <w:numId w:val="11"/>
        </w:numPr>
        <w:snapToGrid w:val="0"/>
        <w:spacing w:line="300" w:lineRule="auto"/>
        <w:ind w:left="0" w:firstLine="0"/>
        <w:jc w:val="left"/>
        <w:rPr>
          <w:rFonts w:ascii="Arial" w:hAnsi="Arial" w:eastAsia="宋体" w:cs="Arial"/>
          <w:color w:val="000000"/>
          <w:kern w:val="0"/>
          <w:sz w:val="24"/>
          <w:szCs w:val="24"/>
        </w:rPr>
      </w:pPr>
      <w:r>
        <w:rPr>
          <w:rFonts w:ascii="Arial" w:hAnsi="Arial" w:eastAsia="宋体" w:cs="Arial"/>
          <w:color w:val="000000"/>
          <w:kern w:val="0"/>
          <w:sz w:val="24"/>
          <w:szCs w:val="24"/>
        </w:rPr>
        <w:t>疫苗或疫苗原型株</w:t>
      </w:r>
    </w:p>
    <w:p w14:paraId="47072B91">
      <w:pPr>
        <w:widowControl/>
        <w:numPr>
          <w:ilvl w:val="0"/>
          <w:numId w:val="11"/>
        </w:numPr>
        <w:snapToGrid w:val="0"/>
        <w:spacing w:line="300" w:lineRule="auto"/>
        <w:ind w:left="0" w:firstLine="0"/>
        <w:jc w:val="left"/>
        <w:rPr>
          <w:rFonts w:ascii="Arial" w:hAnsi="Arial" w:eastAsia="宋体" w:cs="Arial"/>
          <w:color w:val="000000"/>
          <w:kern w:val="0"/>
          <w:sz w:val="24"/>
          <w:szCs w:val="24"/>
        </w:rPr>
      </w:pPr>
      <w:r>
        <w:rPr>
          <w:rFonts w:ascii="Arial" w:hAnsi="Arial" w:eastAsia="宋体" w:cs="Arial"/>
          <w:color w:val="000000"/>
          <w:kern w:val="0"/>
          <w:sz w:val="24"/>
          <w:szCs w:val="24"/>
        </w:rPr>
        <w:t>低致病性病毒</w:t>
      </w:r>
    </w:p>
    <w:p w14:paraId="7A76FFDD">
      <w:pPr>
        <w:widowControl/>
        <w:numPr>
          <w:ilvl w:val="0"/>
          <w:numId w:val="11"/>
        </w:numPr>
        <w:snapToGrid w:val="0"/>
        <w:spacing w:line="300" w:lineRule="auto"/>
        <w:ind w:left="0" w:firstLine="0"/>
        <w:jc w:val="left"/>
        <w:rPr>
          <w:rFonts w:ascii="Arial" w:hAnsi="Arial" w:eastAsia="宋体" w:cs="Arial"/>
          <w:color w:val="000000"/>
          <w:kern w:val="0"/>
          <w:sz w:val="24"/>
          <w:szCs w:val="24"/>
        </w:rPr>
      </w:pPr>
      <w:r>
        <w:rPr>
          <w:rFonts w:ascii="Arial" w:hAnsi="Arial" w:eastAsia="宋体" w:cs="Arial"/>
          <w:color w:val="000000"/>
          <w:kern w:val="0"/>
          <w:sz w:val="24"/>
          <w:szCs w:val="24"/>
        </w:rPr>
        <w:t>灭活的病毒</w:t>
      </w:r>
    </w:p>
    <w:p w14:paraId="5A2D5B87">
      <w:pPr>
        <w:widowControl/>
        <w:numPr>
          <w:ilvl w:val="0"/>
          <w:numId w:val="11"/>
        </w:numPr>
        <w:snapToGrid w:val="0"/>
        <w:spacing w:line="300" w:lineRule="auto"/>
        <w:ind w:left="0" w:firstLine="0"/>
        <w:jc w:val="left"/>
        <w:rPr>
          <w:rFonts w:ascii="Arial" w:hAnsi="Arial" w:eastAsia="宋体" w:cs="Arial"/>
          <w:color w:val="000000"/>
          <w:kern w:val="0"/>
          <w:sz w:val="24"/>
          <w:szCs w:val="24"/>
        </w:rPr>
      </w:pPr>
      <w:r>
        <w:rPr>
          <w:rFonts w:ascii="Arial" w:hAnsi="Arial" w:eastAsia="宋体" w:cs="Arial"/>
          <w:color w:val="000000"/>
          <w:kern w:val="0"/>
          <w:sz w:val="24"/>
          <w:szCs w:val="24"/>
        </w:rPr>
        <w:t>包装的病毒RNA</w:t>
      </w:r>
    </w:p>
    <w:p w14:paraId="3143FB18">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如果该检测需要使用辅助试剂，贵公司应提供检测数据，以确定所提供或推荐的控制在辅助试剂使用时，对于检测性能或稳定性是足够的。</w:t>
      </w:r>
    </w:p>
    <w:p w14:paraId="15AFD8E4">
      <w:pPr>
        <w:widowControl/>
        <w:snapToGrid w:val="0"/>
        <w:spacing w:line="300" w:lineRule="auto"/>
        <w:jc w:val="left"/>
        <w:outlineLvl w:val="3"/>
        <w:rPr>
          <w:rFonts w:ascii="Arial" w:hAnsi="Arial" w:eastAsia="宋体" w:cs="Arial"/>
          <w:b/>
          <w:bCs/>
          <w:color w:val="000000"/>
          <w:kern w:val="0"/>
          <w:sz w:val="24"/>
          <w:szCs w:val="24"/>
        </w:rPr>
      </w:pPr>
    </w:p>
    <w:p w14:paraId="56DA15DB">
      <w:pPr>
        <w:widowControl/>
        <w:snapToGrid w:val="0"/>
        <w:spacing w:line="300" w:lineRule="auto"/>
        <w:jc w:val="left"/>
        <w:outlineLvl w:val="3"/>
        <w:rPr>
          <w:rFonts w:ascii="Arial" w:hAnsi="Arial" w:eastAsia="宋体" w:cs="Arial"/>
          <w:b/>
          <w:bCs/>
          <w:color w:val="000000"/>
          <w:kern w:val="0"/>
          <w:sz w:val="28"/>
          <w:szCs w:val="28"/>
        </w:rPr>
      </w:pPr>
      <w:r>
        <w:rPr>
          <w:rFonts w:ascii="Arial" w:hAnsi="Arial" w:eastAsia="宋体" w:cs="Arial"/>
          <w:b/>
          <w:bCs/>
          <w:color w:val="000000"/>
          <w:kern w:val="0"/>
          <w:sz w:val="28"/>
          <w:szCs w:val="28"/>
        </w:rPr>
        <w:t>6.B分析性能</w:t>
      </w:r>
    </w:p>
    <w:p w14:paraId="689A61D6">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贵公司应为该检测产品建立的分析性能特征如下。</w:t>
      </w:r>
    </w:p>
    <w:p w14:paraId="2AEB6B80">
      <w:pPr>
        <w:widowControl/>
        <w:snapToGrid w:val="0"/>
        <w:spacing w:line="300" w:lineRule="auto"/>
        <w:jc w:val="left"/>
        <w:outlineLvl w:val="3"/>
        <w:rPr>
          <w:rFonts w:ascii="Arial" w:hAnsi="Arial" w:eastAsia="宋体" w:cs="Arial"/>
          <w:b/>
          <w:bCs/>
          <w:color w:val="000000"/>
          <w:kern w:val="0"/>
          <w:sz w:val="28"/>
          <w:szCs w:val="28"/>
        </w:rPr>
      </w:pPr>
      <w:r>
        <w:rPr>
          <w:rFonts w:ascii="Arial" w:hAnsi="Arial" w:eastAsia="宋体" w:cs="Arial"/>
          <w:b/>
          <w:bCs/>
          <w:color w:val="000000"/>
          <w:kern w:val="0"/>
          <w:sz w:val="28"/>
          <w:szCs w:val="28"/>
        </w:rPr>
        <w:t>6.B.i检测限（LoD）</w:t>
      </w:r>
    </w:p>
    <w:p w14:paraId="341759CD">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LoD定义为在一种确定类型的样品中可以始终被检出的待测物的最低浓度（通常在常规的临床实验室条件下有95%的样品检出率³）。该浓度的检测值应可区别于不含待测物的样品的检测值，并具有再现性。</w:t>
      </w:r>
    </w:p>
    <w:p w14:paraId="6EC7295F">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多重测定的LoD的确定与单一待测物测定遵循相同的原理（见于CLSI文件EP17-A，确定检测限和定量限的方案；已批准的指南。临床和实验室标准研究所；Wayne，PA：2004）。在检测系统的验证期间，对于将在呼吸道病毒板多重测定中进行检测的每种样品类型和每种待测物，贵公司都应确定LoD。可以通过对再培养后恢复滴度的病毒原液的有限稀释来完成。在用于研究之前，测定病毒滴度的参考方法建议为半数组织培养感染量（TCID50）或空斑测定（以空斑形成单位（PFU）的形式表示）。应使用合适的阴性样品混合物作为稀释剂来制备梯度稀释液，每个稀释度重复3-5份，将具有95%阳性检出率的病毒水平作为LoD。根据测定，可能不需要对每种样本类型在整个浓度范围内进行单独的LoD确定；而至少应确定最常见和最易出现问题的样本的LoD。LoD的确认，可以通过在所提出的LoD浓度下，制备不少于20份的额外样本进行重复检测，证明病毒的阳性检出率为95%。在评估检测LoD时，应该使用从样品制备到扩增子测定的整个检测系统。</w:t>
      </w:r>
    </w:p>
    <w:p w14:paraId="5C720A9F">
      <w:pPr>
        <w:widowControl/>
        <w:snapToGrid w:val="0"/>
        <w:spacing w:line="300" w:lineRule="auto"/>
        <w:jc w:val="left"/>
        <w:outlineLvl w:val="4"/>
        <w:rPr>
          <w:rFonts w:ascii="Arial" w:hAnsi="Arial" w:eastAsia="宋体" w:cs="Arial"/>
          <w:b/>
          <w:bCs/>
          <w:color w:val="000000"/>
          <w:kern w:val="0"/>
          <w:sz w:val="24"/>
          <w:szCs w:val="24"/>
        </w:rPr>
      </w:pPr>
    </w:p>
    <w:p w14:paraId="33AA2135">
      <w:pPr>
        <w:widowControl/>
        <w:snapToGrid w:val="0"/>
        <w:spacing w:line="300" w:lineRule="auto"/>
        <w:jc w:val="left"/>
        <w:outlineLvl w:val="4"/>
        <w:rPr>
          <w:rFonts w:ascii="Arial" w:hAnsi="Arial" w:eastAsia="宋体" w:cs="Arial"/>
          <w:b/>
          <w:bCs/>
          <w:color w:val="000000"/>
          <w:kern w:val="0"/>
          <w:sz w:val="28"/>
          <w:szCs w:val="28"/>
        </w:rPr>
      </w:pPr>
      <w:r>
        <w:rPr>
          <w:rFonts w:ascii="Arial" w:hAnsi="Arial" w:eastAsia="宋体" w:cs="Arial"/>
          <w:b/>
          <w:bCs/>
          <w:color w:val="000000"/>
          <w:kern w:val="0"/>
          <w:sz w:val="28"/>
          <w:szCs w:val="28"/>
        </w:rPr>
        <w:t>6.B.ii分析反应性（包容性）</w:t>
      </w:r>
    </w:p>
    <w:p w14:paraId="362F99A2">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贵公司应证明该检测产品可在LoD或接近LoD的病毒浓度、对每种待测流感病毒亚型的具有时间和区域差异性的至少10个病毒株进行检测。对于难以获得足够的亚型样品来对10个病毒株进行证明性检测时，建议与食品药品监督管理局联系，对研究进行讨论。应该确认所有病毒的特性和滴度。</w:t>
      </w:r>
    </w:p>
    <w:p w14:paraId="0942AEFB">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LoD和分析反应性研究的建议菌株和毒株请见表1。如果包括疫苗株，它们应代表最近的流感季节。有关当前的疫苗株信息可从疾病控制和预防中心（CDC）获得，网址为</w:t>
      </w:r>
      <w:r>
        <w:fldChar w:fldCharType="begin"/>
      </w:r>
      <w:r>
        <w:instrText xml:space="preserve"> HYPERLINK "http://www.cdc.gov/flu/professionals/vaccination/composition0607.htm" </w:instrText>
      </w:r>
      <w:r>
        <w:fldChar w:fldCharType="separate"/>
      </w:r>
      <w:r>
        <w:rPr>
          <w:rFonts w:ascii="Arial" w:hAnsi="Arial" w:eastAsia="宋体" w:cs="Arial"/>
          <w:color w:val="800080"/>
          <w:kern w:val="0"/>
          <w:sz w:val="24"/>
          <w:szCs w:val="24"/>
          <w:u w:val="single"/>
        </w:rPr>
        <w:t>www.cdc.gov/flu/ professionals/vaccination/ composition0607.htm</w:t>
      </w:r>
      <w:r>
        <w:rPr>
          <w:rFonts w:ascii="Arial" w:hAnsi="Arial" w:eastAsia="宋体" w:cs="Arial"/>
          <w:color w:val="800080"/>
          <w:kern w:val="0"/>
          <w:sz w:val="24"/>
          <w:szCs w:val="24"/>
          <w:u w:val="single"/>
        </w:rPr>
        <w:fldChar w:fldCharType="end"/>
      </w:r>
      <w:r>
        <w:rPr>
          <w:rFonts w:ascii="Arial" w:hAnsi="Arial" w:eastAsia="宋体" w:cs="Arial"/>
          <w:color w:val="000000"/>
          <w:kern w:val="0"/>
          <w:sz w:val="24"/>
          <w:szCs w:val="24"/>
        </w:rPr>
        <w:t>。疫苗株可以随不同流感季节而变化。</w:t>
      </w:r>
    </w:p>
    <w:p w14:paraId="526E93A9">
      <w:pPr>
        <w:widowControl/>
        <w:snapToGrid w:val="0"/>
        <w:spacing w:line="300" w:lineRule="auto"/>
        <w:jc w:val="left"/>
        <w:rPr>
          <w:rFonts w:ascii="Arial" w:hAnsi="Arial" w:eastAsia="宋体" w:cs="Arial"/>
          <w:b/>
          <w:color w:val="000000"/>
          <w:kern w:val="0"/>
          <w:sz w:val="24"/>
          <w:szCs w:val="24"/>
        </w:rPr>
      </w:pPr>
      <w:r>
        <w:rPr>
          <w:rFonts w:ascii="Arial" w:hAnsi="Arial" w:eastAsia="宋体" w:cs="Arial"/>
          <w:b/>
          <w:color w:val="000000"/>
          <w:kern w:val="0"/>
          <w:sz w:val="24"/>
          <w:szCs w:val="24"/>
        </w:rPr>
        <w:t>表1. 建议用于分析灵敏度（LoD）研究的流感病毒株。</w:t>
      </w:r>
    </w:p>
    <w:tbl>
      <w:tblPr>
        <w:tblStyle w:val="11"/>
        <w:tblW w:w="0" w:type="auto"/>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CCE8CF"/>
        <w:tblLayout w:type="autofit"/>
        <w:tblCellMar>
          <w:top w:w="0" w:type="dxa"/>
          <w:left w:w="0" w:type="dxa"/>
          <w:bottom w:w="0" w:type="dxa"/>
          <w:right w:w="0" w:type="dxa"/>
        </w:tblCellMar>
      </w:tblPr>
      <w:tblGrid>
        <w:gridCol w:w="579"/>
        <w:gridCol w:w="1184"/>
        <w:gridCol w:w="5940"/>
      </w:tblGrid>
      <w:tr w14:paraId="754267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CCE8CF"/>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vAlign w:val="center"/>
          </w:tcPr>
          <w:p w14:paraId="1E4ECE3E">
            <w:pPr>
              <w:widowControl/>
              <w:snapToGrid w:val="0"/>
              <w:spacing w:line="280" w:lineRule="exact"/>
              <w:jc w:val="left"/>
              <w:rPr>
                <w:rFonts w:ascii="Arial" w:hAnsi="Arial" w:eastAsia="宋体" w:cs="Arial"/>
                <w:b/>
                <w:bCs/>
                <w:color w:val="000000"/>
                <w:kern w:val="0"/>
                <w:sz w:val="24"/>
                <w:szCs w:val="24"/>
              </w:rPr>
            </w:pPr>
            <w:r>
              <w:rPr>
                <w:rFonts w:ascii="Arial" w:hAnsi="Arial" w:eastAsia="宋体" w:cs="Arial"/>
                <w:b/>
                <w:bCs/>
                <w:color w:val="000000"/>
                <w:kern w:val="0"/>
                <w:sz w:val="24"/>
                <w:szCs w:val="24"/>
              </w:rPr>
              <w:t> 类型</w:t>
            </w:r>
          </w:p>
        </w:tc>
        <w:tc>
          <w:tcPr>
            <w:tcW w:w="0" w:type="auto"/>
            <w:tcBorders>
              <w:top w:val="outset" w:color="auto" w:sz="6" w:space="0"/>
              <w:left w:val="outset" w:color="auto" w:sz="6" w:space="0"/>
              <w:bottom w:val="outset" w:color="auto" w:sz="6" w:space="0"/>
              <w:right w:val="outset" w:color="auto" w:sz="6" w:space="0"/>
            </w:tcBorders>
            <w:shd w:val="clear" w:color="auto" w:fill="CCE8CF"/>
            <w:vAlign w:val="center"/>
          </w:tcPr>
          <w:p w14:paraId="617436F3">
            <w:pPr>
              <w:widowControl/>
              <w:snapToGrid w:val="0"/>
              <w:spacing w:line="280" w:lineRule="exact"/>
              <w:jc w:val="left"/>
              <w:rPr>
                <w:rFonts w:ascii="Arial" w:hAnsi="Arial" w:eastAsia="宋体" w:cs="Arial"/>
                <w:b/>
                <w:bCs/>
                <w:color w:val="000000"/>
                <w:kern w:val="0"/>
                <w:sz w:val="24"/>
                <w:szCs w:val="24"/>
              </w:rPr>
            </w:pPr>
            <w:r>
              <w:rPr>
                <w:rFonts w:ascii="Arial" w:hAnsi="Arial" w:eastAsia="宋体" w:cs="Arial"/>
                <w:b/>
                <w:bCs/>
                <w:color w:val="000000"/>
                <w:kern w:val="0"/>
                <w:sz w:val="24"/>
                <w:szCs w:val="24"/>
              </w:rPr>
              <w:t>亚型</w:t>
            </w:r>
          </w:p>
        </w:tc>
        <w:tc>
          <w:tcPr>
            <w:tcW w:w="0" w:type="auto"/>
            <w:tcBorders>
              <w:top w:val="outset" w:color="auto" w:sz="6" w:space="0"/>
              <w:left w:val="outset" w:color="auto" w:sz="6" w:space="0"/>
              <w:bottom w:val="outset" w:color="auto" w:sz="6" w:space="0"/>
              <w:right w:val="outset" w:color="auto" w:sz="6" w:space="0"/>
            </w:tcBorders>
            <w:shd w:val="clear" w:color="auto" w:fill="CCE8CF"/>
            <w:vAlign w:val="center"/>
          </w:tcPr>
          <w:p w14:paraId="3C0E4178">
            <w:pPr>
              <w:widowControl/>
              <w:snapToGrid w:val="0"/>
              <w:spacing w:line="280" w:lineRule="exact"/>
              <w:jc w:val="left"/>
              <w:rPr>
                <w:rFonts w:ascii="Arial" w:hAnsi="Arial" w:eastAsia="宋体" w:cs="Arial"/>
                <w:b/>
                <w:bCs/>
                <w:color w:val="000000"/>
                <w:kern w:val="0"/>
                <w:sz w:val="24"/>
                <w:szCs w:val="24"/>
              </w:rPr>
            </w:pPr>
            <w:r>
              <w:rPr>
                <w:rFonts w:ascii="Arial" w:hAnsi="Arial" w:eastAsia="宋体" w:cs="Arial"/>
                <w:b/>
                <w:color w:val="000000"/>
                <w:kern w:val="0"/>
                <w:sz w:val="24"/>
                <w:szCs w:val="24"/>
              </w:rPr>
              <w:t>流感病毒株</w:t>
            </w:r>
          </w:p>
        </w:tc>
      </w:tr>
      <w:tr w14:paraId="6D19CD5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288E991E">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A</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6255F92D">
            <w:pPr>
              <w:widowControl/>
              <w:snapToGrid w:val="0"/>
              <w:spacing w:line="280" w:lineRule="exact"/>
              <w:jc w:val="left"/>
              <w:rPr>
                <w:rFonts w:ascii="Arial" w:hAnsi="Arial" w:eastAsia="宋体" w:cs="Arial"/>
                <w:color w:val="000000"/>
                <w:kern w:val="0"/>
                <w:sz w:val="24"/>
                <w:szCs w:val="24"/>
              </w:rPr>
            </w:pPr>
            <w:r>
              <w:rPr>
                <w:rFonts w:ascii="Arial" w:hAnsi="Arial" w:eastAsia="宋体" w:cs="Arial"/>
                <w:sz w:val="24"/>
                <w:szCs w:val="24"/>
              </w:rPr>
              <w:t>类似</w:t>
            </w:r>
            <w:r>
              <w:rPr>
                <w:rFonts w:ascii="Arial" w:hAnsi="Arial" w:eastAsia="宋体" w:cs="Arial"/>
                <w:color w:val="000000"/>
                <w:kern w:val="0"/>
                <w:sz w:val="24"/>
                <w:szCs w:val="24"/>
              </w:rPr>
              <w:t>H1N1</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16C456DA">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A/New Caledonia/20/1999</w:t>
            </w:r>
          </w:p>
        </w:tc>
      </w:tr>
      <w:tr w14:paraId="49AF224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537D5BFD">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A</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7C081572">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类似H3N2</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07784025">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A2/Wisconsin/67/2005 or Ag equiv A/Hiroshima/522005</w:t>
            </w:r>
          </w:p>
        </w:tc>
      </w:tr>
      <w:tr w14:paraId="0620802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030B8FE8">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B</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708CCD5B">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 </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5E63B971">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B/Malaysia/2506/2004 or Ag equiv B/Ohio/1/2005</w:t>
            </w:r>
          </w:p>
        </w:tc>
      </w:tr>
      <w:tr w14:paraId="2D8942C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6AA9B0FA">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A</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5EC30B4A">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H1N1</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1D65CB7D">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A/PR/8/34</w:t>
            </w:r>
          </w:p>
        </w:tc>
      </w:tr>
      <w:tr w14:paraId="1878563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18B70451">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A</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6A6DD3B1">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H1N1</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4812D535">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A/FM/1/47</w:t>
            </w:r>
          </w:p>
        </w:tc>
      </w:tr>
      <w:tr w14:paraId="7ADF31C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726396BF">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A</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70927264">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H1N1</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4D82303F">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A/NWS/33</w:t>
            </w:r>
          </w:p>
        </w:tc>
      </w:tr>
      <w:tr w14:paraId="3FA5F79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5AA391EE">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A</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4B2402C9">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H1N1</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47101D27">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A1/Denver/1/57</w:t>
            </w:r>
          </w:p>
        </w:tc>
      </w:tr>
      <w:tr w14:paraId="51E3728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73C8F456">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A</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0609810C">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H1N1</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52EDB82C">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A/New Jersey/8/76</w:t>
            </w:r>
          </w:p>
        </w:tc>
      </w:tr>
      <w:tr w14:paraId="72ECDC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2AED57C2">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A</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3AA4C721">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H3N2</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084378D7">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A/Port Chalmers/1/73</w:t>
            </w:r>
          </w:p>
        </w:tc>
      </w:tr>
      <w:tr w14:paraId="3438DB4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6CD6E86A">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A</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26261E09">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H3N2</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6CF529B9">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A/Hong Kong/8/68</w:t>
            </w:r>
          </w:p>
        </w:tc>
      </w:tr>
      <w:tr w14:paraId="4BDF58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07A2588C">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A</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07F29E2D">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H3N2</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3152DDD6">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A2/Aichi2/68</w:t>
            </w:r>
          </w:p>
        </w:tc>
      </w:tr>
      <w:tr w14:paraId="72F916E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74BE19A2">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A</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35ACCBF1">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H3N2</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058E6AA2">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A/Victoria/3/75</w:t>
            </w:r>
          </w:p>
        </w:tc>
      </w:tr>
      <w:tr w14:paraId="3719DF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28C1EFB9">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A</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3DD882CF">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H1</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00FF7E96">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A/NY/55/2004</w:t>
            </w:r>
          </w:p>
        </w:tc>
      </w:tr>
      <w:tr w14:paraId="22CC21A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39161BA7">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A</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103EBD11">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H3</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4B10ACB8">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A/Hawaii/15/2001</w:t>
            </w:r>
          </w:p>
        </w:tc>
      </w:tr>
      <w:tr w14:paraId="18CDA84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16465E08">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B</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735E2558">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 </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4B0759E6">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B/Lee/40</w:t>
            </w:r>
          </w:p>
        </w:tc>
      </w:tr>
      <w:tr w14:paraId="66BC893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50B6E349">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B</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3B6BBFDE">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 </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0087995D">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B/Allen/45</w:t>
            </w:r>
          </w:p>
        </w:tc>
      </w:tr>
      <w:tr w14:paraId="08D9D0F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45B8639B">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B</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2EE606A5">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 </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6DE8243B">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B/GL/1739/54</w:t>
            </w:r>
          </w:p>
        </w:tc>
      </w:tr>
      <w:tr w14:paraId="3A9E57BF">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525A2896">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B</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3714B807">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 </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58A2D337">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B/Taiwan/2/62</w:t>
            </w:r>
          </w:p>
        </w:tc>
      </w:tr>
      <w:tr w14:paraId="222C34A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13C4237A">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B</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18BE484C">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 </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2B8BA9CC">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B/Hong Kong/5/72</w:t>
            </w:r>
          </w:p>
        </w:tc>
      </w:tr>
      <w:tr w14:paraId="7C15806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5E9343D3">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B</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1CAEB3BF">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 </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7DA2401E">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B/Maryland/1/59</w:t>
            </w:r>
          </w:p>
        </w:tc>
      </w:tr>
      <w:tr w14:paraId="4F798BE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3AAF32A7">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B</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50D2699D">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 </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2938F681">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B/Florida/2006</w:t>
            </w:r>
          </w:p>
        </w:tc>
      </w:tr>
      <w:tr w14:paraId="3D65CD5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7EB0F8E5">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A</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1C567E1D">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H5N1</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4356D5CB">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人类和/或禽类</w:t>
            </w:r>
          </w:p>
        </w:tc>
      </w:tr>
      <w:tr w14:paraId="523B42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0A678F70">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A</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2015C803">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H5N2</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40AD806E">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禽类</w:t>
            </w:r>
          </w:p>
        </w:tc>
      </w:tr>
      <w:tr w14:paraId="1128082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78EEC525">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A</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34ECEA31">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H7N2</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11F7AFF6">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人类和/或禽类</w:t>
            </w:r>
          </w:p>
        </w:tc>
      </w:tr>
      <w:tr w14:paraId="119BB4C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43340852">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A</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1174C154">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H7N7</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3B64DD41">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人类和/或禽类</w:t>
            </w:r>
          </w:p>
        </w:tc>
      </w:tr>
      <w:tr w14:paraId="78D2C68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6BCA55DD">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A</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57FED6A0">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其他亚型</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72D53E92">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人类和/或动物</w:t>
            </w:r>
          </w:p>
        </w:tc>
      </w:tr>
    </w:tbl>
    <w:p w14:paraId="3CCD1E16">
      <w:pPr>
        <w:widowControl/>
        <w:snapToGrid w:val="0"/>
        <w:spacing w:line="300" w:lineRule="auto"/>
        <w:jc w:val="left"/>
        <w:outlineLvl w:val="4"/>
        <w:rPr>
          <w:rFonts w:ascii="Arial" w:hAnsi="Arial" w:eastAsia="宋体" w:cs="Arial"/>
          <w:b/>
          <w:bCs/>
          <w:color w:val="000000"/>
          <w:kern w:val="0"/>
          <w:sz w:val="24"/>
          <w:szCs w:val="24"/>
        </w:rPr>
      </w:pPr>
    </w:p>
    <w:p w14:paraId="38436F67">
      <w:pPr>
        <w:widowControl/>
        <w:snapToGrid w:val="0"/>
        <w:spacing w:line="300" w:lineRule="auto"/>
        <w:jc w:val="left"/>
        <w:outlineLvl w:val="4"/>
        <w:rPr>
          <w:rFonts w:ascii="Arial" w:hAnsi="Arial" w:eastAsia="宋体" w:cs="Arial"/>
          <w:b/>
          <w:bCs/>
          <w:color w:val="000000"/>
          <w:kern w:val="0"/>
          <w:sz w:val="28"/>
          <w:szCs w:val="28"/>
        </w:rPr>
      </w:pPr>
      <w:r>
        <w:rPr>
          <w:rFonts w:ascii="Arial" w:hAnsi="Arial" w:eastAsia="宋体" w:cs="Arial"/>
          <w:b/>
          <w:bCs/>
          <w:color w:val="000000"/>
          <w:kern w:val="0"/>
          <w:sz w:val="28"/>
          <w:szCs w:val="28"/>
        </w:rPr>
        <w:t>6.B.iii分析特异性</w:t>
      </w:r>
    </w:p>
    <w:p w14:paraId="0AE7F3F2">
      <w:pPr>
        <w:widowControl/>
        <w:snapToGrid w:val="0"/>
        <w:spacing w:line="300" w:lineRule="auto"/>
        <w:jc w:val="left"/>
        <w:outlineLvl w:val="5"/>
        <w:rPr>
          <w:rFonts w:ascii="Arial" w:hAnsi="Arial" w:eastAsia="宋体" w:cs="Arial"/>
          <w:b/>
          <w:bCs/>
          <w:color w:val="000000"/>
          <w:kern w:val="0"/>
          <w:sz w:val="28"/>
          <w:szCs w:val="28"/>
        </w:rPr>
      </w:pPr>
      <w:r>
        <w:rPr>
          <w:rFonts w:ascii="Arial" w:hAnsi="Arial" w:eastAsia="宋体" w:cs="Arial"/>
          <w:b/>
          <w:bCs/>
          <w:i/>
          <w:iCs/>
          <w:color w:val="000000"/>
          <w:kern w:val="0"/>
          <w:sz w:val="28"/>
          <w:szCs w:val="28"/>
        </w:rPr>
        <w:t>交叉反应</w:t>
      </w:r>
    </w:p>
    <w:p w14:paraId="36CF66F1">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我们建议贵公司对该检测产品与非流感的呼吸道病原体和大多数人群可能感染的其他微生物（如：爱泼斯坦巴尔病毒（EBV）和巨细胞病毒（CMV））的潜在交叉反应性进行测定。我们建议贵公司在病毒和细菌感染的医学相关水平进行检测（细菌通常为10</w:t>
      </w:r>
      <w:r>
        <w:rPr>
          <w:rFonts w:ascii="Arial" w:hAnsi="Arial" w:eastAsia="宋体" w:cs="Arial"/>
          <w:color w:val="000000"/>
          <w:kern w:val="0"/>
          <w:sz w:val="24"/>
          <w:szCs w:val="24"/>
          <w:vertAlign w:val="superscript"/>
        </w:rPr>
        <w:t xml:space="preserve"> 6</w:t>
      </w:r>
      <w:r>
        <w:rPr>
          <w:rFonts w:ascii="Arial" w:hAnsi="Arial" w:eastAsia="宋体" w:cs="Arial"/>
          <w:color w:val="000000"/>
          <w:kern w:val="0"/>
          <w:sz w:val="24"/>
          <w:szCs w:val="24"/>
        </w:rPr>
        <w:t xml:space="preserve"> cfu / ml或更高，病毒通常为10</w:t>
      </w:r>
      <w:r>
        <w:rPr>
          <w:rFonts w:ascii="Arial" w:hAnsi="Arial" w:eastAsia="宋体" w:cs="Arial"/>
          <w:color w:val="000000"/>
          <w:kern w:val="0"/>
          <w:sz w:val="24"/>
          <w:szCs w:val="24"/>
          <w:vertAlign w:val="superscript"/>
        </w:rPr>
        <w:t>5</w:t>
      </w:r>
      <w:r>
        <w:rPr>
          <w:rFonts w:ascii="Arial" w:hAnsi="Arial" w:eastAsia="宋体" w:cs="Arial"/>
          <w:color w:val="000000"/>
          <w:kern w:val="0"/>
          <w:sz w:val="24"/>
          <w:szCs w:val="24"/>
        </w:rPr>
        <w:t xml:space="preserve"> pfu / ml或更高），应重新确认病毒和细菌的型别和滴度。推荐用于交叉反应研究的微生物列于表2。</w:t>
      </w:r>
    </w:p>
    <w:p w14:paraId="0F4E576B">
      <w:pPr>
        <w:widowControl/>
        <w:snapToGrid w:val="0"/>
        <w:spacing w:line="300" w:lineRule="auto"/>
        <w:jc w:val="left"/>
        <w:rPr>
          <w:rFonts w:ascii="Arial" w:hAnsi="Arial" w:eastAsia="宋体" w:cs="Arial"/>
          <w:b/>
          <w:color w:val="000000"/>
          <w:kern w:val="0"/>
          <w:sz w:val="24"/>
          <w:szCs w:val="24"/>
        </w:rPr>
      </w:pPr>
      <w:r>
        <w:rPr>
          <w:rFonts w:ascii="Arial" w:hAnsi="Arial" w:eastAsia="宋体" w:cs="Arial"/>
          <w:b/>
          <w:color w:val="000000"/>
          <w:kern w:val="0"/>
          <w:sz w:val="24"/>
          <w:szCs w:val="24"/>
        </w:rPr>
        <w:t>表2. 建议用于分析特异性（交叉反应）研究的微生物。</w:t>
      </w:r>
    </w:p>
    <w:tbl>
      <w:tblPr>
        <w:tblStyle w:val="11"/>
        <w:tblW w:w="0" w:type="auto"/>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CCE8CF"/>
        <w:tblLayout w:type="autofit"/>
        <w:tblCellMar>
          <w:top w:w="0" w:type="dxa"/>
          <w:left w:w="0" w:type="dxa"/>
          <w:bottom w:w="0" w:type="dxa"/>
          <w:right w:w="0" w:type="dxa"/>
        </w:tblCellMar>
      </w:tblPr>
      <w:tblGrid>
        <w:gridCol w:w="4977"/>
        <w:gridCol w:w="1984"/>
      </w:tblGrid>
      <w:tr w14:paraId="02C6DEA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CCE8CF"/>
        </w:tblPrEx>
        <w:trPr>
          <w:tblCellSpacing w:w="0" w:type="dxa"/>
          <w:jc w:val="center"/>
        </w:trPr>
        <w:tc>
          <w:tcPr>
            <w:tcW w:w="4977" w:type="dxa"/>
            <w:tcBorders>
              <w:top w:val="outset" w:color="auto" w:sz="6" w:space="0"/>
              <w:left w:val="outset" w:color="auto" w:sz="6" w:space="0"/>
              <w:bottom w:val="outset" w:color="auto" w:sz="6" w:space="0"/>
              <w:right w:val="outset" w:color="auto" w:sz="6" w:space="0"/>
            </w:tcBorders>
            <w:shd w:val="clear" w:color="auto" w:fill="CCE8CF"/>
          </w:tcPr>
          <w:p w14:paraId="04A6CDB6">
            <w:pPr>
              <w:widowControl/>
              <w:snapToGrid w:val="0"/>
              <w:spacing w:line="280" w:lineRule="exact"/>
              <w:jc w:val="left"/>
              <w:rPr>
                <w:rFonts w:ascii="Arial" w:hAnsi="Arial" w:eastAsia="宋体" w:cs="Arial"/>
                <w:b/>
                <w:bCs/>
                <w:color w:val="000000"/>
                <w:kern w:val="0"/>
                <w:sz w:val="24"/>
                <w:szCs w:val="24"/>
              </w:rPr>
            </w:pPr>
            <w:r>
              <w:rPr>
                <w:rFonts w:ascii="Arial" w:hAnsi="Arial" w:eastAsia="宋体" w:cs="Arial"/>
                <w:b/>
                <w:bCs/>
                <w:color w:val="000000"/>
                <w:kern w:val="0"/>
                <w:sz w:val="24"/>
                <w:szCs w:val="24"/>
              </w:rPr>
              <w:t>微生物</w:t>
            </w:r>
          </w:p>
        </w:tc>
        <w:tc>
          <w:tcPr>
            <w:tcW w:w="1984" w:type="dxa"/>
            <w:tcBorders>
              <w:top w:val="outset" w:color="auto" w:sz="6" w:space="0"/>
              <w:left w:val="outset" w:color="auto" w:sz="6" w:space="0"/>
              <w:bottom w:val="outset" w:color="auto" w:sz="6" w:space="0"/>
              <w:right w:val="outset" w:color="auto" w:sz="6" w:space="0"/>
            </w:tcBorders>
            <w:shd w:val="clear" w:color="auto" w:fill="CCE8CF"/>
          </w:tcPr>
          <w:p w14:paraId="02403800">
            <w:pPr>
              <w:widowControl/>
              <w:snapToGrid w:val="0"/>
              <w:spacing w:line="280" w:lineRule="exact"/>
              <w:jc w:val="left"/>
              <w:rPr>
                <w:rFonts w:ascii="Arial" w:hAnsi="Arial" w:eastAsia="宋体" w:cs="Arial"/>
                <w:b/>
                <w:bCs/>
                <w:color w:val="000000"/>
                <w:kern w:val="0"/>
                <w:sz w:val="24"/>
                <w:szCs w:val="24"/>
              </w:rPr>
            </w:pPr>
            <w:r>
              <w:rPr>
                <w:rFonts w:ascii="Arial" w:hAnsi="Arial" w:eastAsia="宋体" w:cs="Arial"/>
                <w:b/>
                <w:bCs/>
                <w:color w:val="000000"/>
                <w:kern w:val="0"/>
                <w:sz w:val="24"/>
                <w:szCs w:val="24"/>
              </w:rPr>
              <w:t> 类型</w:t>
            </w:r>
          </w:p>
        </w:tc>
      </w:tr>
      <w:tr w14:paraId="6182796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77" w:type="dxa"/>
            <w:tcBorders>
              <w:top w:val="outset" w:color="auto" w:sz="6" w:space="0"/>
              <w:left w:val="outset" w:color="auto" w:sz="6" w:space="0"/>
              <w:bottom w:val="outset" w:color="auto" w:sz="6" w:space="0"/>
              <w:right w:val="outset" w:color="auto" w:sz="6" w:space="0"/>
            </w:tcBorders>
            <w:shd w:val="clear" w:color="auto" w:fill="CCE8CF"/>
            <w:vAlign w:val="center"/>
          </w:tcPr>
          <w:p w14:paraId="40BB737E">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腺病毒</w:t>
            </w:r>
          </w:p>
        </w:tc>
        <w:tc>
          <w:tcPr>
            <w:tcW w:w="1984" w:type="dxa"/>
            <w:tcBorders>
              <w:top w:val="outset" w:color="auto" w:sz="6" w:space="0"/>
              <w:left w:val="outset" w:color="auto" w:sz="6" w:space="0"/>
              <w:bottom w:val="outset" w:color="auto" w:sz="6" w:space="0"/>
              <w:right w:val="outset" w:color="auto" w:sz="6" w:space="0"/>
            </w:tcBorders>
            <w:shd w:val="clear" w:color="auto" w:fill="CCE8CF"/>
          </w:tcPr>
          <w:p w14:paraId="377964B7">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1型</w:t>
            </w:r>
          </w:p>
        </w:tc>
      </w:tr>
      <w:tr w14:paraId="12D49BC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77" w:type="dxa"/>
            <w:tcBorders>
              <w:top w:val="outset" w:color="auto" w:sz="6" w:space="0"/>
              <w:left w:val="outset" w:color="auto" w:sz="6" w:space="0"/>
              <w:bottom w:val="outset" w:color="auto" w:sz="6" w:space="0"/>
              <w:right w:val="outset" w:color="auto" w:sz="6" w:space="0"/>
            </w:tcBorders>
            <w:shd w:val="clear" w:color="auto" w:fill="CCE8CF"/>
            <w:vAlign w:val="center"/>
          </w:tcPr>
          <w:p w14:paraId="3401BEA5">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腺病毒</w:t>
            </w:r>
          </w:p>
        </w:tc>
        <w:tc>
          <w:tcPr>
            <w:tcW w:w="1984" w:type="dxa"/>
            <w:tcBorders>
              <w:top w:val="outset" w:color="auto" w:sz="6" w:space="0"/>
              <w:left w:val="outset" w:color="auto" w:sz="6" w:space="0"/>
              <w:bottom w:val="outset" w:color="auto" w:sz="6" w:space="0"/>
              <w:right w:val="outset" w:color="auto" w:sz="6" w:space="0"/>
            </w:tcBorders>
            <w:shd w:val="clear" w:color="auto" w:fill="CCE8CF"/>
          </w:tcPr>
          <w:p w14:paraId="76502F9B">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7型</w:t>
            </w:r>
          </w:p>
        </w:tc>
      </w:tr>
      <w:tr w14:paraId="6CACBE7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77" w:type="dxa"/>
            <w:tcBorders>
              <w:top w:val="outset" w:color="auto" w:sz="6" w:space="0"/>
              <w:left w:val="outset" w:color="auto" w:sz="6" w:space="0"/>
              <w:bottom w:val="outset" w:color="auto" w:sz="6" w:space="0"/>
              <w:right w:val="outset" w:color="auto" w:sz="6" w:space="0"/>
            </w:tcBorders>
            <w:shd w:val="clear" w:color="auto" w:fill="CCE8CF"/>
            <w:vAlign w:val="center"/>
          </w:tcPr>
          <w:p w14:paraId="381EBA9A">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人冠状病毒</w:t>
            </w:r>
          </w:p>
        </w:tc>
        <w:tc>
          <w:tcPr>
            <w:tcW w:w="1984" w:type="dxa"/>
            <w:tcBorders>
              <w:top w:val="outset" w:color="auto" w:sz="6" w:space="0"/>
              <w:left w:val="outset" w:color="auto" w:sz="6" w:space="0"/>
              <w:bottom w:val="outset" w:color="auto" w:sz="6" w:space="0"/>
              <w:right w:val="outset" w:color="auto" w:sz="6" w:space="0"/>
            </w:tcBorders>
            <w:shd w:val="clear" w:color="auto" w:fill="CCE8CF"/>
          </w:tcPr>
          <w:p w14:paraId="1B0CB909">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 </w:t>
            </w:r>
          </w:p>
        </w:tc>
      </w:tr>
      <w:tr w14:paraId="54D9FB5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77" w:type="dxa"/>
            <w:tcBorders>
              <w:top w:val="outset" w:color="auto" w:sz="6" w:space="0"/>
              <w:left w:val="outset" w:color="auto" w:sz="6" w:space="0"/>
              <w:bottom w:val="outset" w:color="auto" w:sz="6" w:space="0"/>
              <w:right w:val="outset" w:color="auto" w:sz="6" w:space="0"/>
            </w:tcBorders>
            <w:shd w:val="clear" w:color="auto" w:fill="CCE8CF"/>
            <w:vAlign w:val="center"/>
          </w:tcPr>
          <w:p w14:paraId="172664A7">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巨细胞病毒</w:t>
            </w:r>
          </w:p>
        </w:tc>
        <w:tc>
          <w:tcPr>
            <w:tcW w:w="1984" w:type="dxa"/>
            <w:tcBorders>
              <w:top w:val="outset" w:color="auto" w:sz="6" w:space="0"/>
              <w:left w:val="outset" w:color="auto" w:sz="6" w:space="0"/>
              <w:bottom w:val="outset" w:color="auto" w:sz="6" w:space="0"/>
              <w:right w:val="outset" w:color="auto" w:sz="6" w:space="0"/>
            </w:tcBorders>
            <w:shd w:val="clear" w:color="auto" w:fill="CCE8CF"/>
          </w:tcPr>
          <w:p w14:paraId="5A8F15CC">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 </w:t>
            </w:r>
          </w:p>
        </w:tc>
      </w:tr>
      <w:tr w14:paraId="0C2AC53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77" w:type="dxa"/>
            <w:tcBorders>
              <w:top w:val="outset" w:color="auto" w:sz="6" w:space="0"/>
              <w:left w:val="outset" w:color="auto" w:sz="6" w:space="0"/>
              <w:bottom w:val="outset" w:color="auto" w:sz="6" w:space="0"/>
              <w:right w:val="outset" w:color="auto" w:sz="6" w:space="0"/>
            </w:tcBorders>
            <w:shd w:val="clear" w:color="auto" w:fill="CCE8CF"/>
            <w:vAlign w:val="center"/>
          </w:tcPr>
          <w:p w14:paraId="226E4E9A">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肠道病毒</w:t>
            </w:r>
          </w:p>
        </w:tc>
        <w:tc>
          <w:tcPr>
            <w:tcW w:w="1984" w:type="dxa"/>
            <w:tcBorders>
              <w:top w:val="outset" w:color="auto" w:sz="6" w:space="0"/>
              <w:left w:val="outset" w:color="auto" w:sz="6" w:space="0"/>
              <w:bottom w:val="outset" w:color="auto" w:sz="6" w:space="0"/>
              <w:right w:val="outset" w:color="auto" w:sz="6" w:space="0"/>
            </w:tcBorders>
            <w:shd w:val="clear" w:color="auto" w:fill="CCE8CF"/>
          </w:tcPr>
          <w:p w14:paraId="75130AD1">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 </w:t>
            </w:r>
          </w:p>
        </w:tc>
      </w:tr>
      <w:tr w14:paraId="41C2554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77" w:type="dxa"/>
            <w:tcBorders>
              <w:top w:val="outset" w:color="auto" w:sz="6" w:space="0"/>
              <w:left w:val="outset" w:color="auto" w:sz="6" w:space="0"/>
              <w:bottom w:val="outset" w:color="auto" w:sz="6" w:space="0"/>
              <w:right w:val="outset" w:color="auto" w:sz="6" w:space="0"/>
            </w:tcBorders>
            <w:shd w:val="clear" w:color="auto" w:fill="CCE8CF"/>
            <w:vAlign w:val="center"/>
          </w:tcPr>
          <w:p w14:paraId="71C8C333">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EB病毒</w:t>
            </w:r>
          </w:p>
        </w:tc>
        <w:tc>
          <w:tcPr>
            <w:tcW w:w="1984" w:type="dxa"/>
            <w:tcBorders>
              <w:top w:val="outset" w:color="auto" w:sz="6" w:space="0"/>
              <w:left w:val="outset" w:color="auto" w:sz="6" w:space="0"/>
              <w:bottom w:val="outset" w:color="auto" w:sz="6" w:space="0"/>
              <w:right w:val="outset" w:color="auto" w:sz="6" w:space="0"/>
            </w:tcBorders>
            <w:shd w:val="clear" w:color="auto" w:fill="CCE8CF"/>
          </w:tcPr>
          <w:p w14:paraId="2D028FA4">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 </w:t>
            </w:r>
          </w:p>
        </w:tc>
      </w:tr>
      <w:tr w14:paraId="775B04C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77" w:type="dxa"/>
            <w:tcBorders>
              <w:top w:val="outset" w:color="auto" w:sz="6" w:space="0"/>
              <w:left w:val="outset" w:color="auto" w:sz="6" w:space="0"/>
              <w:bottom w:val="outset" w:color="auto" w:sz="6" w:space="0"/>
              <w:right w:val="outset" w:color="auto" w:sz="6" w:space="0"/>
            </w:tcBorders>
            <w:shd w:val="clear" w:color="auto" w:fill="CCE8CF"/>
            <w:vAlign w:val="center"/>
          </w:tcPr>
          <w:p w14:paraId="6150A053">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人副流感病毒</w:t>
            </w:r>
          </w:p>
        </w:tc>
        <w:tc>
          <w:tcPr>
            <w:tcW w:w="1984" w:type="dxa"/>
            <w:tcBorders>
              <w:top w:val="outset" w:color="auto" w:sz="6" w:space="0"/>
              <w:left w:val="outset" w:color="auto" w:sz="6" w:space="0"/>
              <w:bottom w:val="outset" w:color="auto" w:sz="6" w:space="0"/>
              <w:right w:val="outset" w:color="auto" w:sz="6" w:space="0"/>
            </w:tcBorders>
            <w:shd w:val="clear" w:color="auto" w:fill="CCE8CF"/>
          </w:tcPr>
          <w:p w14:paraId="0D1A5740">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1型</w:t>
            </w:r>
          </w:p>
        </w:tc>
      </w:tr>
      <w:tr w14:paraId="6FF0E129">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77" w:type="dxa"/>
            <w:tcBorders>
              <w:top w:val="outset" w:color="auto" w:sz="6" w:space="0"/>
              <w:left w:val="outset" w:color="auto" w:sz="6" w:space="0"/>
              <w:bottom w:val="outset" w:color="auto" w:sz="6" w:space="0"/>
              <w:right w:val="outset" w:color="auto" w:sz="6" w:space="0"/>
            </w:tcBorders>
            <w:shd w:val="clear" w:color="auto" w:fill="CCE8CF"/>
          </w:tcPr>
          <w:p w14:paraId="640E404B">
            <w:pPr>
              <w:widowControl/>
              <w:snapToGrid w:val="0"/>
              <w:spacing w:before="100" w:beforeAutospacing="1" w:after="100" w:afterAutospacing="1"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人副流感病毒</w:t>
            </w:r>
          </w:p>
        </w:tc>
        <w:tc>
          <w:tcPr>
            <w:tcW w:w="1984" w:type="dxa"/>
            <w:tcBorders>
              <w:top w:val="outset" w:color="auto" w:sz="6" w:space="0"/>
              <w:left w:val="outset" w:color="auto" w:sz="6" w:space="0"/>
              <w:bottom w:val="outset" w:color="auto" w:sz="6" w:space="0"/>
              <w:right w:val="outset" w:color="auto" w:sz="6" w:space="0"/>
            </w:tcBorders>
            <w:shd w:val="clear" w:color="auto" w:fill="CCE8CF"/>
          </w:tcPr>
          <w:p w14:paraId="6494B8FE">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2型</w:t>
            </w:r>
          </w:p>
        </w:tc>
      </w:tr>
      <w:tr w14:paraId="18DE0DE2">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77" w:type="dxa"/>
            <w:tcBorders>
              <w:top w:val="outset" w:color="auto" w:sz="6" w:space="0"/>
              <w:left w:val="outset" w:color="auto" w:sz="6" w:space="0"/>
              <w:bottom w:val="outset" w:color="auto" w:sz="6" w:space="0"/>
              <w:right w:val="outset" w:color="auto" w:sz="6" w:space="0"/>
            </w:tcBorders>
            <w:shd w:val="clear" w:color="auto" w:fill="CCE8CF"/>
          </w:tcPr>
          <w:p w14:paraId="3E0E8A22">
            <w:pPr>
              <w:widowControl/>
              <w:snapToGrid w:val="0"/>
              <w:spacing w:before="100" w:beforeAutospacing="1" w:after="100" w:afterAutospacing="1"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人副流感病毒</w:t>
            </w:r>
          </w:p>
        </w:tc>
        <w:tc>
          <w:tcPr>
            <w:tcW w:w="1984" w:type="dxa"/>
            <w:tcBorders>
              <w:top w:val="outset" w:color="auto" w:sz="6" w:space="0"/>
              <w:left w:val="outset" w:color="auto" w:sz="6" w:space="0"/>
              <w:bottom w:val="outset" w:color="auto" w:sz="6" w:space="0"/>
              <w:right w:val="outset" w:color="auto" w:sz="6" w:space="0"/>
            </w:tcBorders>
            <w:shd w:val="clear" w:color="auto" w:fill="CCE8CF"/>
          </w:tcPr>
          <w:p w14:paraId="37FF97D1">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3型</w:t>
            </w:r>
          </w:p>
        </w:tc>
      </w:tr>
      <w:tr w14:paraId="22D7EF6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77" w:type="dxa"/>
            <w:tcBorders>
              <w:top w:val="outset" w:color="auto" w:sz="6" w:space="0"/>
              <w:left w:val="outset" w:color="auto" w:sz="6" w:space="0"/>
              <w:bottom w:val="outset" w:color="auto" w:sz="6" w:space="0"/>
              <w:right w:val="outset" w:color="auto" w:sz="6" w:space="0"/>
            </w:tcBorders>
            <w:shd w:val="clear" w:color="auto" w:fill="CCE8CF"/>
            <w:vAlign w:val="center"/>
          </w:tcPr>
          <w:p w14:paraId="35282729">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麻疹病毒</w:t>
            </w:r>
          </w:p>
        </w:tc>
        <w:tc>
          <w:tcPr>
            <w:tcW w:w="1984" w:type="dxa"/>
            <w:tcBorders>
              <w:top w:val="outset" w:color="auto" w:sz="6" w:space="0"/>
              <w:left w:val="outset" w:color="auto" w:sz="6" w:space="0"/>
              <w:bottom w:val="outset" w:color="auto" w:sz="6" w:space="0"/>
              <w:right w:val="outset" w:color="auto" w:sz="6" w:space="0"/>
            </w:tcBorders>
            <w:shd w:val="clear" w:color="auto" w:fill="CCE8CF"/>
          </w:tcPr>
          <w:p w14:paraId="6CED4406">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 </w:t>
            </w:r>
          </w:p>
        </w:tc>
      </w:tr>
      <w:tr w14:paraId="68D5EDC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77" w:type="dxa"/>
            <w:tcBorders>
              <w:top w:val="outset" w:color="auto" w:sz="6" w:space="0"/>
              <w:left w:val="outset" w:color="auto" w:sz="6" w:space="0"/>
              <w:bottom w:val="outset" w:color="auto" w:sz="6" w:space="0"/>
              <w:right w:val="outset" w:color="auto" w:sz="6" w:space="0"/>
            </w:tcBorders>
            <w:shd w:val="clear" w:color="auto" w:fill="CCE8CF"/>
          </w:tcPr>
          <w:p w14:paraId="4515FD0E">
            <w:pPr>
              <w:widowControl/>
              <w:snapToGrid w:val="0"/>
              <w:spacing w:before="100" w:beforeAutospacing="1" w:after="100" w:afterAutospacing="1"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人偏肺病毒</w:t>
            </w:r>
          </w:p>
        </w:tc>
        <w:tc>
          <w:tcPr>
            <w:tcW w:w="1984" w:type="dxa"/>
            <w:tcBorders>
              <w:top w:val="outset" w:color="auto" w:sz="6" w:space="0"/>
              <w:left w:val="outset" w:color="auto" w:sz="6" w:space="0"/>
              <w:bottom w:val="outset" w:color="auto" w:sz="6" w:space="0"/>
              <w:right w:val="outset" w:color="auto" w:sz="6" w:space="0"/>
            </w:tcBorders>
            <w:shd w:val="clear" w:color="auto" w:fill="CCE8CF"/>
          </w:tcPr>
          <w:p w14:paraId="2CD6771C">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 </w:t>
            </w:r>
          </w:p>
        </w:tc>
      </w:tr>
      <w:tr w14:paraId="3693041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77" w:type="dxa"/>
            <w:tcBorders>
              <w:top w:val="outset" w:color="auto" w:sz="6" w:space="0"/>
              <w:left w:val="outset" w:color="auto" w:sz="6" w:space="0"/>
              <w:bottom w:val="outset" w:color="auto" w:sz="6" w:space="0"/>
              <w:right w:val="outset" w:color="auto" w:sz="6" w:space="0"/>
            </w:tcBorders>
            <w:shd w:val="clear" w:color="auto" w:fill="CCE8CF"/>
          </w:tcPr>
          <w:p w14:paraId="48A0284A">
            <w:pPr>
              <w:widowControl/>
              <w:snapToGrid w:val="0"/>
              <w:spacing w:before="100" w:beforeAutospacing="1" w:after="100" w:afterAutospacing="1"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患病率腮腺炎病毒</w:t>
            </w:r>
          </w:p>
        </w:tc>
        <w:tc>
          <w:tcPr>
            <w:tcW w:w="1984" w:type="dxa"/>
            <w:tcBorders>
              <w:top w:val="outset" w:color="auto" w:sz="6" w:space="0"/>
              <w:left w:val="outset" w:color="auto" w:sz="6" w:space="0"/>
              <w:bottom w:val="outset" w:color="auto" w:sz="6" w:space="0"/>
              <w:right w:val="outset" w:color="auto" w:sz="6" w:space="0"/>
            </w:tcBorders>
            <w:shd w:val="clear" w:color="auto" w:fill="CCE8CF"/>
          </w:tcPr>
          <w:p w14:paraId="316912F3">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 </w:t>
            </w:r>
          </w:p>
        </w:tc>
      </w:tr>
      <w:tr w14:paraId="71D5DD0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77" w:type="dxa"/>
            <w:tcBorders>
              <w:top w:val="outset" w:color="auto" w:sz="6" w:space="0"/>
              <w:left w:val="outset" w:color="auto" w:sz="6" w:space="0"/>
              <w:bottom w:val="outset" w:color="auto" w:sz="6" w:space="0"/>
              <w:right w:val="outset" w:color="auto" w:sz="6" w:space="0"/>
            </w:tcBorders>
            <w:shd w:val="clear" w:color="auto" w:fill="CCE8CF"/>
          </w:tcPr>
          <w:p w14:paraId="008FA987">
            <w:pPr>
              <w:widowControl/>
              <w:snapToGrid w:val="0"/>
              <w:spacing w:before="100" w:beforeAutospacing="1" w:after="100" w:afterAutospacing="1"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呼吸道合胞病毒</w:t>
            </w:r>
          </w:p>
        </w:tc>
        <w:tc>
          <w:tcPr>
            <w:tcW w:w="1984" w:type="dxa"/>
            <w:tcBorders>
              <w:top w:val="outset" w:color="auto" w:sz="6" w:space="0"/>
              <w:left w:val="outset" w:color="auto" w:sz="6" w:space="0"/>
              <w:bottom w:val="outset" w:color="auto" w:sz="6" w:space="0"/>
              <w:right w:val="outset" w:color="auto" w:sz="6" w:space="0"/>
            </w:tcBorders>
            <w:shd w:val="clear" w:color="auto" w:fill="CCE8CF"/>
          </w:tcPr>
          <w:p w14:paraId="0EFF34C8">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B型</w:t>
            </w:r>
          </w:p>
        </w:tc>
      </w:tr>
      <w:tr w14:paraId="010A9AB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77" w:type="dxa"/>
            <w:tcBorders>
              <w:top w:val="outset" w:color="auto" w:sz="6" w:space="0"/>
              <w:left w:val="outset" w:color="auto" w:sz="6" w:space="0"/>
              <w:bottom w:val="outset" w:color="auto" w:sz="6" w:space="0"/>
              <w:right w:val="outset" w:color="auto" w:sz="6" w:space="0"/>
            </w:tcBorders>
            <w:shd w:val="clear" w:color="auto" w:fill="CCE8CF"/>
          </w:tcPr>
          <w:p w14:paraId="351C5F1B">
            <w:pPr>
              <w:widowControl/>
              <w:snapToGrid w:val="0"/>
              <w:spacing w:before="100" w:beforeAutospacing="1" w:after="100" w:afterAutospacing="1"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鼻病毒</w:t>
            </w:r>
          </w:p>
        </w:tc>
        <w:tc>
          <w:tcPr>
            <w:tcW w:w="1984" w:type="dxa"/>
            <w:tcBorders>
              <w:top w:val="outset" w:color="auto" w:sz="6" w:space="0"/>
              <w:left w:val="outset" w:color="auto" w:sz="6" w:space="0"/>
              <w:bottom w:val="outset" w:color="auto" w:sz="6" w:space="0"/>
              <w:right w:val="outset" w:color="auto" w:sz="6" w:space="0"/>
            </w:tcBorders>
            <w:shd w:val="clear" w:color="auto" w:fill="CCE8CF"/>
          </w:tcPr>
          <w:p w14:paraId="01ACA8CB">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1A型</w:t>
            </w:r>
          </w:p>
        </w:tc>
      </w:tr>
      <w:tr w14:paraId="5B4B935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77" w:type="dxa"/>
            <w:tcBorders>
              <w:top w:val="outset" w:color="auto" w:sz="6" w:space="0"/>
              <w:left w:val="outset" w:color="auto" w:sz="6" w:space="0"/>
              <w:bottom w:val="outset" w:color="auto" w:sz="6" w:space="0"/>
              <w:right w:val="outset" w:color="auto" w:sz="6" w:space="0"/>
            </w:tcBorders>
            <w:shd w:val="clear" w:color="auto" w:fill="CCE8CF"/>
          </w:tcPr>
          <w:p w14:paraId="09DA3F09">
            <w:pPr>
              <w:widowControl/>
              <w:snapToGrid w:val="0"/>
              <w:spacing w:before="100" w:beforeAutospacing="1" w:after="100" w:afterAutospacing="1"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百日咳杆菌</w:t>
            </w:r>
          </w:p>
        </w:tc>
        <w:tc>
          <w:tcPr>
            <w:tcW w:w="1984" w:type="dxa"/>
            <w:tcBorders>
              <w:top w:val="outset" w:color="auto" w:sz="6" w:space="0"/>
              <w:left w:val="outset" w:color="auto" w:sz="6" w:space="0"/>
              <w:bottom w:val="outset" w:color="auto" w:sz="6" w:space="0"/>
              <w:right w:val="outset" w:color="auto" w:sz="6" w:space="0"/>
            </w:tcBorders>
            <w:shd w:val="clear" w:color="auto" w:fill="CCE8CF"/>
          </w:tcPr>
          <w:p w14:paraId="655D3A2B">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 </w:t>
            </w:r>
          </w:p>
        </w:tc>
      </w:tr>
      <w:tr w14:paraId="022B8378">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77" w:type="dxa"/>
            <w:tcBorders>
              <w:top w:val="outset" w:color="auto" w:sz="6" w:space="0"/>
              <w:left w:val="outset" w:color="auto" w:sz="6" w:space="0"/>
              <w:bottom w:val="outset" w:color="auto" w:sz="6" w:space="0"/>
              <w:right w:val="outset" w:color="auto" w:sz="6" w:space="0"/>
            </w:tcBorders>
            <w:shd w:val="clear" w:color="auto" w:fill="CCE8CF"/>
          </w:tcPr>
          <w:p w14:paraId="791EFA50">
            <w:pPr>
              <w:widowControl/>
              <w:snapToGrid w:val="0"/>
              <w:spacing w:before="100" w:beforeAutospacing="1" w:after="100" w:afterAutospacing="1"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肺炎衣原体</w:t>
            </w:r>
          </w:p>
        </w:tc>
        <w:tc>
          <w:tcPr>
            <w:tcW w:w="1984" w:type="dxa"/>
            <w:tcBorders>
              <w:top w:val="outset" w:color="auto" w:sz="6" w:space="0"/>
              <w:left w:val="outset" w:color="auto" w:sz="6" w:space="0"/>
              <w:bottom w:val="outset" w:color="auto" w:sz="6" w:space="0"/>
              <w:right w:val="outset" w:color="auto" w:sz="6" w:space="0"/>
            </w:tcBorders>
            <w:shd w:val="clear" w:color="auto" w:fill="CCE8CF"/>
          </w:tcPr>
          <w:p w14:paraId="20F85D3F">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 </w:t>
            </w:r>
          </w:p>
        </w:tc>
      </w:tr>
      <w:tr w14:paraId="39A5BD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77" w:type="dxa"/>
            <w:tcBorders>
              <w:top w:val="outset" w:color="auto" w:sz="6" w:space="0"/>
              <w:left w:val="outset" w:color="auto" w:sz="6" w:space="0"/>
              <w:bottom w:val="outset" w:color="auto" w:sz="6" w:space="0"/>
              <w:right w:val="outset" w:color="auto" w:sz="6" w:space="0"/>
            </w:tcBorders>
            <w:shd w:val="clear" w:color="auto" w:fill="CCE8CF"/>
          </w:tcPr>
          <w:p w14:paraId="23FFD021">
            <w:pPr>
              <w:widowControl/>
              <w:snapToGrid w:val="0"/>
              <w:spacing w:before="100" w:beforeAutospacing="1" w:after="100" w:afterAutospacing="1"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棒状杆菌</w:t>
            </w:r>
          </w:p>
        </w:tc>
        <w:tc>
          <w:tcPr>
            <w:tcW w:w="1984" w:type="dxa"/>
            <w:tcBorders>
              <w:top w:val="outset" w:color="auto" w:sz="6" w:space="0"/>
              <w:left w:val="outset" w:color="auto" w:sz="6" w:space="0"/>
              <w:bottom w:val="outset" w:color="auto" w:sz="6" w:space="0"/>
              <w:right w:val="outset" w:color="auto" w:sz="6" w:space="0"/>
            </w:tcBorders>
            <w:shd w:val="clear" w:color="auto" w:fill="CCE8CF"/>
          </w:tcPr>
          <w:p w14:paraId="138153AC">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 </w:t>
            </w:r>
          </w:p>
        </w:tc>
      </w:tr>
      <w:tr w14:paraId="3CAFDBEA">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77" w:type="dxa"/>
            <w:tcBorders>
              <w:top w:val="outset" w:color="auto" w:sz="6" w:space="0"/>
              <w:left w:val="outset" w:color="auto" w:sz="6" w:space="0"/>
              <w:bottom w:val="outset" w:color="auto" w:sz="6" w:space="0"/>
              <w:right w:val="outset" w:color="auto" w:sz="6" w:space="0"/>
            </w:tcBorders>
            <w:shd w:val="clear" w:color="auto" w:fill="CCE8CF"/>
          </w:tcPr>
          <w:p w14:paraId="0A50E633">
            <w:pPr>
              <w:widowControl/>
              <w:snapToGrid w:val="0"/>
              <w:spacing w:before="100" w:beforeAutospacing="1" w:after="100" w:afterAutospacing="1"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大肠杆菌</w:t>
            </w:r>
          </w:p>
        </w:tc>
        <w:tc>
          <w:tcPr>
            <w:tcW w:w="1984" w:type="dxa"/>
            <w:tcBorders>
              <w:top w:val="outset" w:color="auto" w:sz="6" w:space="0"/>
              <w:left w:val="outset" w:color="auto" w:sz="6" w:space="0"/>
              <w:bottom w:val="outset" w:color="auto" w:sz="6" w:space="0"/>
              <w:right w:val="outset" w:color="auto" w:sz="6" w:space="0"/>
            </w:tcBorders>
            <w:shd w:val="clear" w:color="auto" w:fill="CCE8CF"/>
          </w:tcPr>
          <w:p w14:paraId="0BC56405">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 </w:t>
            </w:r>
          </w:p>
        </w:tc>
      </w:tr>
      <w:tr w14:paraId="1A1BD7B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77" w:type="dxa"/>
            <w:tcBorders>
              <w:top w:val="outset" w:color="auto" w:sz="6" w:space="0"/>
              <w:left w:val="outset" w:color="auto" w:sz="6" w:space="0"/>
              <w:bottom w:val="outset" w:color="auto" w:sz="6" w:space="0"/>
              <w:right w:val="outset" w:color="auto" w:sz="6" w:space="0"/>
            </w:tcBorders>
            <w:shd w:val="clear" w:color="auto" w:fill="CCE8CF"/>
          </w:tcPr>
          <w:p w14:paraId="7BAF0C3A">
            <w:pPr>
              <w:widowControl/>
              <w:snapToGrid w:val="0"/>
              <w:spacing w:before="100" w:beforeAutospacing="1" w:after="100" w:afterAutospacing="1"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流感嗜血杆菌</w:t>
            </w:r>
          </w:p>
        </w:tc>
        <w:tc>
          <w:tcPr>
            <w:tcW w:w="1984" w:type="dxa"/>
            <w:tcBorders>
              <w:top w:val="outset" w:color="auto" w:sz="6" w:space="0"/>
              <w:left w:val="outset" w:color="auto" w:sz="6" w:space="0"/>
              <w:bottom w:val="outset" w:color="auto" w:sz="6" w:space="0"/>
              <w:right w:val="outset" w:color="auto" w:sz="6" w:space="0"/>
            </w:tcBorders>
            <w:shd w:val="clear" w:color="auto" w:fill="CCE8CF"/>
          </w:tcPr>
          <w:p w14:paraId="50B7D4E1">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 </w:t>
            </w:r>
          </w:p>
        </w:tc>
      </w:tr>
      <w:tr w14:paraId="7CB37C8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77" w:type="dxa"/>
            <w:tcBorders>
              <w:top w:val="outset" w:color="auto" w:sz="6" w:space="0"/>
              <w:left w:val="outset" w:color="auto" w:sz="6" w:space="0"/>
              <w:bottom w:val="outset" w:color="auto" w:sz="6" w:space="0"/>
              <w:right w:val="outset" w:color="auto" w:sz="6" w:space="0"/>
            </w:tcBorders>
            <w:shd w:val="clear" w:color="auto" w:fill="CCE8CF"/>
          </w:tcPr>
          <w:p w14:paraId="56BD8A9E">
            <w:pPr>
              <w:widowControl/>
              <w:snapToGrid w:val="0"/>
              <w:spacing w:before="100" w:beforeAutospacing="1" w:after="100" w:afterAutospacing="1"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乳杆菌</w:t>
            </w:r>
          </w:p>
        </w:tc>
        <w:tc>
          <w:tcPr>
            <w:tcW w:w="1984" w:type="dxa"/>
            <w:tcBorders>
              <w:top w:val="outset" w:color="auto" w:sz="6" w:space="0"/>
              <w:left w:val="outset" w:color="auto" w:sz="6" w:space="0"/>
              <w:bottom w:val="outset" w:color="auto" w:sz="6" w:space="0"/>
              <w:right w:val="outset" w:color="auto" w:sz="6" w:space="0"/>
            </w:tcBorders>
            <w:shd w:val="clear" w:color="auto" w:fill="CCE8CF"/>
          </w:tcPr>
          <w:p w14:paraId="174E99D0">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 </w:t>
            </w:r>
          </w:p>
        </w:tc>
      </w:tr>
      <w:tr w14:paraId="24A795B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77" w:type="dxa"/>
            <w:tcBorders>
              <w:top w:val="outset" w:color="auto" w:sz="6" w:space="0"/>
              <w:left w:val="outset" w:color="auto" w:sz="6" w:space="0"/>
              <w:bottom w:val="outset" w:color="auto" w:sz="6" w:space="0"/>
              <w:right w:val="outset" w:color="auto" w:sz="6" w:space="0"/>
            </w:tcBorders>
            <w:shd w:val="clear" w:color="auto" w:fill="CCE8CF"/>
            <w:vAlign w:val="bottom"/>
          </w:tcPr>
          <w:p w14:paraId="4DAB4ACE">
            <w:pPr>
              <w:widowControl/>
              <w:snapToGrid w:val="0"/>
              <w:spacing w:line="280" w:lineRule="exact"/>
              <w:jc w:val="left"/>
              <w:rPr>
                <w:rFonts w:ascii="Arial" w:hAnsi="Arial" w:eastAsia="宋体" w:cs="Arial"/>
                <w:iCs/>
                <w:color w:val="000000"/>
                <w:kern w:val="0"/>
                <w:sz w:val="24"/>
                <w:szCs w:val="24"/>
              </w:rPr>
            </w:pPr>
            <w:r>
              <w:rPr>
                <w:rFonts w:ascii="Arial" w:hAnsi="Arial" w:eastAsia="宋体" w:cs="Arial"/>
                <w:iCs/>
                <w:color w:val="000000"/>
                <w:kern w:val="0"/>
                <w:sz w:val="24"/>
                <w:szCs w:val="24"/>
              </w:rPr>
              <w:t>军团杆菌</w:t>
            </w:r>
          </w:p>
        </w:tc>
        <w:tc>
          <w:tcPr>
            <w:tcW w:w="1984" w:type="dxa"/>
            <w:tcBorders>
              <w:top w:val="outset" w:color="auto" w:sz="6" w:space="0"/>
              <w:left w:val="outset" w:color="auto" w:sz="6" w:space="0"/>
              <w:bottom w:val="outset" w:color="auto" w:sz="6" w:space="0"/>
              <w:right w:val="outset" w:color="auto" w:sz="6" w:space="0"/>
            </w:tcBorders>
            <w:shd w:val="clear" w:color="auto" w:fill="CCE8CF"/>
          </w:tcPr>
          <w:p w14:paraId="16C9BE71">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 </w:t>
            </w:r>
          </w:p>
        </w:tc>
      </w:tr>
      <w:tr w14:paraId="7244A2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77" w:type="dxa"/>
            <w:tcBorders>
              <w:top w:val="outset" w:color="auto" w:sz="6" w:space="0"/>
              <w:left w:val="outset" w:color="auto" w:sz="6" w:space="0"/>
              <w:bottom w:val="outset" w:color="auto" w:sz="6" w:space="0"/>
              <w:right w:val="outset" w:color="auto" w:sz="6" w:space="0"/>
            </w:tcBorders>
            <w:shd w:val="clear" w:color="auto" w:fill="CCE8CF"/>
          </w:tcPr>
          <w:p w14:paraId="73DEC905">
            <w:pPr>
              <w:widowControl/>
              <w:snapToGrid w:val="0"/>
              <w:spacing w:before="100" w:beforeAutospacing="1" w:after="100" w:afterAutospacing="1"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卡他莫拉菌</w:t>
            </w:r>
          </w:p>
        </w:tc>
        <w:tc>
          <w:tcPr>
            <w:tcW w:w="1984" w:type="dxa"/>
            <w:tcBorders>
              <w:top w:val="outset" w:color="auto" w:sz="6" w:space="0"/>
              <w:left w:val="outset" w:color="auto" w:sz="6" w:space="0"/>
              <w:bottom w:val="outset" w:color="auto" w:sz="6" w:space="0"/>
              <w:right w:val="outset" w:color="auto" w:sz="6" w:space="0"/>
            </w:tcBorders>
            <w:shd w:val="clear" w:color="auto" w:fill="CCE8CF"/>
          </w:tcPr>
          <w:p w14:paraId="36F45915">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 </w:t>
            </w:r>
          </w:p>
        </w:tc>
      </w:tr>
      <w:tr w14:paraId="1C77F62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77" w:type="dxa"/>
            <w:tcBorders>
              <w:top w:val="outset" w:color="auto" w:sz="6" w:space="0"/>
              <w:left w:val="outset" w:color="auto" w:sz="6" w:space="0"/>
              <w:bottom w:val="outset" w:color="auto" w:sz="6" w:space="0"/>
              <w:right w:val="outset" w:color="auto" w:sz="6" w:space="0"/>
            </w:tcBorders>
            <w:shd w:val="clear" w:color="auto" w:fill="CCE8CF"/>
          </w:tcPr>
          <w:p w14:paraId="3E913000">
            <w:pPr>
              <w:widowControl/>
              <w:snapToGrid w:val="0"/>
              <w:spacing w:before="100" w:beforeAutospacing="1" w:after="100" w:afterAutospacing="1"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无毒结核分枝杆菌</w:t>
            </w:r>
          </w:p>
        </w:tc>
        <w:tc>
          <w:tcPr>
            <w:tcW w:w="1984" w:type="dxa"/>
            <w:tcBorders>
              <w:top w:val="outset" w:color="auto" w:sz="6" w:space="0"/>
              <w:left w:val="outset" w:color="auto" w:sz="6" w:space="0"/>
              <w:bottom w:val="outset" w:color="auto" w:sz="6" w:space="0"/>
              <w:right w:val="outset" w:color="auto" w:sz="6" w:space="0"/>
            </w:tcBorders>
            <w:shd w:val="clear" w:color="auto" w:fill="CCE8CF"/>
          </w:tcPr>
          <w:p w14:paraId="071DEC8D">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 </w:t>
            </w:r>
          </w:p>
        </w:tc>
      </w:tr>
      <w:tr w14:paraId="5C12BAF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77" w:type="dxa"/>
            <w:tcBorders>
              <w:top w:val="outset" w:color="auto" w:sz="6" w:space="0"/>
              <w:left w:val="outset" w:color="auto" w:sz="6" w:space="0"/>
              <w:bottom w:val="outset" w:color="auto" w:sz="6" w:space="0"/>
              <w:right w:val="outset" w:color="auto" w:sz="6" w:space="0"/>
            </w:tcBorders>
            <w:shd w:val="clear" w:color="auto" w:fill="CCE8CF"/>
          </w:tcPr>
          <w:p w14:paraId="18716ECF">
            <w:pPr>
              <w:widowControl/>
              <w:snapToGrid w:val="0"/>
              <w:spacing w:before="100" w:beforeAutospacing="1" w:after="100" w:afterAutospacing="1"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肺炎支原体</w:t>
            </w:r>
          </w:p>
        </w:tc>
        <w:tc>
          <w:tcPr>
            <w:tcW w:w="1984" w:type="dxa"/>
            <w:tcBorders>
              <w:top w:val="outset" w:color="auto" w:sz="6" w:space="0"/>
              <w:left w:val="outset" w:color="auto" w:sz="6" w:space="0"/>
              <w:bottom w:val="outset" w:color="auto" w:sz="6" w:space="0"/>
              <w:right w:val="outset" w:color="auto" w:sz="6" w:space="0"/>
            </w:tcBorders>
            <w:shd w:val="clear" w:color="auto" w:fill="CCE8CF"/>
          </w:tcPr>
          <w:p w14:paraId="44182DE2">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 </w:t>
            </w:r>
          </w:p>
        </w:tc>
      </w:tr>
      <w:tr w14:paraId="72FEC32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77" w:type="dxa"/>
            <w:tcBorders>
              <w:top w:val="outset" w:color="auto" w:sz="6" w:space="0"/>
              <w:left w:val="outset" w:color="auto" w:sz="6" w:space="0"/>
              <w:bottom w:val="outset" w:color="auto" w:sz="6" w:space="0"/>
              <w:right w:val="outset" w:color="auto" w:sz="6" w:space="0"/>
            </w:tcBorders>
            <w:shd w:val="clear" w:color="auto" w:fill="CCE8CF"/>
          </w:tcPr>
          <w:p w14:paraId="04A81FD6">
            <w:pPr>
              <w:widowControl/>
              <w:snapToGrid w:val="0"/>
              <w:spacing w:before="100" w:beforeAutospacing="1" w:after="100" w:afterAutospacing="1"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脑膜炎奈瑟菌</w:t>
            </w:r>
          </w:p>
        </w:tc>
        <w:tc>
          <w:tcPr>
            <w:tcW w:w="1984" w:type="dxa"/>
            <w:tcBorders>
              <w:top w:val="outset" w:color="auto" w:sz="6" w:space="0"/>
              <w:left w:val="outset" w:color="auto" w:sz="6" w:space="0"/>
              <w:bottom w:val="outset" w:color="auto" w:sz="6" w:space="0"/>
              <w:right w:val="outset" w:color="auto" w:sz="6" w:space="0"/>
            </w:tcBorders>
            <w:shd w:val="clear" w:color="auto" w:fill="CCE8CF"/>
          </w:tcPr>
          <w:p w14:paraId="520D34E6">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 </w:t>
            </w:r>
          </w:p>
        </w:tc>
      </w:tr>
      <w:tr w14:paraId="04831AD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77" w:type="dxa"/>
            <w:tcBorders>
              <w:top w:val="outset" w:color="auto" w:sz="6" w:space="0"/>
              <w:left w:val="outset" w:color="auto" w:sz="6" w:space="0"/>
              <w:bottom w:val="outset" w:color="auto" w:sz="6" w:space="0"/>
              <w:right w:val="outset" w:color="auto" w:sz="6" w:space="0"/>
            </w:tcBorders>
            <w:shd w:val="clear" w:color="auto" w:fill="CCE8CF"/>
          </w:tcPr>
          <w:p w14:paraId="6AE2EDE8">
            <w:pPr>
              <w:widowControl/>
              <w:snapToGrid w:val="0"/>
              <w:spacing w:before="100" w:beforeAutospacing="1" w:after="100" w:afterAutospacing="1"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淋球菌</w:t>
            </w:r>
          </w:p>
        </w:tc>
        <w:tc>
          <w:tcPr>
            <w:tcW w:w="1984" w:type="dxa"/>
            <w:tcBorders>
              <w:top w:val="outset" w:color="auto" w:sz="6" w:space="0"/>
              <w:left w:val="outset" w:color="auto" w:sz="6" w:space="0"/>
              <w:bottom w:val="outset" w:color="auto" w:sz="6" w:space="0"/>
              <w:right w:val="outset" w:color="auto" w:sz="6" w:space="0"/>
            </w:tcBorders>
            <w:shd w:val="clear" w:color="auto" w:fill="CCE8CF"/>
          </w:tcPr>
          <w:p w14:paraId="2825D56C">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 </w:t>
            </w:r>
          </w:p>
        </w:tc>
      </w:tr>
      <w:tr w14:paraId="729D5B3B">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77" w:type="dxa"/>
            <w:tcBorders>
              <w:top w:val="outset" w:color="auto" w:sz="6" w:space="0"/>
              <w:left w:val="outset" w:color="auto" w:sz="6" w:space="0"/>
              <w:bottom w:val="outset" w:color="auto" w:sz="6" w:space="0"/>
              <w:right w:val="outset" w:color="auto" w:sz="6" w:space="0"/>
            </w:tcBorders>
            <w:shd w:val="clear" w:color="auto" w:fill="CCE8CF"/>
          </w:tcPr>
          <w:p w14:paraId="0BFEB233">
            <w:pPr>
              <w:widowControl/>
              <w:snapToGrid w:val="0"/>
              <w:spacing w:before="100" w:beforeAutospacing="1" w:after="100" w:afterAutospacing="1"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铜绿假单胞菌</w:t>
            </w:r>
          </w:p>
        </w:tc>
        <w:tc>
          <w:tcPr>
            <w:tcW w:w="1984" w:type="dxa"/>
            <w:tcBorders>
              <w:top w:val="outset" w:color="auto" w:sz="6" w:space="0"/>
              <w:left w:val="outset" w:color="auto" w:sz="6" w:space="0"/>
              <w:bottom w:val="outset" w:color="auto" w:sz="6" w:space="0"/>
              <w:right w:val="outset" w:color="auto" w:sz="6" w:space="0"/>
            </w:tcBorders>
            <w:shd w:val="clear" w:color="auto" w:fill="CCE8CF"/>
          </w:tcPr>
          <w:p w14:paraId="6F64ED69">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 </w:t>
            </w:r>
          </w:p>
        </w:tc>
      </w:tr>
      <w:tr w14:paraId="1D6A2BB1">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77" w:type="dxa"/>
            <w:tcBorders>
              <w:top w:val="outset" w:color="auto" w:sz="6" w:space="0"/>
              <w:left w:val="outset" w:color="auto" w:sz="6" w:space="0"/>
              <w:bottom w:val="outset" w:color="auto" w:sz="6" w:space="0"/>
              <w:right w:val="outset" w:color="auto" w:sz="6" w:space="0"/>
            </w:tcBorders>
            <w:shd w:val="clear" w:color="auto" w:fill="CCE8CF"/>
          </w:tcPr>
          <w:p w14:paraId="6E82426A">
            <w:pPr>
              <w:widowControl/>
              <w:snapToGrid w:val="0"/>
              <w:spacing w:before="100" w:beforeAutospacing="1" w:after="100" w:afterAutospacing="1"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金黄色葡萄球菌</w:t>
            </w:r>
          </w:p>
        </w:tc>
        <w:tc>
          <w:tcPr>
            <w:tcW w:w="1984" w:type="dxa"/>
            <w:tcBorders>
              <w:top w:val="outset" w:color="auto" w:sz="6" w:space="0"/>
              <w:left w:val="outset" w:color="auto" w:sz="6" w:space="0"/>
              <w:bottom w:val="outset" w:color="auto" w:sz="6" w:space="0"/>
              <w:right w:val="outset" w:color="auto" w:sz="6" w:space="0"/>
            </w:tcBorders>
            <w:shd w:val="clear" w:color="auto" w:fill="CCE8CF"/>
          </w:tcPr>
          <w:p w14:paraId="00E7F82A">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 xml:space="preserve">产生蛋白A </w:t>
            </w:r>
          </w:p>
        </w:tc>
      </w:tr>
      <w:tr w14:paraId="1CD759EC">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77" w:type="dxa"/>
            <w:tcBorders>
              <w:top w:val="outset" w:color="auto" w:sz="6" w:space="0"/>
              <w:left w:val="outset" w:color="auto" w:sz="6" w:space="0"/>
              <w:bottom w:val="outset" w:color="auto" w:sz="6" w:space="0"/>
              <w:right w:val="outset" w:color="auto" w:sz="6" w:space="0"/>
            </w:tcBorders>
            <w:shd w:val="clear" w:color="auto" w:fill="CCE8CF"/>
          </w:tcPr>
          <w:p w14:paraId="695CBD61">
            <w:pPr>
              <w:widowControl/>
              <w:snapToGrid w:val="0"/>
              <w:spacing w:before="100" w:beforeAutospacing="1" w:after="100" w:afterAutospacing="1"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表皮葡萄球菌</w:t>
            </w:r>
          </w:p>
        </w:tc>
        <w:tc>
          <w:tcPr>
            <w:tcW w:w="1984" w:type="dxa"/>
            <w:tcBorders>
              <w:top w:val="outset" w:color="auto" w:sz="6" w:space="0"/>
              <w:left w:val="outset" w:color="auto" w:sz="6" w:space="0"/>
              <w:bottom w:val="outset" w:color="auto" w:sz="6" w:space="0"/>
              <w:right w:val="outset" w:color="auto" w:sz="6" w:space="0"/>
            </w:tcBorders>
            <w:shd w:val="clear" w:color="auto" w:fill="CCE8CF"/>
          </w:tcPr>
          <w:p w14:paraId="46FC9D4B">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 </w:t>
            </w:r>
          </w:p>
        </w:tc>
      </w:tr>
      <w:tr w14:paraId="7233034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77" w:type="dxa"/>
            <w:tcBorders>
              <w:top w:val="outset" w:color="auto" w:sz="6" w:space="0"/>
              <w:left w:val="outset" w:color="auto" w:sz="6" w:space="0"/>
              <w:bottom w:val="outset" w:color="auto" w:sz="6" w:space="0"/>
              <w:right w:val="outset" w:color="auto" w:sz="6" w:space="0"/>
            </w:tcBorders>
            <w:shd w:val="clear" w:color="auto" w:fill="CCE8CF"/>
          </w:tcPr>
          <w:p w14:paraId="022070B0">
            <w:pPr>
              <w:widowControl/>
              <w:snapToGrid w:val="0"/>
              <w:spacing w:before="100" w:beforeAutospacing="1" w:after="100" w:afterAutospacing="1"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肺炎链球菌</w:t>
            </w:r>
          </w:p>
        </w:tc>
        <w:tc>
          <w:tcPr>
            <w:tcW w:w="1984" w:type="dxa"/>
            <w:tcBorders>
              <w:top w:val="outset" w:color="auto" w:sz="6" w:space="0"/>
              <w:left w:val="outset" w:color="auto" w:sz="6" w:space="0"/>
              <w:bottom w:val="outset" w:color="auto" w:sz="6" w:space="0"/>
              <w:right w:val="outset" w:color="auto" w:sz="6" w:space="0"/>
            </w:tcBorders>
            <w:shd w:val="clear" w:color="auto" w:fill="CCE8CF"/>
          </w:tcPr>
          <w:p w14:paraId="3BE5939E">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 </w:t>
            </w:r>
          </w:p>
        </w:tc>
      </w:tr>
      <w:tr w14:paraId="405F29A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77" w:type="dxa"/>
            <w:tcBorders>
              <w:top w:val="outset" w:color="auto" w:sz="6" w:space="0"/>
              <w:left w:val="outset" w:color="auto" w:sz="6" w:space="0"/>
              <w:bottom w:val="outset" w:color="auto" w:sz="6" w:space="0"/>
              <w:right w:val="outset" w:color="auto" w:sz="6" w:space="0"/>
            </w:tcBorders>
            <w:shd w:val="clear" w:color="auto" w:fill="CCE8CF"/>
          </w:tcPr>
          <w:p w14:paraId="427E16F4">
            <w:pPr>
              <w:widowControl/>
              <w:snapToGrid w:val="0"/>
              <w:spacing w:before="100" w:beforeAutospacing="1" w:after="100" w:afterAutospacing="1"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化脓链球菌</w:t>
            </w:r>
          </w:p>
        </w:tc>
        <w:tc>
          <w:tcPr>
            <w:tcW w:w="1984" w:type="dxa"/>
            <w:tcBorders>
              <w:top w:val="outset" w:color="auto" w:sz="6" w:space="0"/>
              <w:left w:val="outset" w:color="auto" w:sz="6" w:space="0"/>
              <w:bottom w:val="outset" w:color="auto" w:sz="6" w:space="0"/>
              <w:right w:val="outset" w:color="auto" w:sz="6" w:space="0"/>
            </w:tcBorders>
            <w:shd w:val="clear" w:color="auto" w:fill="CCE8CF"/>
          </w:tcPr>
          <w:p w14:paraId="01B85DD5">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 </w:t>
            </w:r>
          </w:p>
        </w:tc>
      </w:tr>
      <w:tr w14:paraId="07276DFE">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4977" w:type="dxa"/>
            <w:tcBorders>
              <w:top w:val="outset" w:color="auto" w:sz="6" w:space="0"/>
              <w:left w:val="outset" w:color="auto" w:sz="6" w:space="0"/>
              <w:bottom w:val="outset" w:color="auto" w:sz="6" w:space="0"/>
              <w:right w:val="outset" w:color="auto" w:sz="6" w:space="0"/>
            </w:tcBorders>
            <w:shd w:val="clear" w:color="auto" w:fill="CCE8CF"/>
          </w:tcPr>
          <w:p w14:paraId="0A9BEF9F">
            <w:pPr>
              <w:widowControl/>
              <w:snapToGrid w:val="0"/>
              <w:spacing w:before="100" w:beforeAutospacing="1" w:after="100" w:afterAutospacing="1"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唾液链球菌</w:t>
            </w:r>
          </w:p>
        </w:tc>
        <w:tc>
          <w:tcPr>
            <w:tcW w:w="1984" w:type="dxa"/>
            <w:tcBorders>
              <w:top w:val="outset" w:color="auto" w:sz="6" w:space="0"/>
              <w:left w:val="outset" w:color="auto" w:sz="6" w:space="0"/>
              <w:bottom w:val="outset" w:color="auto" w:sz="6" w:space="0"/>
              <w:right w:val="outset" w:color="auto" w:sz="6" w:space="0"/>
            </w:tcBorders>
            <w:shd w:val="clear" w:color="auto" w:fill="CCE8CF"/>
          </w:tcPr>
          <w:p w14:paraId="182B7D58">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 </w:t>
            </w:r>
          </w:p>
        </w:tc>
      </w:tr>
    </w:tbl>
    <w:p w14:paraId="36ED480E">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 我们建议贵公司在交叉反应研究中纳入人冠状病毒的OC43和229E株。</w:t>
      </w:r>
    </w:p>
    <w:p w14:paraId="1591DD57">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此外，我们建议贵公司研究该检测与疫苗，如活的减毒流感病毒疫苗（流感疫苗鼻喷雾剂）的交叉反应性时，考虑可能有来自使用过疫苗的个例患者，可能出现反应性的检测结果。</w:t>
      </w:r>
    </w:p>
    <w:p w14:paraId="4C169940">
      <w:pPr>
        <w:widowControl/>
        <w:snapToGrid w:val="0"/>
        <w:spacing w:line="300" w:lineRule="auto"/>
        <w:jc w:val="left"/>
        <w:outlineLvl w:val="5"/>
        <w:rPr>
          <w:rFonts w:ascii="Arial" w:hAnsi="Arial" w:eastAsia="宋体" w:cs="Arial"/>
          <w:b/>
          <w:bCs/>
          <w:i/>
          <w:color w:val="000000"/>
          <w:kern w:val="0"/>
          <w:sz w:val="28"/>
          <w:szCs w:val="28"/>
        </w:rPr>
      </w:pPr>
      <w:r>
        <w:rPr>
          <w:rFonts w:ascii="Arial" w:hAnsi="Arial" w:eastAsia="宋体" w:cs="Arial"/>
          <w:b/>
          <w:bCs/>
          <w:i/>
          <w:color w:val="000000"/>
          <w:kern w:val="0"/>
          <w:sz w:val="28"/>
          <w:szCs w:val="28"/>
        </w:rPr>
        <w:t>干扰物质</w:t>
      </w:r>
    </w:p>
    <w:p w14:paraId="311F69CA">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贵公司应使用医疗相关浓度的干扰物质和每种流感类型的至少两种毒株进行全面的干扰研究，以评估呼吸道样本中所含物质的潜在抑制作用。</w:t>
      </w:r>
    </w:p>
    <w:p w14:paraId="71D28B40">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潜在的干扰物质包括但不限于：血液，鼻分泌物或粘液、用于缓解鼻塞和咽部充血、鼻腔干燥、刺激、哮喘和过敏症状的药物。潜在的干扰物质如表3所示。建议在每种流感病毒的检测临界值水平对每种干扰物质的干扰影响进行测定。我们还建议在每种干扰物质的潜在最大浓度（“最差条件”）下进行评价。如果没有观察到显著的临床有效性，则不需要进一步的检测。更多相关信息，请参阅CLSI文件EP7-A2。</w:t>
      </w:r>
    </w:p>
    <w:p w14:paraId="2CE0E343">
      <w:pPr>
        <w:widowControl/>
        <w:snapToGrid w:val="0"/>
        <w:spacing w:line="300" w:lineRule="auto"/>
        <w:jc w:val="left"/>
        <w:rPr>
          <w:rFonts w:ascii="Arial" w:hAnsi="Arial" w:eastAsia="宋体" w:cs="Arial"/>
          <w:b/>
          <w:color w:val="000000"/>
          <w:kern w:val="0"/>
          <w:sz w:val="24"/>
          <w:szCs w:val="24"/>
        </w:rPr>
      </w:pPr>
      <w:r>
        <w:rPr>
          <w:rFonts w:ascii="Arial" w:hAnsi="Arial" w:eastAsia="宋体" w:cs="Arial"/>
          <w:b/>
          <w:color w:val="000000"/>
          <w:kern w:val="0"/>
          <w:sz w:val="24"/>
          <w:szCs w:val="24"/>
        </w:rPr>
        <w:t xml:space="preserve">表3. </w:t>
      </w:r>
      <w:r>
        <w:rPr>
          <w:rFonts w:ascii="Arial" w:hAnsi="Arial" w:eastAsia="宋体" w:cs="Arial"/>
          <w:b/>
          <w:bCs/>
          <w:color w:val="000000"/>
          <w:kern w:val="0"/>
          <w:sz w:val="24"/>
          <w:szCs w:val="24"/>
        </w:rPr>
        <w:t>建议用于干扰研究的物质</w:t>
      </w:r>
    </w:p>
    <w:tbl>
      <w:tblPr>
        <w:tblStyle w:val="11"/>
        <w:tblW w:w="0" w:type="auto"/>
        <w:jc w:val="center"/>
        <w:tblCellSpacing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CCE8CF"/>
        <w:tblLayout w:type="autofit"/>
        <w:tblCellMar>
          <w:top w:w="0" w:type="dxa"/>
          <w:left w:w="0" w:type="dxa"/>
          <w:bottom w:w="0" w:type="dxa"/>
          <w:right w:w="0" w:type="dxa"/>
        </w:tblCellMar>
      </w:tblPr>
      <w:tblGrid>
        <w:gridCol w:w="2751"/>
        <w:gridCol w:w="6776"/>
      </w:tblGrid>
      <w:tr w14:paraId="0F03B50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shd w:val="clear" w:color="auto" w:fill="CCE8CF"/>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vAlign w:val="center"/>
          </w:tcPr>
          <w:p w14:paraId="092D7EC3">
            <w:pPr>
              <w:widowControl/>
              <w:snapToGrid w:val="0"/>
              <w:spacing w:before="100" w:beforeAutospacing="1" w:after="100" w:afterAutospacing="1" w:line="280" w:lineRule="exact"/>
              <w:jc w:val="center"/>
              <w:rPr>
                <w:rFonts w:ascii="Arial" w:hAnsi="Arial" w:eastAsia="宋体" w:cs="Arial"/>
                <w:color w:val="000000"/>
                <w:kern w:val="0"/>
                <w:sz w:val="24"/>
                <w:szCs w:val="24"/>
              </w:rPr>
            </w:pPr>
            <w:r>
              <w:rPr>
                <w:rFonts w:ascii="Arial" w:hAnsi="Arial" w:eastAsia="宋体" w:cs="Arial"/>
                <w:b/>
                <w:bCs/>
                <w:color w:val="000000"/>
                <w:kern w:val="0"/>
                <w:sz w:val="24"/>
                <w:szCs w:val="24"/>
              </w:rPr>
              <w:t>物质</w:t>
            </w:r>
          </w:p>
        </w:tc>
        <w:tc>
          <w:tcPr>
            <w:tcW w:w="0" w:type="auto"/>
            <w:tcBorders>
              <w:top w:val="outset" w:color="auto" w:sz="6" w:space="0"/>
              <w:left w:val="outset" w:color="auto" w:sz="6" w:space="0"/>
              <w:bottom w:val="outset" w:color="auto" w:sz="6" w:space="0"/>
              <w:right w:val="outset" w:color="auto" w:sz="6" w:space="0"/>
            </w:tcBorders>
            <w:shd w:val="clear" w:color="auto" w:fill="CCE8CF"/>
            <w:vAlign w:val="center"/>
          </w:tcPr>
          <w:p w14:paraId="598BFE48">
            <w:pPr>
              <w:widowControl/>
              <w:snapToGrid w:val="0"/>
              <w:spacing w:before="100" w:beforeAutospacing="1" w:after="100" w:afterAutospacing="1" w:line="280" w:lineRule="exact"/>
              <w:jc w:val="center"/>
              <w:rPr>
                <w:rFonts w:ascii="Arial" w:hAnsi="Arial" w:eastAsia="宋体" w:cs="Arial"/>
                <w:color w:val="000000"/>
                <w:kern w:val="0"/>
                <w:sz w:val="24"/>
                <w:szCs w:val="24"/>
              </w:rPr>
            </w:pPr>
            <w:r>
              <w:rPr>
                <w:rFonts w:ascii="Arial" w:hAnsi="Arial" w:eastAsia="宋体" w:cs="Arial"/>
                <w:b/>
                <w:bCs/>
                <w:color w:val="000000"/>
                <w:kern w:val="0"/>
                <w:sz w:val="24"/>
                <w:szCs w:val="24"/>
              </w:rPr>
              <w:t>活性成分</w:t>
            </w:r>
          </w:p>
        </w:tc>
      </w:tr>
      <w:tr w14:paraId="2816FDF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5CDBCB7D">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粘蛋白：</w:t>
            </w:r>
          </w:p>
          <w:p w14:paraId="1F82BDB5">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牛颌下腺，I-S型</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20F4FB2B">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纯化粘蛋白</w:t>
            </w:r>
          </w:p>
        </w:tc>
      </w:tr>
      <w:tr w14:paraId="662FC7B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456D7CAE">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血液（人类）</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41FE0DC8">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 </w:t>
            </w:r>
          </w:p>
        </w:tc>
      </w:tr>
      <w:tr w14:paraId="1819FC8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vAlign w:val="center"/>
          </w:tcPr>
          <w:p w14:paraId="2F5FE5F4">
            <w:pPr>
              <w:widowControl/>
              <w:snapToGrid w:val="0"/>
              <w:spacing w:before="100" w:beforeAutospacing="1" w:after="100" w:afterAutospacing="1"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鼻腔喷雾剂或滴鼻剂</w:t>
            </w:r>
          </w:p>
        </w:tc>
        <w:tc>
          <w:tcPr>
            <w:tcW w:w="0" w:type="auto"/>
            <w:tcBorders>
              <w:top w:val="outset" w:color="auto" w:sz="6" w:space="0"/>
              <w:left w:val="outset" w:color="auto" w:sz="6" w:space="0"/>
              <w:bottom w:val="outset" w:color="auto" w:sz="6" w:space="0"/>
              <w:right w:val="outset" w:color="auto" w:sz="6" w:space="0"/>
            </w:tcBorders>
            <w:shd w:val="clear" w:color="auto" w:fill="CCE8CF"/>
            <w:vAlign w:val="center"/>
          </w:tcPr>
          <w:p w14:paraId="65D3EFD9">
            <w:pPr>
              <w:widowControl/>
              <w:snapToGrid w:val="0"/>
              <w:spacing w:before="100" w:beforeAutospacing="1" w:after="100" w:afterAutospacing="1"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肾上腺素、羟甲唑啉、含防腐剂的氯化钠溶液</w:t>
            </w:r>
          </w:p>
        </w:tc>
      </w:tr>
      <w:tr w14:paraId="3140BE13">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vAlign w:val="center"/>
          </w:tcPr>
          <w:p w14:paraId="1F8BE9E6">
            <w:pPr>
              <w:widowControl/>
              <w:snapToGrid w:val="0"/>
              <w:spacing w:before="100" w:beforeAutospacing="1" w:after="100" w:afterAutospacing="1"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鼻腔糖皮质激素</w:t>
            </w:r>
          </w:p>
        </w:tc>
        <w:tc>
          <w:tcPr>
            <w:tcW w:w="0" w:type="auto"/>
            <w:tcBorders>
              <w:top w:val="outset" w:color="auto" w:sz="6" w:space="0"/>
              <w:left w:val="outset" w:color="auto" w:sz="6" w:space="0"/>
              <w:bottom w:val="outset" w:color="auto" w:sz="6" w:space="0"/>
              <w:right w:val="outset" w:color="auto" w:sz="6" w:space="0"/>
            </w:tcBorders>
            <w:shd w:val="clear" w:color="auto" w:fill="CCE8CF"/>
            <w:vAlign w:val="center"/>
          </w:tcPr>
          <w:p w14:paraId="6B8BD5DC">
            <w:pPr>
              <w:widowControl/>
              <w:snapToGrid w:val="0"/>
              <w:spacing w:before="100" w:beforeAutospacing="1" w:after="100" w:afterAutospacing="1"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倍氯米松、地塞米松、氟尼缩松、曲安西龙、布地奈德、莫美他松、氟替卡松</w:t>
            </w:r>
          </w:p>
        </w:tc>
      </w:tr>
      <w:tr w14:paraId="2B406245">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vAlign w:val="center"/>
          </w:tcPr>
          <w:p w14:paraId="5BBA7C2A">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鼻用凝胶</w:t>
            </w:r>
          </w:p>
        </w:tc>
        <w:tc>
          <w:tcPr>
            <w:tcW w:w="0" w:type="auto"/>
            <w:tcBorders>
              <w:top w:val="outset" w:color="auto" w:sz="6" w:space="0"/>
              <w:left w:val="outset" w:color="auto" w:sz="6" w:space="0"/>
              <w:bottom w:val="outset" w:color="auto" w:sz="6" w:space="0"/>
              <w:right w:val="outset" w:color="auto" w:sz="6" w:space="0"/>
            </w:tcBorders>
            <w:shd w:val="clear" w:color="auto" w:fill="CCE8CF"/>
            <w:vAlign w:val="center"/>
          </w:tcPr>
          <w:p w14:paraId="6EBB652B">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具盖丝瓜，硫磺</w:t>
            </w:r>
          </w:p>
        </w:tc>
      </w:tr>
      <w:tr w14:paraId="446DC50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vAlign w:val="center"/>
          </w:tcPr>
          <w:p w14:paraId="0293652A">
            <w:pPr>
              <w:widowControl/>
              <w:snapToGrid w:val="0"/>
              <w:spacing w:before="100" w:beforeAutospacing="1" w:after="100" w:afterAutospacing="1" w:line="280" w:lineRule="exact"/>
              <w:jc w:val="left"/>
              <w:rPr>
                <w:rFonts w:ascii="Arial" w:hAnsi="Arial" w:eastAsia="宋体" w:cs="Arial"/>
                <w:kern w:val="0"/>
                <w:sz w:val="24"/>
                <w:szCs w:val="24"/>
              </w:rPr>
            </w:pPr>
            <w:r>
              <w:rPr>
                <w:rFonts w:ascii="Arial" w:hAnsi="Arial" w:eastAsia="宋体" w:cs="Arial"/>
                <w:kern w:val="0"/>
                <w:sz w:val="24"/>
                <w:szCs w:val="24"/>
              </w:rPr>
              <w:t>过敏性症状缓解药物</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53B535BC">
            <w:pPr>
              <w:widowControl/>
              <w:snapToGrid w:val="0"/>
              <w:spacing w:line="280" w:lineRule="exact"/>
              <w:jc w:val="left"/>
              <w:rPr>
                <w:rFonts w:ascii="Arial" w:hAnsi="Arial" w:eastAsia="宋体" w:cs="Arial"/>
                <w:kern w:val="0"/>
                <w:sz w:val="24"/>
                <w:szCs w:val="24"/>
              </w:rPr>
            </w:pPr>
            <w:r>
              <w:rPr>
                <w:rFonts w:ascii="Arial" w:hAnsi="Arial" w:eastAsia="宋体" w:cs="Arial"/>
                <w:sz w:val="24"/>
                <w:szCs w:val="24"/>
              </w:rPr>
              <w:t>金英，盐酸组胺</w:t>
            </w:r>
          </w:p>
        </w:tc>
      </w:tr>
      <w:tr w14:paraId="2215592D">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tcPr>
          <w:p w14:paraId="01E5611E">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FluMist©</w:t>
            </w:r>
          </w:p>
        </w:tc>
        <w:tc>
          <w:tcPr>
            <w:tcW w:w="0" w:type="auto"/>
            <w:tcBorders>
              <w:top w:val="outset" w:color="auto" w:sz="6" w:space="0"/>
              <w:left w:val="outset" w:color="auto" w:sz="6" w:space="0"/>
              <w:bottom w:val="outset" w:color="auto" w:sz="6" w:space="0"/>
              <w:right w:val="outset" w:color="auto" w:sz="6" w:space="0"/>
            </w:tcBorders>
            <w:shd w:val="clear" w:color="auto" w:fill="CCE8CF"/>
          </w:tcPr>
          <w:p w14:paraId="27AAEB02">
            <w:pPr>
              <w:widowControl/>
              <w:snapToGrid w:val="0"/>
              <w:spacing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鼻内流感病毒的活疫苗</w:t>
            </w:r>
          </w:p>
        </w:tc>
      </w:tr>
      <w:tr w14:paraId="6D393A2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vAlign w:val="center"/>
          </w:tcPr>
          <w:p w14:paraId="673EDC8B">
            <w:pPr>
              <w:widowControl/>
              <w:snapToGrid w:val="0"/>
              <w:spacing w:before="100" w:beforeAutospacing="1" w:after="100" w:afterAutospacing="1"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润喉片、口服麻醉剂和镇痛剂</w:t>
            </w:r>
          </w:p>
        </w:tc>
        <w:tc>
          <w:tcPr>
            <w:tcW w:w="0" w:type="auto"/>
            <w:tcBorders>
              <w:top w:val="outset" w:color="auto" w:sz="6" w:space="0"/>
              <w:left w:val="outset" w:color="auto" w:sz="6" w:space="0"/>
              <w:bottom w:val="outset" w:color="auto" w:sz="6" w:space="0"/>
              <w:right w:val="outset" w:color="auto" w:sz="6" w:space="0"/>
            </w:tcBorders>
            <w:shd w:val="clear" w:color="auto" w:fill="CCE8CF"/>
            <w:vAlign w:val="center"/>
          </w:tcPr>
          <w:p w14:paraId="534238A2">
            <w:pPr>
              <w:widowControl/>
              <w:snapToGrid w:val="0"/>
              <w:spacing w:before="100" w:beforeAutospacing="1" w:after="100" w:afterAutospacing="1"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苯唑卡因、薄荷脑</w:t>
            </w:r>
          </w:p>
        </w:tc>
      </w:tr>
      <w:tr w14:paraId="7776A134">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vAlign w:val="center"/>
          </w:tcPr>
          <w:p w14:paraId="01A0D10C">
            <w:pPr>
              <w:widowControl/>
              <w:snapToGrid w:val="0"/>
              <w:spacing w:before="100" w:beforeAutospacing="1" w:after="100" w:afterAutospacing="1"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抗病毒药物</w:t>
            </w:r>
          </w:p>
        </w:tc>
        <w:tc>
          <w:tcPr>
            <w:tcW w:w="0" w:type="auto"/>
            <w:tcBorders>
              <w:top w:val="outset" w:color="auto" w:sz="6" w:space="0"/>
              <w:left w:val="outset" w:color="auto" w:sz="6" w:space="0"/>
              <w:bottom w:val="outset" w:color="auto" w:sz="6" w:space="0"/>
              <w:right w:val="outset" w:color="auto" w:sz="6" w:space="0"/>
            </w:tcBorders>
            <w:shd w:val="clear" w:color="auto" w:fill="CCE8CF"/>
            <w:vAlign w:val="center"/>
          </w:tcPr>
          <w:p w14:paraId="367E30CA">
            <w:pPr>
              <w:widowControl/>
              <w:snapToGrid w:val="0"/>
              <w:spacing w:before="100" w:beforeAutospacing="1" w:after="100" w:afterAutospacing="1"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扎那米韦</w:t>
            </w:r>
          </w:p>
        </w:tc>
      </w:tr>
      <w:tr w14:paraId="74CBD9D6">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vAlign w:val="center"/>
          </w:tcPr>
          <w:p w14:paraId="2BC18171">
            <w:pPr>
              <w:widowControl/>
              <w:snapToGrid w:val="0"/>
              <w:spacing w:before="100" w:beforeAutospacing="1" w:after="100" w:afterAutospacing="1"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抗生素、鼻用软膏</w:t>
            </w:r>
          </w:p>
        </w:tc>
        <w:tc>
          <w:tcPr>
            <w:tcW w:w="0" w:type="auto"/>
            <w:tcBorders>
              <w:top w:val="outset" w:color="auto" w:sz="6" w:space="0"/>
              <w:left w:val="outset" w:color="auto" w:sz="6" w:space="0"/>
              <w:bottom w:val="outset" w:color="auto" w:sz="6" w:space="0"/>
              <w:right w:val="outset" w:color="auto" w:sz="6" w:space="0"/>
            </w:tcBorders>
            <w:shd w:val="clear" w:color="auto" w:fill="CCE8CF"/>
            <w:vAlign w:val="center"/>
          </w:tcPr>
          <w:p w14:paraId="1BD40A34">
            <w:pPr>
              <w:widowControl/>
              <w:snapToGrid w:val="0"/>
              <w:spacing w:before="100" w:beforeAutospacing="1" w:after="100" w:afterAutospacing="1"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莫匹罗星</w:t>
            </w:r>
          </w:p>
        </w:tc>
      </w:tr>
      <w:tr w14:paraId="7013FBB0">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0" w:type="auto"/>
            <w:tcBorders>
              <w:top w:val="outset" w:color="auto" w:sz="6" w:space="0"/>
              <w:left w:val="outset" w:color="auto" w:sz="6" w:space="0"/>
              <w:bottom w:val="outset" w:color="auto" w:sz="6" w:space="0"/>
              <w:right w:val="outset" w:color="auto" w:sz="6" w:space="0"/>
            </w:tcBorders>
            <w:shd w:val="clear" w:color="auto" w:fill="CCE8CF"/>
            <w:vAlign w:val="center"/>
          </w:tcPr>
          <w:p w14:paraId="5492283A">
            <w:pPr>
              <w:widowControl/>
              <w:snapToGrid w:val="0"/>
              <w:spacing w:before="100" w:beforeAutospacing="1" w:after="100" w:afterAutospacing="1"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全身抗菌药妥布霉素</w:t>
            </w:r>
          </w:p>
        </w:tc>
        <w:tc>
          <w:tcPr>
            <w:tcW w:w="0" w:type="auto"/>
            <w:tcBorders>
              <w:top w:val="outset" w:color="auto" w:sz="6" w:space="0"/>
              <w:left w:val="outset" w:color="auto" w:sz="6" w:space="0"/>
              <w:bottom w:val="outset" w:color="auto" w:sz="6" w:space="0"/>
              <w:right w:val="outset" w:color="auto" w:sz="6" w:space="0"/>
            </w:tcBorders>
            <w:shd w:val="clear" w:color="auto" w:fill="CCE8CF"/>
            <w:vAlign w:val="center"/>
          </w:tcPr>
          <w:p w14:paraId="5C4C2996">
            <w:pPr>
              <w:widowControl/>
              <w:snapToGrid w:val="0"/>
              <w:spacing w:before="100" w:beforeAutospacing="1" w:after="100" w:afterAutospacing="1" w:line="280" w:lineRule="exact"/>
              <w:jc w:val="left"/>
              <w:rPr>
                <w:rFonts w:ascii="Arial" w:hAnsi="Arial" w:eastAsia="宋体" w:cs="Arial"/>
                <w:color w:val="000000"/>
                <w:kern w:val="0"/>
                <w:sz w:val="24"/>
                <w:szCs w:val="24"/>
              </w:rPr>
            </w:pPr>
            <w:r>
              <w:rPr>
                <w:rFonts w:ascii="Arial" w:hAnsi="Arial" w:eastAsia="宋体" w:cs="Arial"/>
                <w:color w:val="000000"/>
                <w:kern w:val="0"/>
                <w:sz w:val="24"/>
                <w:szCs w:val="24"/>
              </w:rPr>
              <w:t> 妥布霉素</w:t>
            </w:r>
          </w:p>
        </w:tc>
      </w:tr>
    </w:tbl>
    <w:p w14:paraId="4A6D2688">
      <w:pPr>
        <w:widowControl/>
        <w:snapToGrid w:val="0"/>
        <w:spacing w:line="300" w:lineRule="auto"/>
        <w:jc w:val="left"/>
        <w:outlineLvl w:val="4"/>
        <w:rPr>
          <w:rFonts w:ascii="Arial" w:hAnsi="Arial" w:eastAsia="宋体" w:cs="Arial"/>
          <w:b/>
          <w:bCs/>
          <w:color w:val="000000"/>
          <w:kern w:val="0"/>
          <w:sz w:val="24"/>
          <w:szCs w:val="24"/>
        </w:rPr>
      </w:pPr>
    </w:p>
    <w:p w14:paraId="61F1D0D4">
      <w:pPr>
        <w:widowControl/>
        <w:snapToGrid w:val="0"/>
        <w:spacing w:line="300" w:lineRule="auto"/>
        <w:jc w:val="left"/>
        <w:outlineLvl w:val="4"/>
        <w:rPr>
          <w:rFonts w:ascii="Arial" w:hAnsi="Arial" w:eastAsia="宋体" w:cs="Arial"/>
          <w:b/>
          <w:bCs/>
          <w:color w:val="000000"/>
          <w:kern w:val="0"/>
          <w:sz w:val="28"/>
          <w:szCs w:val="28"/>
        </w:rPr>
      </w:pPr>
      <w:r>
        <w:rPr>
          <w:rFonts w:ascii="Arial" w:hAnsi="Arial" w:eastAsia="宋体" w:cs="Arial"/>
          <w:b/>
          <w:bCs/>
          <w:color w:val="000000"/>
          <w:kern w:val="0"/>
          <w:sz w:val="28"/>
          <w:szCs w:val="28"/>
        </w:rPr>
        <w:t>6.B.iv临界值</w:t>
      </w:r>
    </w:p>
    <w:p w14:paraId="652FE3E4">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在提交的资料中，贵公司应解释如何确定该检测的临界值（见第5.E部分）以及如何验证该临界值，需使用适当的统计学方法来确定临界值。例如，在预试验中对于不含任何呼吸道病毒的临床样品，贵公司应提供结果分布、95%和99%的置信区间，非阴性（阳性或不明确）结果的百分比等。适宜临界值的选择，可以通过基于预试验中临床样品的受试者工作特征曲线（ROC）分析的相关灵敏度水平和特异性来确认（关于ROC分析的细节，参见CLSI文献GP10-A使用受试者工作特征曲线（ROC）图的实验室检测的临床准确度评估；批准的指南，Wayne，PA，研究和实验室标准研究所; 1995）。如果该检测存在不明确区域，</w:t>
      </w:r>
      <w:r>
        <w:rPr>
          <w:rFonts w:ascii="Arial" w:hAnsi="Arial" w:eastAsia="宋体" w:cs="Arial"/>
          <w:sz w:val="24"/>
          <w:szCs w:val="24"/>
        </w:rPr>
        <w:t>应说明如何确定不明确区域的限值。</w:t>
      </w:r>
      <w:r>
        <w:rPr>
          <w:rFonts w:ascii="Arial" w:hAnsi="Arial" w:eastAsia="宋体" w:cs="Arial"/>
          <w:color w:val="000000"/>
          <w:kern w:val="0"/>
          <w:sz w:val="24"/>
          <w:szCs w:val="24"/>
        </w:rPr>
        <w:t>该申报器械使用的已确定的临界值（和</w:t>
      </w:r>
      <w:r>
        <w:rPr>
          <w:rFonts w:ascii="Arial" w:hAnsi="Arial" w:eastAsia="宋体" w:cs="Arial"/>
          <w:sz w:val="24"/>
          <w:szCs w:val="24"/>
        </w:rPr>
        <w:t>不明确区域</w:t>
      </w:r>
      <w:r>
        <w:rPr>
          <w:rFonts w:ascii="Arial" w:hAnsi="Arial" w:eastAsia="宋体" w:cs="Arial"/>
          <w:color w:val="000000"/>
          <w:kern w:val="0"/>
          <w:sz w:val="24"/>
          <w:szCs w:val="24"/>
        </w:rPr>
        <w:t>，如适用）的性能应该在符合器械所规定的预期用途（关键临床研究）的独立人群中进行验证。</w:t>
      </w:r>
    </w:p>
    <w:p w14:paraId="0968A9FE">
      <w:pPr>
        <w:widowControl/>
        <w:snapToGrid w:val="0"/>
        <w:spacing w:line="300" w:lineRule="auto"/>
        <w:jc w:val="left"/>
        <w:rPr>
          <w:rFonts w:ascii="Arial" w:hAnsi="Arial" w:eastAsia="宋体" w:cs="Arial"/>
          <w:color w:val="000000"/>
          <w:kern w:val="0"/>
          <w:sz w:val="24"/>
          <w:szCs w:val="24"/>
        </w:rPr>
      </w:pPr>
    </w:p>
    <w:p w14:paraId="506AE0B7">
      <w:pPr>
        <w:widowControl/>
        <w:snapToGrid w:val="0"/>
        <w:spacing w:line="300" w:lineRule="auto"/>
        <w:jc w:val="left"/>
        <w:outlineLvl w:val="4"/>
        <w:rPr>
          <w:rFonts w:ascii="Arial" w:hAnsi="Arial" w:eastAsia="宋体" w:cs="Arial"/>
          <w:b/>
          <w:bCs/>
          <w:color w:val="000000"/>
          <w:kern w:val="0"/>
          <w:sz w:val="28"/>
          <w:szCs w:val="28"/>
        </w:rPr>
      </w:pPr>
      <w:r>
        <w:rPr>
          <w:rFonts w:ascii="Arial" w:hAnsi="Arial" w:eastAsia="宋体" w:cs="Arial"/>
          <w:b/>
          <w:bCs/>
          <w:color w:val="000000"/>
          <w:kern w:val="0"/>
          <w:sz w:val="28"/>
          <w:szCs w:val="28"/>
        </w:rPr>
        <w:t>6.B.v精密度（重复性/再现性）</w:t>
      </w:r>
    </w:p>
    <w:p w14:paraId="2F09F9CA">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我们建议贵公司提供证明系统精密度（即重复性和再现性）的数据。CLSI文件EP5-A2（定量测量方法精密度性能的评估；批准的指南 - 第二版，Wayne，PA。临床和实验室标准研究所；2004）和EP12-A2（用于评价定性测试性能的用户方案；批准的指南。Wayne，PA。临床和实验室标准研究所；2008年），包括了可能有助于开发实验设计、计算，以及用于建立性能要求的格式指南。</w:t>
      </w:r>
    </w:p>
    <w:p w14:paraId="33A0ADF7">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我们建议贵公司确立每种流感病毒类型和亚型的精密度。理想情况下，应在精密度研究中确定所有检测可变性的来源。一般来说，应考察任何日变量或周变量对测定精密度的影响。尽管一些可变性来源可以在室内精密度研究中评估，但是对于每种病毒，不同中心的重复性研究应该包括对下述可变性的主要来源的评估：</w:t>
      </w:r>
    </w:p>
    <w:p w14:paraId="0222317F">
      <w:pPr>
        <w:widowControl/>
        <w:numPr>
          <w:ilvl w:val="0"/>
          <w:numId w:val="12"/>
        </w:numPr>
        <w:tabs>
          <w:tab w:val="clear" w:pos="720"/>
        </w:tabs>
        <w:snapToGrid w:val="0"/>
        <w:spacing w:line="300" w:lineRule="auto"/>
        <w:ind w:left="504" w:hanging="504" w:hangingChars="210"/>
        <w:jc w:val="left"/>
        <w:rPr>
          <w:rFonts w:ascii="Arial" w:hAnsi="Arial" w:eastAsia="宋体" w:cs="Arial"/>
          <w:color w:val="000000"/>
          <w:kern w:val="0"/>
          <w:sz w:val="24"/>
          <w:szCs w:val="24"/>
        </w:rPr>
      </w:pPr>
      <w:r>
        <w:rPr>
          <w:rFonts w:ascii="Arial" w:hAnsi="Arial" w:eastAsia="宋体" w:cs="Arial"/>
          <w:i/>
          <w:color w:val="000000"/>
          <w:kern w:val="0"/>
          <w:sz w:val="24"/>
          <w:szCs w:val="24"/>
        </w:rPr>
        <w:t>提取 - 提取的再现性</w:t>
      </w:r>
      <w:r>
        <w:rPr>
          <w:rFonts w:ascii="Arial" w:hAnsi="Arial" w:eastAsia="宋体" w:cs="Arial"/>
          <w:color w:val="000000"/>
          <w:kern w:val="0"/>
          <w:sz w:val="24"/>
          <w:szCs w:val="24"/>
        </w:rPr>
        <w:t>：用于再现性检测的样品，来自于检测中心的临床样本（例如鼻咽拭子），提取程序应使用该检测产品标签中的建议。</w:t>
      </w:r>
    </w:p>
    <w:p w14:paraId="749E1ED5">
      <w:pPr>
        <w:widowControl/>
        <w:numPr>
          <w:ilvl w:val="0"/>
          <w:numId w:val="12"/>
        </w:numPr>
        <w:tabs>
          <w:tab w:val="clear" w:pos="720"/>
        </w:tabs>
        <w:snapToGrid w:val="0"/>
        <w:spacing w:line="300" w:lineRule="auto"/>
        <w:ind w:left="504" w:hanging="504" w:hangingChars="210"/>
        <w:jc w:val="left"/>
        <w:rPr>
          <w:rFonts w:ascii="Arial" w:hAnsi="Arial" w:eastAsia="宋体" w:cs="Arial"/>
          <w:i/>
          <w:color w:val="000000"/>
          <w:kern w:val="0"/>
          <w:sz w:val="24"/>
          <w:szCs w:val="24"/>
        </w:rPr>
      </w:pPr>
      <w:r>
        <w:rPr>
          <w:rFonts w:ascii="Arial" w:hAnsi="Arial" w:eastAsia="宋体" w:cs="Arial"/>
          <w:i/>
          <w:color w:val="000000"/>
          <w:kern w:val="0"/>
          <w:sz w:val="24"/>
          <w:szCs w:val="24"/>
        </w:rPr>
        <w:t>仪器间的再现性</w:t>
      </w:r>
    </w:p>
    <w:p w14:paraId="2A603E00">
      <w:pPr>
        <w:widowControl/>
        <w:numPr>
          <w:ilvl w:val="0"/>
          <w:numId w:val="12"/>
        </w:numPr>
        <w:tabs>
          <w:tab w:val="clear" w:pos="720"/>
        </w:tabs>
        <w:snapToGrid w:val="0"/>
        <w:spacing w:line="300" w:lineRule="auto"/>
        <w:ind w:left="504" w:hanging="504" w:hangingChars="210"/>
        <w:jc w:val="left"/>
        <w:rPr>
          <w:rFonts w:ascii="Arial" w:hAnsi="Arial" w:eastAsia="宋体" w:cs="Arial"/>
          <w:color w:val="000000"/>
          <w:kern w:val="0"/>
          <w:sz w:val="24"/>
          <w:szCs w:val="24"/>
        </w:rPr>
      </w:pPr>
      <w:r>
        <w:rPr>
          <w:rFonts w:ascii="Arial" w:hAnsi="Arial" w:eastAsia="宋体" w:cs="Arial"/>
          <w:i/>
          <w:color w:val="000000"/>
          <w:kern w:val="0"/>
          <w:sz w:val="24"/>
          <w:szCs w:val="24"/>
        </w:rPr>
        <w:t>不同中心间和不同操作者间的再现性</w:t>
      </w:r>
      <w:r>
        <w:rPr>
          <w:rFonts w:ascii="Arial" w:hAnsi="Arial" w:eastAsia="宋体" w:cs="Arial"/>
          <w:color w:val="000000"/>
          <w:kern w:val="0"/>
          <w:sz w:val="24"/>
          <w:szCs w:val="24"/>
        </w:rPr>
        <w:t>：包括三个或更多中心（至少两个外部中心和一个内部中心），每个中心有多名操作者。操作者应该在教育和经验方面反映了该检测的潜在用户。提供的培训应仅为该检测产品上市后用以培训用户的程度。</w:t>
      </w:r>
    </w:p>
    <w:p w14:paraId="13F046F3">
      <w:pPr>
        <w:widowControl/>
        <w:numPr>
          <w:ilvl w:val="0"/>
          <w:numId w:val="12"/>
        </w:numPr>
        <w:tabs>
          <w:tab w:val="clear" w:pos="720"/>
        </w:tabs>
        <w:snapToGrid w:val="0"/>
        <w:spacing w:line="300" w:lineRule="auto"/>
        <w:ind w:left="504" w:hanging="504" w:hangingChars="210"/>
        <w:jc w:val="left"/>
        <w:rPr>
          <w:rFonts w:ascii="Arial" w:hAnsi="Arial" w:eastAsia="宋体" w:cs="Arial"/>
          <w:color w:val="000000"/>
          <w:kern w:val="0"/>
          <w:sz w:val="24"/>
          <w:szCs w:val="24"/>
        </w:rPr>
      </w:pPr>
      <w:r>
        <w:rPr>
          <w:rFonts w:ascii="Arial" w:hAnsi="Arial" w:eastAsia="宋体" w:cs="Arial"/>
          <w:color w:val="000000"/>
          <w:kern w:val="0"/>
          <w:sz w:val="24"/>
          <w:szCs w:val="24"/>
        </w:rPr>
        <w:t>至少为不连续的3～5天，涵盖由呼吸道病毒板检测的每种待测物的日间变异性（如适用，跨越仪器的两个校准周期）。</w:t>
      </w:r>
    </w:p>
    <w:p w14:paraId="65FBDDD8">
      <w:pPr>
        <w:widowControl/>
        <w:numPr>
          <w:ilvl w:val="0"/>
          <w:numId w:val="12"/>
        </w:numPr>
        <w:tabs>
          <w:tab w:val="clear" w:pos="720"/>
        </w:tabs>
        <w:snapToGrid w:val="0"/>
        <w:spacing w:line="300" w:lineRule="auto"/>
        <w:ind w:left="504" w:hanging="504" w:hangingChars="210"/>
        <w:jc w:val="left"/>
        <w:rPr>
          <w:rFonts w:ascii="Arial" w:hAnsi="Arial" w:eastAsia="宋体" w:cs="Arial"/>
          <w:color w:val="000000"/>
          <w:kern w:val="0"/>
          <w:sz w:val="24"/>
          <w:szCs w:val="24"/>
        </w:rPr>
      </w:pPr>
      <w:r>
        <w:rPr>
          <w:rFonts w:ascii="Arial" w:hAnsi="Arial" w:eastAsia="宋体" w:cs="Arial"/>
          <w:color w:val="000000"/>
          <w:kern w:val="0"/>
          <w:sz w:val="24"/>
          <w:szCs w:val="24"/>
        </w:rPr>
        <w:t>每天至少运行两次（除非该检测的设计排除了每天多次运行），并建议每次运行由每名小组成员进行两次重复，以评估在再现性研究的两次运行间，各组分在运行中的和日内的不精确性。</w:t>
      </w:r>
    </w:p>
    <w:p w14:paraId="790EDDF1">
      <w:pPr>
        <w:widowControl/>
        <w:numPr>
          <w:ilvl w:val="0"/>
          <w:numId w:val="12"/>
        </w:numPr>
        <w:tabs>
          <w:tab w:val="clear" w:pos="720"/>
        </w:tabs>
        <w:snapToGrid w:val="0"/>
        <w:spacing w:line="300" w:lineRule="auto"/>
        <w:ind w:left="504" w:hanging="504" w:hangingChars="210"/>
        <w:jc w:val="left"/>
        <w:rPr>
          <w:rFonts w:ascii="Arial" w:hAnsi="Arial" w:eastAsia="宋体" w:cs="Arial"/>
          <w:color w:val="000000"/>
          <w:kern w:val="0"/>
          <w:sz w:val="24"/>
          <w:szCs w:val="24"/>
        </w:rPr>
      </w:pPr>
      <w:r>
        <w:rPr>
          <w:rFonts w:ascii="Arial" w:hAnsi="Arial" w:eastAsia="宋体" w:cs="Arial"/>
          <w:i/>
          <w:color w:val="000000"/>
          <w:kern w:val="0"/>
          <w:sz w:val="24"/>
          <w:szCs w:val="24"/>
        </w:rPr>
        <w:t>批间再现性</w:t>
      </w:r>
      <w:r>
        <w:rPr>
          <w:rFonts w:ascii="Arial" w:hAnsi="Arial" w:eastAsia="宋体" w:cs="Arial"/>
          <w:color w:val="000000"/>
          <w:kern w:val="0"/>
          <w:sz w:val="24"/>
          <w:szCs w:val="24"/>
        </w:rPr>
        <w:t>：评估多个产品批次（例如，多批检测试剂和辅助试剂，用于RT-PCR的多批引物和探针，多批珠或阵列）和多个仪器。</w:t>
      </w:r>
    </w:p>
    <w:p w14:paraId="2D62F106">
      <w:pPr>
        <w:widowControl/>
        <w:numPr>
          <w:ilvl w:val="0"/>
          <w:numId w:val="12"/>
        </w:numPr>
        <w:tabs>
          <w:tab w:val="clear" w:pos="720"/>
        </w:tabs>
        <w:snapToGrid w:val="0"/>
        <w:spacing w:line="300" w:lineRule="auto"/>
        <w:ind w:left="504" w:hanging="504" w:hangingChars="210"/>
        <w:jc w:val="left"/>
        <w:rPr>
          <w:rFonts w:ascii="Arial" w:hAnsi="Arial" w:eastAsia="宋体" w:cs="Arial"/>
          <w:color w:val="000000"/>
          <w:kern w:val="0"/>
          <w:sz w:val="24"/>
          <w:szCs w:val="24"/>
        </w:rPr>
      </w:pPr>
      <w:r>
        <w:rPr>
          <w:rFonts w:ascii="Arial" w:hAnsi="Arial" w:eastAsia="宋体" w:cs="Arial"/>
          <w:color w:val="000000"/>
          <w:kern w:val="0"/>
          <w:sz w:val="24"/>
          <w:szCs w:val="24"/>
        </w:rPr>
        <w:t>供试品应能代表该检测可以测定的甲流类型和每种亚型。对于由该器械检测的每种待测物（靶标），建议包括至少三个水平的病毒载量，包括接近检测临界值的待测物浓度或产物的浓度。</w:t>
      </w:r>
    </w:p>
    <w:p w14:paraId="3BEF558B">
      <w:pPr>
        <w:pStyle w:val="26"/>
        <w:widowControl/>
        <w:numPr>
          <w:ilvl w:val="0"/>
          <w:numId w:val="13"/>
        </w:numPr>
        <w:snapToGrid w:val="0"/>
        <w:spacing w:line="300" w:lineRule="auto"/>
        <w:ind w:left="504" w:hanging="504" w:firstLineChars="0"/>
        <w:jc w:val="left"/>
        <w:rPr>
          <w:rFonts w:ascii="Arial" w:hAnsi="Arial" w:eastAsia="宋体" w:cs="Arial"/>
          <w:color w:val="000000"/>
          <w:kern w:val="0"/>
          <w:sz w:val="24"/>
          <w:szCs w:val="24"/>
        </w:rPr>
      </w:pPr>
      <w:r>
        <w:rPr>
          <w:rFonts w:ascii="Arial" w:hAnsi="Arial" w:eastAsia="宋体" w:cs="Arial"/>
          <w:color w:val="000000"/>
          <w:kern w:val="0"/>
          <w:sz w:val="24"/>
          <w:szCs w:val="24"/>
        </w:rPr>
        <w:t>“高阴性”样品（C 5浓度）：样品的待测物浓度低于临床界值，该样品的重复检测结果阴性率约为95%（且结果的阳性率约为5 %）。</w:t>
      </w:r>
    </w:p>
    <w:p w14:paraId="33E1C6E1">
      <w:pPr>
        <w:pStyle w:val="26"/>
        <w:widowControl/>
        <w:numPr>
          <w:ilvl w:val="0"/>
          <w:numId w:val="13"/>
        </w:numPr>
        <w:snapToGrid w:val="0"/>
        <w:spacing w:line="300" w:lineRule="auto"/>
        <w:ind w:left="504" w:hanging="504" w:firstLineChars="0"/>
        <w:jc w:val="left"/>
        <w:rPr>
          <w:rFonts w:ascii="Arial" w:hAnsi="Arial" w:eastAsia="宋体" w:cs="Arial"/>
          <w:color w:val="000000"/>
          <w:kern w:val="0"/>
          <w:sz w:val="24"/>
          <w:szCs w:val="24"/>
        </w:rPr>
      </w:pPr>
      <w:r>
        <w:rPr>
          <w:rFonts w:ascii="Arial" w:hAnsi="Arial" w:eastAsia="宋体" w:cs="Arial"/>
          <w:color w:val="000000"/>
          <w:kern w:val="0"/>
          <w:sz w:val="24"/>
          <w:szCs w:val="24"/>
        </w:rPr>
        <w:t>“低阳性”样品（C 95浓度）：样品的待测物浓度略高于临床界值，该样品的重复检测结果的阳性率约为95%。</w:t>
      </w:r>
    </w:p>
    <w:p w14:paraId="38667823">
      <w:pPr>
        <w:pStyle w:val="26"/>
        <w:widowControl/>
        <w:numPr>
          <w:ilvl w:val="0"/>
          <w:numId w:val="13"/>
        </w:numPr>
        <w:snapToGrid w:val="0"/>
        <w:spacing w:line="300" w:lineRule="auto"/>
        <w:ind w:left="504" w:hanging="504" w:firstLineChars="0"/>
        <w:jc w:val="left"/>
        <w:rPr>
          <w:rFonts w:ascii="Arial" w:hAnsi="Arial" w:eastAsia="宋体" w:cs="Arial"/>
          <w:color w:val="000000"/>
          <w:kern w:val="0"/>
          <w:sz w:val="24"/>
          <w:szCs w:val="24"/>
        </w:rPr>
      </w:pPr>
      <w:r>
        <w:rPr>
          <w:rFonts w:ascii="Arial" w:hAnsi="Arial" w:eastAsia="宋体" w:cs="Arial"/>
          <w:color w:val="000000"/>
          <w:kern w:val="0"/>
          <w:sz w:val="24"/>
          <w:szCs w:val="24"/>
        </w:rPr>
        <w:t>“中阳性”样品：理想地反映临床相关浓度的样品。在该浓度下，可以预期阳性检出率约100%（例如，临床界值浓度的约2-3倍）。</w:t>
      </w:r>
    </w:p>
    <w:p w14:paraId="7F25C021">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当空白限（LoB）用作临界值时，则浓度C95与检测限（LoD）相同，如果LoB 确立的I型误差为5%</w:t>
      </w:r>
      <w:r>
        <w:fldChar w:fldCharType="begin"/>
      </w:r>
      <w:r>
        <w:instrText xml:space="preserve"> HYPERLINK "http://www.fda.gov/MedicalDevices/DeviceRegulationandGuidance/GuidanceDocuments/ucm180306.htm" \l "ft10" </w:instrText>
      </w:r>
      <w:r>
        <w:fldChar w:fldCharType="separate"/>
      </w:r>
      <w:r>
        <w:rPr>
          <w:rFonts w:ascii="Arial" w:hAnsi="Arial" w:eastAsia="宋体" w:cs="Arial"/>
          <w:color w:val="800080"/>
          <w:kern w:val="0"/>
          <w:sz w:val="24"/>
          <w:szCs w:val="24"/>
          <w:u w:val="single"/>
          <w:vertAlign w:val="superscript"/>
        </w:rPr>
        <w:t>10</w:t>
      </w:r>
      <w:r>
        <w:rPr>
          <w:rFonts w:ascii="Arial" w:hAnsi="Arial" w:eastAsia="宋体" w:cs="Arial"/>
          <w:color w:val="800080"/>
          <w:kern w:val="0"/>
          <w:sz w:val="24"/>
          <w:szCs w:val="24"/>
          <w:u w:val="single"/>
          <w:vertAlign w:val="superscript"/>
        </w:rPr>
        <w:fldChar w:fldCharType="end"/>
      </w:r>
      <w:r>
        <w:rPr>
          <w:rFonts w:ascii="Arial" w:hAnsi="Arial" w:eastAsia="宋体" w:cs="Arial"/>
        </w:rPr>
        <w:t>，</w:t>
      </w:r>
      <w:r>
        <w:rPr>
          <w:rFonts w:ascii="Arial" w:hAnsi="Arial" w:eastAsia="宋体" w:cs="Arial"/>
          <w:color w:val="000000"/>
          <w:kern w:val="0"/>
          <w:sz w:val="24"/>
          <w:szCs w:val="24"/>
        </w:rPr>
        <w:t>则零浓度（样品中不存在待测物）为C5</w:t>
      </w:r>
      <w:r>
        <w:rPr>
          <w:rFonts w:ascii="Arial" w:hAnsi="Arial" w:eastAsia="宋体" w:cs="Arial"/>
        </w:rPr>
        <w:t>。</w:t>
      </w:r>
    </w:p>
    <w:p w14:paraId="45239FC2">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在510（k）的研究设计描述中，应该明确哪些因素（例如仪器校准、试剂批号和操作者）保持不变，哪些在评估期间有变化，并对用于评估数据的算法和统计分析进行描述。一般来说，对于定性检验，应使用适当的统计方法来评估精密度研究中考虑的每个因素的方差分量以及总变异。特别是对于有基本定量结果的定性测试，通常使用方差分析来测量精密度分量的每个变量源以及总变异。对于精密度研究中的每个样品，提供方差分量（标准偏差和CV%）的平均值。此外，对于每个样品，分别提供在每个中心的高于和低于临界值的百分比和无效结果的百分比，以及所有中心的合并结果（如适用，在精密度研究中对每个样品提供分别在每个中心的不确定结果百分比，以及所有中心的合并结果）。</w:t>
      </w:r>
    </w:p>
    <w:p w14:paraId="4F17A8FF">
      <w:pPr>
        <w:widowControl/>
        <w:jc w:val="left"/>
        <w:rPr>
          <w:rFonts w:ascii="Arial" w:hAnsi="Arial" w:eastAsia="宋体" w:cs="Arial"/>
          <w:b/>
          <w:bCs/>
          <w:color w:val="000000"/>
          <w:kern w:val="0"/>
          <w:sz w:val="24"/>
          <w:szCs w:val="24"/>
        </w:rPr>
      </w:pPr>
      <w:r>
        <w:rPr>
          <w:rFonts w:ascii="Arial" w:hAnsi="Arial" w:eastAsia="宋体" w:cs="Arial"/>
          <w:b/>
          <w:bCs/>
          <w:color w:val="000000"/>
          <w:kern w:val="0"/>
          <w:sz w:val="24"/>
          <w:szCs w:val="24"/>
        </w:rPr>
        <w:br w:type="page"/>
      </w:r>
    </w:p>
    <w:p w14:paraId="4BD4B821">
      <w:pPr>
        <w:widowControl/>
        <w:snapToGrid w:val="0"/>
        <w:spacing w:line="300" w:lineRule="auto"/>
        <w:jc w:val="left"/>
        <w:outlineLvl w:val="4"/>
        <w:rPr>
          <w:rFonts w:ascii="Arial" w:hAnsi="Arial" w:eastAsia="宋体" w:cs="Arial"/>
          <w:b/>
          <w:bCs/>
          <w:color w:val="000000"/>
          <w:kern w:val="0"/>
          <w:sz w:val="28"/>
          <w:szCs w:val="28"/>
        </w:rPr>
      </w:pPr>
      <w:r>
        <w:rPr>
          <w:rFonts w:ascii="Arial" w:hAnsi="Arial" w:eastAsia="宋体" w:cs="Arial"/>
          <w:b/>
          <w:bCs/>
          <w:color w:val="000000"/>
          <w:kern w:val="0"/>
          <w:sz w:val="28"/>
          <w:szCs w:val="28"/>
        </w:rPr>
        <w:t>6.B.vi残留物研究和交叉污染研究（用于多样品测定和需要仪器测定的器械）</w:t>
      </w:r>
    </w:p>
    <w:p w14:paraId="7F6D39B9">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对于需要使用仪器的多样品检测试剂和器械，需证明该器械不会发生残留物和交叉污染。</w:t>
      </w:r>
      <w:r>
        <w:rPr>
          <w:rFonts w:ascii="Arial" w:hAnsi="Arial" w:eastAsia="宋体" w:cs="Arial"/>
          <w:sz w:val="24"/>
          <w:szCs w:val="24"/>
        </w:rPr>
        <w:t>在残留物和交叉污染研究中，建议按照该器械的操作功能将强阳性样品与强阴性样品交替使用，且强阳性样品与强阴性样品交替使用的次数不应低于5次。研究使用的强阳性样品应来自于预期使用人群的患者样本，有足够高的检出率（超过95%或更高）；强阴性样品中待测物的浓度应低于临界值，且复测的阴性率约95%。然后，可以通过在残留物研究中的强阴性样品的阴性结果检出率与95％进行对比，以评估残留物和交叉污染的影响。</w:t>
      </w:r>
    </w:p>
    <w:p w14:paraId="7951D115">
      <w:pPr>
        <w:widowControl/>
        <w:snapToGrid w:val="0"/>
        <w:spacing w:line="300" w:lineRule="auto"/>
        <w:jc w:val="left"/>
        <w:outlineLvl w:val="4"/>
        <w:rPr>
          <w:rFonts w:ascii="Arial" w:hAnsi="Arial" w:eastAsia="宋体" w:cs="Arial"/>
          <w:b/>
          <w:bCs/>
          <w:color w:val="000000"/>
          <w:kern w:val="0"/>
          <w:sz w:val="28"/>
          <w:szCs w:val="28"/>
        </w:rPr>
      </w:pPr>
      <w:r>
        <w:rPr>
          <w:rFonts w:ascii="Arial" w:hAnsi="Arial" w:eastAsia="宋体" w:cs="Arial"/>
          <w:b/>
          <w:bCs/>
          <w:color w:val="000000"/>
          <w:kern w:val="0"/>
          <w:sz w:val="28"/>
          <w:szCs w:val="28"/>
        </w:rPr>
        <w:t>6.C临床性能研究</w:t>
      </w:r>
    </w:p>
    <w:p w14:paraId="4482E3F2">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我们建议贵公司进行预期临床研究，以确定该器械对于所有流感亚型以及在标签中载明的所有样本类型的性能。</w:t>
      </w:r>
    </w:p>
    <w:p w14:paraId="3DE2E8CE">
      <w:pPr>
        <w:widowControl/>
        <w:snapToGrid w:val="0"/>
        <w:spacing w:line="300" w:lineRule="auto"/>
        <w:jc w:val="left"/>
        <w:outlineLvl w:val="4"/>
        <w:rPr>
          <w:rFonts w:ascii="Arial" w:hAnsi="Arial" w:eastAsia="宋体" w:cs="Arial"/>
          <w:b/>
          <w:bCs/>
          <w:color w:val="000000"/>
          <w:kern w:val="0"/>
          <w:sz w:val="28"/>
          <w:szCs w:val="28"/>
        </w:rPr>
      </w:pPr>
      <w:r>
        <w:rPr>
          <w:rFonts w:ascii="Arial" w:hAnsi="Arial" w:eastAsia="宋体" w:cs="Arial"/>
          <w:b/>
          <w:bCs/>
          <w:color w:val="000000"/>
          <w:kern w:val="0"/>
          <w:sz w:val="28"/>
          <w:szCs w:val="28"/>
        </w:rPr>
        <w:t>6.C.i研究方案</w:t>
      </w:r>
    </w:p>
    <w:p w14:paraId="4A51F5F5">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贵公司应制定详细的研究方案，包括患者纳入和排除标准，证明该器械的性能所需的样本类型和数量，使用说明和统计分析计划，需考虑变异并防止数据偏差。我们建议贵公司在上市前申请资料中包括此项和任何其他相关的方案信息。</w:t>
      </w:r>
    </w:p>
    <w:p w14:paraId="02592797">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贵公司应鼓励申办者联系FDA的微生物器械部，请求对他们提出的研究和样本类型的选择进行审查。我们特别鼓励制造商在样品难以获得时寻求这种类型的讨论。</w:t>
      </w:r>
    </w:p>
    <w:p w14:paraId="541487ED">
      <w:pPr>
        <w:widowControl/>
        <w:snapToGrid w:val="0"/>
        <w:spacing w:line="300" w:lineRule="auto"/>
        <w:jc w:val="left"/>
        <w:outlineLvl w:val="4"/>
        <w:rPr>
          <w:rFonts w:ascii="Arial" w:hAnsi="Arial" w:eastAsia="宋体" w:cs="Arial"/>
          <w:b/>
          <w:bCs/>
          <w:color w:val="000000"/>
          <w:kern w:val="0"/>
          <w:sz w:val="28"/>
          <w:szCs w:val="28"/>
        </w:rPr>
      </w:pPr>
      <w:r>
        <w:rPr>
          <w:rFonts w:ascii="Arial" w:hAnsi="Arial" w:eastAsia="宋体" w:cs="Arial"/>
          <w:b/>
          <w:bCs/>
          <w:color w:val="000000"/>
          <w:kern w:val="0"/>
          <w:sz w:val="28"/>
          <w:szCs w:val="28"/>
        </w:rPr>
        <w:t>6.C.ii研究人群</w:t>
      </w:r>
    </w:p>
    <w:p w14:paraId="42AC6ADA">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贵公司应选择具有流感样症状 （例如：咳嗽、鼻塞、鼻漏、咽喉疼痛、发烧、头疼、肌痛）的人群作为研究对象。患者流感症状出现后，流感病毒在鼻腔或气管分泌物中的浓度在24～48小时内将保持较高水平，且在儿童体内的持续时间更长。如果该器械用于流感感染的个体筛查，还应该在研究人群中纳入无症状的个体。</w:t>
      </w:r>
    </w:p>
    <w:p w14:paraId="2E3AE411">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我们建议贵公司在临床研究中纳入每个年龄组的样本，并且提供按年龄段分层的数据（例如，小于5岁，6-21岁，22-59岁和大于60岁）以及总体数据汇总表。</w:t>
      </w:r>
    </w:p>
    <w:p w14:paraId="51E091F4">
      <w:pPr>
        <w:widowControl/>
        <w:jc w:val="left"/>
        <w:rPr>
          <w:rFonts w:ascii="Arial" w:hAnsi="Arial" w:eastAsia="宋体" w:cs="Arial"/>
          <w:color w:val="000000"/>
          <w:kern w:val="0"/>
          <w:sz w:val="24"/>
          <w:szCs w:val="24"/>
        </w:rPr>
      </w:pPr>
      <w:r>
        <w:rPr>
          <w:rFonts w:ascii="Arial" w:hAnsi="Arial" w:eastAsia="宋体" w:cs="Arial"/>
          <w:color w:val="000000"/>
          <w:kern w:val="0"/>
          <w:sz w:val="24"/>
          <w:szCs w:val="24"/>
        </w:rPr>
        <w:br w:type="page"/>
      </w:r>
    </w:p>
    <w:p w14:paraId="5D989979">
      <w:pPr>
        <w:widowControl/>
        <w:snapToGrid w:val="0"/>
        <w:spacing w:line="300" w:lineRule="auto"/>
        <w:jc w:val="left"/>
        <w:outlineLvl w:val="4"/>
        <w:rPr>
          <w:rFonts w:ascii="Arial" w:hAnsi="Arial" w:eastAsia="宋体" w:cs="Arial"/>
          <w:b/>
          <w:bCs/>
          <w:color w:val="000000"/>
          <w:kern w:val="0"/>
          <w:sz w:val="28"/>
          <w:szCs w:val="28"/>
        </w:rPr>
      </w:pPr>
      <w:r>
        <w:rPr>
          <w:rFonts w:ascii="Arial" w:hAnsi="Arial" w:eastAsia="宋体" w:cs="Arial"/>
          <w:b/>
          <w:bCs/>
          <w:color w:val="000000"/>
          <w:kern w:val="0"/>
          <w:sz w:val="28"/>
          <w:szCs w:val="28"/>
        </w:rPr>
        <w:t>6.C.iii参考方法</w:t>
      </w:r>
    </w:p>
    <w:p w14:paraId="05BD689F">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我们建议贵公司将该检测的性能与已确立的病毒培养参考方法或食品药品监督管理局批准的直接样本荧光抗体（DSFA）检测的性能进行比较。病毒培养应在新鲜采集的样本上进行。对于亚型的区分，在使用病毒培养物确定了甲型流感感染后，可以使用DFA或有良好表征的亚型特异性核酸扩增方法（例如，PCR），然后进行双向测序。用于分型的核酸扩增方法，其靶标应该是该检测中的一个探针的不同基因组区域（即，结合不同引物）。我们建议贵公司在申请资料中提供已发表的文献或实验室数据，以支持用于扩增的引物。建议对扩增子的两条链进行测序反应（双向测序），并证明所产生的序列至少为200个碱基对，质量合格（例如，通过PHRED或类似的软件包测量的质量得分为40或更高），并且其与参考序列或共有序列匹配。</w:t>
      </w:r>
    </w:p>
    <w:p w14:paraId="5EE6458C">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使用病毒培养时，贵公司除了细胞病变有效性（CPE）外，还应对病毒进行鉴定，例如用病毒特异性单克隆抗体染色，或PCR，然后对扩增子测序作为病毒鉴定的替代方法，仅CPE可能无法对病毒进行准确鉴定。在申请资料中应说明病毒分离的实验室程序，以及详细的数据或文献，以表明用于分离特定病毒的特定细胞系经过了验证。不应使用预先冷冻的样本进行培养，因为冻融会导致病毒丧失传染性。我们建议在研究中使用的病毒培养方法遵循CLSI文件M41-A（病毒培养；批准的指南Wayne，PA。临床和实验室标准研究所; 2006）和世界卫生组织（WHO）的手册：动物流感诊断和监测</w:t>
      </w:r>
      <w:r>
        <w:fldChar w:fldCharType="begin"/>
      </w:r>
      <w:r>
        <w:instrText xml:space="preserve"> HYPERLINK "http://www.fda.gov/MedicalDevices/DeviceRegulationandGuidance/GuidanceDocuments/ucm180306.htm" \l "ft11" </w:instrText>
      </w:r>
      <w:r>
        <w:fldChar w:fldCharType="separate"/>
      </w:r>
      <w:r>
        <w:rPr>
          <w:rFonts w:ascii="Arial" w:hAnsi="Arial" w:eastAsia="宋体" w:cs="Arial"/>
          <w:kern w:val="0"/>
          <w:sz w:val="24"/>
          <w:szCs w:val="24"/>
          <w:vertAlign w:val="superscript"/>
        </w:rPr>
        <w:t>11</w:t>
      </w:r>
      <w:r>
        <w:rPr>
          <w:rFonts w:ascii="Arial" w:hAnsi="Arial" w:eastAsia="宋体" w:cs="Arial"/>
          <w:kern w:val="0"/>
          <w:sz w:val="24"/>
          <w:szCs w:val="24"/>
          <w:vertAlign w:val="superscript"/>
        </w:rPr>
        <w:fldChar w:fldCharType="end"/>
      </w:r>
      <w:r>
        <w:rPr>
          <w:rFonts w:ascii="Arial" w:hAnsi="Arial" w:eastAsia="宋体" w:cs="Arial"/>
          <w:kern w:val="0"/>
          <w:sz w:val="24"/>
          <w:szCs w:val="24"/>
        </w:rPr>
        <w:t>。</w:t>
      </w:r>
      <w:r>
        <w:rPr>
          <w:rFonts w:ascii="Arial" w:hAnsi="Arial" w:eastAsia="宋体" w:cs="Arial"/>
          <w:color w:val="000000"/>
          <w:kern w:val="0"/>
          <w:sz w:val="24"/>
          <w:szCs w:val="24"/>
        </w:rPr>
        <w:t>对于DFA检测，应提供过程描述和数据或文献，以显示特定抗体/荧光模式和检测过程适用于特定病毒。如果用于培养细胞中病毒检测的DFA抗体是食品药品监督管理局批准的，则在申请中不需要提交验证信息，只要实施检测的实验室遵循包装说明书即可。如果在DFA中使用的抗体是在修正案前上市的器械</w:t>
      </w:r>
      <w:r>
        <w:rPr>
          <w:rFonts w:ascii="Arial" w:hAnsi="Arial" w:eastAsia="宋体" w:cs="Arial"/>
          <w:color w:val="000000"/>
          <w:kern w:val="0"/>
          <w:sz w:val="24"/>
          <w:szCs w:val="24"/>
          <w:vertAlign w:val="superscript"/>
        </w:rPr>
        <w:t>12</w:t>
      </w:r>
      <w:r>
        <w:rPr>
          <w:rFonts w:ascii="Arial" w:hAnsi="Arial" w:eastAsia="宋体" w:cs="Arial"/>
          <w:color w:val="000000"/>
          <w:kern w:val="0"/>
          <w:sz w:val="24"/>
          <w:szCs w:val="24"/>
        </w:rPr>
        <w:t>，我们建议贵公司在上市前的申请中提供公开的文献或实验室数据，以支持用于流感病毒检测的抗体验证。如果公共卫生当局建议不要进行新型病毒培养，则应使用核酸扩增，然后对扩增子测序，以确认新型病毒的特性。在比较方法中使用的核酸扩增方法，其靶标应该是该检测中的一个探针的不同基因组区域（即，结合不同的病毒靶标）。</w:t>
      </w:r>
    </w:p>
    <w:p w14:paraId="075A70A3">
      <w:pPr>
        <w:widowControl/>
        <w:snapToGrid w:val="0"/>
        <w:spacing w:line="300" w:lineRule="auto"/>
        <w:jc w:val="left"/>
        <w:outlineLvl w:val="4"/>
        <w:rPr>
          <w:rFonts w:ascii="Arial" w:hAnsi="Arial" w:eastAsia="宋体" w:cs="Arial"/>
          <w:b/>
          <w:bCs/>
          <w:color w:val="000000"/>
          <w:kern w:val="0"/>
          <w:sz w:val="28"/>
          <w:szCs w:val="28"/>
        </w:rPr>
      </w:pPr>
      <w:r>
        <w:rPr>
          <w:rFonts w:ascii="Arial" w:hAnsi="Arial" w:eastAsia="宋体" w:cs="Arial"/>
          <w:b/>
          <w:bCs/>
          <w:color w:val="000000"/>
          <w:kern w:val="0"/>
          <w:sz w:val="28"/>
          <w:szCs w:val="28"/>
        </w:rPr>
        <w:t>6.C.iv样本类型</w:t>
      </w:r>
    </w:p>
    <w:p w14:paraId="76E25DAA">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我们建议检测所申报的预期用途中每种样本类型的临床样品（例如鼻拭子，鼻咽拭子，鼻腔抽吸物），以证明从临床材料中可以得到正确的结果。对于预先收集的样品，其对每种病毒类型或亚型的性能可以通过灵敏度和特异性进行描述。对于流感类型或亚型的灵敏度，是用于该流感病毒类型或亚型的该检测对于样品中该病毒的阳性检出能力，参比方法（参考方法或综合参考方法）的检测结果亦为阳性。流感类型或亚型的特异性，是用于该流感病毒类型或亚型的该检测对于样品中该病毒的阴性检出能力，参比方法的检测结果亦为阴性。对于检测板中的每种流感病毒类型或亚型，灵敏度通过将真阳性结果的数量除以真阳性结果和假阴性结果的总和来计算；特异性通过将真阴性结果的数量除以真阴性和假阳性结果的总和来计算（有关其他细节可参见CLSI：多重核酸检验的确认和验证; 批准的指南。CLSI文件MM17-A。Wayne，PA：临床和实验室标准研究所; 2008年）。灵敏度和特异性的评估应该与95%的双侧置信区间一起提供（有关置信区间的更多细节参见CLSI：用于评价定性检测性能的用户方案;批准的指南CLSI文件EP12-A2 Wayne，PA：临床和实验室标准研究所; 2008）。</w:t>
      </w:r>
    </w:p>
    <w:p w14:paraId="6208FEC5">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我们建议贵公司在疑似流感患者的新鲜样本中评估该器械对于流感病毒进行检测和分型的能力。冻存的样本可用于临床前数据的开发，但通常不推荐用于计算临床的灵敏度或特异性，因为与新鲜样本相比，冻融可能会影响测定性能。然而，如果可以证明与新鲜样本的测定相比，冷冻或其他保存技术不会改变器械的性能，对于用于流感病毒检测和分型的多重核酸测定，如果选择适当的保存方式，并采取适当的措施来确定和消除或减轻所研究的试剂盒的任何偏差，则可以接受对预先收集的留存样本</w:t>
      </w:r>
      <w:r>
        <w:rPr>
          <w:rFonts w:ascii="Arial" w:hAnsi="Arial" w:eastAsia="宋体" w:cs="Arial"/>
          <w:color w:val="000000"/>
          <w:kern w:val="0"/>
          <w:sz w:val="24"/>
          <w:szCs w:val="24"/>
          <w:vertAlign w:val="superscript"/>
        </w:rPr>
        <w:t>13</w:t>
      </w:r>
      <w:r>
        <w:rPr>
          <w:rFonts w:ascii="Arial" w:hAnsi="Arial" w:eastAsia="宋体" w:cs="Arial"/>
          <w:color w:val="000000"/>
          <w:kern w:val="0"/>
          <w:sz w:val="24"/>
          <w:szCs w:val="24"/>
        </w:rPr>
        <w:t>进行分析。如果使用在新鲜样本上进行病毒培养后留存的样本来评估测定，则应确保样本未经选择性使用（即，仍应以预期方式检测所有样本）。此外，样品应该设盲以避免检测偏差。如果对新鲜和留存/冷冻样品均进行检测，应对这两组的数据分别进行分析。鼓励申请者与食品药品监督管理局联系，请求对所提出的研究进行审查。</w:t>
      </w:r>
    </w:p>
    <w:p w14:paraId="16651E0D">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一般来说，当可用于临床检测的样本数量很少时（例如新出现的毒株），</w:t>
      </w:r>
      <w:r>
        <w:rPr>
          <w:rFonts w:ascii="Arial" w:hAnsi="Arial" w:eastAsia="宋体" w:cs="Arial"/>
          <w:sz w:val="24"/>
          <w:szCs w:val="24"/>
        </w:rPr>
        <w:t>食品药品监督管理局上市前审查的可用证据可能需要从分析研究而非临床研究中获得。在这种情况下，设计良好的分析研究尤为关键。动物研究可在适当时作为补充分析研究的选项。</w:t>
      </w:r>
    </w:p>
    <w:p w14:paraId="5C53A483">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研究中用于证实可以检测甲流或甲流H / N亚型的样品总数，取决于病毒的患病率和检测的性能。对于甲型流感病毒的检测器械，建议每种样本类型应包括足够数量的预先收集的样本，以证明对于无论何种流感病毒类型，灵敏度的双侧95%CI的下限至少为90%，大于80%。所有的流感检测器械，均应证明特异性的95%（双侧）置信区间的下限超过90%。</w:t>
      </w:r>
    </w:p>
    <w:p w14:paraId="2B67ECD1">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如果对选择合适的样本类型和数量有疑问，请联系FDA的微生物器械部。</w:t>
      </w:r>
    </w:p>
    <w:p w14:paraId="263AF7FE">
      <w:pPr>
        <w:widowControl/>
        <w:snapToGrid w:val="0"/>
        <w:spacing w:line="300" w:lineRule="auto"/>
        <w:jc w:val="left"/>
        <w:outlineLvl w:val="4"/>
        <w:rPr>
          <w:rFonts w:ascii="Arial" w:hAnsi="Arial" w:eastAsia="宋体" w:cs="Arial"/>
          <w:b/>
          <w:bCs/>
          <w:color w:val="000000"/>
          <w:kern w:val="0"/>
          <w:sz w:val="28"/>
          <w:szCs w:val="28"/>
        </w:rPr>
      </w:pPr>
      <w:r>
        <w:rPr>
          <w:rFonts w:ascii="Arial" w:hAnsi="Arial" w:eastAsia="宋体" w:cs="Arial"/>
          <w:b/>
          <w:bCs/>
          <w:color w:val="000000"/>
          <w:kern w:val="0"/>
          <w:sz w:val="28"/>
          <w:szCs w:val="28"/>
        </w:rPr>
        <w:t>6.C.v研究中心</w:t>
      </w:r>
    </w:p>
    <w:p w14:paraId="22F8E046">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建议至少在三个单独的设施内进行研究，其中一个可以是内部的。临床数据集应由从不同地理位置的、至少在三个不同临床中心收集的临床样品组成。最好是使用从美国人群获得的样本进行研究。如果研究在美国境外进行，应记录该研究与美国的临床实践和人口统计学的相关性。</w:t>
      </w:r>
    </w:p>
    <w:p w14:paraId="7327B471">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在罕见的情况下，当特定的流感病毒亚型出现在当下的流感季节中，在预期使用人群中显示出具有低患病率时，可以适当地使用已知含有特定流感病毒亚型的库存样本对预先收集的样本进行补充（即，预先选择的库存样本）</w:t>
      </w:r>
      <w:r>
        <w:rPr>
          <w:rFonts w:ascii="Arial" w:hAnsi="Arial" w:eastAsia="宋体" w:cs="Arial"/>
          <w:color w:val="000000"/>
          <w:kern w:val="0"/>
          <w:sz w:val="24"/>
          <w:szCs w:val="24"/>
          <w:vertAlign w:val="superscript"/>
        </w:rPr>
        <w:t>14</w:t>
      </w:r>
      <w:r>
        <w:rPr>
          <w:rFonts w:ascii="Arial" w:hAnsi="Arial" w:eastAsia="宋体" w:cs="Arial"/>
          <w:color w:val="000000"/>
          <w:kern w:val="0"/>
          <w:sz w:val="24"/>
          <w:szCs w:val="24"/>
        </w:rPr>
        <w:t>。在这种情况下，库存样本的结果应与预先收集的样本结果分别表示，并且以阳性率与阴性率计算的性能一致。</w:t>
      </w:r>
    </w:p>
    <w:p w14:paraId="48E16D5A">
      <w:pPr>
        <w:widowControl/>
        <w:jc w:val="left"/>
        <w:rPr>
          <w:rFonts w:ascii="Arial" w:hAnsi="Arial" w:eastAsia="宋体" w:cs="Arial"/>
          <w:color w:val="000000"/>
          <w:kern w:val="0"/>
          <w:sz w:val="24"/>
          <w:szCs w:val="24"/>
        </w:rPr>
      </w:pPr>
      <w:r>
        <w:rPr>
          <w:rFonts w:ascii="Arial" w:hAnsi="Arial" w:eastAsia="宋体" w:cs="Arial"/>
          <w:color w:val="000000"/>
          <w:kern w:val="0"/>
          <w:sz w:val="24"/>
          <w:szCs w:val="24"/>
        </w:rPr>
        <w:br w:type="page"/>
      </w:r>
    </w:p>
    <w:p w14:paraId="09D4D5EE">
      <w:pPr>
        <w:widowControl/>
        <w:snapToGrid w:val="0"/>
        <w:spacing w:line="300" w:lineRule="auto"/>
        <w:jc w:val="left"/>
        <w:outlineLvl w:val="4"/>
        <w:rPr>
          <w:rFonts w:ascii="Arial" w:hAnsi="Arial" w:eastAsia="宋体" w:cs="Arial"/>
          <w:b/>
          <w:bCs/>
          <w:color w:val="000000"/>
          <w:kern w:val="0"/>
          <w:sz w:val="28"/>
          <w:szCs w:val="28"/>
        </w:rPr>
      </w:pPr>
      <w:r>
        <w:rPr>
          <w:rFonts w:ascii="Arial" w:hAnsi="Arial" w:eastAsia="宋体" w:cs="Arial"/>
          <w:b/>
          <w:bCs/>
          <w:color w:val="000000"/>
          <w:kern w:val="0"/>
          <w:sz w:val="28"/>
          <w:szCs w:val="28"/>
        </w:rPr>
        <w:t>6.C.vi数据表示</w:t>
      </w:r>
    </w:p>
    <w:p w14:paraId="66416C94">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贵公司应单独列出该器械所鉴定的每种病毒和亚型的灵敏度和特异性（95%CI）分析的结果。注意，临床研究中的样品应按照器械使用说明中的描述进行检测。例如，有初始可疑或无效结果的样品应根据使用说明进行重新检测，则这些样品在临床研究中应进行重新检测，且这些样品的最终结果应用于统计分析。对于临床研究中的样品，应分别提供每种流感病毒类型和亚型以及总体的进行了重新检测的可疑或无效样品的百分比，如适用。此外，请分别列出每种呼吸道病毒和总体的最终无效结果和最终可疑结果（如适用）的百分比。</w:t>
      </w:r>
    </w:p>
    <w:p w14:paraId="0A924342">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临床研究中的样品，对于每种病毒类型和亚型以及总体的待测物，应分别提供使用该检测对于预先收集的样品和留存样品的信号（结果）分布（信号的频率）。此外，对于每种病毒类型和亚型以及总体的待测物，应分别提供使用参比方法检测的预先收集的样品和留存样品阳性结果的信号分布。同样，应提供临床研究中不含有该检测可检出的病毒类型或亚型的样品测定结果的信号分布。</w:t>
      </w:r>
    </w:p>
    <w:p w14:paraId="7C2215DF">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如果该检测存在一个不明确区域，应对每种呼吸道病毒预先收集和留存的样本提供以下对于不明确区域的支持性验证：</w:t>
      </w:r>
    </w:p>
    <w:p w14:paraId="50F669E2">
      <w:pPr>
        <w:widowControl/>
        <w:numPr>
          <w:ilvl w:val="0"/>
          <w:numId w:val="14"/>
        </w:numPr>
        <w:snapToGrid w:val="0"/>
        <w:spacing w:line="300" w:lineRule="auto"/>
        <w:ind w:left="0" w:firstLine="0"/>
        <w:jc w:val="left"/>
        <w:rPr>
          <w:rFonts w:ascii="Arial" w:hAnsi="Arial" w:eastAsia="宋体" w:cs="Arial"/>
          <w:color w:val="000000"/>
          <w:kern w:val="0"/>
          <w:sz w:val="24"/>
          <w:szCs w:val="24"/>
        </w:rPr>
      </w:pPr>
      <w:r>
        <w:rPr>
          <w:rFonts w:ascii="Arial" w:hAnsi="Arial" w:eastAsia="宋体" w:cs="Arial"/>
          <w:color w:val="000000"/>
          <w:kern w:val="0"/>
          <w:sz w:val="24"/>
          <w:szCs w:val="24"/>
        </w:rPr>
        <w:t>初始值在不明确区域的样本总数;</w:t>
      </w:r>
    </w:p>
    <w:p w14:paraId="4C21E158">
      <w:pPr>
        <w:widowControl/>
        <w:numPr>
          <w:ilvl w:val="0"/>
          <w:numId w:val="14"/>
        </w:numPr>
        <w:snapToGrid w:val="0"/>
        <w:spacing w:line="300" w:lineRule="auto"/>
        <w:ind w:left="0" w:firstLine="0"/>
        <w:jc w:val="left"/>
        <w:rPr>
          <w:rFonts w:ascii="Arial" w:hAnsi="Arial" w:eastAsia="宋体" w:cs="Arial"/>
          <w:color w:val="000000"/>
          <w:kern w:val="0"/>
          <w:sz w:val="24"/>
          <w:szCs w:val="24"/>
        </w:rPr>
      </w:pPr>
      <w:r>
        <w:rPr>
          <w:rFonts w:ascii="Arial" w:hAnsi="Arial" w:eastAsia="宋体" w:cs="Arial"/>
          <w:color w:val="000000"/>
          <w:kern w:val="0"/>
          <w:sz w:val="24"/>
          <w:szCs w:val="24"/>
        </w:rPr>
        <w:t xml:space="preserve">初始值在不明确区域且通过参考方法测得阳性结果的样本数; 以及 </w:t>
      </w:r>
    </w:p>
    <w:p w14:paraId="65A8BE99">
      <w:pPr>
        <w:widowControl/>
        <w:numPr>
          <w:ilvl w:val="0"/>
          <w:numId w:val="14"/>
        </w:numPr>
        <w:snapToGrid w:val="0"/>
        <w:spacing w:line="300" w:lineRule="auto"/>
        <w:ind w:left="0" w:firstLine="0"/>
        <w:jc w:val="left"/>
        <w:rPr>
          <w:rFonts w:ascii="Arial" w:hAnsi="Arial" w:eastAsia="宋体" w:cs="Arial"/>
          <w:color w:val="000000"/>
          <w:kern w:val="0"/>
          <w:sz w:val="24"/>
          <w:szCs w:val="24"/>
        </w:rPr>
      </w:pPr>
      <w:r>
        <w:rPr>
          <w:rFonts w:ascii="Arial" w:hAnsi="Arial" w:eastAsia="宋体" w:cs="Arial"/>
          <w:color w:val="000000"/>
          <w:kern w:val="0"/>
          <w:sz w:val="24"/>
          <w:szCs w:val="24"/>
        </w:rPr>
        <w:t>初始值在不明确区域且通过参考方法测得阴性结果的样本数。</w:t>
      </w:r>
    </w:p>
    <w:p w14:paraId="55932C04">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如果不明确区域的检测值需要重新检测，需提供样品复测后上述数字如何更改的信息。</w:t>
      </w:r>
    </w:p>
    <w:p w14:paraId="0C502212">
      <w:pPr>
        <w:widowControl/>
        <w:snapToGrid w:val="0"/>
        <w:spacing w:line="300" w:lineRule="auto"/>
        <w:jc w:val="left"/>
        <w:outlineLvl w:val="2"/>
        <w:rPr>
          <w:rFonts w:ascii="Arial" w:hAnsi="Arial" w:eastAsia="宋体" w:cs="Arial"/>
          <w:b/>
          <w:bCs/>
          <w:color w:val="000000"/>
          <w:kern w:val="0"/>
          <w:sz w:val="28"/>
          <w:szCs w:val="28"/>
        </w:rPr>
      </w:pPr>
    </w:p>
    <w:p w14:paraId="3DF827E0">
      <w:pPr>
        <w:widowControl/>
        <w:snapToGrid w:val="0"/>
        <w:spacing w:line="300" w:lineRule="auto"/>
        <w:jc w:val="left"/>
        <w:outlineLvl w:val="2"/>
        <w:rPr>
          <w:rFonts w:ascii="Arial" w:hAnsi="Arial" w:eastAsia="宋体" w:cs="Arial"/>
          <w:b/>
          <w:bCs/>
          <w:color w:val="000000"/>
          <w:kern w:val="0"/>
          <w:sz w:val="28"/>
          <w:szCs w:val="28"/>
        </w:rPr>
      </w:pPr>
      <w:r>
        <w:rPr>
          <w:rFonts w:ascii="Arial" w:hAnsi="Arial" w:eastAsia="宋体" w:cs="Arial"/>
          <w:b/>
          <w:bCs/>
          <w:color w:val="000000"/>
          <w:kern w:val="0"/>
          <w:sz w:val="28"/>
          <w:szCs w:val="28"/>
        </w:rPr>
        <w:t>7. 标签</w:t>
      </w:r>
    </w:p>
    <w:p w14:paraId="1331EE0B">
      <w:pPr>
        <w:widowControl/>
        <w:snapToGrid w:val="0"/>
        <w:spacing w:line="300" w:lineRule="auto"/>
        <w:jc w:val="left"/>
        <w:rPr>
          <w:rFonts w:ascii="Arial" w:hAnsi="Arial" w:eastAsia="宋体" w:cs="Arial"/>
          <w:sz w:val="24"/>
          <w:szCs w:val="24"/>
        </w:rPr>
      </w:pPr>
      <w:r>
        <w:rPr>
          <w:rFonts w:ascii="Arial" w:hAnsi="Arial" w:eastAsia="宋体" w:cs="Arial"/>
          <w:sz w:val="24"/>
          <w:szCs w:val="24"/>
        </w:rPr>
        <w:t>用于</w:t>
      </w:r>
      <w:r>
        <w:rPr>
          <w:rFonts w:ascii="Arial" w:hAnsi="Arial" w:eastAsia="宋体" w:cs="Arial"/>
          <w:color w:val="000000"/>
          <w:kern w:val="0"/>
          <w:sz w:val="24"/>
          <w:szCs w:val="24"/>
        </w:rPr>
        <w:t>甲型流感病毒亚型检测和分型的多重核酸检测，</w:t>
      </w:r>
      <w:r>
        <w:rPr>
          <w:rFonts w:ascii="Arial" w:hAnsi="Arial" w:eastAsia="宋体" w:cs="Arial"/>
          <w:sz w:val="24"/>
          <w:szCs w:val="24"/>
        </w:rPr>
        <w:t>与其它诊断器械一样，受制于对标签的法定要求（FD&amp;C法案第502（a）部分，第201（n）部分；21 USC§352（a），321（n））。这些IVD器械的标签必须提供充分的使用说明和充分的警告和注意事项。（第502（f）部分; 21 USC§352（f））。在21 CFR 809.10中提出了对于所有IVD器械的特定标签要求，亦见于</w:t>
      </w:r>
      <w:r>
        <w:rPr>
          <w:rFonts w:ascii="Arial" w:hAnsi="Arial" w:eastAsia="宋体" w:cs="Arial"/>
          <w:color w:val="000000"/>
          <w:kern w:val="0"/>
          <w:sz w:val="24"/>
          <w:szCs w:val="24"/>
        </w:rPr>
        <w:t>21 CFR § 801.119（标签内容符合21 CFR 809.10的IVDs，被视为可满足第502（f）（1）</w:t>
      </w:r>
      <w:r>
        <w:rPr>
          <w:rFonts w:ascii="Arial" w:hAnsi="Arial" w:eastAsia="宋体" w:cs="Arial"/>
          <w:sz w:val="24"/>
          <w:szCs w:val="24"/>
        </w:rPr>
        <w:t xml:space="preserve"> 部分的要求</w:t>
      </w:r>
      <w:r>
        <w:rPr>
          <w:rFonts w:ascii="Arial" w:hAnsi="Arial" w:eastAsia="宋体" w:cs="Arial"/>
          <w:color w:val="000000"/>
          <w:kern w:val="0"/>
          <w:sz w:val="24"/>
          <w:szCs w:val="24"/>
        </w:rPr>
        <w:t>）</w:t>
      </w:r>
      <w:r>
        <w:rPr>
          <w:rFonts w:ascii="Arial" w:hAnsi="Arial" w:eastAsia="宋体" w:cs="Arial"/>
          <w:sz w:val="24"/>
          <w:szCs w:val="24"/>
        </w:rPr>
        <w:t>。</w:t>
      </w:r>
    </w:p>
    <w:p w14:paraId="55095746">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虽然通过510（k）时不要求有最终标签，但</w:t>
      </w:r>
      <w:r>
        <w:rPr>
          <w:rFonts w:ascii="Arial" w:hAnsi="Arial" w:eastAsia="宋体" w:cs="Arial"/>
          <w:sz w:val="24"/>
          <w:szCs w:val="24"/>
        </w:rPr>
        <w:t>体外诊断器械的最终标签在产品进入州际贸易之前必须符合21 CFR 809.10的要求。</w:t>
      </w:r>
    </w:p>
    <w:p w14:paraId="7C64702B">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为了</w:t>
      </w:r>
      <w:r>
        <w:rPr>
          <w:rFonts w:ascii="Arial" w:hAnsi="Arial" w:eastAsia="宋体" w:cs="Arial"/>
          <w:sz w:val="24"/>
          <w:szCs w:val="24"/>
        </w:rPr>
        <w:t>确保符合FD&amp;C法案第502部分和21 C.F.R. 809.10，FDA建议在这些诊断器械的标签中说明以下规定的项目</w:t>
      </w:r>
      <w:r>
        <w:rPr>
          <w:rFonts w:ascii="Arial" w:hAnsi="Arial" w:eastAsia="宋体" w:cs="Arial"/>
          <w:color w:val="000000"/>
          <w:kern w:val="0"/>
          <w:sz w:val="24"/>
          <w:szCs w:val="24"/>
        </w:rPr>
        <w:t>。</w:t>
      </w:r>
      <w:r>
        <w:rPr>
          <w:rFonts w:ascii="Arial" w:hAnsi="Arial" w:eastAsia="宋体" w:cs="Arial"/>
          <w:sz w:val="24"/>
          <w:szCs w:val="24"/>
        </w:rPr>
        <w:t>这些标签建议还有助于降低本指南中已事先确定的风险，从而有助于确保安全有效地使用这些器械</w:t>
      </w:r>
      <w:r>
        <w:rPr>
          <w:rFonts w:ascii="Arial" w:hAnsi="Arial" w:eastAsia="宋体" w:cs="Arial"/>
          <w:color w:val="000000"/>
          <w:kern w:val="0"/>
          <w:sz w:val="24"/>
          <w:szCs w:val="24"/>
        </w:rPr>
        <w:t>，特别是在可能有新型甲型流感病毒出现时。</w:t>
      </w:r>
    </w:p>
    <w:p w14:paraId="4BA5C0ED">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标签应清楚地描述该器械设计用于检测的甲流病毒和特定甲流病毒亚型的特性、系统发育关系或其他公认的特征，以及人类感染的相关临床情况。</w:t>
      </w:r>
    </w:p>
    <w:p w14:paraId="31C4E7F4">
      <w:pPr>
        <w:widowControl/>
        <w:snapToGrid w:val="0"/>
        <w:spacing w:line="300" w:lineRule="auto"/>
        <w:jc w:val="left"/>
        <w:outlineLvl w:val="3"/>
        <w:rPr>
          <w:rFonts w:ascii="Arial" w:hAnsi="Arial" w:eastAsia="宋体" w:cs="Arial"/>
          <w:b/>
          <w:bCs/>
          <w:color w:val="000000"/>
          <w:kern w:val="0"/>
          <w:sz w:val="28"/>
          <w:szCs w:val="28"/>
        </w:rPr>
      </w:pPr>
    </w:p>
    <w:p w14:paraId="0172CCFC">
      <w:pPr>
        <w:widowControl/>
        <w:jc w:val="left"/>
        <w:rPr>
          <w:rFonts w:ascii="Arial" w:hAnsi="Arial" w:eastAsia="宋体" w:cs="Arial"/>
          <w:b/>
          <w:bCs/>
          <w:color w:val="000000"/>
          <w:kern w:val="0"/>
          <w:sz w:val="28"/>
          <w:szCs w:val="28"/>
        </w:rPr>
      </w:pPr>
      <w:r>
        <w:rPr>
          <w:rFonts w:ascii="Arial" w:hAnsi="Arial" w:eastAsia="宋体" w:cs="Arial"/>
          <w:b/>
          <w:bCs/>
          <w:color w:val="000000"/>
          <w:kern w:val="0"/>
          <w:sz w:val="28"/>
          <w:szCs w:val="28"/>
        </w:rPr>
        <w:br w:type="page"/>
      </w:r>
    </w:p>
    <w:p w14:paraId="4A940B79">
      <w:pPr>
        <w:widowControl/>
        <w:snapToGrid w:val="0"/>
        <w:spacing w:line="300" w:lineRule="auto"/>
        <w:jc w:val="left"/>
        <w:outlineLvl w:val="3"/>
        <w:rPr>
          <w:rFonts w:ascii="Arial" w:hAnsi="Arial" w:eastAsia="宋体" w:cs="Arial"/>
          <w:b/>
          <w:bCs/>
          <w:color w:val="000000"/>
          <w:kern w:val="0"/>
          <w:sz w:val="28"/>
          <w:szCs w:val="28"/>
        </w:rPr>
      </w:pPr>
      <w:r>
        <w:rPr>
          <w:rFonts w:ascii="Arial" w:hAnsi="Arial" w:eastAsia="宋体" w:cs="Arial"/>
          <w:b/>
          <w:bCs/>
          <w:color w:val="000000"/>
          <w:kern w:val="0"/>
          <w:sz w:val="28"/>
          <w:szCs w:val="28"/>
        </w:rPr>
        <w:t>预期用途</w:t>
      </w:r>
    </w:p>
    <w:p w14:paraId="23C17298">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除了描述被检测的待测物的特定元素，预期用途中应明确适应症，用于检测来自具有呼吸道疾病症状和可能有暴露风险的患者样本，且该检测应该与其他实验室检测和临床观察相结合。食品药品监督管理局还建议通过一个警告声明以澄清预期用途，例如：</w:t>
      </w:r>
    </w:p>
    <w:p w14:paraId="1BE4F43D">
      <w:pPr>
        <w:widowControl/>
        <w:snapToGrid w:val="0"/>
        <w:spacing w:line="300" w:lineRule="auto"/>
        <w:jc w:val="left"/>
        <w:rPr>
          <w:rFonts w:ascii="Arial" w:hAnsi="Arial" w:eastAsia="宋体" w:cs="Arial"/>
          <w:i/>
          <w:color w:val="000000"/>
          <w:kern w:val="0"/>
          <w:sz w:val="24"/>
          <w:szCs w:val="24"/>
        </w:rPr>
      </w:pPr>
      <w:r>
        <w:rPr>
          <w:rFonts w:ascii="Arial" w:hAnsi="Arial" w:eastAsia="宋体" w:cs="Arial"/>
          <w:i/>
          <w:color w:val="000000"/>
          <w:kern w:val="0"/>
          <w:sz w:val="24"/>
          <w:szCs w:val="24"/>
        </w:rPr>
        <w:t>阴性结果不排除流感病毒感染，也不应该作为治疗或做出其他患者管理决定的唯一基础。</w:t>
      </w:r>
    </w:p>
    <w:p w14:paraId="00A0B915">
      <w:pPr>
        <w:widowControl/>
        <w:snapToGrid w:val="0"/>
        <w:spacing w:line="300" w:lineRule="auto"/>
        <w:jc w:val="left"/>
        <w:rPr>
          <w:rFonts w:ascii="Arial" w:hAnsi="Arial" w:eastAsia="宋体" w:cs="Arial"/>
          <w:i/>
          <w:color w:val="000000"/>
          <w:kern w:val="0"/>
          <w:sz w:val="24"/>
          <w:szCs w:val="24"/>
        </w:rPr>
      </w:pPr>
      <w:r>
        <w:rPr>
          <w:rFonts w:ascii="Arial" w:hAnsi="Arial" w:eastAsia="宋体" w:cs="Arial"/>
          <w:i/>
          <w:color w:val="000000"/>
          <w:kern w:val="0"/>
          <w:sz w:val="24"/>
          <w:szCs w:val="24"/>
        </w:rPr>
        <w:t>当流行的主要甲型流感病毒为流感A/H3和A/H1时，确立了用于甲型流感检测的性能特征。当其他甲型流感病毒出现时，性能特征可能不同。</w:t>
      </w:r>
    </w:p>
    <w:p w14:paraId="3E5D034D">
      <w:pPr>
        <w:widowControl/>
        <w:snapToGrid w:val="0"/>
        <w:spacing w:line="300" w:lineRule="auto"/>
        <w:jc w:val="left"/>
        <w:rPr>
          <w:rFonts w:ascii="Arial" w:hAnsi="Arial" w:eastAsia="宋体" w:cs="Arial"/>
          <w:i/>
          <w:color w:val="000000"/>
          <w:kern w:val="0"/>
          <w:sz w:val="24"/>
          <w:szCs w:val="24"/>
        </w:rPr>
      </w:pPr>
      <w:r>
        <w:rPr>
          <w:rFonts w:ascii="Arial" w:hAnsi="Arial" w:eastAsia="宋体" w:cs="Arial"/>
          <w:i/>
          <w:color w:val="000000"/>
          <w:kern w:val="0"/>
          <w:sz w:val="24"/>
          <w:szCs w:val="24"/>
        </w:rPr>
        <w:t>根据目前由公共卫生当局推荐的临床和流行病学筛选标准，如果怀疑感染了新型甲型流感病毒，应在适当的传染病防控措施下对新型强毒流感病毒进行采样，并送往州或地方卫生部门进行检测。在这种情况下不应进行病毒培养，除非有BSL 3+的设施可用于接受和培养样本。</w:t>
      </w:r>
    </w:p>
    <w:p w14:paraId="441B2769">
      <w:pPr>
        <w:widowControl/>
        <w:snapToGrid w:val="0"/>
        <w:spacing w:line="300" w:lineRule="auto"/>
        <w:jc w:val="left"/>
        <w:outlineLvl w:val="3"/>
        <w:rPr>
          <w:rFonts w:ascii="Arial" w:hAnsi="Arial" w:eastAsia="宋体" w:cs="Arial"/>
          <w:b/>
          <w:bCs/>
          <w:color w:val="000000"/>
          <w:kern w:val="0"/>
          <w:sz w:val="28"/>
          <w:szCs w:val="28"/>
        </w:rPr>
      </w:pPr>
    </w:p>
    <w:p w14:paraId="5F954D31">
      <w:pPr>
        <w:widowControl/>
        <w:snapToGrid w:val="0"/>
        <w:spacing w:line="300" w:lineRule="auto"/>
        <w:jc w:val="left"/>
        <w:outlineLvl w:val="3"/>
        <w:rPr>
          <w:rFonts w:ascii="Arial" w:hAnsi="Arial" w:eastAsia="宋体" w:cs="Arial"/>
          <w:b/>
          <w:bCs/>
          <w:color w:val="000000"/>
          <w:kern w:val="0"/>
          <w:sz w:val="28"/>
          <w:szCs w:val="28"/>
        </w:rPr>
      </w:pPr>
      <w:r>
        <w:rPr>
          <w:rFonts w:ascii="Arial" w:hAnsi="Arial" w:eastAsia="宋体" w:cs="Arial"/>
          <w:b/>
          <w:bCs/>
          <w:color w:val="000000"/>
          <w:kern w:val="0"/>
          <w:sz w:val="28"/>
          <w:szCs w:val="28"/>
        </w:rPr>
        <w:t>使用说明</w:t>
      </w:r>
    </w:p>
    <w:p w14:paraId="0860C29F">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贵公司应该提供清晰简洁的说明，描述特定器械的技术特征、使用试剂的程序和控制类型，以尽量减少产生不准确结果的风险。说明书应鼓励使用额外的控制措施和控制的检测，以确保以安全有效的方式使用。</w:t>
      </w:r>
    </w:p>
    <w:p w14:paraId="362B6ADD">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检测系统的使用说明书中应提供所有必要的说明，以允许该检测产品可以达到其申报的性能，并提出安全使用该检测产品所需的所有局限性和警告。</w:t>
      </w:r>
    </w:p>
    <w:p w14:paraId="25EF736E">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对于需要相关辅助试剂的检测系统（见第5.C部分），应：</w:t>
      </w:r>
    </w:p>
    <w:p w14:paraId="7CCBE111">
      <w:pPr>
        <w:widowControl/>
        <w:numPr>
          <w:ilvl w:val="0"/>
          <w:numId w:val="15"/>
        </w:numPr>
        <w:snapToGrid w:val="0"/>
        <w:spacing w:line="300" w:lineRule="auto"/>
        <w:ind w:left="432" w:hanging="432" w:hangingChars="180"/>
        <w:jc w:val="left"/>
        <w:rPr>
          <w:rFonts w:ascii="Arial" w:hAnsi="Arial" w:eastAsia="宋体" w:cs="Arial"/>
          <w:color w:val="000000"/>
          <w:kern w:val="0"/>
          <w:sz w:val="24"/>
          <w:szCs w:val="24"/>
        </w:rPr>
      </w:pPr>
      <w:r>
        <w:rPr>
          <w:rFonts w:ascii="Arial" w:hAnsi="Arial" w:eastAsia="宋体" w:cs="Arial"/>
          <w:color w:val="000000"/>
          <w:kern w:val="0"/>
          <w:sz w:val="24"/>
          <w:szCs w:val="24"/>
        </w:rPr>
        <w:t>通过醒目的标签强调，正确的产品性能需要使用指定的特殊辅助试剂。如果无法使用指定的辅助试剂，在标签中应包括该器械无法使用的警告。</w:t>
      </w:r>
    </w:p>
    <w:p w14:paraId="07E195E2">
      <w:pPr>
        <w:widowControl/>
        <w:numPr>
          <w:ilvl w:val="0"/>
          <w:numId w:val="15"/>
        </w:numPr>
        <w:snapToGrid w:val="0"/>
        <w:spacing w:line="300" w:lineRule="auto"/>
        <w:ind w:left="432" w:hanging="432" w:hangingChars="180"/>
        <w:jc w:val="left"/>
        <w:rPr>
          <w:rFonts w:ascii="Arial" w:hAnsi="Arial" w:eastAsia="宋体" w:cs="Arial"/>
          <w:color w:val="000000"/>
          <w:kern w:val="0"/>
          <w:sz w:val="24"/>
          <w:szCs w:val="24"/>
        </w:rPr>
      </w:pPr>
      <w:r>
        <w:rPr>
          <w:rFonts w:ascii="Arial" w:hAnsi="Arial" w:eastAsia="宋体" w:cs="Arial"/>
          <w:color w:val="000000"/>
          <w:kern w:val="0"/>
          <w:sz w:val="24"/>
          <w:szCs w:val="24"/>
        </w:rPr>
        <w:t>确保用户可以清楚地识别哪些辅助试剂适合与该检测产品共同使用。例如，如果只有某些批次的指定辅助试剂适合使用，则该检测产品的标签中应明确那些批次的编号。（见21 CFR 809.10（b）（8）（ii））</w:t>
      </w:r>
    </w:p>
    <w:p w14:paraId="3ACD237E">
      <w:pPr>
        <w:widowControl/>
        <w:numPr>
          <w:ilvl w:val="0"/>
          <w:numId w:val="15"/>
        </w:numPr>
        <w:snapToGrid w:val="0"/>
        <w:spacing w:line="300" w:lineRule="auto"/>
        <w:ind w:left="432" w:hanging="432" w:hangingChars="180"/>
        <w:jc w:val="left"/>
        <w:rPr>
          <w:rFonts w:ascii="Arial" w:hAnsi="Arial" w:eastAsia="宋体" w:cs="Arial"/>
          <w:color w:val="000000"/>
          <w:kern w:val="0"/>
          <w:sz w:val="24"/>
          <w:szCs w:val="24"/>
        </w:rPr>
      </w:pPr>
      <w:r>
        <w:rPr>
          <w:rFonts w:ascii="Arial" w:hAnsi="Arial" w:eastAsia="宋体" w:cs="Arial"/>
          <w:color w:val="000000"/>
          <w:kern w:val="0"/>
          <w:sz w:val="24"/>
          <w:szCs w:val="24"/>
        </w:rPr>
        <w:t>如果标签中要求有辅助试剂，该辅助试剂的制造商提供了使用说明书或其他警告或限制，则应确保该检测产品的用户了解，其在检测系统中使用辅助试剂时应遵循的说明。如果辅助试剂制造商提供的说明和警告与该检测产品提供的使用说明之间存在冲突，则应评估并解决用户可能错误地直接遵循辅助试剂的标签内容而在检测中获得无效结果的风险。我们注意到，在某些情况下，标签中的声明可能不足以解决这种冲突所造成的风险。</w:t>
      </w:r>
    </w:p>
    <w:p w14:paraId="612D8F31">
      <w:pPr>
        <w:widowControl/>
        <w:snapToGrid w:val="0"/>
        <w:spacing w:line="300" w:lineRule="auto"/>
        <w:jc w:val="left"/>
        <w:outlineLvl w:val="3"/>
        <w:rPr>
          <w:rFonts w:ascii="Arial" w:hAnsi="Arial" w:eastAsia="宋体" w:cs="Arial"/>
          <w:b/>
          <w:bCs/>
          <w:color w:val="000000"/>
          <w:kern w:val="0"/>
          <w:sz w:val="28"/>
          <w:szCs w:val="28"/>
        </w:rPr>
      </w:pPr>
    </w:p>
    <w:p w14:paraId="64A7AFD1">
      <w:pPr>
        <w:widowControl/>
        <w:jc w:val="left"/>
        <w:rPr>
          <w:rFonts w:ascii="Arial" w:hAnsi="Arial" w:eastAsia="宋体" w:cs="Arial"/>
          <w:b/>
          <w:bCs/>
          <w:color w:val="000000"/>
          <w:kern w:val="0"/>
          <w:sz w:val="28"/>
          <w:szCs w:val="28"/>
        </w:rPr>
      </w:pPr>
      <w:r>
        <w:rPr>
          <w:rFonts w:ascii="Arial" w:hAnsi="Arial" w:eastAsia="宋体" w:cs="Arial"/>
          <w:b/>
          <w:bCs/>
          <w:color w:val="000000"/>
          <w:kern w:val="0"/>
          <w:sz w:val="28"/>
          <w:szCs w:val="28"/>
        </w:rPr>
        <w:br w:type="page"/>
      </w:r>
    </w:p>
    <w:p w14:paraId="21818CA7">
      <w:pPr>
        <w:widowControl/>
        <w:snapToGrid w:val="0"/>
        <w:spacing w:line="300" w:lineRule="auto"/>
        <w:jc w:val="left"/>
        <w:outlineLvl w:val="3"/>
        <w:rPr>
          <w:rFonts w:ascii="Arial" w:hAnsi="Arial" w:eastAsia="宋体" w:cs="Arial"/>
          <w:b/>
          <w:bCs/>
          <w:color w:val="000000"/>
          <w:kern w:val="0"/>
          <w:sz w:val="28"/>
          <w:szCs w:val="28"/>
        </w:rPr>
      </w:pPr>
      <w:r>
        <w:rPr>
          <w:rFonts w:ascii="Arial" w:hAnsi="Arial" w:eastAsia="宋体" w:cs="Arial"/>
          <w:b/>
          <w:bCs/>
          <w:color w:val="000000"/>
          <w:kern w:val="0"/>
          <w:sz w:val="28"/>
          <w:szCs w:val="28"/>
        </w:rPr>
        <w:t>质量控制</w:t>
      </w:r>
    </w:p>
    <w:p w14:paraId="50FE8F8B">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质量控制的建议应包括可用作额外质量控制措施的程序和材料的类型，以及控制测试可接受的预期结果。</w:t>
      </w:r>
    </w:p>
    <w:p w14:paraId="2ABED63F">
      <w:pPr>
        <w:widowControl/>
        <w:snapToGrid w:val="0"/>
        <w:spacing w:line="300" w:lineRule="auto"/>
        <w:jc w:val="left"/>
        <w:rPr>
          <w:rFonts w:ascii="Arial" w:hAnsi="Arial" w:eastAsia="宋体" w:cs="Arial"/>
          <w:color w:val="000000"/>
          <w:kern w:val="0"/>
          <w:sz w:val="24"/>
          <w:szCs w:val="24"/>
        </w:rPr>
      </w:pPr>
    </w:p>
    <w:p w14:paraId="31EFE7BE">
      <w:pPr>
        <w:widowControl/>
        <w:snapToGrid w:val="0"/>
        <w:spacing w:line="300" w:lineRule="auto"/>
        <w:jc w:val="left"/>
        <w:outlineLvl w:val="3"/>
        <w:rPr>
          <w:rFonts w:ascii="Arial" w:hAnsi="Arial" w:eastAsia="宋体" w:cs="Arial"/>
          <w:b/>
          <w:bCs/>
          <w:color w:val="000000"/>
          <w:kern w:val="0"/>
          <w:sz w:val="28"/>
          <w:szCs w:val="28"/>
        </w:rPr>
      </w:pPr>
      <w:r>
        <w:rPr>
          <w:rFonts w:ascii="Arial" w:hAnsi="Arial" w:eastAsia="宋体" w:cs="Arial"/>
          <w:b/>
          <w:bCs/>
          <w:color w:val="000000"/>
          <w:kern w:val="0"/>
          <w:sz w:val="28"/>
          <w:szCs w:val="28"/>
        </w:rPr>
        <w:t>注意事项，警告和局限性</w:t>
      </w:r>
    </w:p>
    <w:p w14:paraId="76BF81F0">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贵公司应在标签中清楚地描述任何的检测局限性，包括医生在订购该检测产品之前需要了解的所有适当的局限性和警告。我们建议在“结果”部分加入报告结果的说明，包括向州或地方公共卫生部门报告结果的提醒（如适用）。</w:t>
      </w:r>
    </w:p>
    <w:p w14:paraId="01A63D3B">
      <w:pPr>
        <w:widowControl/>
        <w:snapToGrid w:val="0"/>
        <w:spacing w:line="300" w:lineRule="auto"/>
        <w:jc w:val="left"/>
        <w:outlineLvl w:val="3"/>
        <w:rPr>
          <w:rFonts w:ascii="Arial" w:hAnsi="Arial" w:eastAsia="宋体" w:cs="Arial"/>
          <w:b/>
          <w:bCs/>
          <w:color w:val="000000"/>
          <w:kern w:val="0"/>
          <w:sz w:val="24"/>
          <w:szCs w:val="24"/>
        </w:rPr>
      </w:pPr>
    </w:p>
    <w:p w14:paraId="5190F240">
      <w:pPr>
        <w:widowControl/>
        <w:snapToGrid w:val="0"/>
        <w:spacing w:line="300" w:lineRule="auto"/>
        <w:jc w:val="left"/>
        <w:outlineLvl w:val="3"/>
        <w:rPr>
          <w:rFonts w:ascii="Arial" w:hAnsi="Arial" w:eastAsia="宋体" w:cs="Arial"/>
          <w:b/>
          <w:bCs/>
          <w:color w:val="000000"/>
          <w:kern w:val="0"/>
          <w:sz w:val="28"/>
          <w:szCs w:val="28"/>
        </w:rPr>
      </w:pPr>
      <w:r>
        <w:rPr>
          <w:rFonts w:ascii="Arial" w:hAnsi="Arial" w:eastAsia="宋体" w:cs="Arial"/>
          <w:b/>
          <w:bCs/>
          <w:color w:val="000000"/>
          <w:kern w:val="0"/>
          <w:sz w:val="28"/>
          <w:szCs w:val="28"/>
        </w:rPr>
        <w:t>注意事项</w:t>
      </w:r>
    </w:p>
    <w:p w14:paraId="09DBCFDA">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我们建议贵公司对处理、储存和处置样本的程序进行规定，包括对疑似感染了新型流感毒株的样本进行重复和扩大操作的程序。</w:t>
      </w:r>
    </w:p>
    <w:p w14:paraId="5AC069A4">
      <w:pPr>
        <w:widowControl/>
        <w:snapToGrid w:val="0"/>
        <w:spacing w:line="300" w:lineRule="auto"/>
        <w:jc w:val="left"/>
        <w:outlineLvl w:val="3"/>
        <w:rPr>
          <w:rFonts w:ascii="Arial" w:hAnsi="Arial" w:eastAsia="宋体" w:cs="Arial"/>
          <w:b/>
          <w:bCs/>
          <w:kern w:val="0"/>
          <w:sz w:val="24"/>
          <w:szCs w:val="24"/>
        </w:rPr>
      </w:pPr>
    </w:p>
    <w:p w14:paraId="3C9BBADD">
      <w:pPr>
        <w:widowControl/>
        <w:snapToGrid w:val="0"/>
        <w:spacing w:line="300" w:lineRule="auto"/>
        <w:jc w:val="left"/>
        <w:outlineLvl w:val="3"/>
        <w:rPr>
          <w:rFonts w:ascii="Arial" w:hAnsi="Arial" w:eastAsia="宋体" w:cs="Arial"/>
          <w:b/>
          <w:bCs/>
          <w:color w:val="000000"/>
          <w:kern w:val="0"/>
          <w:sz w:val="28"/>
          <w:szCs w:val="28"/>
        </w:rPr>
      </w:pPr>
      <w:r>
        <w:rPr>
          <w:rFonts w:ascii="Arial" w:hAnsi="Arial" w:eastAsia="宋体" w:cs="Arial"/>
          <w:b/>
          <w:bCs/>
          <w:color w:val="000000"/>
          <w:kern w:val="0"/>
          <w:sz w:val="28"/>
          <w:szCs w:val="28"/>
        </w:rPr>
        <w:t>局限性</w:t>
      </w:r>
    </w:p>
    <w:p w14:paraId="0434CCB2">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除了与该特定检测相关的任何局限性和警告，建议提供声明，例如以下局限性（如适用）：</w:t>
      </w:r>
    </w:p>
    <w:p w14:paraId="3F6CAF37">
      <w:pPr>
        <w:widowControl/>
        <w:numPr>
          <w:ilvl w:val="0"/>
          <w:numId w:val="16"/>
        </w:numPr>
        <w:tabs>
          <w:tab w:val="clear" w:pos="720"/>
        </w:tabs>
        <w:snapToGrid w:val="0"/>
        <w:spacing w:line="300" w:lineRule="auto"/>
        <w:ind w:left="545" w:hanging="544" w:hangingChars="227"/>
        <w:jc w:val="left"/>
        <w:rPr>
          <w:rFonts w:ascii="Arial" w:hAnsi="Arial" w:eastAsia="宋体" w:cs="Arial"/>
          <w:color w:val="000000"/>
          <w:kern w:val="0"/>
          <w:sz w:val="24"/>
          <w:szCs w:val="24"/>
        </w:rPr>
      </w:pPr>
      <w:r>
        <w:rPr>
          <w:rFonts w:ascii="Arial" w:hAnsi="Arial" w:eastAsia="宋体" w:cs="Arial"/>
          <w:i/>
          <w:iCs/>
          <w:color w:val="000000"/>
          <w:kern w:val="0"/>
          <w:sz w:val="24"/>
          <w:szCs w:val="24"/>
        </w:rPr>
        <w:t> </w:t>
      </w:r>
      <w:r>
        <w:rPr>
          <w:rFonts w:ascii="Arial" w:hAnsi="Arial" w:eastAsia="宋体" w:cs="Arial"/>
          <w:i/>
          <w:color w:val="000000"/>
          <w:kern w:val="0"/>
          <w:sz w:val="24"/>
          <w:szCs w:val="24"/>
        </w:rPr>
        <w:t>经过培训的医疗保健专业人员应该结合患者的病史、临床体征和症状以及其他诊断测试的结果来对检测结果进行解释。</w:t>
      </w:r>
    </w:p>
    <w:p w14:paraId="46CE72F8">
      <w:pPr>
        <w:widowControl/>
        <w:numPr>
          <w:ilvl w:val="0"/>
          <w:numId w:val="16"/>
        </w:numPr>
        <w:tabs>
          <w:tab w:val="clear" w:pos="720"/>
        </w:tabs>
        <w:snapToGrid w:val="0"/>
        <w:spacing w:line="300" w:lineRule="auto"/>
        <w:ind w:left="545" w:hanging="544" w:hangingChars="227"/>
        <w:jc w:val="left"/>
        <w:rPr>
          <w:rFonts w:ascii="Arial" w:hAnsi="Arial" w:eastAsia="宋体" w:cs="Arial"/>
          <w:color w:val="000000"/>
          <w:kern w:val="0"/>
          <w:sz w:val="24"/>
          <w:szCs w:val="24"/>
        </w:rPr>
      </w:pPr>
      <w:r>
        <w:rPr>
          <w:rFonts w:ascii="Arial" w:hAnsi="Arial" w:eastAsia="宋体" w:cs="Arial"/>
          <w:i/>
          <w:iCs/>
          <w:color w:val="000000"/>
          <w:kern w:val="0"/>
          <w:sz w:val="24"/>
          <w:szCs w:val="24"/>
        </w:rPr>
        <w:t> </w:t>
      </w:r>
      <w:r>
        <w:rPr>
          <w:rFonts w:ascii="Arial" w:hAnsi="Arial" w:eastAsia="宋体" w:cs="Arial"/>
          <w:i/>
          <w:color w:val="000000"/>
          <w:kern w:val="0"/>
          <w:sz w:val="24"/>
          <w:szCs w:val="24"/>
        </w:rPr>
        <w:t>待测物靶标（病毒序列）可以在体内持续存在，而与病毒的活力无关。对待测物靶标的检测并不意味着相应的病毒具有传染性，也并非临床症状的致病因素。</w:t>
      </w:r>
    </w:p>
    <w:p w14:paraId="6C6583E7">
      <w:pPr>
        <w:widowControl/>
        <w:numPr>
          <w:ilvl w:val="0"/>
          <w:numId w:val="16"/>
        </w:numPr>
        <w:tabs>
          <w:tab w:val="clear" w:pos="720"/>
        </w:tabs>
        <w:snapToGrid w:val="0"/>
        <w:spacing w:line="300" w:lineRule="auto"/>
        <w:ind w:left="545" w:hanging="544" w:hangingChars="227"/>
        <w:jc w:val="left"/>
        <w:rPr>
          <w:rFonts w:ascii="Arial" w:hAnsi="Arial" w:eastAsia="宋体" w:cs="Arial"/>
          <w:color w:val="000000"/>
          <w:kern w:val="0"/>
          <w:sz w:val="24"/>
          <w:szCs w:val="24"/>
        </w:rPr>
      </w:pPr>
      <w:r>
        <w:rPr>
          <w:rFonts w:ascii="Arial" w:hAnsi="Arial" w:eastAsia="宋体" w:cs="Arial"/>
          <w:i/>
          <w:iCs/>
          <w:color w:val="000000"/>
          <w:kern w:val="0"/>
          <w:sz w:val="24"/>
          <w:szCs w:val="24"/>
        </w:rPr>
        <w:t> </w:t>
      </w:r>
      <w:r>
        <w:rPr>
          <w:rFonts w:ascii="Arial" w:hAnsi="Arial" w:eastAsia="宋体" w:cs="Arial"/>
          <w:i/>
          <w:color w:val="000000"/>
          <w:kern w:val="0"/>
          <w:sz w:val="24"/>
          <w:szCs w:val="24"/>
        </w:rPr>
        <w:t>病毒序列的检测取决于适当的样本收集，处理，转运，储存和制备（包括提取）。任何一个步骤不按正确的程序操作，都可能导致不正确的结果。由于不正确地收集、转运或处理样本，会存在假阴性结果的风险。</w:t>
      </w:r>
    </w:p>
    <w:p w14:paraId="719E1209">
      <w:pPr>
        <w:widowControl/>
        <w:numPr>
          <w:ilvl w:val="0"/>
          <w:numId w:val="16"/>
        </w:numPr>
        <w:tabs>
          <w:tab w:val="clear" w:pos="720"/>
        </w:tabs>
        <w:snapToGrid w:val="0"/>
        <w:spacing w:line="300" w:lineRule="auto"/>
        <w:ind w:left="545" w:hanging="544" w:hangingChars="227"/>
        <w:jc w:val="left"/>
        <w:rPr>
          <w:rFonts w:ascii="Arial" w:hAnsi="Arial" w:eastAsia="宋体" w:cs="Arial"/>
          <w:color w:val="000000"/>
          <w:kern w:val="0"/>
          <w:sz w:val="24"/>
          <w:szCs w:val="24"/>
        </w:rPr>
      </w:pPr>
      <w:r>
        <w:rPr>
          <w:rFonts w:ascii="Arial" w:hAnsi="Arial" w:eastAsia="宋体" w:cs="Arial"/>
          <w:i/>
          <w:iCs/>
          <w:color w:val="000000"/>
          <w:kern w:val="0"/>
          <w:sz w:val="24"/>
          <w:szCs w:val="24"/>
        </w:rPr>
        <w:t> </w:t>
      </w:r>
      <w:r>
        <w:rPr>
          <w:rFonts w:ascii="Arial" w:hAnsi="Arial" w:eastAsia="宋体" w:cs="Arial"/>
          <w:i/>
          <w:color w:val="000000"/>
          <w:kern w:val="0"/>
          <w:sz w:val="24"/>
          <w:szCs w:val="24"/>
        </w:rPr>
        <w:t>检测存在的假阳性结果的风险，是由于靶生物体、其核酸或扩增产物，或非特异性信号的交叉污染所引起。</w:t>
      </w:r>
    </w:p>
    <w:p w14:paraId="4BA09D68">
      <w:pPr>
        <w:widowControl/>
        <w:numPr>
          <w:ilvl w:val="0"/>
          <w:numId w:val="16"/>
        </w:numPr>
        <w:tabs>
          <w:tab w:val="clear" w:pos="720"/>
        </w:tabs>
        <w:snapToGrid w:val="0"/>
        <w:spacing w:line="300" w:lineRule="auto"/>
        <w:ind w:left="545" w:hanging="544" w:hangingChars="227"/>
        <w:jc w:val="left"/>
        <w:rPr>
          <w:rFonts w:ascii="Arial" w:hAnsi="Arial" w:eastAsia="宋体" w:cs="Arial"/>
          <w:color w:val="000000"/>
          <w:kern w:val="0"/>
          <w:sz w:val="24"/>
          <w:szCs w:val="24"/>
        </w:rPr>
      </w:pPr>
      <w:r>
        <w:rPr>
          <w:rFonts w:ascii="Arial" w:hAnsi="Arial" w:eastAsia="宋体" w:cs="Arial"/>
          <w:i/>
          <w:iCs/>
          <w:color w:val="000000"/>
          <w:kern w:val="0"/>
          <w:sz w:val="24"/>
          <w:szCs w:val="24"/>
        </w:rPr>
        <w:t> </w:t>
      </w:r>
      <w:r>
        <w:rPr>
          <w:rFonts w:ascii="Arial" w:hAnsi="Arial" w:eastAsia="宋体" w:cs="Arial"/>
          <w:i/>
          <w:color w:val="000000"/>
          <w:kern w:val="0"/>
          <w:sz w:val="24"/>
          <w:szCs w:val="24"/>
        </w:rPr>
        <w:t>由于测定的病毒靶标中存在序列变异，检测时会有假阴性结果的风险。</w:t>
      </w:r>
    </w:p>
    <w:p w14:paraId="08187BE2">
      <w:pPr>
        <w:widowControl/>
        <w:numPr>
          <w:ilvl w:val="0"/>
          <w:numId w:val="16"/>
        </w:numPr>
        <w:tabs>
          <w:tab w:val="clear" w:pos="720"/>
        </w:tabs>
        <w:snapToGrid w:val="0"/>
        <w:spacing w:line="300" w:lineRule="auto"/>
        <w:ind w:left="545" w:hanging="544" w:hangingChars="227"/>
        <w:jc w:val="left"/>
        <w:rPr>
          <w:rFonts w:ascii="Arial" w:hAnsi="Arial" w:eastAsia="宋体" w:cs="Arial"/>
          <w:color w:val="000000"/>
          <w:kern w:val="0"/>
          <w:sz w:val="24"/>
          <w:szCs w:val="24"/>
        </w:rPr>
      </w:pPr>
      <w:r>
        <w:rPr>
          <w:rFonts w:ascii="Arial" w:hAnsi="Arial" w:eastAsia="宋体" w:cs="Arial"/>
          <w:i/>
          <w:color w:val="000000"/>
          <w:kern w:val="0"/>
          <w:sz w:val="24"/>
          <w:szCs w:val="24"/>
        </w:rPr>
        <w:t>使用本器械检测后结果为阴性的样本，我们建议通过替代方法（例如细胞培养）进行确认。（取决于对特定待测物的检测性能）。可能需要对甲型流感，其他甲流亚型或其他呼吸道传染病进行额外检测。</w:t>
      </w:r>
    </w:p>
    <w:p w14:paraId="3A95F3A4">
      <w:pPr>
        <w:widowControl/>
        <w:numPr>
          <w:ilvl w:val="0"/>
          <w:numId w:val="16"/>
        </w:numPr>
        <w:tabs>
          <w:tab w:val="clear" w:pos="720"/>
        </w:tabs>
        <w:snapToGrid w:val="0"/>
        <w:spacing w:line="300" w:lineRule="auto"/>
        <w:ind w:left="545" w:hanging="544" w:hangingChars="227"/>
        <w:jc w:val="left"/>
        <w:rPr>
          <w:rFonts w:ascii="Arial" w:hAnsi="Arial" w:eastAsia="宋体" w:cs="Arial"/>
          <w:color w:val="000000"/>
          <w:kern w:val="0"/>
          <w:sz w:val="24"/>
          <w:szCs w:val="24"/>
        </w:rPr>
      </w:pPr>
      <w:r>
        <w:rPr>
          <w:rFonts w:ascii="Arial" w:hAnsi="Arial" w:eastAsia="宋体" w:cs="Arial"/>
          <w:i/>
          <w:iCs/>
          <w:color w:val="000000"/>
          <w:kern w:val="0"/>
          <w:sz w:val="24"/>
          <w:szCs w:val="24"/>
        </w:rPr>
        <w:t> </w:t>
      </w:r>
      <w:r>
        <w:rPr>
          <w:rFonts w:ascii="Arial" w:hAnsi="Arial" w:eastAsia="宋体" w:cs="Arial"/>
          <w:i/>
          <w:color w:val="000000"/>
          <w:kern w:val="0"/>
          <w:sz w:val="24"/>
          <w:szCs w:val="24"/>
        </w:rPr>
        <w:t>阴性结果（例如，没有检测到甲流病毒RNA、且没有检测到特异性甲流病毒亚型的病毒RNA）不排除其他甲流病毒的流感感染。</w:t>
      </w:r>
    </w:p>
    <w:p w14:paraId="74C443BD">
      <w:pPr>
        <w:widowControl/>
        <w:numPr>
          <w:ilvl w:val="0"/>
          <w:numId w:val="16"/>
        </w:numPr>
        <w:tabs>
          <w:tab w:val="clear" w:pos="720"/>
        </w:tabs>
        <w:snapToGrid w:val="0"/>
        <w:spacing w:line="300" w:lineRule="auto"/>
        <w:ind w:left="545" w:hanging="544" w:hangingChars="227"/>
        <w:jc w:val="left"/>
        <w:rPr>
          <w:rFonts w:ascii="Arial" w:hAnsi="Arial" w:eastAsia="宋体" w:cs="Arial"/>
          <w:color w:val="000000"/>
          <w:kern w:val="0"/>
          <w:sz w:val="24"/>
          <w:szCs w:val="24"/>
        </w:rPr>
      </w:pPr>
      <w:r>
        <w:rPr>
          <w:rFonts w:ascii="Arial" w:hAnsi="Arial" w:eastAsia="宋体" w:cs="Arial"/>
          <w:i/>
          <w:color w:val="000000"/>
          <w:kern w:val="0"/>
          <w:sz w:val="24"/>
          <w:szCs w:val="24"/>
        </w:rPr>
        <w:t>在接受鼻内给予甲流疫苗的个体中尚未确立该检测产品的性能。</w:t>
      </w:r>
    </w:p>
    <w:p w14:paraId="5BAA23C7">
      <w:pPr>
        <w:widowControl/>
        <w:numPr>
          <w:ilvl w:val="0"/>
          <w:numId w:val="16"/>
        </w:numPr>
        <w:tabs>
          <w:tab w:val="clear" w:pos="720"/>
        </w:tabs>
        <w:snapToGrid w:val="0"/>
        <w:spacing w:line="300" w:lineRule="auto"/>
        <w:ind w:left="545" w:hanging="544" w:hangingChars="227"/>
        <w:jc w:val="left"/>
        <w:rPr>
          <w:rFonts w:ascii="Arial" w:hAnsi="Arial" w:eastAsia="宋体" w:cs="Arial"/>
          <w:color w:val="000000"/>
          <w:kern w:val="0"/>
          <w:sz w:val="24"/>
          <w:szCs w:val="24"/>
        </w:rPr>
      </w:pPr>
      <w:r>
        <w:rPr>
          <w:rFonts w:ascii="Arial" w:hAnsi="Arial" w:eastAsia="宋体" w:cs="Arial"/>
          <w:i/>
          <w:iCs/>
          <w:color w:val="000000"/>
          <w:kern w:val="0"/>
          <w:sz w:val="24"/>
          <w:szCs w:val="24"/>
        </w:rPr>
        <w:t> </w:t>
      </w:r>
      <w:r>
        <w:rPr>
          <w:rFonts w:ascii="Arial" w:hAnsi="Arial" w:eastAsia="宋体" w:cs="Arial"/>
          <w:i/>
          <w:color w:val="000000"/>
          <w:kern w:val="0"/>
          <w:sz w:val="24"/>
          <w:szCs w:val="24"/>
        </w:rPr>
        <w:t>在免疫功能不全的患者中尚未确立该检测产品的性能。</w:t>
      </w:r>
    </w:p>
    <w:p w14:paraId="569EA8EA">
      <w:pPr>
        <w:widowControl/>
        <w:numPr>
          <w:ilvl w:val="0"/>
          <w:numId w:val="16"/>
        </w:numPr>
        <w:tabs>
          <w:tab w:val="clear" w:pos="720"/>
        </w:tabs>
        <w:snapToGrid w:val="0"/>
        <w:spacing w:line="300" w:lineRule="auto"/>
        <w:ind w:left="545" w:hanging="544" w:hangingChars="227"/>
        <w:jc w:val="left"/>
        <w:rPr>
          <w:rFonts w:ascii="Arial" w:hAnsi="Arial" w:eastAsia="宋体" w:cs="Arial"/>
          <w:color w:val="000000"/>
          <w:kern w:val="0"/>
          <w:sz w:val="24"/>
          <w:szCs w:val="24"/>
        </w:rPr>
      </w:pPr>
      <w:r>
        <w:rPr>
          <w:rFonts w:ascii="Arial" w:hAnsi="Arial" w:eastAsia="宋体" w:cs="Arial"/>
          <w:i/>
          <w:color w:val="000000"/>
          <w:kern w:val="0"/>
          <w:sz w:val="24"/>
          <w:szCs w:val="24"/>
        </w:rPr>
        <w:t>阳性和阴性的预测值高度依赖于患病率。在[例如，2006/2007流行季]期间建立了该检测产品的性能。对于某些病毒的性能可能会随患病率和检测的人群而变化。假阳性检测结果可能是由于甲流病毒或特定甲流病毒亚型在社区中的疾病患病率低或不存在。</w:t>
      </w:r>
    </w:p>
    <w:p w14:paraId="645588C3">
      <w:pPr>
        <w:widowControl/>
        <w:numPr>
          <w:ilvl w:val="0"/>
          <w:numId w:val="16"/>
        </w:numPr>
        <w:tabs>
          <w:tab w:val="clear" w:pos="720"/>
        </w:tabs>
        <w:snapToGrid w:val="0"/>
        <w:spacing w:line="300" w:lineRule="auto"/>
        <w:ind w:left="545" w:hanging="544" w:hangingChars="227"/>
        <w:jc w:val="left"/>
        <w:rPr>
          <w:rFonts w:ascii="Arial" w:hAnsi="Arial" w:eastAsia="宋体" w:cs="Arial"/>
          <w:color w:val="000000"/>
          <w:kern w:val="0"/>
          <w:sz w:val="24"/>
          <w:szCs w:val="24"/>
        </w:rPr>
      </w:pPr>
      <w:r>
        <w:rPr>
          <w:rFonts w:ascii="Arial" w:hAnsi="Arial" w:eastAsia="宋体" w:cs="Arial"/>
          <w:i/>
          <w:color w:val="000000"/>
          <w:kern w:val="0"/>
          <w:sz w:val="24"/>
          <w:szCs w:val="24"/>
        </w:rPr>
        <w:t>需要额外的检测来区分甲型和乙型流感病毒。</w:t>
      </w:r>
      <w:r>
        <w:rPr>
          <w:rFonts w:ascii="Arial" w:hAnsi="Arial" w:eastAsia="宋体" w:cs="Arial"/>
          <w:color w:val="000000"/>
          <w:kern w:val="0"/>
          <w:sz w:val="24"/>
          <w:szCs w:val="24"/>
        </w:rPr>
        <w:t>[如果该器械可以检测到甲型和乙型两种流感病毒，但无法区分二者。]</w:t>
      </w:r>
    </w:p>
    <w:p w14:paraId="30C61D93">
      <w:pPr>
        <w:widowControl/>
        <w:numPr>
          <w:ilvl w:val="0"/>
          <w:numId w:val="16"/>
        </w:numPr>
        <w:tabs>
          <w:tab w:val="clear" w:pos="720"/>
        </w:tabs>
        <w:snapToGrid w:val="0"/>
        <w:spacing w:line="300" w:lineRule="auto"/>
        <w:ind w:left="545" w:hanging="544" w:hangingChars="227"/>
        <w:jc w:val="left"/>
        <w:rPr>
          <w:rFonts w:ascii="Arial" w:hAnsi="Arial" w:eastAsia="宋体" w:cs="Arial"/>
          <w:color w:val="000000"/>
          <w:kern w:val="0"/>
          <w:sz w:val="24"/>
          <w:szCs w:val="24"/>
        </w:rPr>
      </w:pPr>
      <w:r>
        <w:rPr>
          <w:rFonts w:ascii="Arial" w:hAnsi="Arial" w:eastAsia="宋体" w:cs="Arial"/>
          <w:i/>
          <w:iCs/>
          <w:color w:val="000000"/>
          <w:kern w:val="0"/>
          <w:sz w:val="24"/>
          <w:szCs w:val="24"/>
        </w:rPr>
        <w:t> </w:t>
      </w:r>
      <w:r>
        <w:rPr>
          <w:rFonts w:ascii="Arial" w:hAnsi="Arial" w:eastAsia="宋体" w:cs="Arial"/>
          <w:i/>
          <w:color w:val="000000"/>
          <w:kern w:val="0"/>
          <w:sz w:val="24"/>
          <w:szCs w:val="24"/>
        </w:rPr>
        <w:t>可与州或地方公共卫生部门协商，进行额外的检测以区分任何特定的甲流亚型或毒株。</w:t>
      </w:r>
      <w:r>
        <w:rPr>
          <w:rFonts w:ascii="Arial" w:hAnsi="Arial" w:eastAsia="宋体" w:cs="Arial"/>
          <w:color w:val="000000"/>
          <w:kern w:val="0"/>
          <w:sz w:val="24"/>
          <w:szCs w:val="24"/>
        </w:rPr>
        <w:t>[如果该器械可检测甲流病毒，并与乙流病毒进行区分。]</w:t>
      </w:r>
    </w:p>
    <w:p w14:paraId="1FF7482A">
      <w:pPr>
        <w:widowControl/>
        <w:numPr>
          <w:ilvl w:val="0"/>
          <w:numId w:val="16"/>
        </w:numPr>
        <w:tabs>
          <w:tab w:val="clear" w:pos="720"/>
        </w:tabs>
        <w:snapToGrid w:val="0"/>
        <w:spacing w:line="300" w:lineRule="auto"/>
        <w:ind w:left="545" w:hanging="544" w:hangingChars="227"/>
        <w:jc w:val="left"/>
        <w:rPr>
          <w:rFonts w:ascii="Arial" w:hAnsi="Arial" w:eastAsia="宋体" w:cs="Arial"/>
          <w:color w:val="000000"/>
          <w:kern w:val="0"/>
          <w:sz w:val="24"/>
          <w:szCs w:val="24"/>
        </w:rPr>
      </w:pPr>
      <w:r>
        <w:rPr>
          <w:rFonts w:ascii="Arial" w:hAnsi="Arial" w:eastAsia="宋体" w:cs="Arial"/>
          <w:i/>
          <w:color w:val="000000"/>
          <w:kern w:val="0"/>
          <w:sz w:val="24"/>
          <w:szCs w:val="24"/>
        </w:rPr>
        <w:t>如果一个样本检出了甲流阳性，但是，对于所有特定的甲流亚型（即H1或H3）均为阴性检测结果，则此结果需要通知相应的地方、州或联邦公共卫生当局，根据MMWR通知</w:t>
      </w:r>
      <w:r>
        <w:rPr>
          <w:rFonts w:ascii="Arial" w:hAnsi="Arial" w:eastAsia="宋体" w:cs="Arial"/>
          <w:i/>
          <w:iCs/>
          <w:color w:val="000000"/>
          <w:kern w:val="0"/>
          <w:sz w:val="24"/>
          <w:szCs w:val="24"/>
        </w:rPr>
        <w:t>（</w:t>
      </w:r>
      <w:r>
        <w:fldChar w:fldCharType="begin"/>
      </w:r>
      <w:r>
        <w:instrText xml:space="preserve"> HYPERLINK "http://www.cdc.gov/mmwr/preview/mmwrhtml/mm5613a4.htm" </w:instrText>
      </w:r>
      <w:r>
        <w:fldChar w:fldCharType="separate"/>
      </w:r>
      <w:r>
        <w:rPr>
          <w:rFonts w:ascii="Arial" w:hAnsi="Arial" w:eastAsia="宋体" w:cs="Arial"/>
          <w:i/>
          <w:iCs/>
          <w:color w:val="800080"/>
          <w:kern w:val="0"/>
          <w:sz w:val="24"/>
          <w:szCs w:val="24"/>
          <w:u w:val="single"/>
        </w:rPr>
        <w:t>http://www.cdc.gov/ mmwr/preview/mmwrhtml/ mm5613a4.htm</w:t>
      </w:r>
      <w:r>
        <w:rPr>
          <w:rFonts w:ascii="Arial" w:hAnsi="Arial" w:eastAsia="宋体" w:cs="Arial"/>
          <w:i/>
          <w:iCs/>
          <w:color w:val="800080"/>
          <w:kern w:val="0"/>
          <w:sz w:val="24"/>
          <w:szCs w:val="24"/>
          <w:u w:val="single"/>
        </w:rPr>
        <w:fldChar w:fldCharType="end"/>
      </w:r>
      <w:r>
        <w:rPr>
          <w:rFonts w:ascii="Arial" w:hAnsi="Arial" w:eastAsia="宋体" w:cs="Arial"/>
          <w:i/>
          <w:iCs/>
          <w:color w:val="000000"/>
          <w:kern w:val="0"/>
          <w:sz w:val="24"/>
          <w:szCs w:val="24"/>
        </w:rPr>
        <w:t> 和</w:t>
      </w:r>
      <w:r>
        <w:fldChar w:fldCharType="begin"/>
      </w:r>
      <w:r>
        <w:instrText xml:space="preserve"> HYPERLINK "http://www.cste.org/ps/2007pdfs/novelfluanndssjan10final23.pdf" </w:instrText>
      </w:r>
      <w:r>
        <w:fldChar w:fldCharType="separate"/>
      </w:r>
      <w:r>
        <w:rPr>
          <w:rFonts w:ascii="Arial" w:hAnsi="Arial" w:eastAsia="宋体" w:cs="Arial"/>
          <w:i/>
          <w:iCs/>
          <w:color w:val="800080"/>
          <w:kern w:val="0"/>
          <w:sz w:val="24"/>
          <w:szCs w:val="24"/>
          <w:u w:val="single"/>
        </w:rPr>
        <w:t>http://www.cste.org/ ps/2007pdfs/ novelfluanndssjan10final23.pdf</w:t>
      </w:r>
      <w:r>
        <w:rPr>
          <w:rFonts w:ascii="Arial" w:hAnsi="Arial" w:eastAsia="宋体" w:cs="Arial"/>
          <w:i/>
          <w:iCs/>
          <w:color w:val="800080"/>
          <w:kern w:val="0"/>
          <w:sz w:val="24"/>
          <w:szCs w:val="24"/>
          <w:u w:val="single"/>
        </w:rPr>
        <w:fldChar w:fldCharType="end"/>
      </w:r>
      <w:r>
        <w:rPr>
          <w:rFonts w:ascii="Arial" w:hAnsi="Arial" w:eastAsia="宋体" w:cs="Arial"/>
          <w:i/>
          <w:iCs/>
          <w:color w:val="000000"/>
          <w:kern w:val="0"/>
          <w:sz w:val="24"/>
          <w:szCs w:val="24"/>
        </w:rPr>
        <w:t xml:space="preserve">）, </w:t>
      </w:r>
      <w:r>
        <w:rPr>
          <w:rFonts w:ascii="Arial" w:hAnsi="Arial" w:eastAsia="宋体" w:cs="Arial"/>
          <w:i/>
          <w:color w:val="000000"/>
          <w:kern w:val="0"/>
          <w:sz w:val="24"/>
          <w:szCs w:val="24"/>
        </w:rPr>
        <w:t>确定必要的措施，以确认该样品是否代表了甲型流感的新毒株。</w:t>
      </w:r>
    </w:p>
    <w:p w14:paraId="0450B483">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如果预先选择了库存样本用于评估该检测产品在任何病毒或亚型中的性能，则应对此进行局限性说明，因为在特定病毒或亚型中建立的既定性能不能反映在预期使用人群中的性能或患病率。</w:t>
      </w:r>
    </w:p>
    <w:p w14:paraId="6D352591">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如果常用的收集材料、或可能在检测前通过内源性或外源性引入样本的物质，会导致阳性或阴性干扰，应告知用户由于这种干扰导致假阴性或假阳性结果的可能性。</w:t>
      </w:r>
    </w:p>
    <w:p w14:paraId="593F44B1">
      <w:pPr>
        <w:widowControl/>
        <w:snapToGrid w:val="0"/>
        <w:spacing w:line="300" w:lineRule="auto"/>
        <w:jc w:val="left"/>
        <w:outlineLvl w:val="3"/>
        <w:rPr>
          <w:rFonts w:ascii="Arial" w:hAnsi="Arial" w:eastAsia="宋体" w:cs="Arial"/>
          <w:b/>
          <w:bCs/>
          <w:color w:val="000000"/>
          <w:kern w:val="0"/>
          <w:sz w:val="24"/>
          <w:szCs w:val="24"/>
        </w:rPr>
      </w:pPr>
    </w:p>
    <w:p w14:paraId="78091822">
      <w:pPr>
        <w:widowControl/>
        <w:snapToGrid w:val="0"/>
        <w:spacing w:line="300" w:lineRule="auto"/>
        <w:jc w:val="left"/>
        <w:outlineLvl w:val="3"/>
        <w:rPr>
          <w:rFonts w:ascii="Arial" w:hAnsi="Arial" w:eastAsia="宋体" w:cs="Arial"/>
          <w:b/>
          <w:bCs/>
          <w:color w:val="000000"/>
          <w:kern w:val="0"/>
          <w:sz w:val="28"/>
          <w:szCs w:val="28"/>
        </w:rPr>
      </w:pPr>
      <w:r>
        <w:rPr>
          <w:rFonts w:ascii="Arial" w:hAnsi="Arial" w:eastAsia="宋体" w:cs="Arial"/>
          <w:b/>
          <w:bCs/>
          <w:color w:val="000000"/>
          <w:kern w:val="0"/>
          <w:sz w:val="28"/>
          <w:szCs w:val="28"/>
        </w:rPr>
        <w:t>样本收集</w:t>
      </w:r>
    </w:p>
    <w:p w14:paraId="06B563F5">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贵公司应说明不充分或不适当的样本收集、储存和转运可能会产生假阴性检测结果；还应说明，因为样品质量的重要性，我们强烈建议贵公司应对样品收集的操作人员进行培训。</w:t>
      </w:r>
    </w:p>
    <w:p w14:paraId="1465255A">
      <w:pPr>
        <w:widowControl/>
        <w:snapToGrid w:val="0"/>
        <w:spacing w:line="300" w:lineRule="auto"/>
        <w:jc w:val="left"/>
        <w:outlineLvl w:val="3"/>
        <w:rPr>
          <w:rFonts w:ascii="Arial" w:hAnsi="Arial" w:eastAsia="宋体" w:cs="Arial"/>
          <w:b/>
          <w:bCs/>
          <w:color w:val="000000"/>
          <w:kern w:val="0"/>
          <w:sz w:val="24"/>
          <w:szCs w:val="24"/>
        </w:rPr>
      </w:pPr>
    </w:p>
    <w:p w14:paraId="7BE63540">
      <w:pPr>
        <w:widowControl/>
        <w:snapToGrid w:val="0"/>
        <w:spacing w:line="300" w:lineRule="auto"/>
        <w:jc w:val="left"/>
        <w:outlineLvl w:val="3"/>
        <w:rPr>
          <w:rFonts w:ascii="Arial" w:hAnsi="Arial" w:eastAsia="宋体" w:cs="Arial"/>
          <w:b/>
          <w:bCs/>
          <w:color w:val="000000"/>
          <w:kern w:val="0"/>
          <w:sz w:val="28"/>
          <w:szCs w:val="28"/>
        </w:rPr>
      </w:pPr>
      <w:r>
        <w:rPr>
          <w:rFonts w:ascii="Arial" w:hAnsi="Arial" w:eastAsia="宋体" w:cs="Arial"/>
          <w:b/>
          <w:bCs/>
          <w:color w:val="000000"/>
          <w:kern w:val="0"/>
          <w:sz w:val="28"/>
          <w:szCs w:val="28"/>
        </w:rPr>
        <w:t>性能特点</w:t>
      </w:r>
    </w:p>
    <w:p w14:paraId="07A2FDD5">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我们建议在标签中描述，其样本经检测以支持产品性能特征的人群（即地理位置，样本类型和年龄组），对来自该器械预期检测的特定甲流亚型（经实验室确认）的病例样本的检测应单独说明。</w:t>
      </w:r>
    </w:p>
    <w:p w14:paraId="72B51E0F">
      <w:pPr>
        <w:widowControl/>
        <w:jc w:val="left"/>
        <w:rPr>
          <w:rFonts w:ascii="Arial" w:hAnsi="Arial" w:eastAsia="宋体" w:cs="Arial"/>
          <w:color w:val="000000"/>
          <w:kern w:val="0"/>
          <w:sz w:val="24"/>
          <w:szCs w:val="24"/>
        </w:rPr>
      </w:pPr>
      <w:r>
        <w:rPr>
          <w:rFonts w:ascii="Arial" w:hAnsi="Arial" w:eastAsia="宋体" w:cs="Arial"/>
          <w:color w:val="000000"/>
          <w:kern w:val="0"/>
          <w:sz w:val="24"/>
          <w:szCs w:val="24"/>
        </w:rPr>
        <w:br w:type="page"/>
      </w:r>
    </w:p>
    <w:p w14:paraId="3B731B2E">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贵公司应在包装说明书中列出研究设计和研究结果的总结（在第6部分描述），这将有助于用户对检测结果的解释。该部分中应包括临床（即医疗）和分析（即技术）性能特征的描述。临床性能特征通常为预期临床研究结果，通过该检测产品对于鉴定每种病毒类型和亚型的检测性能（灵敏度、特异性或阳性和阴性的百分比符合性，95%置信区间）进行总结。在某些也使用了回顾性临床样品的情况下，这些结果应该与预期临床研究结果分别列明，可作为该器械用于每种病毒类型和亚型检测的阳性和阴性结果的符合性。分析性能特征包含第6部分中概括的研究结果和方法的描述。此外，该部分应描述分析的灵敏度水平（检测限）。</w:t>
      </w:r>
    </w:p>
    <w:p w14:paraId="55D47E52">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我们建议贵公司在性能特征部分描述用于确立该器械的性能特征的人群（即地理位置，样本类型和年龄组），并提供进行评价时的季节（例如，流感季节的日历年），以及在该时期内观察到的主要病毒亚型。</w:t>
      </w:r>
    </w:p>
    <w:p w14:paraId="343FC84D">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我们建议贵公司根据样本来源和年龄对所提交的临床研究的阳性和阴性结果进行分层，还应对5岁以下儿童、年龄较大的儿童和成人单独进行结果分析。如果此信息不可用，应增加一个警示说明，例如“该检测产品用于成年人与儿童的样本会有预期的性能差异，但具体差异尚不清楚。”</w:t>
      </w:r>
    </w:p>
    <w:p w14:paraId="09FEAF4E">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如果贵公司使用标准化病毒定量方法（如WHO和CLSI）对标签中的各种病毒亚型进行结果表示，还应对信息进行条件符合性说明：“注：虽然该检测产品可检出经培养的禽流感病毒，包括禽甲流亚型H5N1病毒，但该产品在感染了H5N1或其他禽流感病毒的人类的样本中的性能特征是未知的。”这样的说明有助于避免误导用户将对于特定病毒培养物的分析信息应用于在人类临床样本中，对这些病毒进行检测。</w:t>
      </w:r>
    </w:p>
    <w:p w14:paraId="783B5FBF">
      <w:pPr>
        <w:widowControl/>
        <w:snapToGrid w:val="0"/>
        <w:spacing w:line="300" w:lineRule="auto"/>
        <w:jc w:val="left"/>
        <w:outlineLvl w:val="3"/>
        <w:rPr>
          <w:rFonts w:ascii="Arial" w:hAnsi="Arial" w:eastAsia="宋体" w:cs="Arial"/>
          <w:b/>
          <w:bCs/>
          <w:color w:val="000000"/>
          <w:kern w:val="0"/>
          <w:sz w:val="24"/>
          <w:szCs w:val="24"/>
        </w:rPr>
      </w:pPr>
    </w:p>
    <w:p w14:paraId="0EE55674">
      <w:pPr>
        <w:widowControl/>
        <w:snapToGrid w:val="0"/>
        <w:spacing w:line="300" w:lineRule="auto"/>
        <w:jc w:val="left"/>
        <w:outlineLvl w:val="3"/>
        <w:rPr>
          <w:rFonts w:ascii="Arial" w:hAnsi="Arial" w:eastAsia="宋体" w:cs="Arial"/>
          <w:b/>
          <w:bCs/>
          <w:color w:val="000000"/>
          <w:kern w:val="0"/>
          <w:sz w:val="28"/>
          <w:szCs w:val="28"/>
        </w:rPr>
      </w:pPr>
      <w:r>
        <w:rPr>
          <w:rFonts w:ascii="Arial" w:hAnsi="Arial" w:eastAsia="宋体" w:cs="Arial"/>
          <w:b/>
          <w:bCs/>
          <w:color w:val="000000"/>
          <w:kern w:val="0"/>
          <w:sz w:val="28"/>
          <w:szCs w:val="28"/>
        </w:rPr>
        <w:t>结果的解释</w:t>
      </w:r>
    </w:p>
    <w:p w14:paraId="5729AF3A">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贵公司应在包装说明书中结果的解释部分应列出所有可能的检测结果，并确定每种病原体和检测控制的存在或不存在。</w:t>
      </w:r>
    </w:p>
    <w:p w14:paraId="65487BDB">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如果贵公司内部控制是确定有效的阳性和阴性结果的一部分，应提供每种可能的控制结果解释和对于任何无效（即，无可用）结果如何进行后续操作的建议。</w:t>
      </w:r>
    </w:p>
    <w:p w14:paraId="6B441D8D">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如果该检测存在不明确区域，贵公司应提供解释和建议，对于检测板中每种病原体的可疑结果如何进行后续操作（例如，不确定的结果是否应该报告，或者是否应该重复检测）。</w:t>
      </w:r>
    </w:p>
    <w:p w14:paraId="2065E8B5">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如果对结果的解释认为，无效或可疑结果需要重复检测，应提供是否应</w:t>
      </w:r>
      <w:r>
        <w:rPr>
          <w:rFonts w:ascii="Arial" w:hAnsi="Arial" w:eastAsia="宋体" w:cs="Arial"/>
          <w:sz w:val="24"/>
          <w:szCs w:val="24"/>
        </w:rPr>
        <w:t>重复对同一核酸制备物、新的提取物或新的患者样本进行复测。</w:t>
      </w:r>
    </w:p>
    <w:p w14:paraId="13EFB231">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如果对检测结果的解释涉及几种病毒和病毒靶标的组合结果以获得检测结果，如呼吸道病毒检测板用于甲流和甲流亚型检测和分型的情况，应当有明确的对于有效和无效结果的组合的解释，以及在某些检测的情况下（例如，检测甲流，但不区分亚型），对需要后续操作或重新检测的建议。</w:t>
      </w:r>
    </w:p>
    <w:p w14:paraId="41816606">
      <w:pPr>
        <w:widowControl/>
        <w:jc w:val="left"/>
        <w:rPr>
          <w:rFonts w:ascii="Arial" w:hAnsi="Arial" w:eastAsia="宋体" w:cs="Arial"/>
          <w:color w:val="000000"/>
          <w:kern w:val="0"/>
          <w:sz w:val="24"/>
          <w:szCs w:val="24"/>
        </w:rPr>
      </w:pPr>
      <w:r>
        <w:rPr>
          <w:rFonts w:ascii="Arial" w:hAnsi="Arial" w:eastAsia="宋体" w:cs="Arial"/>
          <w:color w:val="000000"/>
          <w:kern w:val="0"/>
          <w:sz w:val="24"/>
          <w:szCs w:val="24"/>
        </w:rPr>
        <w:br w:type="page"/>
      </w:r>
    </w:p>
    <w:p w14:paraId="44696224">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如果对于特定待测物的检测性能（即灵敏度）显示为双侧95%CI的下限小于90%，则该待测物的阴性结果可能需要被解释为推定结果，应提示通过替代方法（例如细胞培养）进行确认。</w:t>
      </w:r>
    </w:p>
    <w:p w14:paraId="4F586F35">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由于该检测产品可检测甲型流感，并可区分甲型流感亚型，对于结果的解释中应告知用户，如果一个样本检出了甲流阳性，但是，对于所有特定的甲流亚型（即H1或H3）均为阴性检测结果，则此结果需要告知适当的地方、州或联邦公共卫生当局，根据MMWR通知</w:t>
      </w:r>
      <w:r>
        <w:rPr>
          <w:rFonts w:ascii="Arial" w:hAnsi="Arial" w:eastAsia="宋体" w:cs="Arial"/>
          <w:kern w:val="0"/>
          <w:sz w:val="24"/>
          <w:szCs w:val="24"/>
        </w:rPr>
        <w:t>（</w:t>
      </w:r>
      <w:r>
        <w:rPr>
          <w:rFonts w:ascii="Arial" w:hAnsi="Arial" w:eastAsia="宋体" w:cs="Arial"/>
          <w:color w:val="800080"/>
          <w:kern w:val="0"/>
          <w:sz w:val="24"/>
          <w:szCs w:val="24"/>
          <w:u w:val="single"/>
        </w:rPr>
        <w:t xml:space="preserve"> http://www.cdc.gov/mmwr/preview/mmwrhtml/mm5613a4.htm/</w:t>
      </w:r>
      <w:r>
        <w:rPr>
          <w:rFonts w:ascii="Arial" w:hAnsi="Arial" w:eastAsia="宋体" w:cs="Arial"/>
          <w:color w:val="000000"/>
          <w:kern w:val="0"/>
          <w:sz w:val="24"/>
          <w:szCs w:val="24"/>
        </w:rPr>
        <w:t>和 </w:t>
      </w:r>
      <w:r>
        <w:fldChar w:fldCharType="begin"/>
      </w:r>
      <w:r>
        <w:instrText xml:space="preserve"> HYPERLINK "http://www.cste.org/ps/2007pdfs/novelfluanndssjan10final23.pdf" </w:instrText>
      </w:r>
      <w:r>
        <w:fldChar w:fldCharType="separate"/>
      </w:r>
      <w:r>
        <w:rPr>
          <w:rFonts w:ascii="Arial" w:hAnsi="Arial" w:eastAsia="宋体" w:cs="Arial"/>
          <w:color w:val="800080"/>
          <w:kern w:val="0"/>
          <w:sz w:val="24"/>
          <w:szCs w:val="24"/>
          <w:u w:val="single"/>
        </w:rPr>
        <w:t> http://www.cste.org/ps/ 2007pdfs/novelfluanndssjan10final23.pdf</w:t>
      </w:r>
      <w:r>
        <w:rPr>
          <w:rFonts w:ascii="Arial" w:hAnsi="Arial" w:eastAsia="宋体" w:cs="Arial"/>
          <w:color w:val="800080"/>
          <w:kern w:val="0"/>
          <w:sz w:val="24"/>
          <w:szCs w:val="24"/>
        </w:rPr>
        <w:t> </w:t>
      </w:r>
      <w:r>
        <w:rPr>
          <w:rFonts w:ascii="Arial" w:hAnsi="Arial" w:eastAsia="宋体" w:cs="Arial"/>
          <w:color w:val="800080"/>
          <w:kern w:val="0"/>
          <w:sz w:val="24"/>
          <w:szCs w:val="24"/>
        </w:rPr>
        <w:fldChar w:fldCharType="end"/>
      </w:r>
      <w:r>
        <w:rPr>
          <w:rFonts w:ascii="Arial" w:hAnsi="Arial" w:eastAsia="宋体" w:cs="Arial"/>
          <w:color w:val="000000"/>
          <w:kern w:val="0"/>
          <w:sz w:val="24"/>
          <w:szCs w:val="24"/>
        </w:rPr>
        <w:t>），确定必要的措施，以确认该样品是否代表了甲型流感的新毒株。</w:t>
      </w:r>
    </w:p>
    <w:p w14:paraId="22599CE0">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我们建议贵公司在报告结果的“结果”部分中，加入以下语句（如适用）：</w:t>
      </w:r>
    </w:p>
    <w:p w14:paraId="4EDB280C">
      <w:pPr>
        <w:widowControl/>
        <w:snapToGrid w:val="0"/>
        <w:spacing w:line="300" w:lineRule="auto"/>
        <w:jc w:val="left"/>
        <w:rPr>
          <w:rFonts w:ascii="Arial" w:hAnsi="Arial" w:eastAsia="宋体" w:cs="Arial"/>
          <w:i/>
          <w:color w:val="000000"/>
          <w:kern w:val="0"/>
          <w:sz w:val="24"/>
          <w:szCs w:val="24"/>
        </w:rPr>
      </w:pPr>
      <w:r>
        <w:rPr>
          <w:rFonts w:ascii="Arial" w:hAnsi="Arial" w:eastAsia="宋体" w:cs="Arial"/>
          <w:i/>
          <w:color w:val="000000"/>
          <w:kern w:val="0"/>
          <w:sz w:val="24"/>
          <w:szCs w:val="24"/>
        </w:rPr>
        <w:t>阴性检测结果报告为“未检测到甲型流感病毒，该结果不排除流感病毒感染。”</w:t>
      </w:r>
    </w:p>
    <w:p w14:paraId="2CD18EDC">
      <w:pPr>
        <w:widowControl/>
        <w:snapToGrid w:val="0"/>
        <w:spacing w:line="300" w:lineRule="auto"/>
        <w:jc w:val="left"/>
        <w:rPr>
          <w:rFonts w:ascii="Arial" w:hAnsi="Arial" w:eastAsia="宋体" w:cs="Arial"/>
          <w:i/>
          <w:color w:val="000000"/>
          <w:kern w:val="0"/>
          <w:sz w:val="24"/>
          <w:szCs w:val="24"/>
        </w:rPr>
      </w:pPr>
      <w:r>
        <w:rPr>
          <w:rFonts w:ascii="Arial" w:hAnsi="Arial" w:eastAsia="宋体" w:cs="Arial"/>
          <w:i/>
          <w:color w:val="000000"/>
          <w:kern w:val="0"/>
          <w:sz w:val="24"/>
          <w:szCs w:val="24"/>
        </w:rPr>
        <w:t>阳性检测结果报告为“甲型流感病毒阳性。该结果不排除与其他病原体的合并感染或鉴定了任何特定的甲型流感病毒亚型。”</w:t>
      </w:r>
    </w:p>
    <w:p w14:paraId="51BB7D02">
      <w:pPr>
        <w:widowControl/>
        <w:snapToGrid w:val="0"/>
        <w:spacing w:line="300" w:lineRule="auto"/>
        <w:jc w:val="left"/>
        <w:outlineLvl w:val="3"/>
        <w:rPr>
          <w:rFonts w:ascii="Arial" w:hAnsi="Arial" w:eastAsia="宋体" w:cs="Arial"/>
          <w:b/>
          <w:bCs/>
          <w:color w:val="000000"/>
          <w:kern w:val="0"/>
          <w:sz w:val="28"/>
          <w:szCs w:val="28"/>
        </w:rPr>
      </w:pPr>
    </w:p>
    <w:p w14:paraId="4C83F054">
      <w:pPr>
        <w:widowControl/>
        <w:snapToGrid w:val="0"/>
        <w:spacing w:line="300" w:lineRule="auto"/>
        <w:jc w:val="left"/>
        <w:outlineLvl w:val="3"/>
        <w:rPr>
          <w:rFonts w:ascii="Arial" w:hAnsi="Arial" w:eastAsia="宋体" w:cs="Arial"/>
          <w:b/>
          <w:bCs/>
          <w:color w:val="000000"/>
          <w:kern w:val="0"/>
          <w:sz w:val="28"/>
          <w:szCs w:val="28"/>
        </w:rPr>
      </w:pPr>
      <w:r>
        <w:rPr>
          <w:rFonts w:ascii="Arial" w:hAnsi="Arial" w:eastAsia="宋体" w:cs="Arial"/>
          <w:b/>
          <w:bCs/>
          <w:color w:val="000000"/>
          <w:kern w:val="0"/>
          <w:sz w:val="28"/>
          <w:szCs w:val="28"/>
        </w:rPr>
        <w:t>预期值</w:t>
      </w:r>
    </w:p>
    <w:p w14:paraId="3BD884E9">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该部分应包括使用该检测产品的预期值和对于结果的解释，还应包括用于确定预期值的人群的样本数、年龄、性别和人口统计学资料。</w:t>
      </w:r>
    </w:p>
    <w:p w14:paraId="36AD8F8B">
      <w:pPr>
        <w:widowControl/>
        <w:snapToGrid w:val="0"/>
        <w:spacing w:line="300" w:lineRule="auto"/>
        <w:jc w:val="left"/>
        <w:rPr>
          <w:rFonts w:ascii="Arial" w:hAnsi="Arial" w:eastAsia="宋体" w:cs="Arial"/>
          <w:kern w:val="0"/>
          <w:sz w:val="24"/>
          <w:szCs w:val="24"/>
        </w:rPr>
      </w:pPr>
      <w:r>
        <w:rPr>
          <w:rFonts w:ascii="Arial" w:hAnsi="Arial" w:eastAsia="宋体" w:cs="Arial"/>
          <w:kern w:val="0"/>
          <w:sz w:val="24"/>
          <w:szCs w:val="24"/>
        </w:rPr>
        <w:pict>
          <v:rect id="_x0000_i1026" o:spt="1" style="height:0.75pt;width:166.1pt;" fillcolor="#000000" filled="t" stroked="f" coordsize="21600,21600" o:hr="t" o:hrstd="t" o:hrnoshade="t" o:hrpct="400">
            <v:path/>
            <v:fill on="t" focussize="0,0"/>
            <v:stroke on="f"/>
            <v:imagedata o:title=""/>
            <o:lock v:ext="edit"/>
            <w10:wrap type="none"/>
            <w10:anchorlock/>
          </v:rect>
        </w:pict>
      </w:r>
    </w:p>
    <w:p w14:paraId="45D0D5B4">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vertAlign w:val="superscript"/>
        </w:rPr>
        <w:t>1</w:t>
      </w:r>
      <w:r>
        <w:rPr>
          <w:rFonts w:ascii="Arial" w:hAnsi="Arial" w:eastAsia="宋体" w:cs="Arial"/>
          <w:color w:val="000000"/>
          <w:kern w:val="0"/>
          <w:sz w:val="24"/>
          <w:szCs w:val="24"/>
        </w:rPr>
        <w:t>在本指南中，多重检测定义为，通过样品制备、扩增和/或检测的通用流程，检测两个或多个靶标并进行结果解释的那些检测。</w:t>
      </w:r>
    </w:p>
    <w:p w14:paraId="0F84E973">
      <w:pPr>
        <w:widowControl/>
        <w:snapToGrid w:val="0"/>
        <w:spacing w:line="300" w:lineRule="auto"/>
        <w:jc w:val="left"/>
        <w:rPr>
          <w:rFonts w:ascii="Arial" w:hAnsi="Arial" w:eastAsia="宋体" w:cs="Arial"/>
          <w:color w:val="000000"/>
          <w:kern w:val="0"/>
          <w:sz w:val="24"/>
          <w:szCs w:val="24"/>
        </w:rPr>
      </w:pPr>
      <w:bookmarkStart w:id="1" w:name="ft2"/>
      <w:r>
        <w:rPr>
          <w:rFonts w:ascii="Arial" w:hAnsi="Arial" w:eastAsia="宋体" w:cs="Arial"/>
          <w:color w:val="000000"/>
          <w:kern w:val="0"/>
          <w:sz w:val="24"/>
          <w:szCs w:val="24"/>
          <w:vertAlign w:val="superscript"/>
        </w:rPr>
        <w:t>2</w:t>
      </w:r>
      <w:bookmarkEnd w:id="1"/>
      <w:r>
        <w:rPr>
          <w:rFonts w:ascii="Arial" w:hAnsi="Arial" w:eastAsia="宋体" w:cs="Arial"/>
          <w:color w:val="000000"/>
          <w:kern w:val="0"/>
          <w:sz w:val="24"/>
          <w:szCs w:val="24"/>
        </w:rPr>
        <w:t> </w:t>
      </w:r>
      <w:r>
        <w:fldChar w:fldCharType="begin"/>
      </w:r>
      <w:r>
        <w:instrText xml:space="preserve"> HYPERLINK "http://www.fda.gov/MedicalDevices/DeviceRegulationandGuidance/GuidanceDocuments/ucm084365.htm" </w:instrText>
      </w:r>
      <w:r>
        <w:fldChar w:fldCharType="separate"/>
      </w:r>
      <w:r>
        <w:rPr>
          <w:rFonts w:ascii="Arial" w:hAnsi="Arial" w:eastAsia="宋体" w:cs="Arial"/>
          <w:color w:val="800080"/>
          <w:kern w:val="0"/>
          <w:sz w:val="24"/>
          <w:szCs w:val="24"/>
          <w:u w:val="single"/>
        </w:rPr>
        <w:t>http://www.fda.gov /MedicalDevices/DeviceRegulationandGuidance/ GuidanceDocuments/ucm084365.htm</w:t>
      </w:r>
      <w:r>
        <w:rPr>
          <w:rFonts w:ascii="Arial" w:hAnsi="Arial" w:eastAsia="宋体" w:cs="Arial"/>
          <w:color w:val="800080"/>
          <w:kern w:val="0"/>
          <w:sz w:val="24"/>
          <w:szCs w:val="24"/>
          <w:u w:val="single"/>
        </w:rPr>
        <w:fldChar w:fldCharType="end"/>
      </w:r>
    </w:p>
    <w:p w14:paraId="58C75F82">
      <w:pPr>
        <w:widowControl/>
        <w:snapToGrid w:val="0"/>
        <w:spacing w:line="300" w:lineRule="auto"/>
        <w:jc w:val="left"/>
        <w:rPr>
          <w:rFonts w:ascii="Arial" w:hAnsi="Arial" w:eastAsia="宋体" w:cs="Arial"/>
          <w:color w:val="000000"/>
          <w:kern w:val="0"/>
          <w:sz w:val="24"/>
          <w:szCs w:val="24"/>
        </w:rPr>
      </w:pPr>
      <w:bookmarkStart w:id="2" w:name="ft3"/>
      <w:r>
        <w:rPr>
          <w:rFonts w:ascii="Arial" w:hAnsi="Arial" w:eastAsia="宋体" w:cs="Arial"/>
          <w:color w:val="000000"/>
          <w:kern w:val="0"/>
          <w:sz w:val="24"/>
          <w:szCs w:val="24"/>
          <w:vertAlign w:val="superscript"/>
        </w:rPr>
        <w:t>3 </w:t>
      </w:r>
      <w:bookmarkEnd w:id="2"/>
      <w:r>
        <w:rPr>
          <w:rFonts w:ascii="Arial" w:hAnsi="Arial" w:eastAsia="宋体" w:cs="Arial"/>
          <w:color w:val="000000"/>
          <w:kern w:val="0"/>
          <w:sz w:val="24"/>
          <w:szCs w:val="24"/>
        </w:rPr>
        <w:fldChar w:fldCharType="begin"/>
      </w:r>
      <w:r>
        <w:rPr>
          <w:rFonts w:ascii="Arial" w:hAnsi="Arial" w:eastAsia="宋体" w:cs="Arial"/>
          <w:color w:val="000000"/>
          <w:kern w:val="0"/>
          <w:sz w:val="24"/>
          <w:szCs w:val="24"/>
        </w:rPr>
        <w:instrText xml:space="preserve"> HYPERLINK "http://www.fda.gov/MedicalDevices/DeviceRegulationandGuidance/HowtoMarketYourDevice/PremarketSubmissions/PremarketNotification510k/default.htm" </w:instrText>
      </w:r>
      <w:r>
        <w:rPr>
          <w:rFonts w:ascii="Arial" w:hAnsi="Arial" w:eastAsia="宋体" w:cs="Arial"/>
          <w:color w:val="000000"/>
          <w:kern w:val="0"/>
          <w:sz w:val="24"/>
          <w:szCs w:val="24"/>
        </w:rPr>
        <w:fldChar w:fldCharType="separate"/>
      </w:r>
      <w:r>
        <w:rPr>
          <w:rFonts w:ascii="Arial" w:hAnsi="Arial" w:eastAsia="宋体" w:cs="Arial"/>
          <w:color w:val="800080"/>
          <w:kern w:val="0"/>
          <w:sz w:val="24"/>
          <w:szCs w:val="24"/>
          <w:u w:val="single"/>
        </w:rPr>
        <w:t>http://www.fda.gov/ MedicalDevices/DeviceRegulationandGuidance/ HowtoMarketYourDevice/PremarketSubmissions/ PremarketNotification510k/default.htm</w:t>
      </w:r>
      <w:r>
        <w:rPr>
          <w:rFonts w:ascii="Arial" w:hAnsi="Arial" w:eastAsia="宋体" w:cs="Arial"/>
          <w:color w:val="000000"/>
          <w:kern w:val="0"/>
          <w:sz w:val="24"/>
          <w:szCs w:val="24"/>
        </w:rPr>
        <w:fldChar w:fldCharType="end"/>
      </w:r>
    </w:p>
    <w:p w14:paraId="63945D82">
      <w:pPr>
        <w:widowControl/>
        <w:snapToGrid w:val="0"/>
        <w:spacing w:line="300" w:lineRule="auto"/>
        <w:jc w:val="left"/>
        <w:rPr>
          <w:rFonts w:ascii="Arial" w:hAnsi="Arial" w:eastAsia="宋体" w:cs="Arial"/>
          <w:color w:val="000000"/>
          <w:kern w:val="0"/>
          <w:sz w:val="24"/>
          <w:szCs w:val="24"/>
        </w:rPr>
      </w:pPr>
      <w:bookmarkStart w:id="3" w:name="ft4"/>
      <w:r>
        <w:rPr>
          <w:rFonts w:ascii="Arial" w:hAnsi="Arial" w:eastAsia="宋体" w:cs="Arial"/>
          <w:color w:val="000000"/>
          <w:kern w:val="0"/>
          <w:sz w:val="24"/>
          <w:szCs w:val="24"/>
          <w:vertAlign w:val="superscript"/>
        </w:rPr>
        <w:t>4</w:t>
      </w:r>
      <w:bookmarkEnd w:id="3"/>
      <w:r>
        <w:rPr>
          <w:rFonts w:ascii="Arial" w:hAnsi="Arial" w:eastAsia="宋体" w:cs="Arial"/>
          <w:color w:val="000000"/>
          <w:kern w:val="0"/>
          <w:sz w:val="24"/>
          <w:szCs w:val="24"/>
        </w:rPr>
        <w:t> </w:t>
      </w:r>
      <w:r>
        <w:fldChar w:fldCharType="begin"/>
      </w:r>
      <w:r>
        <w:instrText xml:space="preserve"> HYPERLINK "http://www.fda.gov/MedicalDevices/DeviceRegulationandGuidance/GuidanceDocuments/ucm080187.htm" </w:instrText>
      </w:r>
      <w:r>
        <w:fldChar w:fldCharType="separate"/>
      </w:r>
      <w:r>
        <w:rPr>
          <w:rFonts w:ascii="Arial" w:hAnsi="Arial" w:eastAsia="宋体" w:cs="Arial"/>
          <w:color w:val="800080"/>
          <w:kern w:val="0"/>
          <w:sz w:val="24"/>
          <w:szCs w:val="24"/>
          <w:u w:val="single"/>
        </w:rPr>
        <w:t>http://www.fda.gov/ MedicalDevices/DeviceRegulationandGuidance/ GuidanceDocuments/ucm080187.htm</w:t>
      </w:r>
      <w:r>
        <w:rPr>
          <w:rFonts w:ascii="Arial" w:hAnsi="Arial" w:eastAsia="宋体" w:cs="Arial"/>
          <w:color w:val="800080"/>
          <w:kern w:val="0"/>
          <w:sz w:val="24"/>
          <w:szCs w:val="24"/>
          <w:u w:val="single"/>
        </w:rPr>
        <w:fldChar w:fldCharType="end"/>
      </w:r>
    </w:p>
    <w:p w14:paraId="650E37E3">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vertAlign w:val="superscript"/>
        </w:rPr>
        <w:t xml:space="preserve">5 </w:t>
      </w:r>
      <w:r>
        <w:rPr>
          <w:rFonts w:ascii="Arial" w:hAnsi="Arial" w:eastAsia="宋体" w:cs="Arial"/>
          <w:color w:val="000000"/>
          <w:kern w:val="0"/>
          <w:sz w:val="24"/>
          <w:szCs w:val="24"/>
        </w:rPr>
        <w:t>与新型流感病毒检测试剂相关的特殊健康风险，在特殊控制指导性文件中已确定，适用于21 CFR 866.3332“II类特殊控制指导性文件：检测特定新型流感病毒的试剂”中的器械分类。</w:t>
      </w:r>
    </w:p>
    <w:p w14:paraId="77C8D61A">
      <w:pPr>
        <w:widowControl/>
        <w:snapToGrid w:val="0"/>
        <w:spacing w:line="300" w:lineRule="auto"/>
        <w:jc w:val="left"/>
        <w:rPr>
          <w:rFonts w:ascii="Arial" w:hAnsi="Arial" w:eastAsia="宋体" w:cs="Arial"/>
        </w:rPr>
      </w:pPr>
      <w:r>
        <w:rPr>
          <w:rFonts w:ascii="Arial" w:hAnsi="Arial" w:eastAsia="宋体" w:cs="Arial"/>
          <w:color w:val="000000"/>
          <w:kern w:val="0"/>
          <w:sz w:val="24"/>
          <w:szCs w:val="24"/>
          <w:vertAlign w:val="superscript"/>
        </w:rPr>
        <w:t>6</w:t>
      </w:r>
      <w:r>
        <w:rPr>
          <w:rFonts w:ascii="Arial" w:hAnsi="Arial" w:eastAsia="宋体" w:cs="Arial"/>
          <w:color w:val="000000"/>
          <w:kern w:val="0"/>
          <w:sz w:val="24"/>
          <w:szCs w:val="24"/>
        </w:rPr>
        <w:t>疾病控制和预防中心。2006-07流感疫苗组成，“MMWR建议和报告：流感的预防和控制：免疫实施咨询委员会的建议”（ACIP）。7月28日；55（RR10）：1-42</w:t>
      </w:r>
      <w:bookmarkStart w:id="4" w:name="ft7"/>
      <w:r>
        <w:rPr>
          <w:rFonts w:ascii="Arial" w:hAnsi="Arial" w:eastAsia="宋体" w:cs="Arial"/>
          <w:color w:val="000000"/>
          <w:kern w:val="0"/>
          <w:sz w:val="24"/>
          <w:szCs w:val="24"/>
        </w:rPr>
        <w:t>。</w:t>
      </w:r>
      <w:r>
        <w:fldChar w:fldCharType="begin"/>
      </w:r>
      <w:r>
        <w:instrText xml:space="preserve"> HYPERLINK "http://www.cdc.gov/flu/professionals/vaccination/composition0607.htm" </w:instrText>
      </w:r>
      <w:r>
        <w:fldChar w:fldCharType="separate"/>
      </w:r>
      <w:r>
        <w:rPr>
          <w:rFonts w:ascii="Arial" w:hAnsi="Arial" w:eastAsia="宋体" w:cs="Arial"/>
          <w:color w:val="800080"/>
          <w:kern w:val="0"/>
          <w:sz w:val="24"/>
          <w:szCs w:val="24"/>
          <w:u w:val="single"/>
        </w:rPr>
        <w:t>www.cdc.gov /flu/professionals/ vaccination/composition0607.htm</w:t>
      </w:r>
      <w:r>
        <w:rPr>
          <w:rFonts w:ascii="Arial" w:hAnsi="Arial" w:eastAsia="宋体" w:cs="Arial"/>
          <w:color w:val="800080"/>
          <w:kern w:val="0"/>
          <w:sz w:val="24"/>
          <w:szCs w:val="24"/>
          <w:u w:val="single"/>
        </w:rPr>
        <w:fldChar w:fldCharType="end"/>
      </w:r>
    </w:p>
    <w:bookmarkEnd w:id="4"/>
    <w:p w14:paraId="7346C336">
      <w:pPr>
        <w:widowControl/>
        <w:jc w:val="left"/>
        <w:rPr>
          <w:rFonts w:ascii="Arial" w:hAnsi="Arial" w:eastAsia="宋体" w:cs="Arial"/>
          <w:color w:val="000000"/>
          <w:kern w:val="0"/>
          <w:sz w:val="24"/>
          <w:szCs w:val="24"/>
          <w:vertAlign w:val="superscript"/>
        </w:rPr>
      </w:pPr>
      <w:r>
        <w:rPr>
          <w:rFonts w:ascii="Arial" w:hAnsi="Arial" w:eastAsia="宋体" w:cs="Arial"/>
          <w:color w:val="000000"/>
          <w:kern w:val="0"/>
          <w:sz w:val="24"/>
          <w:szCs w:val="24"/>
          <w:vertAlign w:val="superscript"/>
        </w:rPr>
        <w:br w:type="page"/>
      </w:r>
    </w:p>
    <w:p w14:paraId="59C43CCD">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vertAlign w:val="superscript"/>
        </w:rPr>
        <w:t>7</w:t>
      </w:r>
      <w:r>
        <w:rPr>
          <w:rFonts w:ascii="Arial" w:hAnsi="Arial" w:eastAsia="宋体" w:cs="Arial"/>
          <w:color w:val="000000"/>
          <w:kern w:val="0"/>
          <w:sz w:val="24"/>
          <w:szCs w:val="24"/>
        </w:rPr>
        <w:t>即使确定了在该检测产品中可以使用一种或多种替代的辅助试剂，这些指定的替代品仍然只是一个辅助试剂。如果不确定特殊控制的这一方面是否适用于该器械，建议咨询食品药品监督管理局。</w:t>
      </w:r>
    </w:p>
    <w:p w14:paraId="51691A28">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vertAlign w:val="superscript"/>
        </w:rPr>
        <w:t>8</w:t>
      </w:r>
      <w:r>
        <w:rPr>
          <w:rFonts w:ascii="Arial" w:hAnsi="Arial" w:eastAsia="宋体" w:cs="Arial"/>
          <w:color w:val="000000"/>
          <w:kern w:val="0"/>
          <w:sz w:val="24"/>
          <w:szCs w:val="24"/>
        </w:rPr>
        <w:t>微生物和生物医学实验室中的生物安全性1999. Richmond，J.Y 和McKinney，R.W.eds HHS出版号（CDC）93-8395; 和，CLSI（以前的NCCLS）文件M29-A，实验室工作人员免受由血液、体液和组织传播的传染病的防护，Wayne，PA。临床和实验室标准研究所; 1997年。</w:t>
      </w:r>
    </w:p>
    <w:p w14:paraId="6546F92E">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vertAlign w:val="superscript"/>
        </w:rPr>
        <w:t xml:space="preserve">9 </w:t>
      </w:r>
      <w:r>
        <w:rPr>
          <w:rFonts w:ascii="Arial" w:hAnsi="Arial" w:eastAsia="宋体" w:cs="Arial"/>
          <w:color w:val="000000"/>
          <w:kern w:val="0"/>
          <w:sz w:val="24"/>
          <w:szCs w:val="24"/>
        </w:rPr>
        <w:t>在预期使用人群中被感染的受试者的典型浓度的样品（例如，来自被感染的受试者样品的浓度中值）。</w:t>
      </w:r>
    </w:p>
    <w:p w14:paraId="60DB7D5A">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vertAlign w:val="superscript"/>
        </w:rPr>
        <w:t xml:space="preserve">10 </w:t>
      </w:r>
      <w:r>
        <w:rPr>
          <w:rFonts w:ascii="Arial" w:hAnsi="Arial" w:eastAsia="宋体" w:cs="Arial"/>
          <w:color w:val="000000"/>
          <w:kern w:val="0"/>
          <w:sz w:val="24"/>
          <w:szCs w:val="24"/>
        </w:rPr>
        <w:t>I型误差是真阴性样品（待测物浓度为0的样品）检出待测物存在的值的概率。通常，I型误差设置为5%或更小。</w:t>
      </w:r>
    </w:p>
    <w:p w14:paraId="596CCEFF">
      <w:pPr>
        <w:widowControl/>
        <w:snapToGrid w:val="0"/>
        <w:spacing w:line="300" w:lineRule="auto"/>
        <w:jc w:val="left"/>
        <w:rPr>
          <w:rFonts w:ascii="Arial" w:hAnsi="Arial" w:eastAsia="宋体" w:cs="Arial"/>
        </w:rPr>
      </w:pPr>
      <w:r>
        <w:rPr>
          <w:rFonts w:ascii="Arial" w:hAnsi="Arial" w:eastAsia="宋体" w:cs="Arial"/>
          <w:color w:val="000000"/>
          <w:kern w:val="0"/>
          <w:sz w:val="24"/>
          <w:szCs w:val="24"/>
          <w:vertAlign w:val="superscript"/>
        </w:rPr>
        <w:t xml:space="preserve">11 </w:t>
      </w:r>
      <w:r>
        <w:rPr>
          <w:rFonts w:ascii="Arial" w:hAnsi="Arial" w:eastAsia="宋体" w:cs="Arial"/>
          <w:color w:val="000000"/>
          <w:kern w:val="0"/>
          <w:sz w:val="24"/>
          <w:szCs w:val="24"/>
        </w:rPr>
        <w:t>WHO手册：动物流感的诊断和监测。2002年，日内瓦（世界卫生组织）。（完整文件WHO / CDS / CSR / NCS / 2002.5，可查阅：</w:t>
      </w:r>
      <w:bookmarkStart w:id="5" w:name="ft12"/>
      <w:r>
        <w:rPr>
          <w:rFonts w:ascii="Arial" w:hAnsi="Arial" w:eastAsia="宋体" w:cs="Arial"/>
          <w:color w:val="000000"/>
          <w:kern w:val="0"/>
          <w:sz w:val="24"/>
          <w:szCs w:val="24"/>
        </w:rPr>
        <w:t> </w:t>
      </w:r>
      <w:r>
        <w:fldChar w:fldCharType="begin"/>
      </w:r>
      <w:r>
        <w:instrText xml:space="preserve"> HYPERLINK "http://www.who.int/csr/resources/publications/influenza/en/whocdscsrncs20025rev.pdf" </w:instrText>
      </w:r>
      <w:r>
        <w:fldChar w:fldCharType="separate"/>
      </w:r>
      <w:r>
        <w:rPr>
          <w:rFonts w:ascii="Arial" w:hAnsi="Arial" w:eastAsia="宋体" w:cs="Arial"/>
          <w:color w:val="800080"/>
          <w:kern w:val="0"/>
          <w:sz w:val="24"/>
          <w:szCs w:val="24"/>
          <w:u w:val="single"/>
        </w:rPr>
        <w:t>http://www.who.int/csr /resources/publications/influenza/ en/whocdscsrncs20025rev.pdf</w:t>
      </w:r>
      <w:r>
        <w:rPr>
          <w:rFonts w:ascii="Arial" w:hAnsi="Arial" w:eastAsia="宋体" w:cs="Arial"/>
          <w:color w:val="800080"/>
          <w:kern w:val="0"/>
          <w:sz w:val="24"/>
          <w:szCs w:val="24"/>
          <w:u w:val="single"/>
        </w:rPr>
        <w:fldChar w:fldCharType="end"/>
      </w:r>
      <w:r>
        <w:rPr>
          <w:rFonts w:ascii="Arial" w:hAnsi="Arial" w:eastAsia="宋体" w:cs="Arial"/>
        </w:rPr>
        <w:t>）</w:t>
      </w:r>
    </w:p>
    <w:bookmarkEnd w:id="5"/>
    <w:p w14:paraId="5FAD2315">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vertAlign w:val="superscript"/>
        </w:rPr>
        <w:t>12</w:t>
      </w:r>
      <w:r>
        <w:rPr>
          <w:rFonts w:ascii="Arial" w:hAnsi="Arial" w:eastAsia="宋体" w:cs="Arial"/>
          <w:color w:val="000000"/>
          <w:kern w:val="0"/>
          <w:sz w:val="24"/>
          <w:szCs w:val="24"/>
        </w:rPr>
        <w:t>修正案前上市的器械是指，在1976年5月28日（1976年“医疗器械修正案”颁布日）之前进入州际商业流通贸易的器械。</w:t>
      </w:r>
    </w:p>
    <w:p w14:paraId="236CA7D8">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vertAlign w:val="superscript"/>
        </w:rPr>
        <w:t>13</w:t>
      </w:r>
      <w:r>
        <w:rPr>
          <w:rFonts w:ascii="Arial" w:hAnsi="Arial" w:eastAsia="宋体" w:cs="Arial"/>
          <w:color w:val="000000"/>
          <w:kern w:val="0"/>
          <w:sz w:val="24"/>
          <w:szCs w:val="24"/>
        </w:rPr>
        <w:t>在本指南中，我们将</w:t>
      </w:r>
      <w:r>
        <w:rPr>
          <w:rFonts w:ascii="Arial" w:hAnsi="Arial" w:eastAsia="宋体" w:cs="Arial"/>
          <w:i/>
          <w:color w:val="000000"/>
          <w:kern w:val="0"/>
          <w:sz w:val="24"/>
          <w:szCs w:val="24"/>
        </w:rPr>
        <w:t>预先收集的留存样本</w:t>
      </w:r>
      <w:r>
        <w:rPr>
          <w:rFonts w:ascii="Arial" w:hAnsi="Arial" w:eastAsia="宋体" w:cs="Arial"/>
          <w:color w:val="000000"/>
          <w:kern w:val="0"/>
          <w:sz w:val="24"/>
          <w:szCs w:val="24"/>
        </w:rPr>
        <w:t>定义为，从满足研究入组标准的所有患者中顺序收集的样本，并代表了预期使用人群（即未根据已知结果进行预先选择的样本），其在两个预先确定的检测日期之间（例如，从一个流感季节的开始到结束）进入一个临床检测机构，</w:t>
      </w:r>
    </w:p>
    <w:p w14:paraId="6E7F57F9">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rPr>
        <w:t>因此不存在偏差，且保存了患病率。这些样本应适当储存（例如，在-70</w:t>
      </w:r>
      <w:r>
        <w:rPr>
          <w:rFonts w:hint="eastAsia" w:ascii="宋体" w:hAnsi="宋体" w:eastAsia="宋体" w:cs="宋体"/>
          <w:color w:val="000000"/>
          <w:kern w:val="0"/>
          <w:sz w:val="24"/>
          <w:szCs w:val="24"/>
        </w:rPr>
        <w:t>℃</w:t>
      </w:r>
      <w:r>
        <w:rPr>
          <w:rFonts w:ascii="Arial" w:hAnsi="Arial" w:eastAsia="宋体" w:cs="Arial"/>
          <w:color w:val="000000"/>
          <w:kern w:val="0"/>
          <w:sz w:val="24"/>
          <w:szCs w:val="24"/>
        </w:rPr>
        <w:t>冷冻），如文中所述，申办者应该说明，器械的性能不会因样本的储存/冻结/储存而发生变化。</w:t>
      </w:r>
      <w:bookmarkStart w:id="6" w:name="ft14"/>
    </w:p>
    <w:bookmarkEnd w:id="6"/>
    <w:p w14:paraId="24D9F235">
      <w:pPr>
        <w:widowControl/>
        <w:snapToGrid w:val="0"/>
        <w:spacing w:line="300" w:lineRule="auto"/>
        <w:jc w:val="left"/>
        <w:rPr>
          <w:rFonts w:ascii="Arial" w:hAnsi="Arial" w:eastAsia="宋体" w:cs="Arial"/>
          <w:color w:val="000000"/>
          <w:kern w:val="0"/>
          <w:sz w:val="24"/>
          <w:szCs w:val="24"/>
        </w:rPr>
      </w:pPr>
      <w:r>
        <w:rPr>
          <w:rFonts w:ascii="Arial" w:hAnsi="Arial" w:eastAsia="宋体" w:cs="Arial"/>
          <w:color w:val="000000"/>
          <w:kern w:val="0"/>
          <w:sz w:val="24"/>
          <w:szCs w:val="24"/>
          <w:vertAlign w:val="superscript"/>
        </w:rPr>
        <w:t>14</w:t>
      </w:r>
      <w:r>
        <w:rPr>
          <w:rFonts w:ascii="Arial" w:hAnsi="Arial" w:eastAsia="宋体" w:cs="Arial"/>
          <w:color w:val="000000"/>
          <w:kern w:val="0"/>
          <w:sz w:val="24"/>
          <w:szCs w:val="24"/>
        </w:rPr>
        <w:t>在本指南中，</w:t>
      </w:r>
      <w:r>
        <w:rPr>
          <w:rFonts w:ascii="Arial" w:hAnsi="Arial" w:eastAsia="宋体" w:cs="Arial"/>
          <w:i/>
          <w:color w:val="000000"/>
          <w:kern w:val="0"/>
          <w:sz w:val="24"/>
          <w:szCs w:val="24"/>
        </w:rPr>
        <w:t>预选的库存样本</w:t>
      </w:r>
      <w:r>
        <w:rPr>
          <w:rFonts w:ascii="Arial" w:hAnsi="Arial" w:eastAsia="宋体" w:cs="Arial"/>
          <w:color w:val="000000"/>
          <w:kern w:val="0"/>
          <w:sz w:val="24"/>
          <w:szCs w:val="24"/>
        </w:rPr>
        <w:t>是指，由申办者选择用于检测的库存或留存样本，因其已知含有某种流感类型或亚型。由于这些样本未在两个预先确定的检测日期之间进行顺序收集，无法充分地代表预期使用人群中待测物的患病率，所以它们的使用可能会导致检测性能结果的偏差。</w:t>
      </w:r>
    </w:p>
    <w:p w14:paraId="1BFF0749">
      <w:pPr>
        <w:snapToGrid w:val="0"/>
        <w:spacing w:line="300" w:lineRule="auto"/>
        <w:rPr>
          <w:rFonts w:ascii="Arial" w:hAnsi="Arial" w:eastAsia="宋体" w:cs="Arial"/>
          <w:sz w:val="24"/>
          <w:szCs w:val="24"/>
        </w:rPr>
      </w:pPr>
    </w:p>
    <w:p w14:paraId="4A36BE95">
      <w:pPr>
        <w:pStyle w:val="28"/>
        <w:shd w:val="clear" w:color="auto" w:fill="auto"/>
        <w:snapToGrid w:val="0"/>
        <w:spacing w:line="300" w:lineRule="auto"/>
        <w:jc w:val="left"/>
        <w:rPr>
          <w:rFonts w:hint="eastAsia" w:eastAsia="宋体"/>
          <w:lang w:eastAsia="zh-CN"/>
        </w:rPr>
      </w:pPr>
    </w:p>
    <w:p w14:paraId="406D60E2">
      <w:pPr>
        <w:pStyle w:val="28"/>
        <w:shd w:val="clear" w:color="auto" w:fill="auto"/>
        <w:snapToGrid w:val="0"/>
        <w:spacing w:line="300" w:lineRule="auto"/>
        <w:jc w:val="center"/>
        <w:rPr>
          <w:rFonts w:hint="eastAsia" w:eastAsia="宋体"/>
          <w:lang w:eastAsia="zh-CN"/>
        </w:rPr>
      </w:pPr>
    </w:p>
    <w:p w14:paraId="0D1D89E4">
      <w:pPr>
        <w:pStyle w:val="28"/>
        <w:shd w:val="clear" w:color="auto" w:fill="auto"/>
        <w:snapToGrid w:val="0"/>
        <w:spacing w:line="300" w:lineRule="auto"/>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5"/>
                    <a:stretch>
                      <a:fillRect/>
                    </a:stretch>
                  </pic:blipFill>
                  <pic:spPr>
                    <a:xfrm>
                      <a:off x="0" y="0"/>
                      <a:ext cx="5210175" cy="7343775"/>
                    </a:xfrm>
                    <a:prstGeom prst="rect">
                      <a:avLst/>
                    </a:prstGeom>
                  </pic:spPr>
                </pic:pic>
              </a:graphicData>
            </a:graphic>
          </wp:inline>
        </w:drawing>
      </w:r>
    </w:p>
    <w:sectPr>
      <w:pgSz w:w="11906" w:h="16838"/>
      <w:pgMar w:top="1440" w:right="991"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F450D99"/>
    <w:multiLevelType w:val="multilevel"/>
    <w:tmpl w:val="0F450D99"/>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
    <w:nsid w:val="11A0653F"/>
    <w:multiLevelType w:val="multilevel"/>
    <w:tmpl w:val="11A0653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2">
    <w:nsid w:val="13FE32C9"/>
    <w:multiLevelType w:val="multilevel"/>
    <w:tmpl w:val="13FE32C9"/>
    <w:lvl w:ilvl="0" w:tentative="0">
      <w:start w:val="1"/>
      <w:numFmt w:val="lowerLetter"/>
      <w:lvlText w:val="%1."/>
      <w:lvlJc w:val="left"/>
      <w:pPr>
        <w:tabs>
          <w:tab w:val="left" w:pos="720"/>
        </w:tabs>
        <w:ind w:left="720" w:hanging="360"/>
      </w:pPr>
    </w:lvl>
    <w:lvl w:ilvl="1" w:tentative="0">
      <w:start w:val="1"/>
      <w:numFmt w:val="lowerLetter"/>
      <w:lvlText w:val="%2."/>
      <w:lvlJc w:val="left"/>
      <w:pPr>
        <w:tabs>
          <w:tab w:val="left" w:pos="1440"/>
        </w:tabs>
        <w:ind w:left="1440" w:hanging="360"/>
      </w:pPr>
    </w:lvl>
    <w:lvl w:ilvl="2" w:tentative="0">
      <w:start w:val="1"/>
      <w:numFmt w:val="lowerLetter"/>
      <w:lvlText w:val="%3."/>
      <w:lvlJc w:val="left"/>
      <w:pPr>
        <w:tabs>
          <w:tab w:val="left" w:pos="2160"/>
        </w:tabs>
        <w:ind w:left="2160" w:hanging="360"/>
      </w:pPr>
    </w:lvl>
    <w:lvl w:ilvl="3" w:tentative="0">
      <w:start w:val="1"/>
      <w:numFmt w:val="lowerLetter"/>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Letter"/>
      <w:lvlText w:val="%6."/>
      <w:lvlJc w:val="left"/>
      <w:pPr>
        <w:tabs>
          <w:tab w:val="left" w:pos="4320"/>
        </w:tabs>
        <w:ind w:left="4320" w:hanging="360"/>
      </w:pPr>
    </w:lvl>
    <w:lvl w:ilvl="6" w:tentative="0">
      <w:start w:val="1"/>
      <w:numFmt w:val="lowerLetter"/>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Letter"/>
      <w:lvlText w:val="%9."/>
      <w:lvlJc w:val="left"/>
      <w:pPr>
        <w:tabs>
          <w:tab w:val="left" w:pos="6480"/>
        </w:tabs>
        <w:ind w:left="6480" w:hanging="360"/>
      </w:pPr>
    </w:lvl>
  </w:abstractNum>
  <w:abstractNum w:abstractNumId="3">
    <w:nsid w:val="1F3C6E96"/>
    <w:multiLevelType w:val="multilevel"/>
    <w:tmpl w:val="1F3C6E96"/>
    <w:lvl w:ilvl="0" w:tentative="0">
      <w:start w:val="1"/>
      <w:numFmt w:val="decimal"/>
      <w:lvlText w:val="%1."/>
      <w:lvlJc w:val="left"/>
      <w:pPr>
        <w:ind w:left="780" w:hanging="420"/>
      </w:p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4">
    <w:nsid w:val="2CD47E73"/>
    <w:multiLevelType w:val="multilevel"/>
    <w:tmpl w:val="2CD47E73"/>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3AD419DF"/>
    <w:multiLevelType w:val="multilevel"/>
    <w:tmpl w:val="3AD419D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40D61625"/>
    <w:multiLevelType w:val="multilevel"/>
    <w:tmpl w:val="40D61625"/>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4C841E97"/>
    <w:multiLevelType w:val="multilevel"/>
    <w:tmpl w:val="4C841E97"/>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8">
    <w:nsid w:val="4DCB39CD"/>
    <w:multiLevelType w:val="multilevel"/>
    <w:tmpl w:val="4DCB39C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9">
    <w:nsid w:val="56E018D3"/>
    <w:multiLevelType w:val="multilevel"/>
    <w:tmpl w:val="56E018D3"/>
    <w:lvl w:ilvl="0" w:tentative="0">
      <w:start w:val="1"/>
      <w:numFmt w:val="bullet"/>
      <w:lvlText w:val=""/>
      <w:lvlJc w:val="left"/>
      <w:pPr>
        <w:tabs>
          <w:tab w:val="left" w:pos="720"/>
        </w:tabs>
        <w:ind w:left="720" w:hanging="360"/>
      </w:pPr>
      <w:rPr>
        <w:rFonts w:hint="default" w:ascii="Symbol" w:hAnsi="Symbol"/>
        <w:sz w:val="20"/>
      </w:rPr>
    </w:lvl>
    <w:lvl w:ilvl="1" w:tentative="0">
      <w:start w:val="1"/>
      <w:numFmt w:val="decimal"/>
      <w:lvlText w:val="%2."/>
      <w:lvlJc w:val="left"/>
      <w:pPr>
        <w:tabs>
          <w:tab w:val="left" w:pos="1440"/>
        </w:tabs>
        <w:ind w:left="1440" w:hanging="360"/>
      </w:p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0">
    <w:nsid w:val="5AB64560"/>
    <w:multiLevelType w:val="multilevel"/>
    <w:tmpl w:val="5AB6456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1">
    <w:nsid w:val="60C9566E"/>
    <w:multiLevelType w:val="multilevel"/>
    <w:tmpl w:val="60C9566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2">
    <w:nsid w:val="68445071"/>
    <w:multiLevelType w:val="multilevel"/>
    <w:tmpl w:val="6844507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3">
    <w:nsid w:val="6D523432"/>
    <w:multiLevelType w:val="multilevel"/>
    <w:tmpl w:val="6D523432"/>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4">
    <w:nsid w:val="7E8E675A"/>
    <w:multiLevelType w:val="multilevel"/>
    <w:tmpl w:val="7E8E675A"/>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15">
    <w:nsid w:val="7EF8511D"/>
    <w:multiLevelType w:val="multilevel"/>
    <w:tmpl w:val="7EF8511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4"/>
  </w:num>
  <w:num w:numId="2">
    <w:abstractNumId w:val="15"/>
  </w:num>
  <w:num w:numId="3">
    <w:abstractNumId w:val="11"/>
  </w:num>
  <w:num w:numId="4">
    <w:abstractNumId w:val="5"/>
  </w:num>
  <w:num w:numId="5">
    <w:abstractNumId w:val="8"/>
  </w:num>
  <w:num w:numId="6">
    <w:abstractNumId w:val="0"/>
  </w:num>
  <w:num w:numId="7">
    <w:abstractNumId w:val="12"/>
  </w:num>
  <w:num w:numId="8">
    <w:abstractNumId w:val="1"/>
  </w:num>
  <w:num w:numId="9">
    <w:abstractNumId w:val="14"/>
  </w:num>
  <w:num w:numId="10">
    <w:abstractNumId w:val="6"/>
  </w:num>
  <w:num w:numId="11">
    <w:abstractNumId w:val="13"/>
  </w:num>
  <w:num w:numId="12">
    <w:abstractNumId w:val="9"/>
  </w:num>
  <w:num w:numId="13">
    <w:abstractNumId w:val="3"/>
  </w:num>
  <w:num w:numId="14">
    <w:abstractNumId w:val="2"/>
  </w:num>
  <w:num w:numId="15">
    <w:abstractNumId w:val="10"/>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BCA"/>
    <w:rsid w:val="00000548"/>
    <w:rsid w:val="00007758"/>
    <w:rsid w:val="00010369"/>
    <w:rsid w:val="00021580"/>
    <w:rsid w:val="00036100"/>
    <w:rsid w:val="0004234B"/>
    <w:rsid w:val="0005139F"/>
    <w:rsid w:val="00051487"/>
    <w:rsid w:val="000528C0"/>
    <w:rsid w:val="00053B2A"/>
    <w:rsid w:val="00057DB6"/>
    <w:rsid w:val="000668D0"/>
    <w:rsid w:val="000675C0"/>
    <w:rsid w:val="000706EC"/>
    <w:rsid w:val="00073D95"/>
    <w:rsid w:val="00076F77"/>
    <w:rsid w:val="00083A5A"/>
    <w:rsid w:val="00084831"/>
    <w:rsid w:val="00086A6E"/>
    <w:rsid w:val="00087132"/>
    <w:rsid w:val="000902E0"/>
    <w:rsid w:val="00090AC7"/>
    <w:rsid w:val="000939B3"/>
    <w:rsid w:val="00094278"/>
    <w:rsid w:val="000943B2"/>
    <w:rsid w:val="000A4296"/>
    <w:rsid w:val="000C1FBE"/>
    <w:rsid w:val="000C399F"/>
    <w:rsid w:val="000C52DC"/>
    <w:rsid w:val="000D2228"/>
    <w:rsid w:val="000E05E6"/>
    <w:rsid w:val="000E26D1"/>
    <w:rsid w:val="000F0045"/>
    <w:rsid w:val="000F6885"/>
    <w:rsid w:val="000F715A"/>
    <w:rsid w:val="000F7C6C"/>
    <w:rsid w:val="00115756"/>
    <w:rsid w:val="001169D7"/>
    <w:rsid w:val="0012609C"/>
    <w:rsid w:val="00134021"/>
    <w:rsid w:val="0013549A"/>
    <w:rsid w:val="00136707"/>
    <w:rsid w:val="00143A7A"/>
    <w:rsid w:val="0015127D"/>
    <w:rsid w:val="00154BCE"/>
    <w:rsid w:val="00163709"/>
    <w:rsid w:val="00176F33"/>
    <w:rsid w:val="0017747F"/>
    <w:rsid w:val="0018206F"/>
    <w:rsid w:val="0018486C"/>
    <w:rsid w:val="0019125E"/>
    <w:rsid w:val="001913EB"/>
    <w:rsid w:val="001939D3"/>
    <w:rsid w:val="0019795B"/>
    <w:rsid w:val="001A7533"/>
    <w:rsid w:val="001B05C5"/>
    <w:rsid w:val="001B74A5"/>
    <w:rsid w:val="001B7A7F"/>
    <w:rsid w:val="001C4AD8"/>
    <w:rsid w:val="001D01D3"/>
    <w:rsid w:val="001D73A7"/>
    <w:rsid w:val="001E2FA5"/>
    <w:rsid w:val="001E5AE2"/>
    <w:rsid w:val="001E622F"/>
    <w:rsid w:val="001F6E6E"/>
    <w:rsid w:val="0021442F"/>
    <w:rsid w:val="002215A5"/>
    <w:rsid w:val="00223007"/>
    <w:rsid w:val="00225462"/>
    <w:rsid w:val="00233E12"/>
    <w:rsid w:val="002375CC"/>
    <w:rsid w:val="00243BAF"/>
    <w:rsid w:val="002541D9"/>
    <w:rsid w:val="002567FC"/>
    <w:rsid w:val="002576AC"/>
    <w:rsid w:val="002626D8"/>
    <w:rsid w:val="00285FCE"/>
    <w:rsid w:val="00286778"/>
    <w:rsid w:val="0028739D"/>
    <w:rsid w:val="002A7933"/>
    <w:rsid w:val="002B10CE"/>
    <w:rsid w:val="002B5406"/>
    <w:rsid w:val="002B5B89"/>
    <w:rsid w:val="00304CCE"/>
    <w:rsid w:val="00310C62"/>
    <w:rsid w:val="0031546F"/>
    <w:rsid w:val="00330229"/>
    <w:rsid w:val="00330BC1"/>
    <w:rsid w:val="003375C0"/>
    <w:rsid w:val="00342B1C"/>
    <w:rsid w:val="00345F52"/>
    <w:rsid w:val="003607B3"/>
    <w:rsid w:val="003676F6"/>
    <w:rsid w:val="00372A86"/>
    <w:rsid w:val="00393F5B"/>
    <w:rsid w:val="003A27E9"/>
    <w:rsid w:val="003A4E3D"/>
    <w:rsid w:val="003A750B"/>
    <w:rsid w:val="003B1EBC"/>
    <w:rsid w:val="003D2230"/>
    <w:rsid w:val="003D6016"/>
    <w:rsid w:val="003E689D"/>
    <w:rsid w:val="003E7570"/>
    <w:rsid w:val="00414A97"/>
    <w:rsid w:val="0041619E"/>
    <w:rsid w:val="00420F0D"/>
    <w:rsid w:val="004213FF"/>
    <w:rsid w:val="00436CA4"/>
    <w:rsid w:val="00440E42"/>
    <w:rsid w:val="0044478B"/>
    <w:rsid w:val="00446928"/>
    <w:rsid w:val="0046029D"/>
    <w:rsid w:val="0047081B"/>
    <w:rsid w:val="004748F9"/>
    <w:rsid w:val="00476BFE"/>
    <w:rsid w:val="00480E17"/>
    <w:rsid w:val="00493690"/>
    <w:rsid w:val="004A4152"/>
    <w:rsid w:val="004A4CA0"/>
    <w:rsid w:val="004B35D1"/>
    <w:rsid w:val="004C47C9"/>
    <w:rsid w:val="004C78DC"/>
    <w:rsid w:val="004D14F3"/>
    <w:rsid w:val="004D4F23"/>
    <w:rsid w:val="004D77CD"/>
    <w:rsid w:val="004D7FC3"/>
    <w:rsid w:val="004F111D"/>
    <w:rsid w:val="004F4CE9"/>
    <w:rsid w:val="004F4E1D"/>
    <w:rsid w:val="004F7AA6"/>
    <w:rsid w:val="005112B3"/>
    <w:rsid w:val="0051776B"/>
    <w:rsid w:val="00525553"/>
    <w:rsid w:val="00531A7C"/>
    <w:rsid w:val="00541285"/>
    <w:rsid w:val="00546D06"/>
    <w:rsid w:val="00554B16"/>
    <w:rsid w:val="00555012"/>
    <w:rsid w:val="005663CE"/>
    <w:rsid w:val="00573A4A"/>
    <w:rsid w:val="00575AA5"/>
    <w:rsid w:val="00576FE5"/>
    <w:rsid w:val="005819F1"/>
    <w:rsid w:val="0058247D"/>
    <w:rsid w:val="005927AC"/>
    <w:rsid w:val="005A7256"/>
    <w:rsid w:val="005B6210"/>
    <w:rsid w:val="005C6950"/>
    <w:rsid w:val="005C72DA"/>
    <w:rsid w:val="005D0352"/>
    <w:rsid w:val="005D4116"/>
    <w:rsid w:val="005E0C63"/>
    <w:rsid w:val="005E6F92"/>
    <w:rsid w:val="005F0BEE"/>
    <w:rsid w:val="005F3257"/>
    <w:rsid w:val="005F41A8"/>
    <w:rsid w:val="00601912"/>
    <w:rsid w:val="00602959"/>
    <w:rsid w:val="0060449F"/>
    <w:rsid w:val="006210AF"/>
    <w:rsid w:val="00622A7C"/>
    <w:rsid w:val="00627648"/>
    <w:rsid w:val="006314F0"/>
    <w:rsid w:val="00657C18"/>
    <w:rsid w:val="00660637"/>
    <w:rsid w:val="0067566C"/>
    <w:rsid w:val="00676B12"/>
    <w:rsid w:val="00683CD8"/>
    <w:rsid w:val="00693B42"/>
    <w:rsid w:val="006A0149"/>
    <w:rsid w:val="006C528A"/>
    <w:rsid w:val="006D3054"/>
    <w:rsid w:val="006D3CB0"/>
    <w:rsid w:val="006D4E92"/>
    <w:rsid w:val="006E35DB"/>
    <w:rsid w:val="006E4EE4"/>
    <w:rsid w:val="006F0008"/>
    <w:rsid w:val="00701782"/>
    <w:rsid w:val="00705F5E"/>
    <w:rsid w:val="00715C42"/>
    <w:rsid w:val="007266D6"/>
    <w:rsid w:val="00730345"/>
    <w:rsid w:val="007357EE"/>
    <w:rsid w:val="0074086C"/>
    <w:rsid w:val="0074589A"/>
    <w:rsid w:val="0076006D"/>
    <w:rsid w:val="00760239"/>
    <w:rsid w:val="007658C3"/>
    <w:rsid w:val="00775560"/>
    <w:rsid w:val="00790AB4"/>
    <w:rsid w:val="00790EB6"/>
    <w:rsid w:val="0079382F"/>
    <w:rsid w:val="007A1D8E"/>
    <w:rsid w:val="007B0143"/>
    <w:rsid w:val="007B3124"/>
    <w:rsid w:val="007B7D9D"/>
    <w:rsid w:val="007D164F"/>
    <w:rsid w:val="007D6C56"/>
    <w:rsid w:val="007E0D26"/>
    <w:rsid w:val="007E3F22"/>
    <w:rsid w:val="007F1B90"/>
    <w:rsid w:val="0080005F"/>
    <w:rsid w:val="00805D98"/>
    <w:rsid w:val="008162C1"/>
    <w:rsid w:val="008425FE"/>
    <w:rsid w:val="008438A0"/>
    <w:rsid w:val="008441BD"/>
    <w:rsid w:val="00862B94"/>
    <w:rsid w:val="008635C2"/>
    <w:rsid w:val="00870936"/>
    <w:rsid w:val="00873D82"/>
    <w:rsid w:val="008755C0"/>
    <w:rsid w:val="0088221F"/>
    <w:rsid w:val="00884796"/>
    <w:rsid w:val="00885C03"/>
    <w:rsid w:val="008A740B"/>
    <w:rsid w:val="008C2322"/>
    <w:rsid w:val="008C2B25"/>
    <w:rsid w:val="008C5B12"/>
    <w:rsid w:val="008D6E12"/>
    <w:rsid w:val="008F3DD2"/>
    <w:rsid w:val="008F625F"/>
    <w:rsid w:val="008F6C15"/>
    <w:rsid w:val="00915B63"/>
    <w:rsid w:val="00920674"/>
    <w:rsid w:val="00921C9D"/>
    <w:rsid w:val="00925FC3"/>
    <w:rsid w:val="00951E79"/>
    <w:rsid w:val="00972FA5"/>
    <w:rsid w:val="009749FC"/>
    <w:rsid w:val="0097780A"/>
    <w:rsid w:val="00982E52"/>
    <w:rsid w:val="009869C4"/>
    <w:rsid w:val="009919CF"/>
    <w:rsid w:val="009A3EE9"/>
    <w:rsid w:val="009B712B"/>
    <w:rsid w:val="009C146B"/>
    <w:rsid w:val="009D698D"/>
    <w:rsid w:val="009E642A"/>
    <w:rsid w:val="009E6936"/>
    <w:rsid w:val="009F1642"/>
    <w:rsid w:val="00A03ACB"/>
    <w:rsid w:val="00A04627"/>
    <w:rsid w:val="00A17654"/>
    <w:rsid w:val="00A179E5"/>
    <w:rsid w:val="00A350ED"/>
    <w:rsid w:val="00A45CA6"/>
    <w:rsid w:val="00A62F7D"/>
    <w:rsid w:val="00A71778"/>
    <w:rsid w:val="00A81855"/>
    <w:rsid w:val="00A82E1A"/>
    <w:rsid w:val="00A84703"/>
    <w:rsid w:val="00A86A16"/>
    <w:rsid w:val="00A86E1E"/>
    <w:rsid w:val="00A9016A"/>
    <w:rsid w:val="00AA28B6"/>
    <w:rsid w:val="00AA3A3B"/>
    <w:rsid w:val="00AB0432"/>
    <w:rsid w:val="00AB24CB"/>
    <w:rsid w:val="00AB5C5C"/>
    <w:rsid w:val="00AC115D"/>
    <w:rsid w:val="00AD00C6"/>
    <w:rsid w:val="00AD3581"/>
    <w:rsid w:val="00AF5EF1"/>
    <w:rsid w:val="00B0145C"/>
    <w:rsid w:val="00B152B3"/>
    <w:rsid w:val="00B267AC"/>
    <w:rsid w:val="00B27946"/>
    <w:rsid w:val="00B51688"/>
    <w:rsid w:val="00B5557C"/>
    <w:rsid w:val="00B73711"/>
    <w:rsid w:val="00B80C71"/>
    <w:rsid w:val="00B8598F"/>
    <w:rsid w:val="00B97706"/>
    <w:rsid w:val="00BA024E"/>
    <w:rsid w:val="00BA3155"/>
    <w:rsid w:val="00BA4C3A"/>
    <w:rsid w:val="00BA5E8E"/>
    <w:rsid w:val="00BA67A2"/>
    <w:rsid w:val="00BB2BEA"/>
    <w:rsid w:val="00BB7710"/>
    <w:rsid w:val="00BC00DB"/>
    <w:rsid w:val="00BC7036"/>
    <w:rsid w:val="00BD41DA"/>
    <w:rsid w:val="00BF3FA3"/>
    <w:rsid w:val="00BF78A7"/>
    <w:rsid w:val="00C03B15"/>
    <w:rsid w:val="00C04E44"/>
    <w:rsid w:val="00C05DA3"/>
    <w:rsid w:val="00C1387B"/>
    <w:rsid w:val="00C168A7"/>
    <w:rsid w:val="00C255E4"/>
    <w:rsid w:val="00C34EB1"/>
    <w:rsid w:val="00C360F0"/>
    <w:rsid w:val="00C6342F"/>
    <w:rsid w:val="00C75CB5"/>
    <w:rsid w:val="00C8508F"/>
    <w:rsid w:val="00C91157"/>
    <w:rsid w:val="00C94984"/>
    <w:rsid w:val="00C97C87"/>
    <w:rsid w:val="00CB08B3"/>
    <w:rsid w:val="00CB15F8"/>
    <w:rsid w:val="00CC6E90"/>
    <w:rsid w:val="00CD03FA"/>
    <w:rsid w:val="00CD0A9F"/>
    <w:rsid w:val="00CE1068"/>
    <w:rsid w:val="00CF30B5"/>
    <w:rsid w:val="00CF3BCA"/>
    <w:rsid w:val="00D04852"/>
    <w:rsid w:val="00D11E46"/>
    <w:rsid w:val="00D1297A"/>
    <w:rsid w:val="00D138AC"/>
    <w:rsid w:val="00D17B54"/>
    <w:rsid w:val="00D2012D"/>
    <w:rsid w:val="00D24147"/>
    <w:rsid w:val="00D2483B"/>
    <w:rsid w:val="00D24EE9"/>
    <w:rsid w:val="00D31419"/>
    <w:rsid w:val="00D34BE1"/>
    <w:rsid w:val="00D40C52"/>
    <w:rsid w:val="00D42E85"/>
    <w:rsid w:val="00D4592B"/>
    <w:rsid w:val="00D62AC6"/>
    <w:rsid w:val="00D64229"/>
    <w:rsid w:val="00D66C9C"/>
    <w:rsid w:val="00D70BE8"/>
    <w:rsid w:val="00D712D4"/>
    <w:rsid w:val="00D8006B"/>
    <w:rsid w:val="00D904C6"/>
    <w:rsid w:val="00D9184A"/>
    <w:rsid w:val="00DB00A8"/>
    <w:rsid w:val="00DC40F6"/>
    <w:rsid w:val="00DC559E"/>
    <w:rsid w:val="00DD11B4"/>
    <w:rsid w:val="00DD6BAE"/>
    <w:rsid w:val="00DD71FB"/>
    <w:rsid w:val="00DD7B1D"/>
    <w:rsid w:val="00DE1678"/>
    <w:rsid w:val="00DF2866"/>
    <w:rsid w:val="00DF431C"/>
    <w:rsid w:val="00E02483"/>
    <w:rsid w:val="00E13D83"/>
    <w:rsid w:val="00E1728E"/>
    <w:rsid w:val="00E21B2D"/>
    <w:rsid w:val="00E27B47"/>
    <w:rsid w:val="00E312AE"/>
    <w:rsid w:val="00E4153E"/>
    <w:rsid w:val="00E43511"/>
    <w:rsid w:val="00E45F8A"/>
    <w:rsid w:val="00E60616"/>
    <w:rsid w:val="00E64345"/>
    <w:rsid w:val="00E643F2"/>
    <w:rsid w:val="00E724F1"/>
    <w:rsid w:val="00E72853"/>
    <w:rsid w:val="00E90AEB"/>
    <w:rsid w:val="00E9253B"/>
    <w:rsid w:val="00E9300A"/>
    <w:rsid w:val="00EA0613"/>
    <w:rsid w:val="00EA5A6D"/>
    <w:rsid w:val="00EB4365"/>
    <w:rsid w:val="00EC0B52"/>
    <w:rsid w:val="00EC0DBE"/>
    <w:rsid w:val="00EC29B1"/>
    <w:rsid w:val="00EC57FC"/>
    <w:rsid w:val="00EC6984"/>
    <w:rsid w:val="00ED449D"/>
    <w:rsid w:val="00ED4C20"/>
    <w:rsid w:val="00ED661F"/>
    <w:rsid w:val="00EE4341"/>
    <w:rsid w:val="00EF54D4"/>
    <w:rsid w:val="00EF5801"/>
    <w:rsid w:val="00EF645C"/>
    <w:rsid w:val="00EF6603"/>
    <w:rsid w:val="00EF7943"/>
    <w:rsid w:val="00F02DE6"/>
    <w:rsid w:val="00F030FA"/>
    <w:rsid w:val="00F1324D"/>
    <w:rsid w:val="00F21790"/>
    <w:rsid w:val="00F247B3"/>
    <w:rsid w:val="00F26280"/>
    <w:rsid w:val="00F32F59"/>
    <w:rsid w:val="00F371EC"/>
    <w:rsid w:val="00F378D0"/>
    <w:rsid w:val="00F57092"/>
    <w:rsid w:val="00F6337C"/>
    <w:rsid w:val="00F65E83"/>
    <w:rsid w:val="00F73B21"/>
    <w:rsid w:val="00F75185"/>
    <w:rsid w:val="00F75967"/>
    <w:rsid w:val="00F7608D"/>
    <w:rsid w:val="00F8184B"/>
    <w:rsid w:val="00F86093"/>
    <w:rsid w:val="00F930E1"/>
    <w:rsid w:val="00F95D4F"/>
    <w:rsid w:val="00FD26DD"/>
    <w:rsid w:val="00FD467D"/>
    <w:rsid w:val="00FE6F0D"/>
    <w:rsid w:val="2E4B1B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link w:val="19"/>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link w:val="20"/>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4">
    <w:name w:val="heading 4"/>
    <w:basedOn w:val="1"/>
    <w:link w:val="21"/>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paragraph" w:styleId="5">
    <w:name w:val="heading 5"/>
    <w:basedOn w:val="1"/>
    <w:link w:val="22"/>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paragraph" w:styleId="6">
    <w:name w:val="heading 6"/>
    <w:basedOn w:val="1"/>
    <w:link w:val="23"/>
    <w:qFormat/>
    <w:uiPriority w:val="9"/>
    <w:pPr>
      <w:widowControl/>
      <w:spacing w:before="100" w:beforeAutospacing="1" w:after="100" w:afterAutospacing="1"/>
      <w:jc w:val="left"/>
      <w:outlineLvl w:val="5"/>
    </w:pPr>
    <w:rPr>
      <w:rFonts w:ascii="宋体" w:hAnsi="宋体" w:eastAsia="宋体" w:cs="宋体"/>
      <w:b/>
      <w:bCs/>
      <w:kern w:val="0"/>
      <w:sz w:val="15"/>
      <w:szCs w:val="15"/>
    </w:rPr>
  </w:style>
  <w:style w:type="character" w:default="1" w:styleId="12">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5"/>
    <w:semiHidden/>
    <w:unhideWhenUsed/>
    <w:qFormat/>
    <w:uiPriority w:val="99"/>
    <w:rPr>
      <w:sz w:val="18"/>
      <w:szCs w:val="18"/>
    </w:rPr>
  </w:style>
  <w:style w:type="paragraph" w:styleId="8">
    <w:name w:val="footer"/>
    <w:basedOn w:val="1"/>
    <w:link w:val="18"/>
    <w:unhideWhenUsed/>
    <w:qFormat/>
    <w:uiPriority w:val="99"/>
    <w:pPr>
      <w:tabs>
        <w:tab w:val="center" w:pos="4153"/>
        <w:tab w:val="right" w:pos="8306"/>
      </w:tabs>
      <w:snapToGrid w:val="0"/>
      <w:jc w:val="left"/>
    </w:pPr>
    <w:rPr>
      <w:sz w:val="18"/>
      <w:szCs w:val="18"/>
    </w:rPr>
  </w:style>
  <w:style w:type="paragraph" w:styleId="9">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3">
    <w:name w:val="Strong"/>
    <w:basedOn w:val="12"/>
    <w:qFormat/>
    <w:uiPriority w:val="22"/>
    <w:rPr>
      <w:b/>
      <w:bCs/>
    </w:rPr>
  </w:style>
  <w:style w:type="character" w:styleId="14">
    <w:name w:val="FollowedHyperlink"/>
    <w:basedOn w:val="12"/>
    <w:semiHidden/>
    <w:unhideWhenUsed/>
    <w:qFormat/>
    <w:uiPriority w:val="99"/>
    <w:rPr>
      <w:color w:val="800080"/>
      <w:u w:val="single"/>
    </w:rPr>
  </w:style>
  <w:style w:type="character" w:styleId="15">
    <w:name w:val="Emphasis"/>
    <w:basedOn w:val="12"/>
    <w:qFormat/>
    <w:uiPriority w:val="20"/>
    <w:rPr>
      <w:i/>
      <w:iCs/>
    </w:rPr>
  </w:style>
  <w:style w:type="character" w:styleId="16">
    <w:name w:val="Hyperlink"/>
    <w:basedOn w:val="12"/>
    <w:unhideWhenUsed/>
    <w:qFormat/>
    <w:uiPriority w:val="99"/>
    <w:rPr>
      <w:color w:val="0000FF"/>
      <w:u w:val="single"/>
    </w:rPr>
  </w:style>
  <w:style w:type="character" w:customStyle="1" w:styleId="17">
    <w:name w:val="页眉 Char"/>
    <w:basedOn w:val="12"/>
    <w:link w:val="9"/>
    <w:qFormat/>
    <w:uiPriority w:val="99"/>
    <w:rPr>
      <w:sz w:val="18"/>
      <w:szCs w:val="18"/>
    </w:rPr>
  </w:style>
  <w:style w:type="character" w:customStyle="1" w:styleId="18">
    <w:name w:val="页脚 Char"/>
    <w:basedOn w:val="12"/>
    <w:link w:val="8"/>
    <w:qFormat/>
    <w:uiPriority w:val="99"/>
    <w:rPr>
      <w:sz w:val="18"/>
      <w:szCs w:val="18"/>
    </w:rPr>
  </w:style>
  <w:style w:type="character" w:customStyle="1" w:styleId="19">
    <w:name w:val="标题 1 Char"/>
    <w:basedOn w:val="12"/>
    <w:link w:val="2"/>
    <w:qFormat/>
    <w:uiPriority w:val="9"/>
    <w:rPr>
      <w:rFonts w:ascii="宋体" w:hAnsi="宋体" w:eastAsia="宋体" w:cs="宋体"/>
      <w:b/>
      <w:bCs/>
      <w:kern w:val="36"/>
      <w:sz w:val="48"/>
      <w:szCs w:val="48"/>
    </w:rPr>
  </w:style>
  <w:style w:type="character" w:customStyle="1" w:styleId="20">
    <w:name w:val="标题 3 Char"/>
    <w:basedOn w:val="12"/>
    <w:link w:val="3"/>
    <w:qFormat/>
    <w:uiPriority w:val="9"/>
    <w:rPr>
      <w:rFonts w:ascii="宋体" w:hAnsi="宋体" w:eastAsia="宋体" w:cs="宋体"/>
      <w:b/>
      <w:bCs/>
      <w:kern w:val="0"/>
      <w:sz w:val="27"/>
      <w:szCs w:val="27"/>
    </w:rPr>
  </w:style>
  <w:style w:type="character" w:customStyle="1" w:styleId="21">
    <w:name w:val="标题 4 Char"/>
    <w:basedOn w:val="12"/>
    <w:link w:val="4"/>
    <w:qFormat/>
    <w:uiPriority w:val="9"/>
    <w:rPr>
      <w:rFonts w:ascii="宋体" w:hAnsi="宋体" w:eastAsia="宋体" w:cs="宋体"/>
      <w:b/>
      <w:bCs/>
      <w:kern w:val="0"/>
      <w:sz w:val="24"/>
      <w:szCs w:val="24"/>
    </w:rPr>
  </w:style>
  <w:style w:type="character" w:customStyle="1" w:styleId="22">
    <w:name w:val="标题 5 Char"/>
    <w:basedOn w:val="12"/>
    <w:link w:val="5"/>
    <w:qFormat/>
    <w:uiPriority w:val="9"/>
    <w:rPr>
      <w:rFonts w:ascii="宋体" w:hAnsi="宋体" w:eastAsia="宋体" w:cs="宋体"/>
      <w:b/>
      <w:bCs/>
      <w:kern w:val="0"/>
      <w:sz w:val="20"/>
      <w:szCs w:val="20"/>
    </w:rPr>
  </w:style>
  <w:style w:type="character" w:customStyle="1" w:styleId="23">
    <w:name w:val="标题 6 Char"/>
    <w:basedOn w:val="12"/>
    <w:link w:val="6"/>
    <w:qFormat/>
    <w:uiPriority w:val="9"/>
    <w:rPr>
      <w:rFonts w:ascii="宋体" w:hAnsi="宋体" w:eastAsia="宋体" w:cs="宋体"/>
      <w:b/>
      <w:bCs/>
      <w:kern w:val="0"/>
      <w:sz w:val="15"/>
      <w:szCs w:val="15"/>
    </w:rPr>
  </w:style>
  <w:style w:type="character" w:customStyle="1" w:styleId="24">
    <w:name w:val="apple-converted-space"/>
    <w:basedOn w:val="12"/>
    <w:qFormat/>
    <w:uiPriority w:val="0"/>
  </w:style>
  <w:style w:type="character" w:customStyle="1" w:styleId="25">
    <w:name w:val="批注框文本 Char"/>
    <w:basedOn w:val="12"/>
    <w:link w:val="7"/>
    <w:semiHidden/>
    <w:qFormat/>
    <w:uiPriority w:val="99"/>
    <w:rPr>
      <w:sz w:val="18"/>
      <w:szCs w:val="18"/>
    </w:rPr>
  </w:style>
  <w:style w:type="paragraph" w:styleId="26">
    <w:name w:val="List Paragraph"/>
    <w:basedOn w:val="1"/>
    <w:qFormat/>
    <w:uiPriority w:val="34"/>
    <w:pPr>
      <w:ind w:firstLine="420" w:firstLineChars="200"/>
    </w:pPr>
  </w:style>
  <w:style w:type="character" w:customStyle="1" w:styleId="27">
    <w:name w:val="正文文本 (3)_"/>
    <w:basedOn w:val="12"/>
    <w:link w:val="28"/>
    <w:qFormat/>
    <w:uiPriority w:val="0"/>
    <w:rPr>
      <w:rFonts w:ascii="Times New Roman" w:hAnsi="Times New Roman" w:eastAsia="Times New Roman" w:cs="Times New Roman"/>
      <w:b/>
      <w:bCs/>
      <w:sz w:val="60"/>
      <w:szCs w:val="60"/>
      <w:shd w:val="clear" w:color="auto" w:fill="FFFFFF"/>
    </w:rPr>
  </w:style>
  <w:style w:type="paragraph" w:customStyle="1" w:styleId="28">
    <w:name w:val="正文文本 (3)"/>
    <w:basedOn w:val="1"/>
    <w:link w:val="27"/>
    <w:qFormat/>
    <w:uiPriority w:val="0"/>
    <w:pPr>
      <w:shd w:val="clear" w:color="auto" w:fill="FFFFFF"/>
      <w:spacing w:line="686" w:lineRule="exact"/>
      <w:jc w:val="center"/>
    </w:pPr>
    <w:rPr>
      <w:rFonts w:ascii="Times New Roman" w:hAnsi="Times New Roman" w:eastAsia="Times New Roman" w:cs="Times New Roman"/>
      <w:b/>
      <w:bCs/>
      <w:sz w:val="60"/>
      <w:szCs w:val="60"/>
    </w:rPr>
  </w:style>
  <w:style w:type="character" w:customStyle="1" w:styleId="29">
    <w:name w:val="正文文本 (2)_"/>
    <w:basedOn w:val="12"/>
    <w:link w:val="30"/>
    <w:qFormat/>
    <w:uiPriority w:val="0"/>
    <w:rPr>
      <w:rFonts w:ascii="Times New Roman" w:hAnsi="Times New Roman" w:eastAsia="Times New Roman" w:cs="Times New Roman"/>
      <w:shd w:val="clear" w:color="auto" w:fill="FFFFFF"/>
    </w:rPr>
  </w:style>
  <w:style w:type="paragraph" w:customStyle="1" w:styleId="30">
    <w:name w:val="正文文本 (2)"/>
    <w:basedOn w:val="1"/>
    <w:link w:val="29"/>
    <w:qFormat/>
    <w:uiPriority w:val="0"/>
    <w:pPr>
      <w:shd w:val="clear" w:color="auto" w:fill="FFFFFF"/>
      <w:spacing w:before="420" w:line="274" w:lineRule="exact"/>
      <w:ind w:hanging="360"/>
      <w:jc w:val="left"/>
    </w:pPr>
    <w:rPr>
      <w:rFonts w:ascii="Times New Roman" w:hAnsi="Times New Roman" w:eastAsia="Times New Roman" w:cs="Times New Roman"/>
    </w:rPr>
  </w:style>
  <w:style w:type="character" w:customStyle="1" w:styleId="31">
    <w:name w:val="标题 #4_"/>
    <w:basedOn w:val="12"/>
    <w:link w:val="32"/>
    <w:qFormat/>
    <w:uiPriority w:val="0"/>
    <w:rPr>
      <w:rFonts w:ascii="Times New Roman" w:hAnsi="Times New Roman" w:eastAsia="Times New Roman" w:cs="Times New Roman"/>
      <w:b/>
      <w:bCs/>
      <w:shd w:val="clear" w:color="auto" w:fill="FFFFFF"/>
    </w:rPr>
  </w:style>
  <w:style w:type="paragraph" w:customStyle="1" w:styleId="32">
    <w:name w:val="标题 #4"/>
    <w:basedOn w:val="1"/>
    <w:link w:val="31"/>
    <w:qFormat/>
    <w:uiPriority w:val="0"/>
    <w:pPr>
      <w:shd w:val="clear" w:color="auto" w:fill="FFFFFF"/>
      <w:spacing w:before="240" w:after="360" w:line="0" w:lineRule="atLeast"/>
      <w:jc w:val="left"/>
      <w:outlineLvl w:val="3"/>
    </w:pPr>
    <w:rPr>
      <w:rFonts w:ascii="Times New Roman" w:hAnsi="Times New Roman" w:eastAsia="Times New Roman" w:cs="Times New Roman"/>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image" Target="media/image2.png"/><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8F2CDA-FBB2-4F60-AFD4-1C47F19DFD7C}">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30</Pages>
  <Words>13055</Words>
  <Characters>14701</Characters>
  <Lines>214</Lines>
  <Paragraphs>60</Paragraphs>
  <TotalTime>0</TotalTime>
  <ScaleCrop>false</ScaleCrop>
  <LinksUpToDate>false</LinksUpToDate>
  <CharactersWithSpaces>14864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2017-04-10T10:09:00Z</dcterms:created>
  <dc:creator>pc</dc:creator>
  <cp:lastModifiedBy>太极箫客</cp:lastModifiedBy>
  <dcterms:modified xsi:type="dcterms:W3CDTF">2025-08-14T06:17:50Z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13F626BDBD5C45808A207F2E74E363B7_12</vt:lpwstr>
  </property>
</Properties>
</file>