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DD60">
      <w:pPr>
        <w:overflowPunct w:val="0"/>
        <w:snapToGrid w:val="0"/>
        <w:spacing w:line="300" w:lineRule="auto"/>
        <w:rPr>
          <w:rFonts w:ascii="Arial" w:hAnsi="Arial" w:eastAsia="宋体" w:cs="Arial"/>
          <w:sz w:val="60"/>
          <w:lang w:eastAsia="zh-CN"/>
        </w:rPr>
      </w:pPr>
      <w:bookmarkStart w:id="206" w:name="_GoBack"/>
      <w:bookmarkEnd w:id="206"/>
      <w:r>
        <w:rPr>
          <w:rFonts w:ascii="Arial" w:hAnsi="Arial" w:eastAsia="宋体" w:cs="Arial"/>
          <w:b/>
          <w:bCs/>
          <w:sz w:val="60"/>
          <w:lang w:eastAsia="zh-CN"/>
        </w:rPr>
        <w:t>II类特殊控制</w:t>
      </w:r>
      <w:r>
        <w:rPr>
          <w:rFonts w:hint="eastAsia" w:ascii="Arial" w:hAnsi="Arial" w:eastAsia="宋体" w:cs="Arial"/>
          <w:b/>
          <w:bCs/>
          <w:sz w:val="60"/>
          <w:lang w:eastAsia="zh-CN"/>
        </w:rPr>
        <w:t>指南</w:t>
      </w:r>
      <w:bookmarkStart w:id="0" w:name="OLE_LINK185"/>
      <w:bookmarkStart w:id="1" w:name="OLE_LINK186"/>
      <w:r>
        <w:rPr>
          <w:rFonts w:hint="eastAsia" w:ascii="Arial" w:hAnsi="Arial" w:eastAsia="宋体" w:cs="Arial"/>
          <w:b/>
          <w:bCs/>
          <w:sz w:val="60"/>
          <w:lang w:eastAsia="zh-CN"/>
        </w:rPr>
        <w:t>：</w:t>
      </w:r>
      <w:r>
        <w:rPr>
          <w:rFonts w:ascii="Arial" w:hAnsi="Arial" w:eastAsia="宋体" w:cs="Arial"/>
          <w:b/>
          <w:bCs/>
          <w:sz w:val="60"/>
          <w:lang w:eastAsia="zh-CN"/>
        </w:rPr>
        <w:t>鉴定阳性血培养中微生物和抗性标记</w:t>
      </w:r>
      <w:r>
        <w:rPr>
          <w:rFonts w:hint="eastAsia" w:ascii="Arial" w:hAnsi="Arial" w:eastAsia="宋体" w:cs="Arial"/>
          <w:b/>
          <w:bCs/>
          <w:sz w:val="60"/>
          <w:lang w:eastAsia="zh-CN"/>
        </w:rPr>
        <w:t>物</w:t>
      </w:r>
      <w:r>
        <w:rPr>
          <w:rFonts w:ascii="Arial" w:hAnsi="Arial" w:eastAsia="宋体" w:cs="Arial"/>
          <w:b/>
          <w:bCs/>
          <w:sz w:val="60"/>
          <w:lang w:eastAsia="zh-CN"/>
        </w:rPr>
        <w:t>的多重核酸</w:t>
      </w:r>
      <w:r>
        <w:rPr>
          <w:rFonts w:hint="eastAsia" w:ascii="Arial" w:hAnsi="Arial" w:eastAsia="宋体" w:cs="Arial"/>
          <w:b/>
          <w:bCs/>
          <w:sz w:val="60"/>
          <w:lang w:eastAsia="zh-CN"/>
        </w:rPr>
        <w:t>检测试剂盒</w:t>
      </w:r>
    </w:p>
    <w:bookmarkEnd w:id="0"/>
    <w:bookmarkEnd w:id="1"/>
    <w:p w14:paraId="22266185">
      <w:pPr>
        <w:overflowPunct w:val="0"/>
        <w:snapToGrid w:val="0"/>
        <w:spacing w:line="300" w:lineRule="auto"/>
        <w:jc w:val="center"/>
        <w:rPr>
          <w:rFonts w:ascii="Arial" w:hAnsi="Arial" w:eastAsia="宋体" w:cs="Arial"/>
          <w:b/>
          <w:bCs/>
          <w:sz w:val="24"/>
          <w:szCs w:val="24"/>
          <w:lang w:eastAsia="zh-CN"/>
        </w:rPr>
      </w:pPr>
      <w:r>
        <w:rPr>
          <w:rFonts w:ascii="Arial" w:hAnsi="Arial" w:eastAsia="宋体" w:cs="Arial"/>
          <w:sz w:val="60"/>
          <w:szCs w:val="60"/>
          <w:lang w:eastAsia="zh-CN"/>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106680</wp:posOffset>
                </wp:positionV>
                <wp:extent cx="5438775" cy="0"/>
                <wp:effectExtent l="8890" t="11430" r="10160" b="7620"/>
                <wp:wrapNone/>
                <wp:docPr id="1" name="AutoShape 15"/>
                <wp:cNvGraphicFramePr/>
                <a:graphic xmlns:a="http://schemas.openxmlformats.org/drawingml/2006/main">
                  <a:graphicData uri="http://schemas.microsoft.com/office/word/2010/wordprocessingShape">
                    <wps:wsp>
                      <wps:cNvCnPr>
                        <a:cxnSpLocks noChangeShapeType="1"/>
                      </wps:cNvCnPr>
                      <wps:spPr bwMode="auto">
                        <a:xfrm>
                          <a:off x="0" y="0"/>
                          <a:ext cx="543877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0.7pt;margin-top:8.4pt;height:0pt;width:428.25pt;z-index:251660288;mso-width-relative:page;mso-height-relative:page;" filled="f" stroked="t" coordsize="21600,21600" o:gfxdata="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iujhDUAAAABwEAAA8AAAAAAAAAAQAgAAAA&#10;IgAAAGRycy9kb3ducmV2LnhtbFBLAQIUABQAAAAIAIdO4kDOJOB21gEAALMDAAAOAAAAAAAAAAEA&#10;IAAAACMBAABkcnMvZTJvRG9jLnhtbFBLBQYAAAAABgAGAFkBAABrBQAAAAA=&#10;">
                <v:fill on="f" focussize="0,0"/>
                <v:stroke color="#000000" joinstyle="round"/>
                <v:imagedata o:title=""/>
                <o:lock v:ext="edit" aspectratio="f"/>
              </v:shape>
            </w:pict>
          </mc:Fallback>
        </mc:AlternateContent>
      </w:r>
    </w:p>
    <w:p w14:paraId="542E5490">
      <w:pPr>
        <w:overflowPunct w:val="0"/>
        <w:snapToGrid w:val="0"/>
        <w:spacing w:before="22" w:line="300" w:lineRule="auto"/>
        <w:jc w:val="center"/>
        <w:rPr>
          <w:rFonts w:ascii="Arial" w:hAnsi="Arial" w:eastAsia="宋体" w:cs="Arial"/>
          <w:sz w:val="60"/>
          <w:szCs w:val="60"/>
          <w:lang w:eastAsia="zh-CN"/>
        </w:rPr>
      </w:pPr>
      <w:r>
        <w:rPr>
          <w:rFonts w:ascii="Arial" w:hAnsi="Arial" w:eastAsia="宋体" w:cs="Arial"/>
          <w:b/>
          <w:sz w:val="60"/>
          <w:lang w:eastAsia="zh-CN"/>
        </w:rPr>
        <w:t>行业</w:t>
      </w:r>
      <w:r>
        <w:rPr>
          <w:rFonts w:hint="eastAsia" w:ascii="Arial" w:hAnsi="Arial" w:eastAsia="宋体" w:cs="Arial"/>
          <w:b/>
          <w:sz w:val="60"/>
          <w:lang w:eastAsia="zh-CN"/>
        </w:rPr>
        <w:t>及</w:t>
      </w:r>
      <w:r>
        <w:rPr>
          <w:rFonts w:ascii="Arial" w:hAnsi="Arial" w:eastAsia="宋体" w:cs="Arial"/>
          <w:b/>
          <w:sz w:val="60"/>
          <w:lang w:eastAsia="zh-CN"/>
        </w:rPr>
        <w:t>食品药品监督管理局工作人员</w:t>
      </w:r>
      <w:r>
        <w:rPr>
          <w:rFonts w:hint="eastAsia" w:ascii="Arial" w:hAnsi="Arial" w:eastAsia="宋体" w:cs="Arial"/>
          <w:b/>
          <w:sz w:val="60"/>
          <w:lang w:eastAsia="zh-CN"/>
        </w:rPr>
        <w:t>指南</w:t>
      </w:r>
    </w:p>
    <w:p w14:paraId="545A79DE">
      <w:pPr>
        <w:overflowPunct w:val="0"/>
        <w:snapToGrid w:val="0"/>
        <w:spacing w:before="9" w:line="300" w:lineRule="auto"/>
        <w:rPr>
          <w:rFonts w:ascii="Arial" w:hAnsi="Arial" w:eastAsia="宋体" w:cs="Arial"/>
          <w:b/>
          <w:bCs/>
          <w:sz w:val="47"/>
          <w:szCs w:val="47"/>
          <w:lang w:eastAsia="zh-CN"/>
        </w:rPr>
      </w:pPr>
    </w:p>
    <w:p w14:paraId="78A865D6">
      <w:pPr>
        <w:pStyle w:val="36"/>
        <w:overflowPunct w:val="0"/>
        <w:snapToGrid w:val="0"/>
        <w:spacing w:line="300" w:lineRule="auto"/>
        <w:ind w:left="0" w:firstLine="0"/>
        <w:jc w:val="center"/>
        <w:rPr>
          <w:rFonts w:ascii="Arial" w:hAnsi="Arial" w:eastAsia="宋体" w:cs="Arial"/>
          <w:b w:val="0"/>
          <w:bCs w:val="0"/>
          <w:lang w:eastAsia="zh-CN"/>
        </w:rPr>
      </w:pPr>
      <w:r>
        <w:rPr>
          <w:rFonts w:ascii="Arial" w:hAnsi="Arial" w:eastAsia="宋体" w:cs="Arial"/>
          <w:lang w:eastAsia="zh-CN"/>
        </w:rPr>
        <w:t>文件发行日期：2015年5月27日</w:t>
      </w:r>
    </w:p>
    <w:p w14:paraId="5A74CBCA">
      <w:pPr>
        <w:overflowPunct w:val="0"/>
        <w:snapToGrid w:val="0"/>
        <w:spacing w:line="300" w:lineRule="auto"/>
        <w:rPr>
          <w:rFonts w:ascii="Arial" w:hAnsi="Arial" w:eastAsia="宋体" w:cs="Arial"/>
          <w:b/>
          <w:bCs/>
          <w:sz w:val="28"/>
          <w:szCs w:val="28"/>
          <w:lang w:eastAsia="zh-CN"/>
        </w:rPr>
      </w:pPr>
    </w:p>
    <w:p w14:paraId="175E581C">
      <w:pPr>
        <w:overflowPunct w:val="0"/>
        <w:snapToGrid w:val="0"/>
        <w:spacing w:line="300" w:lineRule="auto"/>
        <w:rPr>
          <w:rFonts w:ascii="Arial" w:hAnsi="Arial" w:eastAsia="宋体" w:cs="Arial"/>
          <w:b/>
          <w:bCs/>
          <w:sz w:val="28"/>
          <w:szCs w:val="28"/>
          <w:lang w:eastAsia="zh-CN"/>
        </w:rPr>
      </w:pPr>
    </w:p>
    <w:p w14:paraId="510348E4">
      <w:pPr>
        <w:overflowPunct w:val="0"/>
        <w:snapToGrid w:val="0"/>
        <w:spacing w:line="300" w:lineRule="auto"/>
        <w:jc w:val="both"/>
        <w:rPr>
          <w:rFonts w:ascii="Arial" w:hAnsi="Arial" w:eastAsia="宋体" w:cs="Arial"/>
          <w:lang w:eastAsia="zh-CN"/>
        </w:rPr>
      </w:pPr>
      <w:r>
        <w:rPr>
          <w:rFonts w:ascii="Arial" w:hAnsi="Arial" w:eastAsia="宋体" w:cs="Arial"/>
          <w:sz w:val="24"/>
          <w:szCs w:val="24"/>
          <w:lang w:eastAsia="zh-CN"/>
        </w:rPr>
        <w:t>关于本文件的问题，请联系微生物学器械</w:t>
      </w:r>
      <w:r>
        <w:rPr>
          <w:rFonts w:hint="eastAsia" w:ascii="Arial" w:hAnsi="Arial" w:eastAsia="宋体" w:cs="Arial"/>
          <w:sz w:val="24"/>
          <w:szCs w:val="24"/>
          <w:lang w:eastAsia="zh-CN"/>
        </w:rPr>
        <w:t>部</w:t>
      </w:r>
      <w:r>
        <w:rPr>
          <w:rFonts w:ascii="Arial" w:hAnsi="Arial" w:eastAsia="宋体" w:cs="Arial"/>
          <w:sz w:val="24"/>
          <w:szCs w:val="24"/>
          <w:lang w:eastAsia="zh-CN"/>
        </w:rPr>
        <w:t>，电话</w:t>
      </w:r>
      <w:r>
        <w:rPr>
          <w:rFonts w:ascii="Arial" w:hAnsi="Arial" w:eastAsia="宋体" w:cs="Arial"/>
          <w:lang w:eastAsia="zh-CN"/>
        </w:rPr>
        <w:t>301-796-5461，或联系Kimberly Sconce，电话301-796-6679或</w:t>
      </w:r>
      <w:r>
        <w:rPr>
          <w:rFonts w:hint="eastAsia" w:ascii="Arial" w:hAnsi="Arial" w:eastAsia="宋体" w:cs="Arial"/>
          <w:lang w:eastAsia="zh-CN"/>
        </w:rPr>
        <w:t>电子邮箱</w:t>
      </w:r>
      <w:r>
        <w:rPr>
          <w:rFonts w:ascii="Arial" w:hAnsi="Arial" w:eastAsia="宋体" w:cs="Arial"/>
          <w:lang w:eastAsia="zh-CN"/>
        </w:rPr>
        <w:t>Kimberly.Sconce@fda.hhs.gov。</w:t>
      </w:r>
    </w:p>
    <w:p w14:paraId="6BE387DE">
      <w:pPr>
        <w:overflowPunct w:val="0"/>
        <w:snapToGrid w:val="0"/>
        <w:spacing w:line="300" w:lineRule="auto"/>
        <w:rPr>
          <w:rFonts w:ascii="Arial" w:hAnsi="Arial" w:eastAsia="宋体" w:cs="Arial"/>
          <w:sz w:val="24"/>
          <w:szCs w:val="24"/>
          <w:lang w:eastAsia="zh-CN"/>
        </w:rPr>
      </w:pPr>
    </w:p>
    <w:p w14:paraId="1AE376FB">
      <w:pPr>
        <w:overflowPunct w:val="0"/>
        <w:snapToGrid w:val="0"/>
        <w:spacing w:line="300" w:lineRule="auto"/>
        <w:rPr>
          <w:rFonts w:ascii="Arial" w:hAnsi="Arial" w:eastAsia="宋体" w:cs="Arial"/>
          <w:sz w:val="24"/>
          <w:szCs w:val="24"/>
          <w:lang w:eastAsia="zh-CN"/>
        </w:rPr>
      </w:pPr>
    </w:p>
    <w:p w14:paraId="4643E4FE">
      <w:pPr>
        <w:overflowPunct w:val="0"/>
        <w:snapToGrid w:val="0"/>
        <w:spacing w:line="300" w:lineRule="auto"/>
        <w:rPr>
          <w:rFonts w:ascii="Arial" w:hAnsi="Arial" w:eastAsia="宋体" w:cs="Arial"/>
          <w:sz w:val="24"/>
          <w:szCs w:val="24"/>
          <w:lang w:eastAsia="zh-CN"/>
        </w:rPr>
      </w:pPr>
    </w:p>
    <w:p w14:paraId="2141F7E4">
      <w:pPr>
        <w:overflowPunct w:val="0"/>
        <w:snapToGrid w:val="0"/>
        <w:spacing w:line="300" w:lineRule="auto"/>
        <w:rPr>
          <w:rFonts w:ascii="Arial" w:hAnsi="Arial" w:eastAsia="宋体" w:cs="Arial"/>
          <w:sz w:val="24"/>
          <w:szCs w:val="24"/>
          <w:lang w:eastAsia="zh-CN"/>
        </w:rPr>
      </w:pPr>
    </w:p>
    <w:p w14:paraId="2264628D">
      <w:pPr>
        <w:overflowPunct w:val="0"/>
        <w:snapToGrid w:val="0"/>
        <w:spacing w:before="10" w:line="300" w:lineRule="auto"/>
        <w:rPr>
          <w:rFonts w:ascii="Arial" w:hAnsi="Arial" w:eastAsia="宋体" w:cs="Arial"/>
          <w:sz w:val="23"/>
          <w:szCs w:val="23"/>
          <w:lang w:eastAsia="zh-CN"/>
        </w:rPr>
      </w:pPr>
    </w:p>
    <w:p w14:paraId="562880D2">
      <w:pPr>
        <w:pStyle w:val="37"/>
        <w:overflowPunct w:val="0"/>
        <w:snapToGrid w:val="0"/>
        <w:spacing w:line="300" w:lineRule="auto"/>
        <w:ind w:left="0" w:firstLine="1446" w:firstLineChars="60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914400</wp:posOffset>
            </wp:positionH>
            <wp:positionV relativeFrom="paragraph">
              <wp:posOffset>-174625</wp:posOffset>
            </wp:positionV>
            <wp:extent cx="914400" cy="952500"/>
            <wp:effectExtent l="0" t="0" r="0" b="0"/>
            <wp:wrapNone/>
            <wp:docPr id="11" name="图片 1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DRH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eastAsia="宋体" w:cs="Arial"/>
          <w:lang w:eastAsia="zh-CN"/>
        </w:rPr>
        <w:t>美国卫生</w:t>
      </w:r>
      <w:r>
        <w:rPr>
          <w:rFonts w:hint="eastAsia" w:ascii="Arial" w:hAnsi="Arial" w:eastAsia="宋体" w:cs="Arial"/>
          <w:lang w:eastAsia="zh-CN"/>
        </w:rPr>
        <w:t>和人类服务署</w:t>
      </w:r>
    </w:p>
    <w:p w14:paraId="3597C5FE">
      <w:pPr>
        <w:overflowPunct w:val="0"/>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食品药品监督管理局</w:t>
      </w:r>
    </w:p>
    <w:p w14:paraId="43A10FE8">
      <w:pPr>
        <w:overflowPunct w:val="0"/>
        <w:snapToGrid w:val="0"/>
        <w:spacing w:line="300" w:lineRule="auto"/>
        <w:ind w:firstLine="1250"/>
        <w:jc w:val="right"/>
        <w:rPr>
          <w:rFonts w:ascii="Arial" w:hAnsi="Arial" w:eastAsia="宋体" w:cs="Arial"/>
          <w:sz w:val="24"/>
          <w:szCs w:val="24"/>
          <w:lang w:eastAsia="zh-CN"/>
        </w:rPr>
      </w:pPr>
      <w:r>
        <w:rPr>
          <w:rFonts w:ascii="Arial" w:hAnsi="Arial" w:eastAsia="宋体" w:cs="Arial"/>
          <w:b/>
          <w:sz w:val="24"/>
          <w:lang w:eastAsia="zh-CN"/>
        </w:rPr>
        <w:t>器械</w:t>
      </w:r>
      <w:r>
        <w:rPr>
          <w:rFonts w:hint="eastAsia" w:ascii="Arial" w:hAnsi="Arial" w:eastAsia="宋体" w:cs="Arial"/>
          <w:b/>
          <w:sz w:val="24"/>
          <w:lang w:eastAsia="zh-CN"/>
        </w:rPr>
        <w:t>和</w:t>
      </w:r>
      <w:r>
        <w:rPr>
          <w:rFonts w:ascii="Arial" w:hAnsi="Arial" w:eastAsia="宋体" w:cs="Arial"/>
          <w:b/>
          <w:sz w:val="24"/>
          <w:lang w:eastAsia="zh-CN"/>
        </w:rPr>
        <w:t>放射卫生中心</w:t>
      </w:r>
    </w:p>
    <w:p w14:paraId="6C2E0AF5">
      <w:pPr>
        <w:overflowPunct w:val="0"/>
        <w:snapToGrid w:val="0"/>
        <w:spacing w:line="300" w:lineRule="auto"/>
        <w:ind w:firstLine="1325" w:firstLineChars="550"/>
        <w:jc w:val="right"/>
        <w:rPr>
          <w:rFonts w:ascii="Arial" w:hAnsi="Arial" w:eastAsia="宋体" w:cs="Arial"/>
          <w:sz w:val="24"/>
          <w:szCs w:val="24"/>
          <w:lang w:eastAsia="zh-CN"/>
        </w:rPr>
      </w:pPr>
      <w:r>
        <w:rPr>
          <w:rFonts w:ascii="Arial" w:hAnsi="Arial" w:eastAsia="宋体" w:cs="Arial"/>
          <w:b/>
          <w:i/>
          <w:sz w:val="24"/>
          <w:lang w:eastAsia="zh-CN"/>
        </w:rPr>
        <w:t>体外</w:t>
      </w:r>
      <w:r>
        <w:rPr>
          <w:rFonts w:ascii="Arial" w:hAnsi="Arial" w:eastAsia="宋体" w:cs="Arial"/>
          <w:b/>
          <w:sz w:val="24"/>
          <w:lang w:eastAsia="zh-CN"/>
        </w:rPr>
        <w:t>诊断学和放射卫生办公室</w:t>
      </w:r>
    </w:p>
    <w:p w14:paraId="10860D6A">
      <w:pPr>
        <w:overflowPunct w:val="0"/>
        <w:snapToGrid w:val="0"/>
        <w:spacing w:line="300" w:lineRule="auto"/>
        <w:ind w:firstLine="602" w:firstLineChars="250"/>
        <w:jc w:val="right"/>
        <w:rPr>
          <w:rFonts w:ascii="Arial" w:hAnsi="Arial" w:eastAsia="宋体" w:cs="Arial"/>
          <w:sz w:val="23"/>
          <w:szCs w:val="23"/>
          <w:lang w:eastAsia="zh-CN"/>
        </w:rPr>
      </w:pPr>
      <w:r>
        <w:rPr>
          <w:rFonts w:ascii="Arial" w:hAnsi="Arial" w:eastAsia="宋体" w:cs="Arial"/>
          <w:b/>
          <w:sz w:val="24"/>
          <w:lang w:eastAsia="zh-CN"/>
        </w:rPr>
        <w:t>微生物学器械</w:t>
      </w:r>
      <w:r>
        <w:rPr>
          <w:rFonts w:hint="eastAsia" w:ascii="Arial" w:hAnsi="Arial" w:eastAsia="宋体" w:cs="Arial"/>
          <w:b/>
          <w:sz w:val="24"/>
          <w:lang w:eastAsia="zh-CN"/>
        </w:rPr>
        <w:t>部</w:t>
      </w:r>
    </w:p>
    <w:p w14:paraId="7953DFEE">
      <w:pPr>
        <w:overflowPunct w:val="0"/>
        <w:snapToGrid w:val="0"/>
        <w:spacing w:line="300" w:lineRule="auto"/>
        <w:rPr>
          <w:rFonts w:ascii="Arial" w:hAnsi="Arial" w:eastAsia="宋体" w:cs="Arial"/>
          <w:b/>
          <w:bCs/>
          <w:sz w:val="20"/>
          <w:szCs w:val="20"/>
          <w:lang w:eastAsia="zh-CN"/>
        </w:rPr>
      </w:pPr>
      <w:r>
        <w:rPr>
          <w:rFonts w:ascii="Arial" w:hAnsi="Arial" w:eastAsia="宋体" w:cs="Arial"/>
          <w:sz w:val="23"/>
          <w:szCs w:val="23"/>
          <w:lang w:eastAsia="zh-CN"/>
        </w:rPr>
        <w:br w:type="page"/>
      </w:r>
    </w:p>
    <w:p w14:paraId="1A47F7CA">
      <w:pPr>
        <w:pStyle w:val="33"/>
        <w:overflowPunct w:val="0"/>
        <w:snapToGrid w:val="0"/>
        <w:spacing w:after="120" w:afterLines="50" w:line="300" w:lineRule="auto"/>
        <w:jc w:val="center"/>
        <w:outlineLvl w:val="9"/>
        <w:rPr>
          <w:rFonts w:ascii="Arial" w:hAnsi="Arial" w:eastAsia="宋体" w:cs="Arial"/>
          <w:b w:val="0"/>
          <w:bCs w:val="0"/>
          <w:lang w:eastAsia="zh-CN"/>
        </w:rPr>
      </w:pPr>
      <w:bookmarkStart w:id="2" w:name="_Toc495603742"/>
      <w:r>
        <w:rPr>
          <w:rFonts w:ascii="Arial" w:hAnsi="Arial" w:eastAsia="宋体" w:cs="Arial"/>
          <w:lang w:eastAsia="zh-CN"/>
        </w:rPr>
        <w:t>前言</w:t>
      </w:r>
      <w:bookmarkEnd w:id="2"/>
    </w:p>
    <w:p w14:paraId="24D51C19">
      <w:pPr>
        <w:pStyle w:val="33"/>
        <w:overflowPunct w:val="0"/>
        <w:snapToGrid w:val="0"/>
        <w:spacing w:after="120" w:afterLines="50" w:line="300" w:lineRule="auto"/>
        <w:outlineLvl w:val="9"/>
        <w:rPr>
          <w:rFonts w:ascii="Arial" w:hAnsi="Arial" w:eastAsia="宋体" w:cs="Arial"/>
          <w:sz w:val="36"/>
          <w:szCs w:val="36"/>
          <w:lang w:eastAsia="zh-CN"/>
        </w:rPr>
      </w:pPr>
      <w:bookmarkStart w:id="3" w:name="_Toc495603743"/>
      <w:r>
        <w:rPr>
          <w:rFonts w:ascii="Arial" w:hAnsi="Arial" w:eastAsia="宋体" w:cs="Arial"/>
          <w:sz w:val="36"/>
          <w:szCs w:val="36"/>
          <w:lang w:eastAsia="zh-CN"/>
        </w:rPr>
        <w:t>公众评论</w:t>
      </w:r>
      <w:bookmarkEnd w:id="3"/>
    </w:p>
    <w:p w14:paraId="09091EE2">
      <w:pPr>
        <w:overflowPunct w:val="0"/>
        <w:snapToGrid w:val="0"/>
        <w:spacing w:after="120" w:afterLines="50" w:line="300" w:lineRule="auto"/>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贵公司可以在任何时间</w:t>
      </w:r>
      <w:r>
        <w:rPr>
          <w:rFonts w:hint="eastAsia" w:ascii="Arial" w:hAnsi="Arial" w:eastAsia="宋体" w:cs="Arial"/>
          <w:color w:val="000000" w:themeColor="text1"/>
          <w:sz w:val="24"/>
          <w:szCs w:val="24"/>
          <w:lang w:eastAsia="zh-CN"/>
          <w14:textFill>
            <w14:solidFill>
              <w14:schemeClr w14:val="tx1"/>
            </w14:solidFill>
          </w14:textFill>
        </w:rPr>
        <w:t>将</w:t>
      </w:r>
      <w:r>
        <w:rPr>
          <w:rFonts w:ascii="Arial" w:hAnsi="Arial" w:eastAsia="宋体" w:cs="Arial"/>
          <w:color w:val="000000" w:themeColor="text1"/>
          <w:sz w:val="24"/>
          <w:szCs w:val="24"/>
          <w14:textFill>
            <w14:solidFill>
              <w14:schemeClr w14:val="tx1"/>
            </w14:solidFill>
          </w14:textFill>
        </w:rPr>
        <w:t>给本机构的</w:t>
      </w:r>
      <w:r>
        <w:rPr>
          <w:rFonts w:ascii="Arial" w:hAnsi="Arial" w:eastAsia="宋体" w:cs="Arial"/>
          <w:color w:val="000000" w:themeColor="text1"/>
          <w:sz w:val="24"/>
          <w:szCs w:val="24"/>
          <w:lang w:eastAsia="zh-CN"/>
          <w14:textFill>
            <w14:solidFill>
              <w14:schemeClr w14:val="tx1"/>
            </w14:solidFill>
          </w14:textFill>
        </w:rPr>
        <w:t>电子</w:t>
      </w:r>
      <w:r>
        <w:rPr>
          <w:rFonts w:ascii="Arial" w:hAnsi="Arial" w:eastAsia="宋体" w:cs="Arial"/>
          <w:color w:val="000000" w:themeColor="text1"/>
          <w:sz w:val="24"/>
          <w:szCs w:val="24"/>
          <w14:textFill>
            <w14:solidFill>
              <w14:schemeClr w14:val="tx1"/>
            </w14:solidFill>
          </w14:textFill>
        </w:rPr>
        <w:t>评论和建议提交至</w:t>
      </w:r>
      <w:r>
        <w:fldChar w:fldCharType="begin"/>
      </w:r>
      <w:r>
        <w:instrText xml:space="preserve"> HYPERLINK "http://www.regulations.gov" </w:instrText>
      </w:r>
      <w:r>
        <w:fldChar w:fldCharType="separate"/>
      </w:r>
      <w:r>
        <w:rPr>
          <w:rStyle w:val="21"/>
          <w:rFonts w:ascii="Arial" w:hAnsi="Arial" w:eastAsia="宋体" w:cs="Arial"/>
          <w:color w:val="000000" w:themeColor="text1"/>
          <w:sz w:val="24"/>
          <w:szCs w:val="24"/>
          <w14:textFill>
            <w14:solidFill>
              <w14:schemeClr w14:val="tx1"/>
            </w14:solidFill>
          </w14:textFill>
        </w:rPr>
        <w:t>http://www.regulations.gov</w:t>
      </w:r>
      <w:r>
        <w:rPr>
          <w:rStyle w:val="21"/>
          <w:rFonts w:ascii="Arial" w:hAnsi="Arial" w:eastAsia="宋体" w:cs="Arial"/>
          <w:color w:val="000000" w:themeColor="text1"/>
          <w:sz w:val="24"/>
          <w:szCs w:val="24"/>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w:t>
      </w:r>
      <w:r>
        <w:rPr>
          <w:rFonts w:ascii="Arial" w:hAnsi="Arial" w:eastAsia="宋体" w:cs="Arial"/>
          <w:color w:val="000000" w:themeColor="text1"/>
          <w:sz w:val="24"/>
          <w:szCs w:val="24"/>
          <w:lang w:eastAsia="zh-CN"/>
          <w14:textFill>
            <w14:solidFill>
              <w14:schemeClr w14:val="tx1"/>
            </w14:solidFill>
          </w14:textFill>
        </w:rPr>
        <w:t>书面评论请</w:t>
      </w:r>
      <w:r>
        <w:rPr>
          <w:rFonts w:ascii="Arial" w:hAnsi="Arial" w:eastAsia="宋体" w:cs="Arial"/>
          <w:color w:val="000000" w:themeColor="text1"/>
          <w:sz w:val="24"/>
          <w:szCs w:val="24"/>
          <w14:textFill>
            <w14:solidFill>
              <w14:schemeClr w14:val="tx1"/>
            </w14:solidFill>
          </w14:textFill>
        </w:rPr>
        <w:t>提交至食品药品监督管理局文档管理部，地址为：5630 Fishers Lane, Room 1061, （HFA-305）, Rockville, MD 20852。使用</w:t>
      </w:r>
      <w:r>
        <w:rPr>
          <w:rFonts w:ascii="Arial" w:hAnsi="Arial" w:eastAsia="宋体" w:cs="Arial"/>
          <w:color w:val="000000" w:themeColor="text1"/>
          <w:sz w:val="24"/>
          <w:szCs w:val="24"/>
          <w:lang w:eastAsia="zh-CN"/>
          <w14:textFill>
            <w14:solidFill>
              <w14:schemeClr w14:val="tx1"/>
            </w14:solidFill>
          </w14:textFill>
        </w:rPr>
        <w:t>文档编号FDA-2015-N-1072</w:t>
      </w:r>
      <w:r>
        <w:rPr>
          <w:rFonts w:ascii="Arial" w:hAnsi="Arial" w:eastAsia="宋体" w:cs="Arial"/>
          <w:color w:val="000000" w:themeColor="text1"/>
          <w:sz w:val="24"/>
          <w:szCs w:val="24"/>
          <w14:textFill>
            <w14:solidFill>
              <w14:schemeClr w14:val="tx1"/>
            </w14:solidFill>
          </w14:textFill>
        </w:rPr>
        <w:t>识别所有评论。</w:t>
      </w:r>
      <w:r>
        <w:rPr>
          <w:rFonts w:ascii="Arial" w:hAnsi="Arial" w:eastAsia="宋体" w:cs="Arial"/>
          <w:color w:val="000000" w:themeColor="text1"/>
          <w:sz w:val="24"/>
          <w:szCs w:val="24"/>
          <w:lang w:eastAsia="zh-CN"/>
          <w14:textFill>
            <w14:solidFill>
              <w14:schemeClr w14:val="tx1"/>
            </w14:solidFill>
          </w14:textFill>
        </w:rPr>
        <w:t>可能直到文件下次修订或更新时，评论才会被机构受理。</w:t>
      </w:r>
    </w:p>
    <w:p w14:paraId="3888506C">
      <w:pPr>
        <w:overflowPunct w:val="0"/>
        <w:snapToGrid w:val="0"/>
        <w:spacing w:after="120" w:afterLines="50" w:line="300" w:lineRule="auto"/>
        <w:jc w:val="both"/>
        <w:rPr>
          <w:rFonts w:ascii="Arial" w:hAnsi="Arial" w:eastAsia="宋体" w:cs="Arial"/>
          <w:color w:val="000000" w:themeColor="text1"/>
          <w:sz w:val="24"/>
          <w:szCs w:val="24"/>
          <w:lang w:eastAsia="zh-CN"/>
          <w14:textFill>
            <w14:solidFill>
              <w14:schemeClr w14:val="tx1"/>
            </w14:solidFill>
          </w14:textFill>
        </w:rPr>
      </w:pPr>
    </w:p>
    <w:p w14:paraId="3D18F618">
      <w:pPr>
        <w:pStyle w:val="33"/>
        <w:overflowPunct w:val="0"/>
        <w:snapToGrid w:val="0"/>
        <w:spacing w:after="120" w:afterLines="50" w:line="300" w:lineRule="auto"/>
        <w:outlineLvl w:val="9"/>
        <w:rPr>
          <w:rFonts w:ascii="Arial" w:hAnsi="Arial" w:eastAsia="宋体" w:cs="Arial"/>
          <w:sz w:val="36"/>
          <w:szCs w:val="36"/>
          <w:lang w:eastAsia="zh-CN"/>
        </w:rPr>
      </w:pPr>
      <w:bookmarkStart w:id="4" w:name="_Toc495603744"/>
      <w:r>
        <w:rPr>
          <w:rFonts w:hint="eastAsia" w:ascii="Arial" w:hAnsi="Arial" w:eastAsia="宋体" w:cs="Arial"/>
          <w:sz w:val="36"/>
          <w:szCs w:val="36"/>
          <w:lang w:eastAsia="zh-CN"/>
        </w:rPr>
        <w:t>其他</w:t>
      </w:r>
      <w:r>
        <w:rPr>
          <w:rFonts w:ascii="Arial" w:hAnsi="Arial" w:eastAsia="宋体" w:cs="Arial"/>
          <w:sz w:val="36"/>
          <w:szCs w:val="36"/>
          <w:lang w:eastAsia="zh-CN"/>
        </w:rPr>
        <w:t>副本</w:t>
      </w:r>
      <w:bookmarkEnd w:id="4"/>
    </w:p>
    <w:p w14:paraId="211A0521">
      <w:pPr>
        <w:overflowPunct w:val="0"/>
        <w:snapToGrid w:val="0"/>
        <w:spacing w:after="120" w:afterLines="50" w:line="300" w:lineRule="auto"/>
        <w:jc w:val="both"/>
        <w:rPr>
          <w:rFonts w:ascii="Arial" w:hAnsi="Arial" w:eastAsia="宋体" w:cs="Arial"/>
          <w:color w:val="000000" w:themeColor="text1"/>
          <w:sz w:val="24"/>
          <w:szCs w:val="24"/>
          <w:lang w:eastAsia="zh-CN"/>
          <w14:textFill>
            <w14:solidFill>
              <w14:schemeClr w14:val="tx1"/>
            </w14:solidFill>
          </w14:textFill>
        </w:rPr>
      </w:pPr>
      <w:r>
        <w:rPr>
          <w:rFonts w:ascii="Arial" w:hAnsi="Arial" w:eastAsia="宋体" w:cs="Arial"/>
          <w:color w:val="000000" w:themeColor="text1"/>
          <w:sz w:val="24"/>
          <w:szCs w:val="24"/>
          <w:lang w:eastAsia="zh-CN"/>
          <w14:textFill>
            <w14:solidFill>
              <w14:schemeClr w14:val="tx1"/>
            </w14:solidFill>
          </w14:textFill>
        </w:rPr>
        <w:t>从网络上可获得其他副本。贵公司也可以给</w:t>
      </w:r>
      <w:r>
        <w:fldChar w:fldCharType="begin"/>
      </w:r>
      <w:r>
        <w:rPr>
          <w:lang w:eastAsia="zh-CN"/>
        </w:rPr>
        <w:instrText xml:space="preserve"> HYPERLINK "mailto:CDRH-Guidance@fda.hhs.gov%20" </w:instrText>
      </w:r>
      <w:r>
        <w:fldChar w:fldCharType="separate"/>
      </w:r>
      <w:r>
        <w:rPr>
          <w:rStyle w:val="21"/>
          <w:rFonts w:ascii="Arial" w:hAnsi="Arial" w:eastAsia="宋体" w:cs="Arial"/>
          <w:color w:val="000000" w:themeColor="text1"/>
          <w:sz w:val="24"/>
          <w:szCs w:val="24"/>
          <w:lang w:eastAsia="zh-CN"/>
          <w14:textFill>
            <w14:solidFill>
              <w14:schemeClr w14:val="tx1"/>
            </w14:solidFill>
          </w14:textFill>
        </w:rPr>
        <w:t xml:space="preserve">CDRH-Guidance@fda.hhs.gov </w:t>
      </w:r>
      <w:r>
        <w:rPr>
          <w:rStyle w:val="21"/>
          <w:rFonts w:ascii="Arial" w:hAnsi="Arial" w:eastAsia="宋体" w:cs="Arial"/>
          <w:color w:val="000000" w:themeColor="text1"/>
          <w:sz w:val="24"/>
          <w:szCs w:val="24"/>
          <w:lang w:eastAsia="zh-CN"/>
          <w14:textFill>
            <w14:solidFill>
              <w14:schemeClr w14:val="tx1"/>
            </w14:solidFill>
          </w14:textFill>
        </w:rPr>
        <w:fldChar w:fldCharType="end"/>
      </w:r>
      <w:r>
        <w:rPr>
          <w:rFonts w:ascii="Arial" w:hAnsi="Arial" w:eastAsia="宋体" w:cs="Arial"/>
          <w:color w:val="000000" w:themeColor="text1"/>
          <w:sz w:val="24"/>
          <w:szCs w:val="24"/>
          <w:lang w:eastAsia="zh-CN"/>
          <w14:textFill>
            <w14:solidFill>
              <w14:schemeClr w14:val="tx1"/>
            </w14:solidFill>
          </w14:textFill>
        </w:rPr>
        <w:t>发电子邮件请求，</w:t>
      </w:r>
      <w:r>
        <w:rPr>
          <w:rFonts w:hint="eastAsia" w:ascii="Arial" w:hAnsi="Arial" w:eastAsia="宋体" w:cs="Arial"/>
          <w:color w:val="000000" w:themeColor="text1"/>
          <w:sz w:val="24"/>
          <w:szCs w:val="24"/>
          <w:lang w:eastAsia="zh-CN"/>
          <w14:textFill>
            <w14:solidFill>
              <w14:schemeClr w14:val="tx1"/>
            </w14:solidFill>
          </w14:textFill>
        </w:rPr>
        <w:t>获得</w:t>
      </w:r>
      <w:r>
        <w:rPr>
          <w:rFonts w:ascii="Arial" w:hAnsi="Arial" w:eastAsia="宋体" w:cs="Arial"/>
          <w:color w:val="000000" w:themeColor="text1"/>
          <w:sz w:val="24"/>
          <w:szCs w:val="24"/>
          <w:lang w:eastAsia="zh-CN"/>
          <w14:textFill>
            <w14:solidFill>
              <w14:schemeClr w14:val="tx1"/>
            </w14:solidFill>
          </w14:textFill>
        </w:rPr>
        <w:t>本文件的</w:t>
      </w:r>
      <w:r>
        <w:rPr>
          <w:rFonts w:hint="eastAsia" w:ascii="Arial" w:hAnsi="Arial" w:eastAsia="宋体" w:cs="Arial"/>
          <w:color w:val="000000" w:themeColor="text1"/>
          <w:sz w:val="24"/>
          <w:szCs w:val="24"/>
          <w:lang w:eastAsia="zh-CN"/>
          <w14:textFill>
            <w14:solidFill>
              <w14:schemeClr w14:val="tx1"/>
            </w14:solidFill>
          </w14:textFill>
        </w:rPr>
        <w:t>复印件</w:t>
      </w:r>
      <w:r>
        <w:rPr>
          <w:rFonts w:ascii="Arial" w:hAnsi="Arial" w:eastAsia="宋体" w:cs="Arial"/>
          <w:color w:val="000000" w:themeColor="text1"/>
          <w:sz w:val="24"/>
          <w:szCs w:val="24"/>
          <w:lang w:eastAsia="zh-CN"/>
          <w14:textFill>
            <w14:solidFill>
              <w14:schemeClr w14:val="tx1"/>
            </w14:solidFill>
          </w14:textFill>
        </w:rPr>
        <w:t>。请使用文件编号1400051指定贵公司所请求的文件。</w:t>
      </w:r>
    </w:p>
    <w:p w14:paraId="432B83CC">
      <w:pPr>
        <w:pStyle w:val="33"/>
        <w:overflowPunct w:val="0"/>
        <w:snapToGrid w:val="0"/>
        <w:spacing w:line="300" w:lineRule="auto"/>
        <w:jc w:val="center"/>
        <w:outlineLvl w:val="9"/>
        <w:rPr>
          <w:rFonts w:ascii="Arial" w:hAnsi="Arial" w:eastAsia="宋体" w:cs="Arial"/>
          <w:sz w:val="36"/>
          <w:szCs w:val="36"/>
          <w:lang w:eastAsia="zh-CN"/>
        </w:rPr>
      </w:pPr>
      <w:r>
        <w:rPr>
          <w:rFonts w:ascii="Arial" w:hAnsi="Arial" w:eastAsia="宋体" w:cs="Arial"/>
          <w:lang w:eastAsia="zh-CN"/>
        </w:rPr>
        <w:br w:type="page"/>
      </w:r>
      <w:bookmarkStart w:id="5" w:name="_Toc495603745"/>
      <w:r>
        <w:rPr>
          <w:rFonts w:ascii="Arial" w:hAnsi="Arial" w:eastAsia="宋体" w:cs="Arial"/>
          <w:sz w:val="36"/>
          <w:szCs w:val="36"/>
          <w:lang w:eastAsia="zh-CN"/>
        </w:rPr>
        <w:t>目录</w:t>
      </w:r>
      <w:bookmarkEnd w:id="5"/>
    </w:p>
    <w:sdt>
      <w:sdtPr>
        <w:rPr>
          <w:rFonts w:asciiTheme="minorHAnsi" w:hAnsiTheme="minorHAnsi" w:eastAsiaTheme="minorEastAsia" w:cstheme="minorBidi"/>
          <w:b w:val="0"/>
          <w:bCs w:val="0"/>
          <w:color w:val="auto"/>
          <w:sz w:val="22"/>
          <w:szCs w:val="22"/>
          <w:lang w:val="zh-CN" w:eastAsia="en-US"/>
        </w:rPr>
        <w:id w:val="428244527"/>
        <w:docPartObj>
          <w:docPartGallery w:val="Table of Contents"/>
          <w:docPartUnique/>
        </w:docPartObj>
      </w:sdtPr>
      <w:sdtEndPr>
        <w:rPr>
          <w:rFonts w:ascii="Arial" w:hAnsi="Arial" w:cs="Arial" w:eastAsiaTheme="minorEastAsia"/>
          <w:b w:val="0"/>
          <w:bCs w:val="0"/>
          <w:color w:val="auto"/>
          <w:sz w:val="22"/>
          <w:szCs w:val="22"/>
          <w:lang w:val="zh-CN" w:eastAsia="en-US"/>
        </w:rPr>
      </w:sdtEndPr>
      <w:sdtContent>
        <w:p w14:paraId="5CB39E91">
          <w:pPr>
            <w:pStyle w:val="47"/>
            <w:snapToGrid w:val="0"/>
            <w:spacing w:before="0"/>
          </w:pPr>
        </w:p>
        <w:p w14:paraId="2F16EC78">
          <w:pPr>
            <w:pStyle w:val="18"/>
            <w:tabs>
              <w:tab w:val="right" w:leader="dot" w:pos="8630"/>
            </w:tabs>
            <w:ind w:left="440"/>
            <w:rPr>
              <w:kern w:val="2"/>
              <w:sz w:val="21"/>
              <w:lang w:eastAsia="zh-CN"/>
            </w:rPr>
          </w:pPr>
          <w:r>
            <w:rPr>
              <w:rFonts w:ascii="Arial" w:hAnsi="Arial" w:cs="Arial"/>
              <w:b/>
            </w:rPr>
            <w:fldChar w:fldCharType="begin"/>
          </w:r>
          <w:r>
            <w:rPr>
              <w:rFonts w:ascii="Arial" w:hAnsi="Arial" w:cs="Arial"/>
              <w:b/>
            </w:rPr>
            <w:instrText xml:space="preserve"> TOC \o "1-4" \h \z \u </w:instrText>
          </w:r>
          <w:r>
            <w:rPr>
              <w:rFonts w:ascii="Arial" w:hAnsi="Arial" w:cs="Arial"/>
              <w:b/>
            </w:rPr>
            <w:fldChar w:fldCharType="separate"/>
          </w:r>
          <w:r>
            <w:fldChar w:fldCharType="begin"/>
          </w:r>
          <w:r>
            <w:instrText xml:space="preserve"> HYPERLINK \l "_Toc495603742" </w:instrText>
          </w:r>
          <w:r>
            <w:fldChar w:fldCharType="separate"/>
          </w:r>
          <w:r>
            <w:rPr>
              <w:rStyle w:val="21"/>
              <w:rFonts w:hint="eastAsia" w:ascii="Arial" w:hAnsi="Arial" w:eastAsia="宋体" w:cs="Arial"/>
              <w:lang w:eastAsia="zh-CN"/>
            </w:rPr>
            <w:t>前言</w:t>
          </w:r>
          <w:r>
            <w:tab/>
          </w:r>
          <w:r>
            <w:fldChar w:fldCharType="begin"/>
          </w:r>
          <w:r>
            <w:instrText xml:space="preserve"> PAGEREF _Toc495603742 \h </w:instrText>
          </w:r>
          <w:r>
            <w:fldChar w:fldCharType="separate"/>
          </w:r>
          <w:r>
            <w:t>2</w:t>
          </w:r>
          <w:r>
            <w:fldChar w:fldCharType="end"/>
          </w:r>
          <w:r>
            <w:fldChar w:fldCharType="end"/>
          </w:r>
        </w:p>
        <w:p w14:paraId="32402F88">
          <w:pPr>
            <w:pStyle w:val="18"/>
            <w:tabs>
              <w:tab w:val="right" w:leader="dot" w:pos="8630"/>
            </w:tabs>
            <w:ind w:left="440"/>
            <w:rPr>
              <w:kern w:val="2"/>
              <w:sz w:val="21"/>
              <w:lang w:eastAsia="zh-CN"/>
            </w:rPr>
          </w:pPr>
          <w:r>
            <w:fldChar w:fldCharType="begin"/>
          </w:r>
          <w:r>
            <w:instrText xml:space="preserve"> HYPERLINK \l "_Toc495603743" </w:instrText>
          </w:r>
          <w:r>
            <w:fldChar w:fldCharType="separate"/>
          </w:r>
          <w:r>
            <w:rPr>
              <w:rStyle w:val="21"/>
              <w:rFonts w:hint="eastAsia" w:ascii="Arial" w:hAnsi="Arial" w:eastAsia="宋体" w:cs="Arial"/>
              <w:lang w:eastAsia="zh-CN"/>
            </w:rPr>
            <w:t>公众评论</w:t>
          </w:r>
          <w:r>
            <w:tab/>
          </w:r>
          <w:r>
            <w:fldChar w:fldCharType="begin"/>
          </w:r>
          <w:r>
            <w:instrText xml:space="preserve"> PAGEREF _Toc495603743 \h </w:instrText>
          </w:r>
          <w:r>
            <w:fldChar w:fldCharType="separate"/>
          </w:r>
          <w:r>
            <w:t>2</w:t>
          </w:r>
          <w:r>
            <w:fldChar w:fldCharType="end"/>
          </w:r>
          <w:r>
            <w:fldChar w:fldCharType="end"/>
          </w:r>
        </w:p>
        <w:p w14:paraId="22947ACC">
          <w:pPr>
            <w:pStyle w:val="18"/>
            <w:tabs>
              <w:tab w:val="right" w:leader="dot" w:pos="8630"/>
            </w:tabs>
            <w:ind w:left="440"/>
            <w:rPr>
              <w:kern w:val="2"/>
              <w:sz w:val="21"/>
              <w:lang w:eastAsia="zh-CN"/>
            </w:rPr>
          </w:pPr>
          <w:r>
            <w:fldChar w:fldCharType="begin"/>
          </w:r>
          <w:r>
            <w:instrText xml:space="preserve"> HYPERLINK \l "_Toc495603744" </w:instrText>
          </w:r>
          <w:r>
            <w:fldChar w:fldCharType="separate"/>
          </w:r>
          <w:r>
            <w:rPr>
              <w:rStyle w:val="21"/>
              <w:rFonts w:hint="eastAsia" w:ascii="Arial" w:hAnsi="Arial" w:eastAsia="宋体" w:cs="Arial"/>
              <w:lang w:eastAsia="zh-CN"/>
            </w:rPr>
            <w:t>其他副本</w:t>
          </w:r>
          <w:r>
            <w:tab/>
          </w:r>
          <w:r>
            <w:fldChar w:fldCharType="begin"/>
          </w:r>
          <w:r>
            <w:instrText xml:space="preserve"> PAGEREF _Toc495603744 \h </w:instrText>
          </w:r>
          <w:r>
            <w:fldChar w:fldCharType="separate"/>
          </w:r>
          <w:r>
            <w:t>2</w:t>
          </w:r>
          <w:r>
            <w:fldChar w:fldCharType="end"/>
          </w:r>
          <w:r>
            <w:fldChar w:fldCharType="end"/>
          </w:r>
        </w:p>
        <w:p w14:paraId="459B5D09">
          <w:pPr>
            <w:pStyle w:val="18"/>
            <w:tabs>
              <w:tab w:val="right" w:leader="dot" w:pos="8630"/>
            </w:tabs>
            <w:ind w:left="440"/>
            <w:rPr>
              <w:kern w:val="2"/>
              <w:sz w:val="21"/>
              <w:lang w:eastAsia="zh-CN"/>
            </w:rPr>
          </w:pPr>
          <w:r>
            <w:fldChar w:fldCharType="begin"/>
          </w:r>
          <w:r>
            <w:instrText xml:space="preserve"> HYPERLINK \l "_Toc495603745" </w:instrText>
          </w:r>
          <w:r>
            <w:fldChar w:fldCharType="separate"/>
          </w:r>
          <w:r>
            <w:rPr>
              <w:rStyle w:val="21"/>
              <w:rFonts w:hint="eastAsia" w:ascii="Arial" w:hAnsi="Arial" w:eastAsia="宋体" w:cs="Arial"/>
              <w:lang w:eastAsia="zh-CN"/>
            </w:rPr>
            <w:t>目录</w:t>
          </w:r>
          <w:r>
            <w:tab/>
          </w:r>
          <w:r>
            <w:fldChar w:fldCharType="begin"/>
          </w:r>
          <w:r>
            <w:instrText xml:space="preserve"> PAGEREF _Toc495603745 \h </w:instrText>
          </w:r>
          <w:r>
            <w:fldChar w:fldCharType="separate"/>
          </w:r>
          <w:r>
            <w:t>3</w:t>
          </w:r>
          <w:r>
            <w:fldChar w:fldCharType="end"/>
          </w:r>
          <w:r>
            <w:fldChar w:fldCharType="end"/>
          </w:r>
        </w:p>
        <w:p w14:paraId="5B4BBE2C">
          <w:pPr>
            <w:pStyle w:val="15"/>
            <w:tabs>
              <w:tab w:val="left" w:pos="1680"/>
              <w:tab w:val="right" w:leader="dot" w:pos="8630"/>
            </w:tabs>
            <w:ind w:left="1320"/>
            <w:rPr>
              <w:kern w:val="2"/>
              <w:sz w:val="21"/>
              <w:lang w:eastAsia="zh-CN"/>
            </w:rPr>
          </w:pPr>
          <w:r>
            <w:fldChar w:fldCharType="begin"/>
          </w:r>
          <w:r>
            <w:instrText xml:space="preserve"> HYPERLINK \l "_Toc495603746" </w:instrText>
          </w:r>
          <w:r>
            <w:fldChar w:fldCharType="separate"/>
          </w:r>
          <w:r>
            <w:rPr>
              <w:rStyle w:val="21"/>
              <w:rFonts w:ascii="Arial" w:hAnsi="Arial" w:cs="Arial"/>
            </w:rPr>
            <w:t>1.</w:t>
          </w:r>
          <w:r>
            <w:rPr>
              <w:kern w:val="2"/>
              <w:sz w:val="21"/>
              <w:lang w:eastAsia="zh-CN"/>
            </w:rPr>
            <w:tab/>
          </w:r>
          <w:r>
            <w:rPr>
              <w:rStyle w:val="21"/>
              <w:rFonts w:hint="eastAsia" w:ascii="Arial" w:hAnsi="Arial" w:eastAsia="宋体" w:cs="Arial"/>
              <w:lang w:eastAsia="zh-CN"/>
            </w:rPr>
            <w:t>前言</w:t>
          </w:r>
          <w:r>
            <w:tab/>
          </w:r>
          <w:r>
            <w:fldChar w:fldCharType="begin"/>
          </w:r>
          <w:r>
            <w:instrText xml:space="preserve"> PAGEREF _Toc495603746 \h </w:instrText>
          </w:r>
          <w:r>
            <w:fldChar w:fldCharType="separate"/>
          </w:r>
          <w:r>
            <w:t>1</w:t>
          </w:r>
          <w:r>
            <w:fldChar w:fldCharType="end"/>
          </w:r>
          <w:r>
            <w:fldChar w:fldCharType="end"/>
          </w:r>
        </w:p>
        <w:p w14:paraId="29E78B72">
          <w:pPr>
            <w:pStyle w:val="15"/>
            <w:tabs>
              <w:tab w:val="left" w:pos="1680"/>
              <w:tab w:val="right" w:leader="dot" w:pos="8630"/>
            </w:tabs>
            <w:ind w:left="1320"/>
            <w:rPr>
              <w:kern w:val="2"/>
              <w:sz w:val="21"/>
              <w:lang w:eastAsia="zh-CN"/>
            </w:rPr>
          </w:pPr>
          <w:r>
            <w:fldChar w:fldCharType="begin"/>
          </w:r>
          <w:r>
            <w:instrText xml:space="preserve"> HYPERLINK \l "_Toc495603747" </w:instrText>
          </w:r>
          <w:r>
            <w:fldChar w:fldCharType="separate"/>
          </w:r>
          <w:r>
            <w:rPr>
              <w:rStyle w:val="21"/>
              <w:rFonts w:ascii="Arial" w:hAnsi="Arial" w:cs="Arial"/>
              <w:lang w:eastAsia="zh-CN"/>
            </w:rPr>
            <w:t>2.</w:t>
          </w:r>
          <w:r>
            <w:rPr>
              <w:kern w:val="2"/>
              <w:sz w:val="21"/>
              <w:lang w:eastAsia="zh-CN"/>
            </w:rPr>
            <w:tab/>
          </w:r>
          <w:r>
            <w:rPr>
              <w:rStyle w:val="21"/>
              <w:rFonts w:hint="eastAsia" w:ascii="Arial" w:hAnsi="Arial" w:eastAsia="宋体" w:cs="Arial"/>
              <w:lang w:eastAsia="zh-CN"/>
            </w:rPr>
            <w:t>血流感染</w:t>
          </w:r>
          <w:r>
            <w:rPr>
              <w:rStyle w:val="21"/>
              <w:rFonts w:ascii="Arial" w:hAnsi="Arial" w:eastAsia="宋体" w:cs="Arial"/>
              <w:lang w:eastAsia="zh-CN"/>
            </w:rPr>
            <w:t xml:space="preserve"> </w:t>
          </w:r>
          <w:r>
            <w:rPr>
              <w:rStyle w:val="21"/>
              <w:rFonts w:hint="eastAsia" w:ascii="Arial" w:hAnsi="Arial" w:eastAsia="宋体" w:cs="Arial"/>
              <w:lang w:eastAsia="zh-CN"/>
            </w:rPr>
            <w:t>（菌血症）</w:t>
          </w:r>
          <w:r>
            <w:rPr>
              <w:rStyle w:val="21"/>
              <w:rFonts w:ascii="Arial" w:hAnsi="Arial" w:eastAsia="宋体" w:cs="Arial"/>
              <w:lang w:eastAsia="zh-CN"/>
            </w:rPr>
            <w:t xml:space="preserve"> – </w:t>
          </w:r>
          <w:r>
            <w:rPr>
              <w:rStyle w:val="21"/>
              <w:rFonts w:hint="eastAsia" w:ascii="Arial" w:hAnsi="Arial" w:eastAsia="宋体" w:cs="Arial"/>
              <w:lang w:eastAsia="zh-CN"/>
            </w:rPr>
            <w:t>背景</w:t>
          </w:r>
          <w:r>
            <w:tab/>
          </w:r>
          <w:r>
            <w:fldChar w:fldCharType="begin"/>
          </w:r>
          <w:r>
            <w:instrText xml:space="preserve"> PAGEREF _Toc495603747 \h </w:instrText>
          </w:r>
          <w:r>
            <w:fldChar w:fldCharType="separate"/>
          </w:r>
          <w:r>
            <w:t>2</w:t>
          </w:r>
          <w:r>
            <w:fldChar w:fldCharType="end"/>
          </w:r>
          <w:r>
            <w:fldChar w:fldCharType="end"/>
          </w:r>
        </w:p>
        <w:p w14:paraId="3F3A01BE">
          <w:pPr>
            <w:pStyle w:val="15"/>
            <w:tabs>
              <w:tab w:val="left" w:pos="1680"/>
              <w:tab w:val="right" w:leader="dot" w:pos="8630"/>
            </w:tabs>
            <w:ind w:left="1320"/>
            <w:rPr>
              <w:kern w:val="2"/>
              <w:sz w:val="21"/>
              <w:lang w:eastAsia="zh-CN"/>
            </w:rPr>
          </w:pPr>
          <w:r>
            <w:fldChar w:fldCharType="begin"/>
          </w:r>
          <w:r>
            <w:instrText xml:space="preserve"> HYPERLINK \l "_Toc495603748" </w:instrText>
          </w:r>
          <w:r>
            <w:fldChar w:fldCharType="separate"/>
          </w:r>
          <w:r>
            <w:rPr>
              <w:rStyle w:val="21"/>
              <w:rFonts w:ascii="Arial" w:hAnsi="Arial" w:cs="Arial"/>
              <w:lang w:eastAsia="zh-CN"/>
            </w:rPr>
            <w:t>3.</w:t>
          </w:r>
          <w:r>
            <w:rPr>
              <w:kern w:val="2"/>
              <w:sz w:val="21"/>
              <w:lang w:eastAsia="zh-CN"/>
            </w:rPr>
            <w:tab/>
          </w:r>
          <w:r>
            <w:rPr>
              <w:rStyle w:val="21"/>
              <w:rFonts w:hint="eastAsia" w:ascii="Arial" w:hAnsi="Arial" w:eastAsia="宋体" w:cs="Arial"/>
              <w:lang w:eastAsia="zh-CN"/>
            </w:rPr>
            <w:t>上市前通告</w:t>
          </w:r>
          <w:r>
            <w:rPr>
              <w:rStyle w:val="21"/>
              <w:rFonts w:ascii="Arial" w:hAnsi="Arial" w:eastAsia="宋体" w:cs="Arial"/>
              <w:lang w:eastAsia="zh-CN"/>
            </w:rPr>
            <w:t xml:space="preserve"> – </w:t>
          </w:r>
          <w:r>
            <w:rPr>
              <w:rStyle w:val="21"/>
              <w:rFonts w:hint="eastAsia" w:ascii="Arial" w:hAnsi="Arial" w:eastAsia="宋体" w:cs="Arial"/>
              <w:lang w:eastAsia="zh-CN"/>
            </w:rPr>
            <w:t>背景</w:t>
          </w:r>
          <w:r>
            <w:tab/>
          </w:r>
          <w:r>
            <w:fldChar w:fldCharType="begin"/>
          </w:r>
          <w:r>
            <w:instrText xml:space="preserve"> PAGEREF _Toc495603748 \h </w:instrText>
          </w:r>
          <w:r>
            <w:fldChar w:fldCharType="separate"/>
          </w:r>
          <w:r>
            <w:t>2</w:t>
          </w:r>
          <w:r>
            <w:fldChar w:fldCharType="end"/>
          </w:r>
          <w:r>
            <w:fldChar w:fldCharType="end"/>
          </w:r>
        </w:p>
        <w:p w14:paraId="1CDA0014">
          <w:pPr>
            <w:pStyle w:val="15"/>
            <w:tabs>
              <w:tab w:val="left" w:pos="1680"/>
              <w:tab w:val="right" w:leader="dot" w:pos="8630"/>
            </w:tabs>
            <w:ind w:left="1320"/>
            <w:rPr>
              <w:kern w:val="2"/>
              <w:sz w:val="21"/>
              <w:lang w:eastAsia="zh-CN"/>
            </w:rPr>
          </w:pPr>
          <w:r>
            <w:fldChar w:fldCharType="begin"/>
          </w:r>
          <w:r>
            <w:instrText xml:space="preserve"> HYPERLINK \l "_Toc495603749" </w:instrText>
          </w:r>
          <w:r>
            <w:fldChar w:fldCharType="separate"/>
          </w:r>
          <w:r>
            <w:rPr>
              <w:rStyle w:val="21"/>
              <w:rFonts w:ascii="Arial" w:hAnsi="Arial" w:cs="Arial"/>
              <w:lang w:eastAsia="zh-CN"/>
            </w:rPr>
            <w:t>4.</w:t>
          </w:r>
          <w:r>
            <w:rPr>
              <w:kern w:val="2"/>
              <w:sz w:val="21"/>
              <w:lang w:eastAsia="zh-CN"/>
            </w:rPr>
            <w:tab/>
          </w:r>
          <w:r>
            <w:rPr>
              <w:rStyle w:val="21"/>
              <w:rFonts w:hint="eastAsia" w:ascii="Arial" w:hAnsi="Arial" w:eastAsia="宋体" w:cs="Arial"/>
              <w:lang w:eastAsia="zh-CN"/>
            </w:rPr>
            <w:t>范围</w:t>
          </w:r>
          <w:r>
            <w:tab/>
          </w:r>
          <w:r>
            <w:fldChar w:fldCharType="begin"/>
          </w:r>
          <w:r>
            <w:instrText xml:space="preserve"> PAGEREF _Toc495603749 \h </w:instrText>
          </w:r>
          <w:r>
            <w:fldChar w:fldCharType="separate"/>
          </w:r>
          <w:r>
            <w:t>3</w:t>
          </w:r>
          <w:r>
            <w:fldChar w:fldCharType="end"/>
          </w:r>
          <w:r>
            <w:fldChar w:fldCharType="end"/>
          </w:r>
        </w:p>
        <w:p w14:paraId="76E22335">
          <w:pPr>
            <w:pStyle w:val="15"/>
            <w:tabs>
              <w:tab w:val="left" w:pos="1680"/>
              <w:tab w:val="right" w:leader="dot" w:pos="8630"/>
            </w:tabs>
            <w:ind w:left="1320"/>
            <w:rPr>
              <w:kern w:val="2"/>
              <w:sz w:val="21"/>
              <w:lang w:eastAsia="zh-CN"/>
            </w:rPr>
          </w:pPr>
          <w:r>
            <w:fldChar w:fldCharType="begin"/>
          </w:r>
          <w:r>
            <w:instrText xml:space="preserve"> HYPERLINK \l "_Toc495603750" </w:instrText>
          </w:r>
          <w:r>
            <w:fldChar w:fldCharType="separate"/>
          </w:r>
          <w:r>
            <w:rPr>
              <w:rStyle w:val="21"/>
              <w:rFonts w:ascii="Arial" w:hAnsi="Arial" w:cs="Arial"/>
              <w:lang w:eastAsia="zh-CN"/>
            </w:rPr>
            <w:t>5.</w:t>
          </w:r>
          <w:r>
            <w:rPr>
              <w:kern w:val="2"/>
              <w:sz w:val="21"/>
              <w:lang w:eastAsia="zh-CN"/>
            </w:rPr>
            <w:tab/>
          </w:r>
          <w:r>
            <w:rPr>
              <w:rStyle w:val="21"/>
              <w:rFonts w:hint="eastAsia" w:ascii="Arial" w:hAnsi="Arial" w:eastAsia="宋体" w:cs="Arial"/>
              <w:lang w:eastAsia="zh-CN"/>
            </w:rPr>
            <w:t>健康风险</w:t>
          </w:r>
          <w:r>
            <w:tab/>
          </w:r>
          <w:r>
            <w:fldChar w:fldCharType="begin"/>
          </w:r>
          <w:r>
            <w:instrText xml:space="preserve"> PAGEREF _Toc495603750 \h </w:instrText>
          </w:r>
          <w:r>
            <w:fldChar w:fldCharType="separate"/>
          </w:r>
          <w:r>
            <w:t>3</w:t>
          </w:r>
          <w:r>
            <w:fldChar w:fldCharType="end"/>
          </w:r>
          <w:r>
            <w:fldChar w:fldCharType="end"/>
          </w:r>
        </w:p>
        <w:p w14:paraId="6B4A2EF6">
          <w:pPr>
            <w:pStyle w:val="15"/>
            <w:tabs>
              <w:tab w:val="left" w:pos="1680"/>
              <w:tab w:val="right" w:leader="dot" w:pos="8630"/>
            </w:tabs>
            <w:ind w:left="1320"/>
            <w:rPr>
              <w:kern w:val="2"/>
              <w:sz w:val="21"/>
              <w:lang w:eastAsia="zh-CN"/>
            </w:rPr>
          </w:pPr>
          <w:r>
            <w:fldChar w:fldCharType="begin"/>
          </w:r>
          <w:r>
            <w:instrText xml:space="preserve"> HYPERLINK \l "_Toc495603751" </w:instrText>
          </w:r>
          <w:r>
            <w:fldChar w:fldCharType="separate"/>
          </w:r>
          <w:r>
            <w:rPr>
              <w:rStyle w:val="21"/>
              <w:rFonts w:ascii="Arial" w:hAnsi="Arial" w:cs="Arial"/>
              <w:lang w:eastAsia="zh-CN"/>
            </w:rPr>
            <w:t>6.</w:t>
          </w:r>
          <w:r>
            <w:rPr>
              <w:kern w:val="2"/>
              <w:sz w:val="21"/>
              <w:lang w:eastAsia="zh-CN"/>
            </w:rPr>
            <w:tab/>
          </w:r>
          <w:r>
            <w:rPr>
              <w:rStyle w:val="21"/>
              <w:rFonts w:hint="eastAsia" w:ascii="Arial" w:hAnsi="Arial" w:eastAsia="宋体" w:cs="Arial"/>
              <w:lang w:eastAsia="zh-CN"/>
            </w:rPr>
            <w:t>器械描述</w:t>
          </w:r>
          <w:r>
            <w:tab/>
          </w:r>
          <w:r>
            <w:fldChar w:fldCharType="begin"/>
          </w:r>
          <w:r>
            <w:instrText xml:space="preserve"> PAGEREF _Toc495603751 \h </w:instrText>
          </w:r>
          <w:r>
            <w:fldChar w:fldCharType="separate"/>
          </w:r>
          <w:r>
            <w:t>5</w:t>
          </w:r>
          <w:r>
            <w:fldChar w:fldCharType="end"/>
          </w:r>
          <w:r>
            <w:fldChar w:fldCharType="end"/>
          </w:r>
        </w:p>
        <w:p w14:paraId="78AFD07A">
          <w:pPr>
            <w:pStyle w:val="18"/>
            <w:tabs>
              <w:tab w:val="left" w:pos="840"/>
              <w:tab w:val="right" w:leader="dot" w:pos="8630"/>
            </w:tabs>
            <w:ind w:left="440"/>
            <w:rPr>
              <w:kern w:val="2"/>
              <w:sz w:val="21"/>
              <w:lang w:eastAsia="zh-CN"/>
            </w:rPr>
          </w:pPr>
          <w:r>
            <w:fldChar w:fldCharType="begin"/>
          </w:r>
          <w:r>
            <w:instrText xml:space="preserve"> HYPERLINK \l "_Toc495603752" </w:instrText>
          </w:r>
          <w:r>
            <w:fldChar w:fldCharType="separate"/>
          </w:r>
          <w:r>
            <w:rPr>
              <w:rStyle w:val="21"/>
              <w:rFonts w:ascii="Arial" w:hAnsi="Arial" w:cs="Arial"/>
            </w:rPr>
            <w:t>a.</w:t>
          </w:r>
          <w:r>
            <w:rPr>
              <w:kern w:val="2"/>
              <w:sz w:val="21"/>
              <w:lang w:eastAsia="zh-CN"/>
            </w:rPr>
            <w:tab/>
          </w:r>
          <w:r>
            <w:rPr>
              <w:rStyle w:val="21"/>
              <w:rFonts w:hint="eastAsia" w:ascii="Arial" w:hAnsi="Arial" w:eastAsia="宋体" w:cs="Arial"/>
              <w:lang w:eastAsia="zh-CN"/>
            </w:rPr>
            <w:t>预期用途</w:t>
          </w:r>
          <w:r>
            <w:tab/>
          </w:r>
          <w:r>
            <w:fldChar w:fldCharType="begin"/>
          </w:r>
          <w:r>
            <w:instrText xml:space="preserve"> PAGEREF _Toc495603752 \h </w:instrText>
          </w:r>
          <w:r>
            <w:fldChar w:fldCharType="separate"/>
          </w:r>
          <w:r>
            <w:t>5</w:t>
          </w:r>
          <w:r>
            <w:fldChar w:fldCharType="end"/>
          </w:r>
          <w:r>
            <w:fldChar w:fldCharType="end"/>
          </w:r>
        </w:p>
        <w:p w14:paraId="35FBAD52">
          <w:pPr>
            <w:pStyle w:val="18"/>
            <w:tabs>
              <w:tab w:val="left" w:pos="840"/>
              <w:tab w:val="right" w:leader="dot" w:pos="8630"/>
            </w:tabs>
            <w:ind w:left="440"/>
            <w:rPr>
              <w:kern w:val="2"/>
              <w:sz w:val="21"/>
              <w:lang w:eastAsia="zh-CN"/>
            </w:rPr>
          </w:pPr>
          <w:r>
            <w:fldChar w:fldCharType="begin"/>
          </w:r>
          <w:r>
            <w:instrText xml:space="preserve"> HYPERLINK \l "_Toc495603753" </w:instrText>
          </w:r>
          <w:r>
            <w:fldChar w:fldCharType="separate"/>
          </w:r>
          <w:r>
            <w:rPr>
              <w:rStyle w:val="21"/>
              <w:rFonts w:ascii="Arial" w:hAnsi="Arial" w:cs="Arial"/>
              <w:lang w:eastAsia="zh-CN"/>
            </w:rPr>
            <w:t>b.</w:t>
          </w:r>
          <w:r>
            <w:rPr>
              <w:kern w:val="2"/>
              <w:sz w:val="21"/>
              <w:lang w:eastAsia="zh-CN"/>
            </w:rPr>
            <w:tab/>
          </w:r>
          <w:r>
            <w:rPr>
              <w:rStyle w:val="21"/>
              <w:rFonts w:hint="eastAsia" w:ascii="Arial" w:hAnsi="Arial" w:eastAsia="宋体" w:cs="Arial"/>
              <w:lang w:eastAsia="zh-CN"/>
            </w:rPr>
            <w:t>测试方法学</w:t>
          </w:r>
          <w:r>
            <w:tab/>
          </w:r>
          <w:r>
            <w:fldChar w:fldCharType="begin"/>
          </w:r>
          <w:r>
            <w:instrText xml:space="preserve"> PAGEREF _Toc495603753 \h </w:instrText>
          </w:r>
          <w:r>
            <w:fldChar w:fldCharType="separate"/>
          </w:r>
          <w:r>
            <w:t>5</w:t>
          </w:r>
          <w:r>
            <w:fldChar w:fldCharType="end"/>
          </w:r>
          <w:r>
            <w:fldChar w:fldCharType="end"/>
          </w:r>
        </w:p>
        <w:p w14:paraId="27997F0B">
          <w:pPr>
            <w:pStyle w:val="18"/>
            <w:tabs>
              <w:tab w:val="left" w:pos="840"/>
              <w:tab w:val="right" w:leader="dot" w:pos="8630"/>
            </w:tabs>
            <w:ind w:left="440"/>
            <w:rPr>
              <w:kern w:val="2"/>
              <w:sz w:val="21"/>
              <w:lang w:eastAsia="zh-CN"/>
            </w:rPr>
          </w:pPr>
          <w:r>
            <w:fldChar w:fldCharType="begin"/>
          </w:r>
          <w:r>
            <w:instrText xml:space="preserve"> HYPERLINK \l "_Toc495603754" </w:instrText>
          </w:r>
          <w:r>
            <w:fldChar w:fldCharType="separate"/>
          </w:r>
          <w:r>
            <w:rPr>
              <w:rStyle w:val="21"/>
              <w:rFonts w:ascii="Arial" w:hAnsi="Arial" w:cs="Arial"/>
              <w:lang w:eastAsia="zh-CN"/>
            </w:rPr>
            <w:t>c.</w:t>
          </w:r>
          <w:r>
            <w:rPr>
              <w:kern w:val="2"/>
              <w:sz w:val="21"/>
              <w:lang w:eastAsia="zh-CN"/>
            </w:rPr>
            <w:tab/>
          </w:r>
          <w:r>
            <w:rPr>
              <w:rStyle w:val="21"/>
              <w:rFonts w:hint="eastAsia" w:ascii="Arial" w:hAnsi="Arial" w:eastAsia="宋体" w:cs="Arial"/>
              <w:lang w:eastAsia="zh-CN"/>
            </w:rPr>
            <w:t>样本储存条件</w:t>
          </w:r>
          <w:r>
            <w:tab/>
          </w:r>
          <w:r>
            <w:fldChar w:fldCharType="begin"/>
          </w:r>
          <w:r>
            <w:instrText xml:space="preserve"> PAGEREF _Toc495603754 \h </w:instrText>
          </w:r>
          <w:r>
            <w:fldChar w:fldCharType="separate"/>
          </w:r>
          <w:r>
            <w:t>7</w:t>
          </w:r>
          <w:r>
            <w:fldChar w:fldCharType="end"/>
          </w:r>
          <w:r>
            <w:fldChar w:fldCharType="end"/>
          </w:r>
        </w:p>
        <w:p w14:paraId="1B98F336">
          <w:pPr>
            <w:pStyle w:val="18"/>
            <w:tabs>
              <w:tab w:val="left" w:pos="840"/>
              <w:tab w:val="right" w:leader="dot" w:pos="8630"/>
            </w:tabs>
            <w:ind w:left="440"/>
            <w:rPr>
              <w:kern w:val="2"/>
              <w:sz w:val="21"/>
              <w:lang w:eastAsia="zh-CN"/>
            </w:rPr>
          </w:pPr>
          <w:r>
            <w:fldChar w:fldCharType="begin"/>
          </w:r>
          <w:r>
            <w:instrText xml:space="preserve"> HYPERLINK \l "_Toc495603755" </w:instrText>
          </w:r>
          <w:r>
            <w:fldChar w:fldCharType="separate"/>
          </w:r>
          <w:r>
            <w:rPr>
              <w:rStyle w:val="21"/>
              <w:rFonts w:ascii="Arial" w:hAnsi="Arial" w:cs="Arial"/>
              <w:lang w:eastAsia="zh-CN"/>
            </w:rPr>
            <w:t>d.</w:t>
          </w:r>
          <w:r>
            <w:rPr>
              <w:kern w:val="2"/>
              <w:sz w:val="21"/>
              <w:lang w:eastAsia="zh-CN"/>
            </w:rPr>
            <w:tab/>
          </w:r>
          <w:r>
            <w:rPr>
              <w:rStyle w:val="21"/>
              <w:rFonts w:hint="eastAsia" w:ascii="Arial" w:hAnsi="Arial" w:eastAsia="宋体" w:cs="Arial"/>
              <w:lang w:eastAsia="zh-CN"/>
            </w:rPr>
            <w:t>辅助试剂</w:t>
          </w:r>
          <w:r>
            <w:tab/>
          </w:r>
          <w:r>
            <w:fldChar w:fldCharType="begin"/>
          </w:r>
          <w:r>
            <w:instrText xml:space="preserve"> PAGEREF _Toc495603755 \h </w:instrText>
          </w:r>
          <w:r>
            <w:fldChar w:fldCharType="separate"/>
          </w:r>
          <w:r>
            <w:t>7</w:t>
          </w:r>
          <w:r>
            <w:fldChar w:fldCharType="end"/>
          </w:r>
          <w:r>
            <w:fldChar w:fldCharType="end"/>
          </w:r>
        </w:p>
        <w:p w14:paraId="6DC1BD0F">
          <w:pPr>
            <w:pStyle w:val="18"/>
            <w:tabs>
              <w:tab w:val="left" w:pos="840"/>
              <w:tab w:val="right" w:leader="dot" w:pos="8630"/>
            </w:tabs>
            <w:ind w:left="440"/>
            <w:rPr>
              <w:kern w:val="2"/>
              <w:sz w:val="21"/>
              <w:lang w:eastAsia="zh-CN"/>
            </w:rPr>
          </w:pPr>
          <w:r>
            <w:fldChar w:fldCharType="begin"/>
          </w:r>
          <w:r>
            <w:instrText xml:space="preserve"> HYPERLINK \l "_Toc495603756" </w:instrText>
          </w:r>
          <w:r>
            <w:fldChar w:fldCharType="separate"/>
          </w:r>
          <w:r>
            <w:rPr>
              <w:rStyle w:val="21"/>
              <w:rFonts w:ascii="Arial" w:hAnsi="Arial" w:cs="Arial"/>
              <w:lang w:eastAsia="zh-CN"/>
            </w:rPr>
            <w:t>e.</w:t>
          </w:r>
          <w:r>
            <w:rPr>
              <w:kern w:val="2"/>
              <w:sz w:val="21"/>
              <w:lang w:eastAsia="zh-CN"/>
            </w:rPr>
            <w:tab/>
          </w:r>
          <w:r>
            <w:rPr>
              <w:rStyle w:val="21"/>
              <w:rFonts w:hint="eastAsia" w:ascii="Arial" w:hAnsi="Arial" w:eastAsia="宋体" w:cs="Arial"/>
              <w:lang w:eastAsia="zh-CN"/>
            </w:rPr>
            <w:t>对照组</w:t>
          </w:r>
          <w:r>
            <w:tab/>
          </w:r>
          <w:r>
            <w:fldChar w:fldCharType="begin"/>
          </w:r>
          <w:r>
            <w:instrText xml:space="preserve"> PAGEREF _Toc495603756 \h </w:instrText>
          </w:r>
          <w:r>
            <w:fldChar w:fldCharType="separate"/>
          </w:r>
          <w:r>
            <w:t>8</w:t>
          </w:r>
          <w:r>
            <w:fldChar w:fldCharType="end"/>
          </w:r>
          <w:r>
            <w:fldChar w:fldCharType="end"/>
          </w:r>
        </w:p>
        <w:p w14:paraId="189460DF">
          <w:pPr>
            <w:pStyle w:val="10"/>
            <w:tabs>
              <w:tab w:val="left" w:pos="1680"/>
              <w:tab w:val="right" w:leader="dot" w:pos="8630"/>
            </w:tabs>
            <w:ind w:left="880"/>
            <w:rPr>
              <w:i w:val="0"/>
              <w:kern w:val="2"/>
              <w:sz w:val="21"/>
              <w:lang w:eastAsia="zh-CN"/>
            </w:rPr>
          </w:pPr>
          <w:r>
            <w:fldChar w:fldCharType="begin"/>
          </w:r>
          <w:r>
            <w:instrText xml:space="preserve"> HYPERLINK \l "_Toc495603757" </w:instrText>
          </w:r>
          <w:r>
            <w:fldChar w:fldCharType="separate"/>
          </w:r>
          <w:r>
            <w:rPr>
              <w:rStyle w:val="21"/>
              <w:rFonts w:ascii="Arial" w:hAnsi="Arial" w:cs="Arial"/>
              <w:spacing w:val="-1"/>
              <w:lang w:eastAsia="zh-CN"/>
            </w:rPr>
            <w:t>(1)</w:t>
          </w:r>
          <w:r>
            <w:rPr>
              <w:i w:val="0"/>
              <w:kern w:val="2"/>
              <w:sz w:val="21"/>
              <w:lang w:eastAsia="zh-CN"/>
            </w:rPr>
            <w:tab/>
          </w:r>
          <w:r>
            <w:rPr>
              <w:rStyle w:val="21"/>
              <w:rFonts w:hint="eastAsia" w:ascii="Arial" w:hAnsi="Arial" w:eastAsia="宋体" w:cs="Arial"/>
              <w:lang w:eastAsia="zh-CN"/>
            </w:rPr>
            <w:t>阴性对照</w:t>
          </w:r>
          <w:r>
            <w:tab/>
          </w:r>
          <w:r>
            <w:fldChar w:fldCharType="begin"/>
          </w:r>
          <w:r>
            <w:instrText xml:space="preserve"> PAGEREF _Toc495603757 \h </w:instrText>
          </w:r>
          <w:r>
            <w:fldChar w:fldCharType="separate"/>
          </w:r>
          <w:r>
            <w:t>9</w:t>
          </w:r>
          <w:r>
            <w:fldChar w:fldCharType="end"/>
          </w:r>
          <w:r>
            <w:fldChar w:fldCharType="end"/>
          </w:r>
        </w:p>
        <w:p w14:paraId="3D2C388B">
          <w:pPr>
            <w:pStyle w:val="10"/>
            <w:tabs>
              <w:tab w:val="left" w:pos="1680"/>
              <w:tab w:val="right" w:leader="dot" w:pos="8630"/>
            </w:tabs>
            <w:ind w:left="880"/>
            <w:rPr>
              <w:i w:val="0"/>
              <w:kern w:val="2"/>
              <w:sz w:val="21"/>
              <w:lang w:eastAsia="zh-CN"/>
            </w:rPr>
          </w:pPr>
          <w:r>
            <w:fldChar w:fldCharType="begin"/>
          </w:r>
          <w:r>
            <w:instrText xml:space="preserve"> HYPERLINK \l "_Toc495603758" </w:instrText>
          </w:r>
          <w:r>
            <w:fldChar w:fldCharType="separate"/>
          </w:r>
          <w:r>
            <w:rPr>
              <w:rStyle w:val="21"/>
              <w:rFonts w:ascii="Arial" w:hAnsi="Arial" w:cs="Arial"/>
              <w:spacing w:val="-1"/>
            </w:rPr>
            <w:t>(2)</w:t>
          </w:r>
          <w:r>
            <w:rPr>
              <w:i w:val="0"/>
              <w:kern w:val="2"/>
              <w:sz w:val="21"/>
              <w:lang w:eastAsia="zh-CN"/>
            </w:rPr>
            <w:tab/>
          </w:r>
          <w:r>
            <w:rPr>
              <w:rStyle w:val="21"/>
              <w:rFonts w:hint="eastAsia" w:ascii="Arial" w:hAnsi="Arial" w:eastAsia="宋体" w:cs="Arial"/>
              <w:lang w:eastAsia="zh-CN"/>
            </w:rPr>
            <w:t>阳性对照</w:t>
          </w:r>
          <w:r>
            <w:tab/>
          </w:r>
          <w:r>
            <w:fldChar w:fldCharType="begin"/>
          </w:r>
          <w:r>
            <w:instrText xml:space="preserve"> PAGEREF _Toc495603758 \h </w:instrText>
          </w:r>
          <w:r>
            <w:fldChar w:fldCharType="separate"/>
          </w:r>
          <w:r>
            <w:t>9</w:t>
          </w:r>
          <w:r>
            <w:fldChar w:fldCharType="end"/>
          </w:r>
          <w:r>
            <w:fldChar w:fldCharType="end"/>
          </w:r>
        </w:p>
        <w:p w14:paraId="0A0F5055">
          <w:pPr>
            <w:pStyle w:val="18"/>
            <w:tabs>
              <w:tab w:val="left" w:pos="840"/>
              <w:tab w:val="right" w:leader="dot" w:pos="8630"/>
            </w:tabs>
            <w:ind w:left="440"/>
            <w:rPr>
              <w:kern w:val="2"/>
              <w:sz w:val="21"/>
              <w:lang w:eastAsia="zh-CN"/>
            </w:rPr>
          </w:pPr>
          <w:r>
            <w:fldChar w:fldCharType="begin"/>
          </w:r>
          <w:r>
            <w:instrText xml:space="preserve"> HYPERLINK \l "_Toc495603759" </w:instrText>
          </w:r>
          <w:r>
            <w:fldChar w:fldCharType="separate"/>
          </w:r>
          <w:r>
            <w:rPr>
              <w:rStyle w:val="21"/>
              <w:rFonts w:ascii="Arial" w:hAnsi="Arial" w:cs="Arial"/>
              <w:lang w:eastAsia="zh-CN"/>
            </w:rPr>
            <w:t>f.</w:t>
          </w:r>
          <w:r>
            <w:rPr>
              <w:kern w:val="2"/>
              <w:sz w:val="21"/>
              <w:lang w:eastAsia="zh-CN"/>
            </w:rPr>
            <w:tab/>
          </w:r>
          <w:r>
            <w:rPr>
              <w:rStyle w:val="21"/>
              <w:rFonts w:hint="eastAsia" w:ascii="Arial" w:hAnsi="Arial" w:eastAsia="宋体" w:cs="Arial"/>
              <w:lang w:eastAsia="zh-CN"/>
            </w:rPr>
            <w:t>解释试验结果</w:t>
          </w:r>
          <w:r>
            <w:rPr>
              <w:rStyle w:val="21"/>
              <w:rFonts w:ascii="Arial" w:hAnsi="Arial" w:eastAsia="宋体" w:cs="Arial"/>
              <w:lang w:eastAsia="zh-CN"/>
            </w:rPr>
            <w:t>/</w:t>
          </w:r>
          <w:r>
            <w:rPr>
              <w:rStyle w:val="21"/>
              <w:rFonts w:hint="eastAsia" w:ascii="Arial" w:hAnsi="Arial" w:eastAsia="宋体" w:cs="Arial"/>
              <w:lang w:eastAsia="zh-CN"/>
            </w:rPr>
            <w:t>报告</w:t>
          </w:r>
          <w:r>
            <w:tab/>
          </w:r>
          <w:r>
            <w:fldChar w:fldCharType="begin"/>
          </w:r>
          <w:r>
            <w:instrText xml:space="preserve"> PAGEREF _Toc495603759 \h </w:instrText>
          </w:r>
          <w:r>
            <w:fldChar w:fldCharType="separate"/>
          </w:r>
          <w:r>
            <w:t>10</w:t>
          </w:r>
          <w:r>
            <w:fldChar w:fldCharType="end"/>
          </w:r>
          <w:r>
            <w:fldChar w:fldCharType="end"/>
          </w:r>
        </w:p>
        <w:p w14:paraId="18A89CA8">
          <w:pPr>
            <w:pStyle w:val="15"/>
            <w:tabs>
              <w:tab w:val="left" w:pos="1680"/>
              <w:tab w:val="right" w:leader="dot" w:pos="8630"/>
            </w:tabs>
            <w:ind w:left="1320"/>
            <w:rPr>
              <w:kern w:val="2"/>
              <w:sz w:val="21"/>
              <w:lang w:eastAsia="zh-CN"/>
            </w:rPr>
          </w:pPr>
          <w:r>
            <w:fldChar w:fldCharType="begin"/>
          </w:r>
          <w:r>
            <w:instrText xml:space="preserve"> HYPERLINK \l "_Toc495603760" </w:instrText>
          </w:r>
          <w:r>
            <w:fldChar w:fldCharType="separate"/>
          </w:r>
          <w:r>
            <w:rPr>
              <w:rStyle w:val="21"/>
              <w:rFonts w:ascii="Arial" w:hAnsi="Arial" w:cs="Arial"/>
              <w:lang w:eastAsia="zh-CN"/>
            </w:rPr>
            <w:t>7.</w:t>
          </w:r>
          <w:r>
            <w:rPr>
              <w:kern w:val="2"/>
              <w:sz w:val="21"/>
              <w:lang w:eastAsia="zh-CN"/>
            </w:rPr>
            <w:tab/>
          </w:r>
          <w:r>
            <w:rPr>
              <w:rStyle w:val="21"/>
              <w:rFonts w:hint="eastAsia" w:ascii="Arial" w:hAnsi="Arial" w:eastAsia="宋体" w:cs="Arial"/>
              <w:lang w:eastAsia="zh-CN"/>
            </w:rPr>
            <w:t>性能特点：</w:t>
          </w:r>
          <w:r>
            <w:tab/>
          </w:r>
          <w:r>
            <w:fldChar w:fldCharType="begin"/>
          </w:r>
          <w:r>
            <w:instrText xml:space="preserve"> PAGEREF _Toc495603760 \h </w:instrText>
          </w:r>
          <w:r>
            <w:fldChar w:fldCharType="separate"/>
          </w:r>
          <w:r>
            <w:t>10</w:t>
          </w:r>
          <w:r>
            <w:fldChar w:fldCharType="end"/>
          </w:r>
          <w:r>
            <w:fldChar w:fldCharType="end"/>
          </w:r>
        </w:p>
        <w:p w14:paraId="1C25C1F0">
          <w:pPr>
            <w:pStyle w:val="18"/>
            <w:tabs>
              <w:tab w:val="left" w:pos="840"/>
              <w:tab w:val="right" w:leader="dot" w:pos="8630"/>
            </w:tabs>
            <w:ind w:left="440"/>
            <w:rPr>
              <w:kern w:val="2"/>
              <w:sz w:val="21"/>
              <w:lang w:eastAsia="zh-CN"/>
            </w:rPr>
          </w:pPr>
          <w:r>
            <w:fldChar w:fldCharType="begin"/>
          </w:r>
          <w:r>
            <w:instrText xml:space="preserve"> HYPERLINK \l "_Toc495603761" </w:instrText>
          </w:r>
          <w:r>
            <w:fldChar w:fldCharType="separate"/>
          </w:r>
          <w:r>
            <w:rPr>
              <w:rStyle w:val="21"/>
              <w:rFonts w:ascii="Arial" w:hAnsi="Arial" w:cs="Arial"/>
              <w:spacing w:val="1"/>
            </w:rPr>
            <w:t>a.</w:t>
          </w:r>
          <w:r>
            <w:rPr>
              <w:kern w:val="2"/>
              <w:sz w:val="21"/>
              <w:lang w:eastAsia="zh-CN"/>
            </w:rPr>
            <w:tab/>
          </w:r>
          <w:r>
            <w:rPr>
              <w:rStyle w:val="21"/>
              <w:rFonts w:hint="eastAsia" w:ascii="Arial" w:hAnsi="Arial" w:eastAsia="宋体" w:cs="Arial"/>
              <w:lang w:eastAsia="zh-CN"/>
            </w:rPr>
            <w:t>一般研究建议</w:t>
          </w:r>
          <w:r>
            <w:tab/>
          </w:r>
          <w:r>
            <w:fldChar w:fldCharType="begin"/>
          </w:r>
          <w:r>
            <w:instrText xml:space="preserve"> PAGEREF _Toc495603761 \h </w:instrText>
          </w:r>
          <w:r>
            <w:fldChar w:fldCharType="separate"/>
          </w:r>
          <w:r>
            <w:t>10</w:t>
          </w:r>
          <w:r>
            <w:fldChar w:fldCharType="end"/>
          </w:r>
          <w:r>
            <w:fldChar w:fldCharType="end"/>
          </w:r>
        </w:p>
        <w:p w14:paraId="2D156024">
          <w:pPr>
            <w:pStyle w:val="18"/>
            <w:tabs>
              <w:tab w:val="left" w:pos="840"/>
              <w:tab w:val="right" w:leader="dot" w:pos="8630"/>
            </w:tabs>
            <w:ind w:left="440"/>
            <w:rPr>
              <w:kern w:val="2"/>
              <w:sz w:val="21"/>
              <w:lang w:eastAsia="zh-CN"/>
            </w:rPr>
          </w:pPr>
          <w:r>
            <w:fldChar w:fldCharType="begin"/>
          </w:r>
          <w:r>
            <w:instrText xml:space="preserve"> HYPERLINK \l "_Toc495603762" </w:instrText>
          </w:r>
          <w:r>
            <w:fldChar w:fldCharType="separate"/>
          </w:r>
          <w:r>
            <w:rPr>
              <w:rStyle w:val="21"/>
              <w:rFonts w:ascii="Arial" w:hAnsi="Arial" w:cs="Arial"/>
              <w:spacing w:val="1"/>
            </w:rPr>
            <w:t>b.</w:t>
          </w:r>
          <w:r>
            <w:rPr>
              <w:kern w:val="2"/>
              <w:sz w:val="21"/>
              <w:lang w:eastAsia="zh-CN"/>
            </w:rPr>
            <w:tab/>
          </w:r>
          <w:r>
            <w:rPr>
              <w:rStyle w:val="21"/>
              <w:rFonts w:hint="eastAsia" w:ascii="Arial" w:hAnsi="Arial" w:eastAsia="宋体" w:cs="Arial"/>
              <w:lang w:eastAsia="zh-CN"/>
            </w:rPr>
            <w:t>预分析因素</w:t>
          </w:r>
          <w:r>
            <w:tab/>
          </w:r>
          <w:r>
            <w:fldChar w:fldCharType="begin"/>
          </w:r>
          <w:r>
            <w:instrText xml:space="preserve"> PAGEREF _Toc495603762 \h </w:instrText>
          </w:r>
          <w:r>
            <w:fldChar w:fldCharType="separate"/>
          </w:r>
          <w:r>
            <w:t>11</w:t>
          </w:r>
          <w:r>
            <w:fldChar w:fldCharType="end"/>
          </w:r>
          <w:r>
            <w:fldChar w:fldCharType="end"/>
          </w:r>
        </w:p>
        <w:p w14:paraId="5F73CCA0">
          <w:pPr>
            <w:pStyle w:val="10"/>
            <w:tabs>
              <w:tab w:val="left" w:pos="1680"/>
              <w:tab w:val="right" w:leader="dot" w:pos="8630"/>
            </w:tabs>
            <w:ind w:left="880"/>
            <w:rPr>
              <w:i w:val="0"/>
              <w:kern w:val="2"/>
              <w:sz w:val="21"/>
              <w:lang w:eastAsia="zh-CN"/>
            </w:rPr>
          </w:pPr>
          <w:r>
            <w:fldChar w:fldCharType="begin"/>
          </w:r>
          <w:r>
            <w:instrText xml:space="preserve"> HYPERLINK \l "_Toc495603763" </w:instrText>
          </w:r>
          <w:r>
            <w:fldChar w:fldCharType="separate"/>
          </w:r>
          <w:r>
            <w:rPr>
              <w:rStyle w:val="21"/>
              <w:rFonts w:ascii="Arial" w:hAnsi="Arial" w:cs="Arial"/>
              <w:spacing w:val="-1"/>
            </w:rPr>
            <w:t>(1)</w:t>
          </w:r>
          <w:r>
            <w:rPr>
              <w:i w:val="0"/>
              <w:kern w:val="2"/>
              <w:sz w:val="21"/>
              <w:lang w:eastAsia="zh-CN"/>
            </w:rPr>
            <w:tab/>
          </w:r>
          <w:r>
            <w:rPr>
              <w:rStyle w:val="21"/>
              <w:rFonts w:hint="eastAsia" w:ascii="Arial" w:hAnsi="Arial" w:eastAsia="宋体" w:cs="Arial"/>
              <w:lang w:eastAsia="zh-CN"/>
            </w:rPr>
            <w:t>标本采集与处理</w:t>
          </w:r>
          <w:r>
            <w:tab/>
          </w:r>
          <w:r>
            <w:fldChar w:fldCharType="begin"/>
          </w:r>
          <w:r>
            <w:instrText xml:space="preserve"> PAGEREF _Toc495603763 \h </w:instrText>
          </w:r>
          <w:r>
            <w:fldChar w:fldCharType="separate"/>
          </w:r>
          <w:r>
            <w:t>11</w:t>
          </w:r>
          <w:r>
            <w:fldChar w:fldCharType="end"/>
          </w:r>
          <w:r>
            <w:fldChar w:fldCharType="end"/>
          </w:r>
        </w:p>
        <w:p w14:paraId="1D03D33E">
          <w:pPr>
            <w:pStyle w:val="10"/>
            <w:tabs>
              <w:tab w:val="left" w:pos="1680"/>
              <w:tab w:val="right" w:leader="dot" w:pos="8630"/>
            </w:tabs>
            <w:ind w:left="880"/>
            <w:rPr>
              <w:i w:val="0"/>
              <w:kern w:val="2"/>
              <w:sz w:val="21"/>
              <w:lang w:eastAsia="zh-CN"/>
            </w:rPr>
          </w:pPr>
          <w:r>
            <w:fldChar w:fldCharType="begin"/>
          </w:r>
          <w:r>
            <w:instrText xml:space="preserve"> HYPERLINK \l "_Toc495603764" </w:instrText>
          </w:r>
          <w:r>
            <w:fldChar w:fldCharType="separate"/>
          </w:r>
          <w:r>
            <w:rPr>
              <w:rStyle w:val="21"/>
              <w:rFonts w:ascii="Arial" w:hAnsi="Arial" w:cs="Arial"/>
              <w:spacing w:val="-1"/>
              <w:lang w:eastAsia="zh-CN"/>
            </w:rPr>
            <w:t>(2)</w:t>
          </w:r>
          <w:r>
            <w:rPr>
              <w:i w:val="0"/>
              <w:kern w:val="2"/>
              <w:sz w:val="21"/>
              <w:lang w:eastAsia="zh-CN"/>
            </w:rPr>
            <w:tab/>
          </w:r>
          <w:r>
            <w:rPr>
              <w:rStyle w:val="21"/>
              <w:rFonts w:hint="eastAsia" w:ascii="Arial" w:hAnsi="Arial" w:eastAsia="宋体" w:cs="Arial"/>
              <w:lang w:eastAsia="zh-CN"/>
            </w:rPr>
            <w:t>新鲜样本对比冻存样本（稳定性）</w:t>
          </w:r>
          <w:r>
            <w:tab/>
          </w:r>
          <w:r>
            <w:fldChar w:fldCharType="begin"/>
          </w:r>
          <w:r>
            <w:instrText xml:space="preserve"> PAGEREF _Toc495603764 \h </w:instrText>
          </w:r>
          <w:r>
            <w:fldChar w:fldCharType="separate"/>
          </w:r>
          <w:r>
            <w:t>11</w:t>
          </w:r>
          <w:r>
            <w:fldChar w:fldCharType="end"/>
          </w:r>
          <w:r>
            <w:fldChar w:fldCharType="end"/>
          </w:r>
        </w:p>
        <w:p w14:paraId="2D32D9D9">
          <w:pPr>
            <w:pStyle w:val="10"/>
            <w:tabs>
              <w:tab w:val="left" w:pos="1680"/>
              <w:tab w:val="right" w:leader="dot" w:pos="8630"/>
            </w:tabs>
            <w:ind w:left="880"/>
            <w:rPr>
              <w:i w:val="0"/>
              <w:kern w:val="2"/>
              <w:sz w:val="21"/>
              <w:lang w:eastAsia="zh-CN"/>
            </w:rPr>
          </w:pPr>
          <w:r>
            <w:fldChar w:fldCharType="begin"/>
          </w:r>
          <w:r>
            <w:instrText xml:space="preserve"> HYPERLINK \l "_Toc495603765" </w:instrText>
          </w:r>
          <w:r>
            <w:fldChar w:fldCharType="separate"/>
          </w:r>
          <w:r>
            <w:rPr>
              <w:rStyle w:val="21"/>
              <w:rFonts w:ascii="Arial" w:hAnsi="Arial" w:cs="Arial"/>
              <w:spacing w:val="-1"/>
            </w:rPr>
            <w:t>(3)</w:t>
          </w:r>
          <w:r>
            <w:rPr>
              <w:i w:val="0"/>
              <w:kern w:val="2"/>
              <w:sz w:val="21"/>
              <w:lang w:eastAsia="zh-CN"/>
            </w:rPr>
            <w:tab/>
          </w:r>
          <w:r>
            <w:rPr>
              <w:rStyle w:val="21"/>
              <w:rFonts w:hint="eastAsia" w:ascii="Arial" w:hAnsi="Arial" w:eastAsia="宋体" w:cs="Arial"/>
              <w:lang w:eastAsia="zh-CN"/>
            </w:rPr>
            <w:t>核酸提取</w:t>
          </w:r>
          <w:r>
            <w:tab/>
          </w:r>
          <w:r>
            <w:fldChar w:fldCharType="begin"/>
          </w:r>
          <w:r>
            <w:instrText xml:space="preserve"> PAGEREF _Toc495603765 \h </w:instrText>
          </w:r>
          <w:r>
            <w:fldChar w:fldCharType="separate"/>
          </w:r>
          <w:r>
            <w:t>11</w:t>
          </w:r>
          <w:r>
            <w:fldChar w:fldCharType="end"/>
          </w:r>
          <w:r>
            <w:fldChar w:fldCharType="end"/>
          </w:r>
        </w:p>
        <w:p w14:paraId="0FFF4D0A">
          <w:pPr>
            <w:pStyle w:val="10"/>
            <w:tabs>
              <w:tab w:val="left" w:pos="1680"/>
              <w:tab w:val="right" w:leader="dot" w:pos="8630"/>
            </w:tabs>
            <w:ind w:left="880"/>
            <w:rPr>
              <w:i w:val="0"/>
              <w:kern w:val="2"/>
              <w:sz w:val="21"/>
              <w:lang w:eastAsia="zh-CN"/>
            </w:rPr>
          </w:pPr>
          <w:r>
            <w:fldChar w:fldCharType="begin"/>
          </w:r>
          <w:r>
            <w:instrText xml:space="preserve"> HYPERLINK \l "_Toc495603766" </w:instrText>
          </w:r>
          <w:r>
            <w:fldChar w:fldCharType="separate"/>
          </w:r>
          <w:r>
            <w:rPr>
              <w:rStyle w:val="21"/>
              <w:rFonts w:ascii="Arial" w:hAnsi="Arial" w:cs="Arial"/>
              <w:spacing w:val="-1"/>
            </w:rPr>
            <w:t>(4)</w:t>
          </w:r>
          <w:r>
            <w:rPr>
              <w:i w:val="0"/>
              <w:kern w:val="2"/>
              <w:sz w:val="21"/>
              <w:lang w:eastAsia="zh-CN"/>
            </w:rPr>
            <w:tab/>
          </w:r>
          <w:r>
            <w:rPr>
              <w:rStyle w:val="21"/>
              <w:rFonts w:hint="eastAsia" w:ascii="Arial" w:hAnsi="Arial" w:eastAsia="宋体" w:cs="Arial"/>
              <w:lang w:eastAsia="zh-CN"/>
            </w:rPr>
            <w:t>确定</w:t>
          </w:r>
          <w:r>
            <w:rPr>
              <w:rStyle w:val="21"/>
              <w:rFonts w:ascii="Arial" w:hAnsi="Arial" w:eastAsia="宋体" w:cs="Arial"/>
              <w:lang w:eastAsia="zh-CN"/>
            </w:rPr>
            <w:t>cut-off</w:t>
          </w:r>
          <w:r>
            <w:rPr>
              <w:rStyle w:val="21"/>
              <w:rFonts w:hint="eastAsia" w:ascii="Arial" w:hAnsi="Arial" w:eastAsia="宋体" w:cs="Arial"/>
              <w:lang w:eastAsia="zh-CN"/>
            </w:rPr>
            <w:t>值</w:t>
          </w:r>
          <w:r>
            <w:tab/>
          </w:r>
          <w:r>
            <w:fldChar w:fldCharType="begin"/>
          </w:r>
          <w:r>
            <w:instrText xml:space="preserve"> PAGEREF _Toc495603766 \h </w:instrText>
          </w:r>
          <w:r>
            <w:fldChar w:fldCharType="separate"/>
          </w:r>
          <w:r>
            <w:t>12</w:t>
          </w:r>
          <w:r>
            <w:fldChar w:fldCharType="end"/>
          </w:r>
          <w:r>
            <w:fldChar w:fldCharType="end"/>
          </w:r>
        </w:p>
        <w:p w14:paraId="4B219F4B">
          <w:pPr>
            <w:pStyle w:val="18"/>
            <w:tabs>
              <w:tab w:val="left" w:pos="840"/>
              <w:tab w:val="right" w:leader="dot" w:pos="8630"/>
            </w:tabs>
            <w:ind w:left="440"/>
            <w:rPr>
              <w:kern w:val="2"/>
              <w:sz w:val="21"/>
              <w:lang w:eastAsia="zh-CN"/>
            </w:rPr>
          </w:pPr>
          <w:r>
            <w:fldChar w:fldCharType="begin"/>
          </w:r>
          <w:r>
            <w:instrText xml:space="preserve"> HYPERLINK \l "_Toc495603767" </w:instrText>
          </w:r>
          <w:r>
            <w:fldChar w:fldCharType="separate"/>
          </w:r>
          <w:r>
            <w:rPr>
              <w:rStyle w:val="21"/>
              <w:rFonts w:ascii="Arial" w:hAnsi="Arial" w:cs="Arial"/>
              <w:spacing w:val="1"/>
              <w:lang w:eastAsia="zh-CN"/>
            </w:rPr>
            <w:t>c.</w:t>
          </w:r>
          <w:r>
            <w:rPr>
              <w:kern w:val="2"/>
              <w:sz w:val="21"/>
              <w:lang w:eastAsia="zh-CN"/>
            </w:rPr>
            <w:tab/>
          </w:r>
          <w:r>
            <w:rPr>
              <w:rStyle w:val="21"/>
              <w:rFonts w:hint="eastAsia" w:ascii="Arial" w:hAnsi="Arial" w:eastAsia="宋体" w:cs="Arial"/>
              <w:lang w:eastAsia="zh-CN"/>
            </w:rPr>
            <w:t>分析性能</w:t>
          </w:r>
          <w:r>
            <w:tab/>
          </w:r>
          <w:r>
            <w:fldChar w:fldCharType="begin"/>
          </w:r>
          <w:r>
            <w:instrText xml:space="preserve"> PAGEREF _Toc495603767 \h </w:instrText>
          </w:r>
          <w:r>
            <w:fldChar w:fldCharType="separate"/>
          </w:r>
          <w:r>
            <w:t>12</w:t>
          </w:r>
          <w:r>
            <w:fldChar w:fldCharType="end"/>
          </w:r>
          <w:r>
            <w:fldChar w:fldCharType="end"/>
          </w:r>
        </w:p>
        <w:p w14:paraId="440FDD81">
          <w:pPr>
            <w:pStyle w:val="10"/>
            <w:tabs>
              <w:tab w:val="left" w:pos="1680"/>
              <w:tab w:val="right" w:leader="dot" w:pos="8630"/>
            </w:tabs>
            <w:ind w:left="880"/>
            <w:rPr>
              <w:i w:val="0"/>
              <w:kern w:val="2"/>
              <w:sz w:val="21"/>
              <w:lang w:eastAsia="zh-CN"/>
            </w:rPr>
          </w:pPr>
          <w:r>
            <w:fldChar w:fldCharType="begin"/>
          </w:r>
          <w:r>
            <w:instrText xml:space="preserve"> HYPERLINK \l "_Toc495603768" </w:instrText>
          </w:r>
          <w:r>
            <w:fldChar w:fldCharType="separate"/>
          </w:r>
          <w:r>
            <w:rPr>
              <w:rStyle w:val="21"/>
              <w:rFonts w:ascii="Arial" w:hAnsi="Arial" w:cs="Arial"/>
              <w:spacing w:val="-1"/>
            </w:rPr>
            <w:t>(1)</w:t>
          </w:r>
          <w:r>
            <w:rPr>
              <w:i w:val="0"/>
              <w:kern w:val="2"/>
              <w:sz w:val="21"/>
              <w:lang w:eastAsia="zh-CN"/>
            </w:rPr>
            <w:tab/>
          </w:r>
          <w:r>
            <w:rPr>
              <w:rStyle w:val="21"/>
              <w:rFonts w:hint="eastAsia" w:ascii="Arial" w:hAnsi="Arial" w:eastAsia="宋体" w:cs="Arial"/>
              <w:lang w:eastAsia="zh-CN"/>
            </w:rPr>
            <w:t>检测限</w:t>
          </w:r>
          <w:r>
            <w:rPr>
              <w:rStyle w:val="21"/>
              <w:rFonts w:hint="eastAsia" w:ascii="Arial" w:hAnsi="Arial" w:eastAsia="宋体" w:cs="Arial"/>
            </w:rPr>
            <w:t>（</w:t>
          </w:r>
          <w:r>
            <w:rPr>
              <w:rStyle w:val="21"/>
              <w:rFonts w:ascii="Arial" w:hAnsi="Arial" w:eastAsia="宋体" w:cs="Arial"/>
            </w:rPr>
            <w:t>LoD</w:t>
          </w:r>
          <w:r>
            <w:rPr>
              <w:rStyle w:val="21"/>
              <w:rFonts w:hint="eastAsia" w:ascii="Arial" w:hAnsi="Arial" w:eastAsia="宋体" w:cs="Arial"/>
            </w:rPr>
            <w:t>）</w:t>
          </w:r>
          <w:r>
            <w:tab/>
          </w:r>
          <w:r>
            <w:fldChar w:fldCharType="begin"/>
          </w:r>
          <w:r>
            <w:instrText xml:space="preserve"> PAGEREF _Toc495603768 \h </w:instrText>
          </w:r>
          <w:r>
            <w:fldChar w:fldCharType="separate"/>
          </w:r>
          <w:r>
            <w:t>12</w:t>
          </w:r>
          <w:r>
            <w:fldChar w:fldCharType="end"/>
          </w:r>
          <w:r>
            <w:fldChar w:fldCharType="end"/>
          </w:r>
        </w:p>
        <w:p w14:paraId="0AF65137">
          <w:pPr>
            <w:pStyle w:val="10"/>
            <w:tabs>
              <w:tab w:val="left" w:pos="1680"/>
              <w:tab w:val="right" w:leader="dot" w:pos="8630"/>
            </w:tabs>
            <w:ind w:left="880"/>
            <w:rPr>
              <w:i w:val="0"/>
              <w:kern w:val="2"/>
              <w:sz w:val="21"/>
              <w:lang w:eastAsia="zh-CN"/>
            </w:rPr>
          </w:pPr>
          <w:r>
            <w:fldChar w:fldCharType="begin"/>
          </w:r>
          <w:r>
            <w:instrText xml:space="preserve"> HYPERLINK \l "_Toc495603769" </w:instrText>
          </w:r>
          <w:r>
            <w:fldChar w:fldCharType="separate"/>
          </w:r>
          <w:r>
            <w:rPr>
              <w:rStyle w:val="21"/>
              <w:rFonts w:ascii="Arial" w:hAnsi="Arial" w:cs="Arial"/>
              <w:spacing w:val="-1"/>
            </w:rPr>
            <w:t>(2)</w:t>
          </w:r>
          <w:r>
            <w:rPr>
              <w:i w:val="0"/>
              <w:kern w:val="2"/>
              <w:sz w:val="21"/>
              <w:lang w:eastAsia="zh-CN"/>
            </w:rPr>
            <w:tab/>
          </w:r>
          <w:r>
            <w:rPr>
              <w:rStyle w:val="21"/>
              <w:rFonts w:hint="eastAsia" w:ascii="Arial" w:hAnsi="Arial" w:eastAsia="宋体" w:cs="Arial"/>
              <w:lang w:eastAsia="zh-CN"/>
            </w:rPr>
            <w:t>分析反应性（包容性）</w:t>
          </w:r>
          <w:r>
            <w:tab/>
          </w:r>
          <w:r>
            <w:fldChar w:fldCharType="begin"/>
          </w:r>
          <w:r>
            <w:instrText xml:space="preserve"> PAGEREF _Toc495603769 \h </w:instrText>
          </w:r>
          <w:r>
            <w:fldChar w:fldCharType="separate"/>
          </w:r>
          <w:r>
            <w:t>13</w:t>
          </w:r>
          <w:r>
            <w:fldChar w:fldCharType="end"/>
          </w:r>
          <w:r>
            <w:fldChar w:fldCharType="end"/>
          </w:r>
        </w:p>
        <w:p w14:paraId="4E5F20D1">
          <w:pPr>
            <w:pStyle w:val="10"/>
            <w:tabs>
              <w:tab w:val="left" w:pos="1680"/>
              <w:tab w:val="right" w:leader="dot" w:pos="8630"/>
            </w:tabs>
            <w:ind w:left="880"/>
            <w:rPr>
              <w:i w:val="0"/>
              <w:kern w:val="2"/>
              <w:sz w:val="21"/>
              <w:lang w:eastAsia="zh-CN"/>
            </w:rPr>
          </w:pPr>
          <w:r>
            <w:fldChar w:fldCharType="begin"/>
          </w:r>
          <w:r>
            <w:instrText xml:space="preserve"> HYPERLINK \l "_Toc495603770" </w:instrText>
          </w:r>
          <w:r>
            <w:fldChar w:fldCharType="separate"/>
          </w:r>
          <w:r>
            <w:rPr>
              <w:rStyle w:val="21"/>
              <w:rFonts w:ascii="Arial" w:hAnsi="Arial" w:cs="Arial"/>
              <w:spacing w:val="-1"/>
              <w:lang w:eastAsia="zh-CN"/>
            </w:rPr>
            <w:t>(3)</w:t>
          </w:r>
          <w:r>
            <w:rPr>
              <w:i w:val="0"/>
              <w:kern w:val="2"/>
              <w:sz w:val="21"/>
              <w:lang w:eastAsia="zh-CN"/>
            </w:rPr>
            <w:tab/>
          </w:r>
          <w:r>
            <w:rPr>
              <w:rStyle w:val="21"/>
              <w:rFonts w:hint="eastAsia" w:ascii="Arial" w:hAnsi="Arial" w:eastAsia="宋体" w:cs="Arial"/>
              <w:lang w:eastAsia="zh-CN"/>
            </w:rPr>
            <w:t>分析特异性（交叉反应性）</w:t>
          </w:r>
          <w:r>
            <w:tab/>
          </w:r>
          <w:r>
            <w:fldChar w:fldCharType="begin"/>
          </w:r>
          <w:r>
            <w:instrText xml:space="preserve"> PAGEREF _Toc495603770 \h </w:instrText>
          </w:r>
          <w:r>
            <w:fldChar w:fldCharType="separate"/>
          </w:r>
          <w:r>
            <w:t>13</w:t>
          </w:r>
          <w:r>
            <w:fldChar w:fldCharType="end"/>
          </w:r>
          <w:r>
            <w:fldChar w:fldCharType="end"/>
          </w:r>
        </w:p>
        <w:p w14:paraId="707FCEC1">
          <w:pPr>
            <w:pStyle w:val="10"/>
            <w:tabs>
              <w:tab w:val="left" w:pos="1680"/>
              <w:tab w:val="right" w:leader="dot" w:pos="8630"/>
            </w:tabs>
            <w:ind w:left="880"/>
            <w:rPr>
              <w:i w:val="0"/>
              <w:kern w:val="2"/>
              <w:sz w:val="21"/>
              <w:lang w:eastAsia="zh-CN"/>
            </w:rPr>
          </w:pPr>
          <w:r>
            <w:fldChar w:fldCharType="begin"/>
          </w:r>
          <w:r>
            <w:instrText xml:space="preserve"> HYPERLINK \l "_Toc495603771" </w:instrText>
          </w:r>
          <w:r>
            <w:fldChar w:fldCharType="separate"/>
          </w:r>
          <w:r>
            <w:rPr>
              <w:rStyle w:val="21"/>
              <w:rFonts w:ascii="Arial" w:hAnsi="Arial" w:cs="Arial"/>
              <w:spacing w:val="-1"/>
            </w:rPr>
            <w:t>(4)</w:t>
          </w:r>
          <w:r>
            <w:rPr>
              <w:i w:val="0"/>
              <w:kern w:val="2"/>
              <w:sz w:val="21"/>
              <w:lang w:eastAsia="zh-CN"/>
            </w:rPr>
            <w:tab/>
          </w:r>
          <w:r>
            <w:rPr>
              <w:rStyle w:val="21"/>
              <w:rFonts w:hint="eastAsia" w:ascii="Arial" w:hAnsi="Arial" w:eastAsia="宋体" w:cs="Arial"/>
              <w:lang w:eastAsia="zh-CN"/>
            </w:rPr>
            <w:t>竞争性抑制研究</w:t>
          </w:r>
          <w:r>
            <w:tab/>
          </w:r>
          <w:r>
            <w:fldChar w:fldCharType="begin"/>
          </w:r>
          <w:r>
            <w:instrText xml:space="preserve"> PAGEREF _Toc495603771 \h </w:instrText>
          </w:r>
          <w:r>
            <w:fldChar w:fldCharType="separate"/>
          </w:r>
          <w:r>
            <w:t>14</w:t>
          </w:r>
          <w:r>
            <w:fldChar w:fldCharType="end"/>
          </w:r>
          <w:r>
            <w:fldChar w:fldCharType="end"/>
          </w:r>
        </w:p>
        <w:p w14:paraId="19525FFD">
          <w:pPr>
            <w:pStyle w:val="10"/>
            <w:tabs>
              <w:tab w:val="left" w:pos="1680"/>
              <w:tab w:val="right" w:leader="dot" w:pos="8630"/>
            </w:tabs>
            <w:ind w:left="880"/>
            <w:rPr>
              <w:i w:val="0"/>
              <w:kern w:val="2"/>
              <w:sz w:val="21"/>
              <w:lang w:eastAsia="zh-CN"/>
            </w:rPr>
          </w:pPr>
          <w:r>
            <w:fldChar w:fldCharType="begin"/>
          </w:r>
          <w:r>
            <w:instrText xml:space="preserve"> HYPERLINK \l "_Toc495603772" </w:instrText>
          </w:r>
          <w:r>
            <w:fldChar w:fldCharType="separate"/>
          </w:r>
          <w:r>
            <w:rPr>
              <w:rStyle w:val="21"/>
              <w:rFonts w:ascii="Arial" w:hAnsi="Arial" w:cs="Arial"/>
              <w:spacing w:val="-1"/>
            </w:rPr>
            <w:t>(5)</w:t>
          </w:r>
          <w:r>
            <w:rPr>
              <w:i w:val="0"/>
              <w:kern w:val="2"/>
              <w:sz w:val="21"/>
              <w:lang w:eastAsia="zh-CN"/>
            </w:rPr>
            <w:tab/>
          </w:r>
          <w:r>
            <w:rPr>
              <w:rStyle w:val="21"/>
              <w:rFonts w:hint="eastAsia" w:ascii="Arial" w:hAnsi="Arial" w:eastAsia="宋体" w:cs="Arial"/>
              <w:lang w:eastAsia="zh-CN"/>
            </w:rPr>
            <w:t>干扰试验</w:t>
          </w:r>
          <w:r>
            <w:tab/>
          </w:r>
          <w:r>
            <w:fldChar w:fldCharType="begin"/>
          </w:r>
          <w:r>
            <w:instrText xml:space="preserve"> PAGEREF _Toc495603772 \h </w:instrText>
          </w:r>
          <w:r>
            <w:fldChar w:fldCharType="separate"/>
          </w:r>
          <w:r>
            <w:t>15</w:t>
          </w:r>
          <w:r>
            <w:fldChar w:fldCharType="end"/>
          </w:r>
          <w:r>
            <w:fldChar w:fldCharType="end"/>
          </w:r>
        </w:p>
        <w:p w14:paraId="2C772318">
          <w:pPr>
            <w:pStyle w:val="15"/>
            <w:tabs>
              <w:tab w:val="left" w:pos="2100"/>
              <w:tab w:val="right" w:leader="dot" w:pos="8630"/>
            </w:tabs>
            <w:ind w:left="1320"/>
            <w:rPr>
              <w:kern w:val="2"/>
              <w:sz w:val="21"/>
              <w:lang w:eastAsia="zh-CN"/>
            </w:rPr>
          </w:pPr>
          <w:r>
            <w:fldChar w:fldCharType="begin"/>
          </w:r>
          <w:r>
            <w:instrText xml:space="preserve"> HYPERLINK \l "_Toc495603773" </w:instrText>
          </w:r>
          <w:r>
            <w:fldChar w:fldCharType="separate"/>
          </w:r>
          <w:r>
            <w:rPr>
              <w:rStyle w:val="21"/>
              <w:rFonts w:ascii="Arial" w:hAnsi="Arial" w:cs="Arial"/>
              <w:spacing w:val="-1"/>
            </w:rPr>
            <w:t>(a)</w:t>
          </w:r>
          <w:r>
            <w:rPr>
              <w:kern w:val="2"/>
              <w:sz w:val="21"/>
              <w:lang w:eastAsia="zh-CN"/>
            </w:rPr>
            <w:tab/>
          </w:r>
          <w:r>
            <w:rPr>
              <w:rStyle w:val="21"/>
              <w:rFonts w:hint="eastAsia" w:ascii="Arial" w:hAnsi="Arial" w:eastAsia="宋体" w:cs="Arial"/>
              <w:lang w:eastAsia="zh-CN"/>
            </w:rPr>
            <w:t>干扰物</w:t>
          </w:r>
          <w:r>
            <w:tab/>
          </w:r>
          <w:r>
            <w:fldChar w:fldCharType="begin"/>
          </w:r>
          <w:r>
            <w:instrText xml:space="preserve"> PAGEREF _Toc495603773 \h </w:instrText>
          </w:r>
          <w:r>
            <w:fldChar w:fldCharType="separate"/>
          </w:r>
          <w:r>
            <w:t>15</w:t>
          </w:r>
          <w:r>
            <w:fldChar w:fldCharType="end"/>
          </w:r>
          <w:r>
            <w:fldChar w:fldCharType="end"/>
          </w:r>
        </w:p>
        <w:p w14:paraId="221CDA9F">
          <w:pPr>
            <w:pStyle w:val="15"/>
            <w:tabs>
              <w:tab w:val="left" w:pos="2100"/>
              <w:tab w:val="right" w:leader="dot" w:pos="8630"/>
            </w:tabs>
            <w:ind w:left="1320"/>
            <w:rPr>
              <w:kern w:val="2"/>
              <w:sz w:val="21"/>
              <w:lang w:eastAsia="zh-CN"/>
            </w:rPr>
          </w:pPr>
          <w:r>
            <w:fldChar w:fldCharType="begin"/>
          </w:r>
          <w:r>
            <w:instrText xml:space="preserve"> HYPERLINK \l "_Toc495603774" </w:instrText>
          </w:r>
          <w:r>
            <w:fldChar w:fldCharType="separate"/>
          </w:r>
          <w:r>
            <w:rPr>
              <w:rStyle w:val="21"/>
              <w:rFonts w:ascii="Arial" w:hAnsi="Arial" w:cs="Arial"/>
              <w:spacing w:val="-1"/>
              <w:lang w:eastAsia="zh-CN"/>
            </w:rPr>
            <w:t>(b)</w:t>
          </w:r>
          <w:r>
            <w:rPr>
              <w:kern w:val="2"/>
              <w:sz w:val="21"/>
              <w:lang w:eastAsia="zh-CN"/>
            </w:rPr>
            <w:tab/>
          </w:r>
          <w:r>
            <w:rPr>
              <w:rStyle w:val="21"/>
              <w:rFonts w:hint="eastAsia" w:ascii="Arial" w:hAnsi="Arial" w:eastAsia="宋体" w:cs="Arial"/>
              <w:lang w:eastAsia="zh-CN"/>
            </w:rPr>
            <w:t>血培养瓶种类测试</w:t>
          </w:r>
          <w:r>
            <w:tab/>
          </w:r>
          <w:r>
            <w:fldChar w:fldCharType="begin"/>
          </w:r>
          <w:r>
            <w:instrText xml:space="preserve"> PAGEREF _Toc495603774 \h </w:instrText>
          </w:r>
          <w:r>
            <w:fldChar w:fldCharType="separate"/>
          </w:r>
          <w:r>
            <w:t>15</w:t>
          </w:r>
          <w:r>
            <w:fldChar w:fldCharType="end"/>
          </w:r>
          <w:r>
            <w:fldChar w:fldCharType="end"/>
          </w:r>
        </w:p>
        <w:p w14:paraId="2B4DE2C9">
          <w:pPr>
            <w:pStyle w:val="10"/>
            <w:tabs>
              <w:tab w:val="left" w:pos="1680"/>
              <w:tab w:val="right" w:leader="dot" w:pos="8630"/>
            </w:tabs>
            <w:ind w:left="880"/>
            <w:rPr>
              <w:i w:val="0"/>
              <w:kern w:val="2"/>
              <w:sz w:val="21"/>
              <w:lang w:eastAsia="zh-CN"/>
            </w:rPr>
          </w:pPr>
          <w:r>
            <w:fldChar w:fldCharType="begin"/>
          </w:r>
          <w:r>
            <w:instrText xml:space="preserve"> HYPERLINK \l "_Toc495603775" </w:instrText>
          </w:r>
          <w:r>
            <w:fldChar w:fldCharType="separate"/>
          </w:r>
          <w:r>
            <w:rPr>
              <w:rStyle w:val="21"/>
              <w:rFonts w:ascii="Arial" w:hAnsi="Arial" w:cs="Arial"/>
              <w:spacing w:val="-1"/>
              <w:lang w:eastAsia="zh-CN"/>
            </w:rPr>
            <w:t>(6)</w:t>
          </w:r>
          <w:r>
            <w:rPr>
              <w:i w:val="0"/>
              <w:kern w:val="2"/>
              <w:sz w:val="21"/>
              <w:lang w:eastAsia="zh-CN"/>
            </w:rPr>
            <w:tab/>
          </w:r>
          <w:r>
            <w:rPr>
              <w:rStyle w:val="21"/>
              <w:rFonts w:hint="eastAsia" w:ascii="Arial" w:hAnsi="Arial" w:eastAsia="宋体" w:cs="Arial"/>
              <w:lang w:eastAsia="zh-CN"/>
            </w:rPr>
            <w:t>精密度（实验室内</w:t>
          </w:r>
          <w:r>
            <w:rPr>
              <w:rStyle w:val="21"/>
              <w:rFonts w:ascii="Arial" w:hAnsi="Arial" w:eastAsia="宋体" w:cs="Arial"/>
              <w:lang w:eastAsia="zh-CN"/>
            </w:rPr>
            <w:t>/</w:t>
          </w:r>
          <w:r>
            <w:rPr>
              <w:rStyle w:val="21"/>
              <w:rFonts w:hint="eastAsia" w:ascii="Arial" w:hAnsi="Arial" w:eastAsia="宋体" w:cs="Arial"/>
              <w:lang w:eastAsia="zh-CN"/>
            </w:rPr>
            <w:t>重复性）</w:t>
          </w:r>
          <w:r>
            <w:tab/>
          </w:r>
          <w:r>
            <w:fldChar w:fldCharType="begin"/>
          </w:r>
          <w:r>
            <w:instrText xml:space="preserve"> PAGEREF _Toc495603775 \h </w:instrText>
          </w:r>
          <w:r>
            <w:fldChar w:fldCharType="separate"/>
          </w:r>
          <w:r>
            <w:t>16</w:t>
          </w:r>
          <w:r>
            <w:fldChar w:fldCharType="end"/>
          </w:r>
          <w:r>
            <w:fldChar w:fldCharType="end"/>
          </w:r>
        </w:p>
        <w:p w14:paraId="4A803A3B">
          <w:pPr>
            <w:pStyle w:val="10"/>
            <w:tabs>
              <w:tab w:val="left" w:pos="1680"/>
              <w:tab w:val="right" w:leader="dot" w:pos="8630"/>
            </w:tabs>
            <w:ind w:left="880"/>
            <w:rPr>
              <w:i w:val="0"/>
              <w:kern w:val="2"/>
              <w:sz w:val="21"/>
              <w:lang w:eastAsia="zh-CN"/>
            </w:rPr>
          </w:pPr>
          <w:r>
            <w:fldChar w:fldCharType="begin"/>
          </w:r>
          <w:r>
            <w:instrText xml:space="preserve"> HYPERLINK \l "_Toc495603776" </w:instrText>
          </w:r>
          <w:r>
            <w:fldChar w:fldCharType="separate"/>
          </w:r>
          <w:r>
            <w:rPr>
              <w:rStyle w:val="21"/>
              <w:rFonts w:ascii="Arial" w:hAnsi="Arial" w:cs="Arial"/>
              <w:spacing w:val="-1"/>
            </w:rPr>
            <w:t>(7)</w:t>
          </w:r>
          <w:r>
            <w:rPr>
              <w:i w:val="0"/>
              <w:kern w:val="2"/>
              <w:sz w:val="21"/>
              <w:lang w:eastAsia="zh-CN"/>
            </w:rPr>
            <w:tab/>
          </w:r>
          <w:r>
            <w:rPr>
              <w:rStyle w:val="21"/>
              <w:rFonts w:hint="eastAsia" w:ascii="Arial" w:hAnsi="Arial" w:eastAsia="宋体" w:cs="Arial"/>
              <w:lang w:eastAsia="zh-CN"/>
            </w:rPr>
            <w:t>多中心再现性研究</w:t>
          </w:r>
          <w:r>
            <w:tab/>
          </w:r>
          <w:r>
            <w:fldChar w:fldCharType="begin"/>
          </w:r>
          <w:r>
            <w:instrText xml:space="preserve"> PAGEREF _Toc495603776 \h </w:instrText>
          </w:r>
          <w:r>
            <w:fldChar w:fldCharType="separate"/>
          </w:r>
          <w:r>
            <w:t>16</w:t>
          </w:r>
          <w:r>
            <w:fldChar w:fldCharType="end"/>
          </w:r>
          <w:r>
            <w:fldChar w:fldCharType="end"/>
          </w:r>
        </w:p>
        <w:p w14:paraId="73819DD1">
          <w:pPr>
            <w:pStyle w:val="10"/>
            <w:tabs>
              <w:tab w:val="left" w:pos="1680"/>
              <w:tab w:val="right" w:leader="dot" w:pos="8630"/>
            </w:tabs>
            <w:ind w:left="880"/>
            <w:rPr>
              <w:i w:val="0"/>
              <w:kern w:val="2"/>
              <w:sz w:val="21"/>
              <w:lang w:eastAsia="zh-CN"/>
            </w:rPr>
          </w:pPr>
          <w:r>
            <w:fldChar w:fldCharType="begin"/>
          </w:r>
          <w:r>
            <w:instrText xml:space="preserve"> HYPERLINK \l "_Toc495603777" </w:instrText>
          </w:r>
          <w:r>
            <w:fldChar w:fldCharType="separate"/>
          </w:r>
          <w:r>
            <w:rPr>
              <w:rStyle w:val="21"/>
              <w:rFonts w:ascii="Arial" w:hAnsi="Arial" w:cs="Arial"/>
              <w:spacing w:val="-1"/>
              <w:lang w:eastAsia="zh-CN"/>
            </w:rPr>
            <w:t>(8)</w:t>
          </w:r>
          <w:r>
            <w:rPr>
              <w:i w:val="0"/>
              <w:kern w:val="2"/>
              <w:sz w:val="21"/>
              <w:lang w:eastAsia="zh-CN"/>
            </w:rPr>
            <w:tab/>
          </w:r>
          <w:r>
            <w:rPr>
              <w:rStyle w:val="21"/>
              <w:rFonts w:hint="eastAsia" w:ascii="Arial" w:hAnsi="Arial" w:eastAsia="宋体" w:cs="Arial"/>
              <w:lang w:eastAsia="zh-CN"/>
            </w:rPr>
            <w:t>携带污染研究和交叉污染研究</w:t>
          </w:r>
          <w:r>
            <w:rPr>
              <w:rStyle w:val="21"/>
              <w:rFonts w:ascii="Arial" w:hAnsi="Arial" w:eastAsia="宋体" w:cs="Arial"/>
              <w:lang w:eastAsia="zh-CN"/>
            </w:rPr>
            <w:t xml:space="preserve"> </w:t>
          </w:r>
          <w:r>
            <w:rPr>
              <w:rStyle w:val="21"/>
              <w:rFonts w:hint="eastAsia" w:ascii="Arial" w:hAnsi="Arial" w:eastAsia="宋体" w:cs="Arial"/>
              <w:lang w:eastAsia="zh-CN"/>
            </w:rPr>
            <w:t>（对于需要工具的多样本检测试剂盒和器械）</w:t>
          </w:r>
          <w:r>
            <w:tab/>
          </w:r>
          <w:r>
            <w:fldChar w:fldCharType="begin"/>
          </w:r>
          <w:r>
            <w:instrText xml:space="preserve"> PAGEREF _Toc495603777 \h </w:instrText>
          </w:r>
          <w:r>
            <w:fldChar w:fldCharType="separate"/>
          </w:r>
          <w:r>
            <w:t>17</w:t>
          </w:r>
          <w:r>
            <w:fldChar w:fldCharType="end"/>
          </w:r>
          <w:r>
            <w:fldChar w:fldCharType="end"/>
          </w:r>
        </w:p>
        <w:p w14:paraId="06D132A6">
          <w:pPr>
            <w:pStyle w:val="18"/>
            <w:tabs>
              <w:tab w:val="left" w:pos="840"/>
              <w:tab w:val="right" w:leader="dot" w:pos="8630"/>
            </w:tabs>
            <w:ind w:left="440"/>
            <w:rPr>
              <w:kern w:val="2"/>
              <w:sz w:val="21"/>
              <w:lang w:eastAsia="zh-CN"/>
            </w:rPr>
          </w:pPr>
          <w:r>
            <w:fldChar w:fldCharType="begin"/>
          </w:r>
          <w:r>
            <w:instrText xml:space="preserve"> HYPERLINK \l "_Toc495603778" </w:instrText>
          </w:r>
          <w:r>
            <w:fldChar w:fldCharType="separate"/>
          </w:r>
          <w:r>
            <w:rPr>
              <w:rStyle w:val="21"/>
              <w:rFonts w:ascii="Arial" w:hAnsi="Arial" w:cs="Arial"/>
              <w:spacing w:val="1"/>
              <w:lang w:eastAsia="zh-CN"/>
            </w:rPr>
            <w:t>d.</w:t>
          </w:r>
          <w:r>
            <w:rPr>
              <w:kern w:val="2"/>
              <w:sz w:val="21"/>
              <w:lang w:eastAsia="zh-CN"/>
            </w:rPr>
            <w:tab/>
          </w:r>
          <w:r>
            <w:rPr>
              <w:rStyle w:val="21"/>
              <w:rFonts w:hint="eastAsia" w:ascii="Arial" w:hAnsi="Arial" w:eastAsia="宋体" w:cs="Arial"/>
              <w:lang w:eastAsia="zh-CN"/>
            </w:rPr>
            <w:t>临床性能</w:t>
          </w:r>
          <w:r>
            <w:tab/>
          </w:r>
          <w:r>
            <w:fldChar w:fldCharType="begin"/>
          </w:r>
          <w:r>
            <w:instrText xml:space="preserve"> PAGEREF _Toc495603778 \h </w:instrText>
          </w:r>
          <w:r>
            <w:fldChar w:fldCharType="separate"/>
          </w:r>
          <w:r>
            <w:t>17</w:t>
          </w:r>
          <w:r>
            <w:fldChar w:fldCharType="end"/>
          </w:r>
          <w:r>
            <w:fldChar w:fldCharType="end"/>
          </w:r>
        </w:p>
        <w:p w14:paraId="5D68158D">
          <w:pPr>
            <w:pStyle w:val="10"/>
            <w:tabs>
              <w:tab w:val="left" w:pos="1680"/>
              <w:tab w:val="right" w:leader="dot" w:pos="8630"/>
            </w:tabs>
            <w:ind w:left="880"/>
            <w:rPr>
              <w:i w:val="0"/>
              <w:kern w:val="2"/>
              <w:sz w:val="21"/>
              <w:lang w:eastAsia="zh-CN"/>
            </w:rPr>
          </w:pPr>
          <w:r>
            <w:fldChar w:fldCharType="begin"/>
          </w:r>
          <w:r>
            <w:instrText xml:space="preserve"> HYPERLINK \l "_Toc495603779" </w:instrText>
          </w:r>
          <w:r>
            <w:fldChar w:fldCharType="separate"/>
          </w:r>
          <w:r>
            <w:rPr>
              <w:rStyle w:val="21"/>
              <w:rFonts w:ascii="Arial" w:hAnsi="Arial" w:cs="Arial"/>
              <w:spacing w:val="-1"/>
            </w:rPr>
            <w:t>(1)</w:t>
          </w:r>
          <w:r>
            <w:rPr>
              <w:i w:val="0"/>
              <w:kern w:val="2"/>
              <w:sz w:val="21"/>
              <w:lang w:eastAsia="zh-CN"/>
            </w:rPr>
            <w:tab/>
          </w:r>
          <w:r>
            <w:rPr>
              <w:rStyle w:val="21"/>
              <w:rFonts w:hint="eastAsia" w:ascii="Arial" w:hAnsi="Arial" w:eastAsia="宋体" w:cs="Arial"/>
              <w:lang w:eastAsia="zh-CN"/>
            </w:rPr>
            <w:t>参考检测试剂盒</w:t>
          </w:r>
          <w:r>
            <w:tab/>
          </w:r>
          <w:r>
            <w:fldChar w:fldCharType="begin"/>
          </w:r>
          <w:r>
            <w:instrText xml:space="preserve"> PAGEREF _Toc495603779 \h </w:instrText>
          </w:r>
          <w:r>
            <w:fldChar w:fldCharType="separate"/>
          </w:r>
          <w:r>
            <w:t>18</w:t>
          </w:r>
          <w:r>
            <w:fldChar w:fldCharType="end"/>
          </w:r>
          <w:r>
            <w:fldChar w:fldCharType="end"/>
          </w:r>
        </w:p>
        <w:p w14:paraId="3AB35152">
          <w:pPr>
            <w:pStyle w:val="10"/>
            <w:tabs>
              <w:tab w:val="left" w:pos="1680"/>
              <w:tab w:val="right" w:leader="dot" w:pos="8630"/>
            </w:tabs>
            <w:ind w:left="880"/>
            <w:rPr>
              <w:i w:val="0"/>
              <w:kern w:val="2"/>
              <w:sz w:val="21"/>
              <w:lang w:eastAsia="zh-CN"/>
            </w:rPr>
          </w:pPr>
          <w:r>
            <w:fldChar w:fldCharType="begin"/>
          </w:r>
          <w:r>
            <w:instrText xml:space="preserve"> HYPERLINK \l "_Toc495603780" </w:instrText>
          </w:r>
          <w:r>
            <w:fldChar w:fldCharType="separate"/>
          </w:r>
          <w:r>
            <w:rPr>
              <w:rStyle w:val="21"/>
              <w:rFonts w:ascii="Arial" w:hAnsi="Arial" w:cs="Arial"/>
              <w:spacing w:val="-1"/>
            </w:rPr>
            <w:t>(2)</w:t>
          </w:r>
          <w:r>
            <w:rPr>
              <w:i w:val="0"/>
              <w:kern w:val="2"/>
              <w:sz w:val="21"/>
              <w:lang w:eastAsia="zh-CN"/>
            </w:rPr>
            <w:tab/>
          </w:r>
          <w:r>
            <w:rPr>
              <w:rStyle w:val="21"/>
              <w:rFonts w:hint="eastAsia" w:ascii="Arial" w:hAnsi="Arial" w:eastAsia="宋体" w:cs="Arial"/>
              <w:lang w:eastAsia="zh-CN"/>
            </w:rPr>
            <w:t>研究中心</w:t>
          </w:r>
          <w:r>
            <w:tab/>
          </w:r>
          <w:r>
            <w:fldChar w:fldCharType="begin"/>
          </w:r>
          <w:r>
            <w:instrText xml:space="preserve"> PAGEREF _Toc495603780 \h </w:instrText>
          </w:r>
          <w:r>
            <w:fldChar w:fldCharType="separate"/>
          </w:r>
          <w:r>
            <w:t>19</w:t>
          </w:r>
          <w:r>
            <w:fldChar w:fldCharType="end"/>
          </w:r>
          <w:r>
            <w:fldChar w:fldCharType="end"/>
          </w:r>
        </w:p>
        <w:p w14:paraId="210C4B1D">
          <w:pPr>
            <w:pStyle w:val="10"/>
            <w:tabs>
              <w:tab w:val="left" w:pos="1680"/>
              <w:tab w:val="right" w:leader="dot" w:pos="8630"/>
            </w:tabs>
            <w:ind w:left="880"/>
            <w:rPr>
              <w:i w:val="0"/>
              <w:kern w:val="2"/>
              <w:sz w:val="21"/>
              <w:lang w:eastAsia="zh-CN"/>
            </w:rPr>
          </w:pPr>
          <w:r>
            <w:fldChar w:fldCharType="begin"/>
          </w:r>
          <w:r>
            <w:instrText xml:space="preserve"> HYPERLINK \l "_Toc495603781" </w:instrText>
          </w:r>
          <w:r>
            <w:fldChar w:fldCharType="separate"/>
          </w:r>
          <w:r>
            <w:rPr>
              <w:rStyle w:val="21"/>
              <w:rFonts w:ascii="Arial" w:hAnsi="Arial" w:cs="Arial"/>
              <w:spacing w:val="-1"/>
            </w:rPr>
            <w:t>(3)</w:t>
          </w:r>
          <w:r>
            <w:rPr>
              <w:i w:val="0"/>
              <w:kern w:val="2"/>
              <w:sz w:val="21"/>
              <w:lang w:eastAsia="zh-CN"/>
            </w:rPr>
            <w:tab/>
          </w:r>
          <w:r>
            <w:rPr>
              <w:rStyle w:val="21"/>
              <w:rFonts w:hint="eastAsia" w:ascii="Arial" w:hAnsi="Arial" w:eastAsia="宋体" w:cs="Arial"/>
              <w:lang w:eastAsia="zh-CN"/>
            </w:rPr>
            <w:t>研究人群</w:t>
          </w:r>
          <w:r>
            <w:tab/>
          </w:r>
          <w:r>
            <w:fldChar w:fldCharType="begin"/>
          </w:r>
          <w:r>
            <w:instrText xml:space="preserve"> PAGEREF _Toc495603781 \h </w:instrText>
          </w:r>
          <w:r>
            <w:fldChar w:fldCharType="separate"/>
          </w:r>
          <w:r>
            <w:t>19</w:t>
          </w:r>
          <w:r>
            <w:fldChar w:fldCharType="end"/>
          </w:r>
          <w:r>
            <w:fldChar w:fldCharType="end"/>
          </w:r>
        </w:p>
        <w:p w14:paraId="3C5F27A3">
          <w:pPr>
            <w:pStyle w:val="10"/>
            <w:tabs>
              <w:tab w:val="left" w:pos="1680"/>
              <w:tab w:val="right" w:leader="dot" w:pos="8630"/>
            </w:tabs>
            <w:ind w:left="880"/>
            <w:rPr>
              <w:i w:val="0"/>
              <w:kern w:val="2"/>
              <w:sz w:val="21"/>
              <w:lang w:eastAsia="zh-CN"/>
            </w:rPr>
          </w:pPr>
          <w:r>
            <w:fldChar w:fldCharType="begin"/>
          </w:r>
          <w:r>
            <w:instrText xml:space="preserve"> HYPERLINK \l "_Toc495603782" </w:instrText>
          </w:r>
          <w:r>
            <w:fldChar w:fldCharType="separate"/>
          </w:r>
          <w:r>
            <w:rPr>
              <w:rStyle w:val="21"/>
              <w:rFonts w:ascii="Arial" w:hAnsi="Arial" w:cs="Arial"/>
              <w:spacing w:val="-1"/>
            </w:rPr>
            <w:t>(4)</w:t>
          </w:r>
          <w:r>
            <w:rPr>
              <w:i w:val="0"/>
              <w:kern w:val="2"/>
              <w:sz w:val="21"/>
              <w:lang w:eastAsia="zh-CN"/>
            </w:rPr>
            <w:tab/>
          </w:r>
          <w:r>
            <w:rPr>
              <w:rStyle w:val="21"/>
              <w:rFonts w:hint="eastAsia" w:ascii="Arial" w:hAnsi="Arial" w:eastAsia="宋体" w:cs="Arial"/>
              <w:lang w:eastAsia="zh-CN"/>
            </w:rPr>
            <w:t>研究设计</w:t>
          </w:r>
          <w:r>
            <w:tab/>
          </w:r>
          <w:r>
            <w:fldChar w:fldCharType="begin"/>
          </w:r>
          <w:r>
            <w:instrText xml:space="preserve"> PAGEREF _Toc495603782 \h </w:instrText>
          </w:r>
          <w:r>
            <w:fldChar w:fldCharType="separate"/>
          </w:r>
          <w:r>
            <w:t>19</w:t>
          </w:r>
          <w:r>
            <w:fldChar w:fldCharType="end"/>
          </w:r>
          <w:r>
            <w:fldChar w:fldCharType="end"/>
          </w:r>
        </w:p>
        <w:p w14:paraId="78124638">
          <w:pPr>
            <w:pStyle w:val="10"/>
            <w:tabs>
              <w:tab w:val="left" w:pos="1680"/>
              <w:tab w:val="right" w:leader="dot" w:pos="8630"/>
            </w:tabs>
            <w:ind w:left="880"/>
            <w:rPr>
              <w:i w:val="0"/>
              <w:kern w:val="2"/>
              <w:sz w:val="21"/>
              <w:lang w:eastAsia="zh-CN"/>
            </w:rPr>
          </w:pPr>
          <w:r>
            <w:fldChar w:fldCharType="begin"/>
          </w:r>
          <w:r>
            <w:instrText xml:space="preserve"> HYPERLINK \l "_Toc495603783" </w:instrText>
          </w:r>
          <w:r>
            <w:fldChar w:fldCharType="separate"/>
          </w:r>
          <w:r>
            <w:rPr>
              <w:rStyle w:val="21"/>
              <w:rFonts w:ascii="Arial" w:hAnsi="Arial" w:cs="Arial"/>
              <w:spacing w:val="-1"/>
            </w:rPr>
            <w:t>(5)</w:t>
          </w:r>
          <w:r>
            <w:rPr>
              <w:i w:val="0"/>
              <w:kern w:val="2"/>
              <w:sz w:val="21"/>
              <w:lang w:eastAsia="zh-CN"/>
            </w:rPr>
            <w:tab/>
          </w:r>
          <w:r>
            <w:rPr>
              <w:rStyle w:val="21"/>
              <w:rFonts w:hint="eastAsia" w:ascii="Arial" w:hAnsi="Arial" w:eastAsia="宋体" w:cs="Arial"/>
              <w:lang w:eastAsia="zh-CN"/>
            </w:rPr>
            <w:t>临床研究结果的呈现</w:t>
          </w:r>
          <w:r>
            <w:tab/>
          </w:r>
          <w:r>
            <w:fldChar w:fldCharType="begin"/>
          </w:r>
          <w:r>
            <w:instrText xml:space="preserve"> PAGEREF _Toc495603783 \h </w:instrText>
          </w:r>
          <w:r>
            <w:fldChar w:fldCharType="separate"/>
          </w:r>
          <w:r>
            <w:t>20</w:t>
          </w:r>
          <w:r>
            <w:fldChar w:fldCharType="end"/>
          </w:r>
          <w:r>
            <w:fldChar w:fldCharType="end"/>
          </w:r>
        </w:p>
        <w:p w14:paraId="0E46183E">
          <w:pPr>
            <w:pStyle w:val="18"/>
            <w:tabs>
              <w:tab w:val="left" w:pos="840"/>
              <w:tab w:val="right" w:leader="dot" w:pos="8630"/>
            </w:tabs>
            <w:ind w:left="440"/>
            <w:rPr>
              <w:kern w:val="2"/>
              <w:sz w:val="21"/>
              <w:lang w:eastAsia="zh-CN"/>
            </w:rPr>
          </w:pPr>
          <w:r>
            <w:fldChar w:fldCharType="begin"/>
          </w:r>
          <w:r>
            <w:instrText xml:space="preserve"> HYPERLINK \l "_Toc495603784" </w:instrText>
          </w:r>
          <w:r>
            <w:fldChar w:fldCharType="separate"/>
          </w:r>
          <w:r>
            <w:rPr>
              <w:rStyle w:val="21"/>
              <w:rFonts w:ascii="Arial" w:hAnsi="Arial" w:cs="Arial"/>
              <w:spacing w:val="1"/>
              <w:lang w:eastAsia="zh-CN"/>
            </w:rPr>
            <w:t>e.</w:t>
          </w:r>
          <w:r>
            <w:rPr>
              <w:kern w:val="2"/>
              <w:sz w:val="21"/>
              <w:lang w:eastAsia="zh-CN"/>
            </w:rPr>
            <w:tab/>
          </w:r>
          <w:r>
            <w:rPr>
              <w:rStyle w:val="21"/>
              <w:rFonts w:hint="eastAsia" w:ascii="Arial" w:hAnsi="Arial" w:eastAsia="宋体" w:cs="Arial"/>
              <w:lang w:eastAsia="zh-CN"/>
            </w:rPr>
            <w:t>工具与软件</w:t>
          </w:r>
          <w:r>
            <w:tab/>
          </w:r>
          <w:r>
            <w:fldChar w:fldCharType="begin"/>
          </w:r>
          <w:r>
            <w:instrText xml:space="preserve"> PAGEREF _Toc495603784 \h </w:instrText>
          </w:r>
          <w:r>
            <w:fldChar w:fldCharType="separate"/>
          </w:r>
          <w:r>
            <w:t>21</w:t>
          </w:r>
          <w:r>
            <w:fldChar w:fldCharType="end"/>
          </w:r>
          <w:r>
            <w:fldChar w:fldCharType="end"/>
          </w:r>
        </w:p>
        <w:p w14:paraId="79B4B729">
          <w:pPr>
            <w:pStyle w:val="15"/>
            <w:tabs>
              <w:tab w:val="left" w:pos="1680"/>
              <w:tab w:val="right" w:leader="dot" w:pos="8630"/>
            </w:tabs>
            <w:ind w:left="1320"/>
            <w:rPr>
              <w:kern w:val="2"/>
              <w:sz w:val="21"/>
              <w:lang w:eastAsia="zh-CN"/>
            </w:rPr>
          </w:pPr>
          <w:r>
            <w:fldChar w:fldCharType="begin"/>
          </w:r>
          <w:r>
            <w:instrText xml:space="preserve"> HYPERLINK \l "_Toc495603785" </w:instrText>
          </w:r>
          <w:r>
            <w:fldChar w:fldCharType="separate"/>
          </w:r>
          <w:r>
            <w:rPr>
              <w:rStyle w:val="21"/>
              <w:rFonts w:ascii="Arial" w:hAnsi="Arial" w:cs="Arial"/>
              <w:lang w:eastAsia="zh-CN"/>
            </w:rPr>
            <w:t>8.</w:t>
          </w:r>
          <w:r>
            <w:rPr>
              <w:kern w:val="2"/>
              <w:sz w:val="21"/>
              <w:lang w:eastAsia="zh-CN"/>
            </w:rPr>
            <w:tab/>
          </w:r>
          <w:r>
            <w:rPr>
              <w:rStyle w:val="21"/>
              <w:rFonts w:hint="eastAsia" w:ascii="Arial" w:hAnsi="Arial" w:eastAsia="宋体" w:cs="Arial"/>
              <w:lang w:eastAsia="zh-CN"/>
            </w:rPr>
            <w:t>标签</w:t>
          </w:r>
          <w:r>
            <w:tab/>
          </w:r>
          <w:r>
            <w:fldChar w:fldCharType="begin"/>
          </w:r>
          <w:r>
            <w:instrText xml:space="preserve"> PAGEREF _Toc495603785 \h </w:instrText>
          </w:r>
          <w:r>
            <w:fldChar w:fldCharType="separate"/>
          </w:r>
          <w:r>
            <w:t>21</w:t>
          </w:r>
          <w:r>
            <w:fldChar w:fldCharType="end"/>
          </w:r>
          <w:r>
            <w:fldChar w:fldCharType="end"/>
          </w:r>
        </w:p>
        <w:p w14:paraId="3F889B09">
          <w:pPr>
            <w:pStyle w:val="18"/>
            <w:tabs>
              <w:tab w:val="left" w:pos="840"/>
              <w:tab w:val="right" w:leader="dot" w:pos="8630"/>
            </w:tabs>
            <w:ind w:left="440"/>
            <w:rPr>
              <w:kern w:val="2"/>
              <w:sz w:val="21"/>
              <w:lang w:eastAsia="zh-CN"/>
            </w:rPr>
          </w:pPr>
          <w:r>
            <w:fldChar w:fldCharType="begin"/>
          </w:r>
          <w:r>
            <w:instrText xml:space="preserve"> HYPERLINK \l "_Toc495603786" </w:instrText>
          </w:r>
          <w:r>
            <w:fldChar w:fldCharType="separate"/>
          </w:r>
          <w:r>
            <w:rPr>
              <w:rStyle w:val="21"/>
              <w:rFonts w:ascii="Arial" w:hAnsi="Arial" w:cs="Arial"/>
              <w:spacing w:val="1"/>
            </w:rPr>
            <w:t>a.</w:t>
          </w:r>
          <w:r>
            <w:rPr>
              <w:kern w:val="2"/>
              <w:sz w:val="21"/>
              <w:lang w:eastAsia="zh-CN"/>
            </w:rPr>
            <w:tab/>
          </w:r>
          <w:r>
            <w:rPr>
              <w:rStyle w:val="21"/>
              <w:rFonts w:hint="eastAsia" w:ascii="Arial" w:hAnsi="Arial" w:eastAsia="宋体" w:cs="Arial"/>
              <w:lang w:eastAsia="zh-CN"/>
            </w:rPr>
            <w:t>预期用途</w:t>
          </w:r>
          <w:r>
            <w:tab/>
          </w:r>
          <w:r>
            <w:fldChar w:fldCharType="begin"/>
          </w:r>
          <w:r>
            <w:instrText xml:space="preserve"> PAGEREF _Toc495603786 \h </w:instrText>
          </w:r>
          <w:r>
            <w:fldChar w:fldCharType="separate"/>
          </w:r>
          <w:r>
            <w:t>22</w:t>
          </w:r>
          <w:r>
            <w:fldChar w:fldCharType="end"/>
          </w:r>
          <w:r>
            <w:fldChar w:fldCharType="end"/>
          </w:r>
        </w:p>
        <w:p w14:paraId="59AF0FA4">
          <w:pPr>
            <w:pStyle w:val="18"/>
            <w:tabs>
              <w:tab w:val="left" w:pos="840"/>
              <w:tab w:val="right" w:leader="dot" w:pos="8630"/>
            </w:tabs>
            <w:ind w:left="440"/>
            <w:rPr>
              <w:kern w:val="2"/>
              <w:sz w:val="21"/>
              <w:lang w:eastAsia="zh-CN"/>
            </w:rPr>
          </w:pPr>
          <w:r>
            <w:fldChar w:fldCharType="begin"/>
          </w:r>
          <w:r>
            <w:instrText xml:space="preserve"> HYPERLINK \l "_Toc495603787" </w:instrText>
          </w:r>
          <w:r>
            <w:fldChar w:fldCharType="separate"/>
          </w:r>
          <w:r>
            <w:rPr>
              <w:rStyle w:val="21"/>
              <w:rFonts w:ascii="Arial" w:hAnsi="Arial" w:cs="Arial"/>
              <w:spacing w:val="1"/>
              <w:lang w:eastAsia="zh-CN"/>
            </w:rPr>
            <w:t>b.</w:t>
          </w:r>
          <w:r>
            <w:rPr>
              <w:kern w:val="2"/>
              <w:sz w:val="21"/>
              <w:lang w:eastAsia="zh-CN"/>
            </w:rPr>
            <w:tab/>
          </w:r>
          <w:r>
            <w:rPr>
              <w:rStyle w:val="21"/>
              <w:rFonts w:hint="eastAsia" w:ascii="Arial" w:hAnsi="Arial" w:eastAsia="宋体" w:cs="Arial"/>
              <w:lang w:eastAsia="zh-CN"/>
            </w:rPr>
            <w:t>器械说明</w:t>
          </w:r>
          <w:r>
            <w:tab/>
          </w:r>
          <w:r>
            <w:fldChar w:fldCharType="begin"/>
          </w:r>
          <w:r>
            <w:instrText xml:space="preserve"> PAGEREF _Toc495603787 \h </w:instrText>
          </w:r>
          <w:r>
            <w:fldChar w:fldCharType="separate"/>
          </w:r>
          <w:r>
            <w:t>22</w:t>
          </w:r>
          <w:r>
            <w:fldChar w:fldCharType="end"/>
          </w:r>
          <w:r>
            <w:fldChar w:fldCharType="end"/>
          </w:r>
        </w:p>
        <w:p w14:paraId="0CF85FF0">
          <w:pPr>
            <w:pStyle w:val="18"/>
            <w:tabs>
              <w:tab w:val="left" w:pos="840"/>
              <w:tab w:val="right" w:leader="dot" w:pos="8630"/>
            </w:tabs>
            <w:ind w:left="440"/>
            <w:rPr>
              <w:kern w:val="2"/>
              <w:sz w:val="21"/>
              <w:lang w:eastAsia="zh-CN"/>
            </w:rPr>
          </w:pPr>
          <w:r>
            <w:fldChar w:fldCharType="begin"/>
          </w:r>
          <w:r>
            <w:instrText xml:space="preserve"> HYPERLINK \l "_Toc495603788" </w:instrText>
          </w:r>
          <w:r>
            <w:fldChar w:fldCharType="separate"/>
          </w:r>
          <w:r>
            <w:rPr>
              <w:rStyle w:val="21"/>
              <w:rFonts w:ascii="Arial" w:hAnsi="Arial" w:cs="Arial"/>
              <w:spacing w:val="1"/>
            </w:rPr>
            <w:t>c.</w:t>
          </w:r>
          <w:r>
            <w:rPr>
              <w:kern w:val="2"/>
              <w:sz w:val="21"/>
              <w:lang w:eastAsia="zh-CN"/>
            </w:rPr>
            <w:tab/>
          </w:r>
          <w:r>
            <w:rPr>
              <w:rStyle w:val="21"/>
              <w:rFonts w:hint="eastAsia" w:ascii="Arial" w:hAnsi="Arial" w:eastAsia="宋体" w:cs="Arial"/>
              <w:lang w:eastAsia="zh-CN"/>
            </w:rPr>
            <w:t>检测程序</w:t>
          </w:r>
          <w:r>
            <w:tab/>
          </w:r>
          <w:r>
            <w:fldChar w:fldCharType="begin"/>
          </w:r>
          <w:r>
            <w:instrText xml:space="preserve"> PAGEREF _Toc495603788 \h </w:instrText>
          </w:r>
          <w:r>
            <w:fldChar w:fldCharType="separate"/>
          </w:r>
          <w:r>
            <w:t>22</w:t>
          </w:r>
          <w:r>
            <w:fldChar w:fldCharType="end"/>
          </w:r>
          <w:r>
            <w:fldChar w:fldCharType="end"/>
          </w:r>
        </w:p>
        <w:p w14:paraId="1EBA4AFF">
          <w:pPr>
            <w:pStyle w:val="18"/>
            <w:tabs>
              <w:tab w:val="left" w:pos="840"/>
              <w:tab w:val="right" w:leader="dot" w:pos="8630"/>
            </w:tabs>
            <w:ind w:left="440"/>
            <w:rPr>
              <w:kern w:val="2"/>
              <w:sz w:val="21"/>
              <w:lang w:eastAsia="zh-CN"/>
            </w:rPr>
          </w:pPr>
          <w:r>
            <w:fldChar w:fldCharType="begin"/>
          </w:r>
          <w:r>
            <w:instrText xml:space="preserve"> HYPERLINK \l "_Toc495603789" </w:instrText>
          </w:r>
          <w:r>
            <w:fldChar w:fldCharType="separate"/>
          </w:r>
          <w:r>
            <w:rPr>
              <w:rStyle w:val="21"/>
              <w:rFonts w:ascii="Arial" w:hAnsi="Arial" w:cs="Arial"/>
              <w:spacing w:val="1"/>
            </w:rPr>
            <w:t>d.</w:t>
          </w:r>
          <w:r>
            <w:rPr>
              <w:kern w:val="2"/>
              <w:sz w:val="21"/>
              <w:lang w:eastAsia="zh-CN"/>
            </w:rPr>
            <w:tab/>
          </w:r>
          <w:r>
            <w:rPr>
              <w:rStyle w:val="21"/>
              <w:rFonts w:hint="eastAsia" w:ascii="Arial" w:hAnsi="Arial" w:eastAsia="宋体" w:cs="Arial"/>
              <w:lang w:eastAsia="zh-CN"/>
            </w:rPr>
            <w:t>使用说明</w:t>
          </w:r>
          <w:r>
            <w:tab/>
          </w:r>
          <w:r>
            <w:fldChar w:fldCharType="begin"/>
          </w:r>
          <w:r>
            <w:instrText xml:space="preserve"> PAGEREF _Toc495603789 \h </w:instrText>
          </w:r>
          <w:r>
            <w:fldChar w:fldCharType="separate"/>
          </w:r>
          <w:r>
            <w:t>22</w:t>
          </w:r>
          <w:r>
            <w:fldChar w:fldCharType="end"/>
          </w:r>
          <w:r>
            <w:fldChar w:fldCharType="end"/>
          </w:r>
        </w:p>
        <w:p w14:paraId="32267A50">
          <w:pPr>
            <w:pStyle w:val="18"/>
            <w:tabs>
              <w:tab w:val="left" w:pos="840"/>
              <w:tab w:val="right" w:leader="dot" w:pos="8630"/>
            </w:tabs>
            <w:ind w:left="440"/>
            <w:rPr>
              <w:kern w:val="2"/>
              <w:sz w:val="21"/>
              <w:lang w:eastAsia="zh-CN"/>
            </w:rPr>
          </w:pPr>
          <w:r>
            <w:fldChar w:fldCharType="begin"/>
          </w:r>
          <w:r>
            <w:instrText xml:space="preserve"> HYPERLINK \l "_Toc495603790" </w:instrText>
          </w:r>
          <w:r>
            <w:fldChar w:fldCharType="separate"/>
          </w:r>
          <w:r>
            <w:rPr>
              <w:rStyle w:val="21"/>
              <w:rFonts w:ascii="Arial" w:hAnsi="Arial" w:cs="Arial"/>
              <w:spacing w:val="1"/>
            </w:rPr>
            <w:t>e.</w:t>
          </w:r>
          <w:r>
            <w:rPr>
              <w:kern w:val="2"/>
              <w:sz w:val="21"/>
              <w:lang w:eastAsia="zh-CN"/>
            </w:rPr>
            <w:tab/>
          </w:r>
          <w:r>
            <w:rPr>
              <w:rStyle w:val="21"/>
              <w:rFonts w:hint="eastAsia" w:ascii="Arial" w:hAnsi="Arial" w:eastAsia="宋体" w:cs="Arial"/>
              <w:lang w:eastAsia="zh-CN"/>
            </w:rPr>
            <w:t>质量控制</w:t>
          </w:r>
          <w:r>
            <w:tab/>
          </w:r>
          <w:r>
            <w:fldChar w:fldCharType="begin"/>
          </w:r>
          <w:r>
            <w:instrText xml:space="preserve"> PAGEREF _Toc495603790 \h </w:instrText>
          </w:r>
          <w:r>
            <w:fldChar w:fldCharType="separate"/>
          </w:r>
          <w:r>
            <w:t>22</w:t>
          </w:r>
          <w:r>
            <w:fldChar w:fldCharType="end"/>
          </w:r>
          <w:r>
            <w:fldChar w:fldCharType="end"/>
          </w:r>
        </w:p>
        <w:p w14:paraId="7F36FB92">
          <w:pPr>
            <w:pStyle w:val="18"/>
            <w:tabs>
              <w:tab w:val="left" w:pos="840"/>
              <w:tab w:val="right" w:leader="dot" w:pos="8630"/>
            </w:tabs>
            <w:ind w:left="440"/>
            <w:rPr>
              <w:kern w:val="2"/>
              <w:sz w:val="21"/>
              <w:lang w:eastAsia="zh-CN"/>
            </w:rPr>
          </w:pPr>
          <w:r>
            <w:fldChar w:fldCharType="begin"/>
          </w:r>
          <w:r>
            <w:instrText xml:space="preserve"> HYPERLINK \l "_Toc495603791" </w:instrText>
          </w:r>
          <w:r>
            <w:fldChar w:fldCharType="separate"/>
          </w:r>
          <w:r>
            <w:rPr>
              <w:rStyle w:val="21"/>
              <w:rFonts w:ascii="Arial" w:hAnsi="Arial" w:cs="Arial"/>
              <w:spacing w:val="1"/>
              <w:lang w:eastAsia="zh-CN"/>
            </w:rPr>
            <w:t>f.</w:t>
          </w:r>
          <w:r>
            <w:rPr>
              <w:kern w:val="2"/>
              <w:sz w:val="21"/>
              <w:lang w:eastAsia="zh-CN"/>
            </w:rPr>
            <w:tab/>
          </w:r>
          <w:r>
            <w:rPr>
              <w:rStyle w:val="21"/>
              <w:rFonts w:hint="eastAsia" w:ascii="Arial" w:hAnsi="Arial" w:eastAsia="宋体" w:cs="Arial"/>
              <w:lang w:eastAsia="zh-CN"/>
            </w:rPr>
            <w:t>警告、禁忌症、预防措施和局限性</w:t>
          </w:r>
          <w:r>
            <w:tab/>
          </w:r>
          <w:r>
            <w:fldChar w:fldCharType="begin"/>
          </w:r>
          <w:r>
            <w:instrText xml:space="preserve"> PAGEREF _Toc495603791 \h </w:instrText>
          </w:r>
          <w:r>
            <w:fldChar w:fldCharType="separate"/>
          </w:r>
          <w:r>
            <w:t>22</w:t>
          </w:r>
          <w:r>
            <w:fldChar w:fldCharType="end"/>
          </w:r>
          <w:r>
            <w:fldChar w:fldCharType="end"/>
          </w:r>
        </w:p>
        <w:p w14:paraId="53D2E6AF">
          <w:pPr>
            <w:pStyle w:val="18"/>
            <w:tabs>
              <w:tab w:val="left" w:pos="840"/>
              <w:tab w:val="right" w:leader="dot" w:pos="8630"/>
            </w:tabs>
            <w:ind w:left="440"/>
            <w:rPr>
              <w:kern w:val="2"/>
              <w:sz w:val="21"/>
              <w:lang w:eastAsia="zh-CN"/>
            </w:rPr>
          </w:pPr>
          <w:r>
            <w:fldChar w:fldCharType="begin"/>
          </w:r>
          <w:r>
            <w:instrText xml:space="preserve"> HYPERLINK \l "_Toc495603792" </w:instrText>
          </w:r>
          <w:r>
            <w:fldChar w:fldCharType="separate"/>
          </w:r>
          <w:r>
            <w:rPr>
              <w:rStyle w:val="21"/>
              <w:rFonts w:ascii="Arial" w:hAnsi="Arial" w:cs="Arial"/>
              <w:spacing w:val="1"/>
            </w:rPr>
            <w:t>g.</w:t>
          </w:r>
          <w:r>
            <w:rPr>
              <w:kern w:val="2"/>
              <w:sz w:val="21"/>
              <w:lang w:eastAsia="zh-CN"/>
            </w:rPr>
            <w:tab/>
          </w:r>
          <w:r>
            <w:rPr>
              <w:rStyle w:val="21"/>
              <w:rFonts w:hint="eastAsia" w:ascii="Arial" w:hAnsi="Arial" w:eastAsia="宋体" w:cs="Arial"/>
              <w:lang w:eastAsia="zh-CN"/>
            </w:rPr>
            <w:t>标本采集</w:t>
          </w:r>
          <w:r>
            <w:tab/>
          </w:r>
          <w:r>
            <w:fldChar w:fldCharType="begin"/>
          </w:r>
          <w:r>
            <w:instrText xml:space="preserve"> PAGEREF _Toc495603792 \h </w:instrText>
          </w:r>
          <w:r>
            <w:fldChar w:fldCharType="separate"/>
          </w:r>
          <w:r>
            <w:t>23</w:t>
          </w:r>
          <w:r>
            <w:fldChar w:fldCharType="end"/>
          </w:r>
          <w:r>
            <w:fldChar w:fldCharType="end"/>
          </w:r>
        </w:p>
        <w:p w14:paraId="5496DC9C">
          <w:pPr>
            <w:pStyle w:val="18"/>
            <w:tabs>
              <w:tab w:val="left" w:pos="840"/>
              <w:tab w:val="right" w:leader="dot" w:pos="8630"/>
            </w:tabs>
            <w:ind w:left="440"/>
            <w:rPr>
              <w:kern w:val="2"/>
              <w:sz w:val="21"/>
              <w:lang w:eastAsia="zh-CN"/>
            </w:rPr>
          </w:pPr>
          <w:r>
            <w:fldChar w:fldCharType="begin"/>
          </w:r>
          <w:r>
            <w:instrText xml:space="preserve"> HYPERLINK \l "_Toc495603793" </w:instrText>
          </w:r>
          <w:r>
            <w:fldChar w:fldCharType="separate"/>
          </w:r>
          <w:r>
            <w:rPr>
              <w:rStyle w:val="21"/>
              <w:rFonts w:ascii="Arial" w:hAnsi="Arial" w:cs="Arial"/>
              <w:spacing w:val="1"/>
            </w:rPr>
            <w:t>h.</w:t>
          </w:r>
          <w:r>
            <w:rPr>
              <w:kern w:val="2"/>
              <w:sz w:val="21"/>
              <w:lang w:eastAsia="zh-CN"/>
            </w:rPr>
            <w:tab/>
          </w:r>
          <w:r>
            <w:rPr>
              <w:rStyle w:val="21"/>
              <w:rFonts w:hint="eastAsia" w:ascii="Arial" w:hAnsi="Arial" w:eastAsia="宋体" w:cs="Arial"/>
              <w:lang w:eastAsia="zh-CN"/>
            </w:rPr>
            <w:t>解释并报告检测结果</w:t>
          </w:r>
          <w:r>
            <w:tab/>
          </w:r>
          <w:r>
            <w:fldChar w:fldCharType="begin"/>
          </w:r>
          <w:r>
            <w:instrText xml:space="preserve"> PAGEREF _Toc495603793 \h </w:instrText>
          </w:r>
          <w:r>
            <w:fldChar w:fldCharType="separate"/>
          </w:r>
          <w:r>
            <w:t>23</w:t>
          </w:r>
          <w:r>
            <w:fldChar w:fldCharType="end"/>
          </w:r>
          <w:r>
            <w:fldChar w:fldCharType="end"/>
          </w:r>
        </w:p>
        <w:p w14:paraId="4B44C6A3">
          <w:pPr>
            <w:pStyle w:val="18"/>
            <w:tabs>
              <w:tab w:val="left" w:pos="840"/>
              <w:tab w:val="right" w:leader="dot" w:pos="8630"/>
            </w:tabs>
            <w:ind w:left="440"/>
            <w:rPr>
              <w:kern w:val="2"/>
              <w:sz w:val="21"/>
              <w:lang w:eastAsia="zh-CN"/>
            </w:rPr>
          </w:pPr>
          <w:r>
            <w:fldChar w:fldCharType="begin"/>
          </w:r>
          <w:r>
            <w:instrText xml:space="preserve"> HYPERLINK \l "_Toc495603794" </w:instrText>
          </w:r>
          <w:r>
            <w:fldChar w:fldCharType="separate"/>
          </w:r>
          <w:r>
            <w:rPr>
              <w:rStyle w:val="21"/>
              <w:rFonts w:ascii="Arial" w:hAnsi="Arial" w:cs="Arial"/>
              <w:spacing w:val="1"/>
            </w:rPr>
            <w:t>i.</w:t>
          </w:r>
          <w:r>
            <w:rPr>
              <w:kern w:val="2"/>
              <w:sz w:val="21"/>
              <w:lang w:eastAsia="zh-CN"/>
            </w:rPr>
            <w:tab/>
          </w:r>
          <w:r>
            <w:rPr>
              <w:rStyle w:val="21"/>
              <w:rFonts w:hint="eastAsia" w:ascii="Arial" w:hAnsi="Arial" w:eastAsia="宋体" w:cs="Arial"/>
              <w:lang w:eastAsia="zh-CN"/>
            </w:rPr>
            <w:t>性能特点</w:t>
          </w:r>
          <w:r>
            <w:tab/>
          </w:r>
          <w:r>
            <w:fldChar w:fldCharType="begin"/>
          </w:r>
          <w:r>
            <w:instrText xml:space="preserve"> PAGEREF _Toc495603794 \h </w:instrText>
          </w:r>
          <w:r>
            <w:fldChar w:fldCharType="separate"/>
          </w:r>
          <w:r>
            <w:t>23</w:t>
          </w:r>
          <w:r>
            <w:fldChar w:fldCharType="end"/>
          </w:r>
          <w:r>
            <w:fldChar w:fldCharType="end"/>
          </w:r>
        </w:p>
        <w:p w14:paraId="0C1F1891">
          <w:pPr>
            <w:pStyle w:val="15"/>
            <w:tabs>
              <w:tab w:val="left" w:pos="1680"/>
              <w:tab w:val="right" w:leader="dot" w:pos="8630"/>
            </w:tabs>
            <w:ind w:left="1320"/>
            <w:rPr>
              <w:kern w:val="2"/>
              <w:sz w:val="21"/>
              <w:lang w:eastAsia="zh-CN"/>
            </w:rPr>
          </w:pPr>
          <w:r>
            <w:fldChar w:fldCharType="begin"/>
          </w:r>
          <w:r>
            <w:instrText xml:space="preserve"> HYPERLINK \l "_Toc495603795" </w:instrText>
          </w:r>
          <w:r>
            <w:fldChar w:fldCharType="separate"/>
          </w:r>
          <w:r>
            <w:rPr>
              <w:rStyle w:val="21"/>
              <w:rFonts w:ascii="Arial" w:hAnsi="Arial" w:cs="Arial"/>
              <w:lang w:eastAsia="zh-CN"/>
            </w:rPr>
            <w:t>9.</w:t>
          </w:r>
          <w:r>
            <w:rPr>
              <w:kern w:val="2"/>
              <w:sz w:val="21"/>
              <w:lang w:eastAsia="zh-CN"/>
            </w:rPr>
            <w:tab/>
          </w:r>
          <w:r>
            <w:rPr>
              <w:rStyle w:val="21"/>
              <w:rFonts w:hint="eastAsia" w:ascii="Arial" w:hAnsi="Arial" w:eastAsia="宋体" w:cs="Arial"/>
              <w:lang w:eastAsia="zh-CN"/>
            </w:rPr>
            <w:t>参考文件</w:t>
          </w:r>
          <w:r>
            <w:tab/>
          </w:r>
          <w:r>
            <w:fldChar w:fldCharType="begin"/>
          </w:r>
          <w:r>
            <w:instrText xml:space="preserve"> PAGEREF _Toc495603795 \h </w:instrText>
          </w:r>
          <w:r>
            <w:fldChar w:fldCharType="separate"/>
          </w:r>
          <w:r>
            <w:t>24</w:t>
          </w:r>
          <w:r>
            <w:fldChar w:fldCharType="end"/>
          </w:r>
          <w:r>
            <w:fldChar w:fldCharType="end"/>
          </w:r>
        </w:p>
        <w:p w14:paraId="3D9D485F">
          <w:pPr>
            <w:tabs>
              <w:tab w:val="right" w:pos="8640"/>
            </w:tabs>
            <w:rPr>
              <w:rFonts w:ascii="Arial" w:hAnsi="Arial" w:cs="Arial"/>
            </w:rPr>
          </w:pPr>
          <w:r>
            <w:rPr>
              <w:rFonts w:ascii="Arial" w:hAnsi="Arial" w:eastAsia="宋体" w:cs="Arial"/>
              <w:b/>
              <w:sz w:val="24"/>
            </w:rPr>
            <w:fldChar w:fldCharType="end"/>
          </w:r>
        </w:p>
      </w:sdtContent>
    </w:sdt>
    <w:p w14:paraId="277C1F21">
      <w:pPr>
        <w:rPr>
          <w:rFonts w:ascii="Arial" w:hAnsi="Arial" w:eastAsia="宋体" w:cs="Arial"/>
          <w:b/>
          <w:bCs/>
          <w:sz w:val="48"/>
          <w:szCs w:val="48"/>
          <w:lang w:eastAsia="zh-CN"/>
        </w:rPr>
      </w:pPr>
    </w:p>
    <w:p w14:paraId="342BF020">
      <w:pPr>
        <w:pStyle w:val="33"/>
        <w:overflowPunct w:val="0"/>
        <w:snapToGrid w:val="0"/>
        <w:spacing w:before="18" w:line="300" w:lineRule="auto"/>
        <w:ind w:firstLine="9"/>
        <w:jc w:val="center"/>
        <w:rPr>
          <w:rFonts w:ascii="Arial" w:hAnsi="Arial" w:eastAsia="宋体" w:cs="Arial"/>
          <w:lang w:eastAsia="zh-CN"/>
        </w:rPr>
        <w:sectPr>
          <w:pgSz w:w="12240" w:h="15840"/>
          <w:pgMar w:top="1440" w:right="1800" w:bottom="1440" w:left="1800" w:header="0" w:footer="1025" w:gutter="0"/>
          <w:cols w:space="720" w:num="1"/>
          <w:docGrid w:linePitch="299" w:charSpace="0"/>
        </w:sectPr>
      </w:pPr>
      <w:bookmarkStart w:id="6" w:name="Introduction"/>
      <w:bookmarkEnd w:id="6"/>
    </w:p>
    <w:p w14:paraId="503843C4">
      <w:pPr>
        <w:overflowPunct w:val="0"/>
        <w:snapToGrid w:val="0"/>
        <w:spacing w:line="300" w:lineRule="auto"/>
        <w:jc w:val="center"/>
        <w:rPr>
          <w:rFonts w:ascii="Arial" w:hAnsi="Arial" w:eastAsia="宋体" w:cs="Arial"/>
          <w:b/>
          <w:sz w:val="48"/>
          <w:lang w:eastAsia="zh-CN"/>
        </w:rPr>
      </w:pPr>
      <w:r>
        <w:rPr>
          <w:rFonts w:ascii="Arial" w:hAnsi="Arial" w:eastAsia="宋体" w:cs="Arial"/>
          <w:b/>
          <w:sz w:val="48"/>
          <w:lang w:eastAsia="zh-CN"/>
        </w:rPr>
        <w:t>II类特殊控制</w:t>
      </w:r>
      <w:bookmarkStart w:id="7" w:name="OLE_LINK30"/>
      <w:bookmarkStart w:id="8" w:name="OLE_LINK31"/>
      <w:r>
        <w:rPr>
          <w:rFonts w:hint="eastAsia" w:ascii="Arial" w:hAnsi="Arial" w:eastAsia="宋体" w:cs="Arial"/>
          <w:b/>
          <w:sz w:val="48"/>
          <w:lang w:eastAsia="zh-CN"/>
        </w:rPr>
        <w:t>指南：</w:t>
      </w:r>
      <w:r>
        <w:rPr>
          <w:rFonts w:ascii="Arial" w:hAnsi="Arial" w:eastAsia="宋体" w:cs="Arial"/>
          <w:b/>
          <w:sz w:val="48"/>
          <w:lang w:eastAsia="zh-CN"/>
        </w:rPr>
        <w:t>多重核酸</w:t>
      </w:r>
      <w:bookmarkEnd w:id="7"/>
      <w:bookmarkEnd w:id="8"/>
      <w:r>
        <w:rPr>
          <w:rFonts w:hint="eastAsia" w:ascii="Arial" w:hAnsi="Arial" w:eastAsia="宋体" w:cs="Arial"/>
          <w:b/>
          <w:sz w:val="48"/>
          <w:lang w:eastAsia="zh-CN"/>
        </w:rPr>
        <w:t>检测试剂盒用于鉴定</w:t>
      </w:r>
      <w:r>
        <w:rPr>
          <w:rFonts w:ascii="Arial" w:hAnsi="Arial" w:eastAsia="宋体" w:cs="Arial"/>
          <w:b/>
          <w:sz w:val="48"/>
          <w:lang w:eastAsia="zh-CN"/>
        </w:rPr>
        <w:t>阳性血培养中</w:t>
      </w:r>
      <w:r>
        <w:rPr>
          <w:rFonts w:hint="eastAsia" w:ascii="Arial" w:hAnsi="Arial" w:eastAsia="宋体" w:cs="Arial"/>
          <w:b/>
          <w:sz w:val="48"/>
          <w:lang w:eastAsia="zh-CN"/>
        </w:rPr>
        <w:t>的</w:t>
      </w:r>
      <w:r>
        <w:rPr>
          <w:rFonts w:ascii="Arial" w:hAnsi="Arial" w:eastAsia="宋体" w:cs="Arial"/>
          <w:b/>
          <w:sz w:val="48"/>
          <w:lang w:eastAsia="zh-CN"/>
        </w:rPr>
        <w:t>微生物和抗性标记</w:t>
      </w:r>
      <w:r>
        <w:rPr>
          <w:rFonts w:hint="eastAsia" w:ascii="Arial" w:hAnsi="Arial" w:eastAsia="宋体" w:cs="Arial"/>
          <w:b/>
          <w:sz w:val="48"/>
          <w:lang w:eastAsia="zh-CN"/>
        </w:rPr>
        <w:t>物</w:t>
      </w:r>
    </w:p>
    <w:p w14:paraId="38EFEB0C">
      <w:pPr>
        <w:overflowPunct w:val="0"/>
        <w:snapToGrid w:val="0"/>
        <w:spacing w:before="9" w:line="300" w:lineRule="auto"/>
        <w:jc w:val="both"/>
        <w:rPr>
          <w:rFonts w:ascii="Arial" w:hAnsi="Arial" w:eastAsia="宋体" w:cs="Arial"/>
          <w:b/>
          <w:bCs/>
          <w:sz w:val="17"/>
          <w:szCs w:val="17"/>
          <w:lang w:eastAsia="zh-CN"/>
        </w:rPr>
      </w:pPr>
    </w:p>
    <w:p w14:paraId="28BA60D3">
      <w:pPr>
        <w:overflowPunct w:val="0"/>
        <w:snapToGrid w:val="0"/>
        <w:spacing w:line="300" w:lineRule="auto"/>
        <w:jc w:val="both"/>
        <w:rPr>
          <w:rFonts w:ascii="Arial" w:hAnsi="Arial" w:eastAsia="宋体" w:cs="Arial"/>
          <w:sz w:val="2"/>
          <w:szCs w:val="2"/>
          <w:lang w:eastAsia="zh-CN"/>
        </w:rPr>
      </w:pPr>
    </w:p>
    <w:p w14:paraId="267155B4">
      <w:pPr>
        <w:overflowPunct w:val="0"/>
        <w:snapToGrid w:val="0"/>
        <w:spacing w:line="300" w:lineRule="auto"/>
        <w:jc w:val="center"/>
        <w:rPr>
          <w:rFonts w:ascii="Arial" w:hAnsi="Arial" w:eastAsia="宋体" w:cs="Arial"/>
          <w:b/>
          <w:sz w:val="48"/>
          <w:lang w:eastAsia="zh-CN"/>
        </w:rPr>
      </w:pPr>
      <w:r>
        <w:rPr>
          <w:rFonts w:ascii="Arial" w:hAnsi="Arial" w:eastAsia="宋体" w:cs="Arial"/>
          <w:b/>
          <w:sz w:val="48"/>
          <w:lang w:eastAsia="zh-CN"/>
        </w:rPr>
        <w:t>行业</w:t>
      </w:r>
      <w:r>
        <w:rPr>
          <w:rFonts w:hint="eastAsia" w:ascii="Arial" w:hAnsi="Arial" w:eastAsia="宋体" w:cs="Arial"/>
          <w:b/>
          <w:sz w:val="48"/>
          <w:lang w:eastAsia="zh-CN"/>
        </w:rPr>
        <w:t>及</w:t>
      </w:r>
      <w:r>
        <w:rPr>
          <w:rFonts w:ascii="Arial" w:hAnsi="Arial" w:eastAsia="宋体" w:cs="Arial"/>
          <w:b/>
          <w:sz w:val="48"/>
          <w:lang w:eastAsia="zh-CN"/>
        </w:rPr>
        <w:t>食品药品监督管理局工作人员</w:t>
      </w:r>
      <w:r>
        <w:rPr>
          <w:rFonts w:hint="eastAsia" w:ascii="Arial" w:hAnsi="Arial" w:eastAsia="宋体" w:cs="Arial"/>
          <w:b/>
          <w:sz w:val="48"/>
          <w:lang w:eastAsia="zh-CN"/>
        </w:rPr>
        <w:t>指南</w:t>
      </w:r>
    </w:p>
    <w:p w14:paraId="2D2BD854">
      <w:pPr>
        <w:overflowPunct w:val="0"/>
        <w:snapToGrid w:val="0"/>
        <w:spacing w:line="300" w:lineRule="auto"/>
        <w:jc w:val="both"/>
        <w:rPr>
          <w:rFonts w:ascii="Arial" w:hAnsi="Arial" w:eastAsia="宋体" w:cs="Arial"/>
          <w:b/>
          <w:bCs/>
          <w:sz w:val="48"/>
          <w:szCs w:val="48"/>
          <w:lang w:eastAsia="zh-CN"/>
        </w:rPr>
      </w:pPr>
    </w:p>
    <w:p w14:paraId="0AB55141">
      <w:pPr>
        <w:overflowPunct w:val="0"/>
        <w:snapToGrid w:val="0"/>
        <w:spacing w:before="10" w:line="300" w:lineRule="auto"/>
        <w:jc w:val="both"/>
        <w:rPr>
          <w:rFonts w:ascii="Arial" w:hAnsi="Arial" w:eastAsia="宋体" w:cs="Arial"/>
          <w:b/>
          <w:bCs/>
          <w:sz w:val="48"/>
          <w:szCs w:val="48"/>
          <w:lang w:eastAsia="zh-CN"/>
        </w:rPr>
      </w:pPr>
    </w:p>
    <w:p w14:paraId="2A6AEB92">
      <w:pPr>
        <w:pStyle w:val="35"/>
        <w:numPr>
          <w:ilvl w:val="0"/>
          <w:numId w:val="1"/>
        </w:numPr>
        <w:tabs>
          <w:tab w:val="left" w:pos="680"/>
        </w:tabs>
        <w:overflowPunct w:val="0"/>
        <w:snapToGrid w:val="0"/>
        <w:spacing w:after="120" w:afterLines="50" w:line="300" w:lineRule="auto"/>
        <w:ind w:left="539" w:hanging="539"/>
        <w:jc w:val="both"/>
        <w:outlineLvl w:val="0"/>
        <w:rPr>
          <w:rFonts w:ascii="Arial" w:hAnsi="Arial" w:eastAsia="宋体" w:cs="Arial"/>
          <w:b w:val="0"/>
          <w:bCs w:val="0"/>
        </w:rPr>
      </w:pPr>
      <w:bookmarkStart w:id="9" w:name="_bookmark0"/>
      <w:bookmarkEnd w:id="9"/>
      <w:bookmarkStart w:id="10" w:name="_Toc495603746"/>
      <w:r>
        <w:rPr>
          <w:rFonts w:ascii="Arial" w:hAnsi="Arial" w:eastAsia="宋体" w:cs="Arial"/>
          <w:lang w:eastAsia="zh-CN"/>
        </w:rPr>
        <w:t>前言</w:t>
      </w:r>
      <w:bookmarkEnd w:id="10"/>
    </w:p>
    <w:p w14:paraId="2266C66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本文件是特殊控制指导性文件，支持将</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w:t>
      </w:r>
      <w:r>
        <w:rPr>
          <w:rFonts w:hint="eastAsia" w:ascii="Arial" w:hAnsi="Arial" w:eastAsia="宋体" w:cs="Arial"/>
          <w:lang w:eastAsia="zh-CN"/>
        </w:rPr>
        <w:t>检测试剂盒</w:t>
      </w:r>
      <w:r>
        <w:rPr>
          <w:rFonts w:ascii="Arial" w:hAnsi="Arial" w:eastAsia="宋体" w:cs="Arial"/>
          <w:lang w:eastAsia="zh-CN"/>
        </w:rPr>
        <w:t>划分为II类（特殊控制）器械。</w:t>
      </w:r>
      <w:r>
        <w:rPr>
          <w:rFonts w:hint="eastAsia" w:ascii="Arial" w:hAnsi="Arial" w:eastAsia="宋体" w:cs="Arial"/>
          <w:lang w:eastAsia="zh-CN"/>
        </w:rPr>
        <w:t>用于</w:t>
      </w:r>
      <w:r>
        <w:rPr>
          <w:rFonts w:ascii="Arial" w:hAnsi="Arial" w:eastAsia="宋体" w:cs="Arial"/>
          <w:lang w:eastAsia="zh-CN"/>
        </w:rPr>
        <w:t>鉴定阳性血培养</w:t>
      </w:r>
      <w:r>
        <w:rPr>
          <w:rFonts w:hint="eastAsia" w:ascii="Arial" w:hAnsi="Arial" w:eastAsia="宋体" w:cs="Arial"/>
          <w:lang w:eastAsia="zh-CN"/>
        </w:rPr>
        <w:t>物</w:t>
      </w:r>
      <w:r>
        <w:rPr>
          <w:rFonts w:ascii="Arial" w:hAnsi="Arial" w:eastAsia="宋体" w:cs="Arial"/>
          <w:lang w:eastAsia="zh-CN"/>
        </w:rPr>
        <w:t>中微生物和抗性标记</w:t>
      </w:r>
      <w:r>
        <w:rPr>
          <w:rFonts w:hint="eastAsia" w:ascii="Arial" w:hAnsi="Arial" w:eastAsia="宋体" w:cs="Arial"/>
          <w:lang w:eastAsia="zh-CN"/>
        </w:rPr>
        <w:t>物</w:t>
      </w:r>
      <w:r>
        <w:rPr>
          <w:rFonts w:ascii="Arial" w:hAnsi="Arial" w:eastAsia="宋体" w:cs="Arial"/>
          <w:lang w:eastAsia="zh-CN"/>
        </w:rPr>
        <w:t>的</w:t>
      </w:r>
      <w:bookmarkStart w:id="11" w:name="OLE_LINK4"/>
      <w:bookmarkStart w:id="12" w:name="OLE_LINK3"/>
      <w:r>
        <w:rPr>
          <w:rFonts w:ascii="Arial" w:hAnsi="Arial" w:eastAsia="宋体" w:cs="Arial"/>
          <w:lang w:eastAsia="zh-CN"/>
        </w:rPr>
        <w:t>多重核酸</w:t>
      </w:r>
      <w:bookmarkEnd w:id="11"/>
      <w:bookmarkEnd w:id="12"/>
      <w:r>
        <w:rPr>
          <w:rFonts w:ascii="Arial" w:hAnsi="Arial" w:eastAsia="宋体" w:cs="Arial"/>
          <w:lang w:eastAsia="zh-CN"/>
        </w:rPr>
        <w:t>检测试剂盒是一种定性体外器械，预期同时检测并</w:t>
      </w:r>
      <w:r>
        <w:rPr>
          <w:rFonts w:hint="eastAsia" w:ascii="Arial" w:hAnsi="Arial" w:eastAsia="宋体" w:cs="Arial"/>
          <w:lang w:eastAsia="zh-CN"/>
        </w:rPr>
        <w:t>鉴定</w:t>
      </w:r>
      <w:r>
        <w:rPr>
          <w:rFonts w:ascii="Arial" w:hAnsi="Arial" w:eastAsia="宋体" w:cs="Arial"/>
          <w:lang w:eastAsia="zh-CN"/>
        </w:rPr>
        <w:t>革兰氏染色或其它微生物学染色呈阳性的血培养中的微生物核酸。器械检测微生物识别</w:t>
      </w:r>
      <w:r>
        <w:rPr>
          <w:rFonts w:hint="eastAsia" w:ascii="Arial" w:hAnsi="Arial" w:eastAsia="宋体" w:cs="Arial"/>
          <w:lang w:eastAsia="zh-CN"/>
        </w:rPr>
        <w:t>的特定</w:t>
      </w:r>
      <w:r>
        <w:rPr>
          <w:rFonts w:ascii="Arial" w:hAnsi="Arial" w:eastAsia="宋体" w:cs="Arial"/>
          <w:lang w:eastAsia="zh-CN"/>
        </w:rPr>
        <w:t>核酸序列</w:t>
      </w:r>
      <w:r>
        <w:rPr>
          <w:rFonts w:hint="eastAsia" w:ascii="Arial" w:hAnsi="Arial" w:eastAsia="宋体" w:cs="Arial"/>
          <w:lang w:eastAsia="zh-CN"/>
        </w:rPr>
        <w:t>以</w:t>
      </w:r>
      <w:r>
        <w:rPr>
          <w:rFonts w:ascii="Arial" w:hAnsi="Arial" w:eastAsia="宋体" w:cs="Arial"/>
          <w:lang w:eastAsia="zh-CN"/>
        </w:rPr>
        <w:t>及</w:t>
      </w:r>
      <w:r>
        <w:rPr>
          <w:rFonts w:hint="eastAsia" w:ascii="Arial" w:hAnsi="Arial" w:eastAsia="宋体" w:cs="Arial"/>
          <w:lang w:eastAsia="zh-CN"/>
        </w:rPr>
        <w:t>抗菌剂</w:t>
      </w:r>
      <w:r>
        <w:rPr>
          <w:rFonts w:ascii="Arial" w:hAnsi="Arial" w:eastAsia="宋体" w:cs="Arial"/>
          <w:lang w:eastAsia="zh-CN"/>
        </w:rPr>
        <w:t>耐药性。该器械与其它临床和实验室</w:t>
      </w:r>
      <w:r>
        <w:rPr>
          <w:rFonts w:hint="eastAsia" w:ascii="Arial" w:hAnsi="Arial" w:eastAsia="宋体" w:cs="Arial"/>
          <w:lang w:eastAsia="zh-CN"/>
        </w:rPr>
        <w:t>结果</w:t>
      </w:r>
      <w:r>
        <w:rPr>
          <w:rFonts w:ascii="Arial" w:hAnsi="Arial" w:eastAsia="宋体" w:cs="Arial"/>
          <w:lang w:eastAsia="zh-CN"/>
        </w:rPr>
        <w:t>结合使用</w:t>
      </w:r>
      <w:r>
        <w:rPr>
          <w:rFonts w:hint="eastAsia" w:ascii="Arial" w:hAnsi="Arial" w:eastAsia="宋体" w:cs="Arial"/>
          <w:lang w:eastAsia="zh-CN"/>
        </w:rPr>
        <w:t>时</w:t>
      </w:r>
      <w:r>
        <w:rPr>
          <w:rFonts w:ascii="Arial" w:hAnsi="Arial" w:eastAsia="宋体" w:cs="Arial"/>
          <w:lang w:eastAsia="zh-CN"/>
        </w:rPr>
        <w:t>，</w:t>
      </w:r>
      <w:r>
        <w:rPr>
          <w:rFonts w:hint="eastAsia" w:ascii="Arial" w:hAnsi="Arial" w:eastAsia="宋体" w:cs="Arial"/>
          <w:lang w:eastAsia="zh-CN"/>
        </w:rPr>
        <w:t>有助于</w:t>
      </w:r>
      <w:r>
        <w:rPr>
          <w:rFonts w:ascii="Arial" w:hAnsi="Arial" w:eastAsia="宋体" w:cs="Arial"/>
          <w:lang w:eastAsia="zh-CN"/>
        </w:rPr>
        <w:t>诊断血流感染。然而，该器械不能替代传统培养方法和敏感性试验。</w:t>
      </w:r>
    </w:p>
    <w:p w14:paraId="59DDFA07">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本指南指出FDA认为能减轻与这些器械相关健康风险的措施并提供合理的安全性和有效性保证。提交</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检测试剂盒510（k）的公司将需要（1）遵守特殊控制指南中提出的特定缓解措施，或（2）采用替代缓解措施，但需要证明贵公司指出的这些替代措施至少可提供等效的安全性和有效性保证并得到机构认可。</w:t>
      </w:r>
    </w:p>
    <w:p w14:paraId="0E8D0E85">
      <w:pPr>
        <w:pStyle w:val="35"/>
        <w:numPr>
          <w:ilvl w:val="0"/>
          <w:numId w:val="1"/>
        </w:numPr>
        <w:tabs>
          <w:tab w:val="left" w:pos="680"/>
        </w:tabs>
        <w:overflowPunct w:val="0"/>
        <w:snapToGrid w:val="0"/>
        <w:spacing w:after="120" w:afterLines="50" w:line="300" w:lineRule="auto"/>
        <w:ind w:left="539" w:hanging="539"/>
        <w:jc w:val="both"/>
        <w:outlineLvl w:val="0"/>
        <w:rPr>
          <w:rFonts w:ascii="Arial" w:hAnsi="Arial" w:eastAsia="宋体" w:cs="Arial"/>
          <w:lang w:eastAsia="zh-CN"/>
        </w:rPr>
      </w:pPr>
      <w:r>
        <w:rPr>
          <w:rFonts w:ascii="Arial" w:hAnsi="Arial" w:eastAsia="宋体" w:cs="Arial"/>
          <w:lang w:eastAsia="zh-CN"/>
        </w:rPr>
        <w:br w:type="page"/>
      </w:r>
      <w:bookmarkStart w:id="13" w:name="_bookmark1"/>
      <w:bookmarkEnd w:id="13"/>
      <w:bookmarkStart w:id="14" w:name="Bloodstream_Infections_(Bacteremia)_–_Ba"/>
      <w:bookmarkEnd w:id="14"/>
      <w:bookmarkStart w:id="15" w:name="Premarket_Notifications_–_Background"/>
      <w:bookmarkEnd w:id="15"/>
      <w:bookmarkStart w:id="16" w:name="_Toc495603747"/>
      <w:r>
        <w:rPr>
          <w:rFonts w:ascii="Arial" w:hAnsi="Arial" w:eastAsia="宋体" w:cs="Arial"/>
          <w:lang w:eastAsia="zh-CN"/>
        </w:rPr>
        <w:t>血流感染 （菌血症） – 背景</w:t>
      </w:r>
      <w:bookmarkEnd w:id="16"/>
    </w:p>
    <w:p w14:paraId="1E727A26">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菌血症是指血液（正常情况下为无菌体液）中存在细菌。菌血症通常是感染（例如肺炎、尿路感染</w:t>
      </w:r>
      <w:r>
        <w:rPr>
          <w:rFonts w:ascii="Arial" w:hAnsi="Arial" w:eastAsia="宋体" w:cs="Arial"/>
          <w:lang w:eastAsia="zh-CN"/>
        </w:rPr>
        <w:t>（UTI），也是常见的由留置导管导致的医院感染</w:t>
      </w:r>
      <w:r>
        <w:rPr>
          <w:rFonts w:ascii="Arial" w:hAnsi="Arial" w:eastAsia="宋体" w:cs="Arial"/>
          <w:sz w:val="24"/>
          <w:szCs w:val="24"/>
          <w:lang w:eastAsia="zh-CN"/>
        </w:rPr>
        <w:t>）并发症。未经治疗的菌血症本身可导致死亡率相对较高的</w:t>
      </w:r>
      <w:r>
        <w:rPr>
          <w:rFonts w:hint="eastAsia" w:ascii="Arial" w:hAnsi="Arial" w:eastAsia="宋体" w:cs="Arial"/>
          <w:sz w:val="24"/>
          <w:szCs w:val="24"/>
          <w:lang w:eastAsia="zh-CN"/>
        </w:rPr>
        <w:t>更</w:t>
      </w:r>
      <w:r>
        <w:rPr>
          <w:rFonts w:ascii="Arial" w:hAnsi="Arial" w:eastAsia="宋体" w:cs="Arial"/>
          <w:sz w:val="24"/>
          <w:szCs w:val="24"/>
          <w:lang w:eastAsia="zh-CN"/>
        </w:rPr>
        <w:t>严重并发症，如败血症、休克和深部感染（例如心内膜炎）。因此，及早诊断和治疗对患者有益。</w:t>
      </w:r>
    </w:p>
    <w:p w14:paraId="6B6239A7">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传统诊断方法包括疑似血流感染患者的血培养。使用自动血培养监测系统，将患者</w:t>
      </w:r>
      <w:r>
        <w:rPr>
          <w:rFonts w:hint="eastAsia" w:ascii="Arial" w:hAnsi="Arial" w:eastAsia="宋体" w:cs="Arial"/>
          <w:lang w:eastAsia="zh-CN"/>
        </w:rPr>
        <w:t>样本</w:t>
      </w:r>
      <w:r>
        <w:rPr>
          <w:rFonts w:ascii="Arial" w:hAnsi="Arial" w:eastAsia="宋体" w:cs="Arial"/>
          <w:lang w:eastAsia="zh-CN"/>
        </w:rPr>
        <w:t>添加至培养基并用血培养</w:t>
      </w:r>
      <w:r>
        <w:rPr>
          <w:rFonts w:hint="eastAsia" w:ascii="Arial" w:hAnsi="Arial" w:eastAsia="宋体" w:cs="Arial"/>
          <w:lang w:eastAsia="zh-CN"/>
        </w:rPr>
        <w:t>仪</w:t>
      </w:r>
      <w:r>
        <w:rPr>
          <w:rFonts w:ascii="Arial" w:hAnsi="Arial" w:eastAsia="宋体" w:cs="Arial"/>
          <w:lang w:eastAsia="zh-CN"/>
        </w:rPr>
        <w:t>进行培养，直到通过仪器信号检测到细菌生长。对阳性血培养材料进行革兰氏染色，记录结果，随后在各种培养基上培养血液</w:t>
      </w:r>
      <w:r>
        <w:rPr>
          <w:rFonts w:hint="eastAsia" w:ascii="Arial" w:hAnsi="Arial" w:eastAsia="宋体" w:cs="Arial"/>
          <w:lang w:eastAsia="zh-CN"/>
        </w:rPr>
        <w:t>样本</w:t>
      </w:r>
      <w:r>
        <w:rPr>
          <w:rFonts w:ascii="Arial" w:hAnsi="Arial" w:eastAsia="宋体" w:cs="Arial"/>
          <w:lang w:eastAsia="zh-CN"/>
        </w:rPr>
        <w:t>中的微生物，以支持微生物生长。记录微生物隔离群的物理和生化特性。实施进一步测试，利用各种生化反应最终确定微生物及其敏感类型。该过程可能需要2-3天。</w:t>
      </w:r>
    </w:p>
    <w:p w14:paraId="1128C47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一般来说，采集血培养样本后，</w:t>
      </w:r>
      <w:r>
        <w:rPr>
          <w:rFonts w:hint="eastAsia" w:ascii="Arial" w:hAnsi="Arial" w:eastAsia="宋体" w:cs="Arial"/>
          <w:lang w:eastAsia="zh-CN"/>
        </w:rPr>
        <w:t>将使用</w:t>
      </w:r>
      <w:r>
        <w:rPr>
          <w:rFonts w:ascii="Arial" w:hAnsi="Arial" w:eastAsia="宋体" w:cs="Arial"/>
          <w:lang w:eastAsia="zh-CN"/>
        </w:rPr>
        <w:t>广谱抗生素治疗疑似血流感染患者，以</w:t>
      </w:r>
      <w:r>
        <w:rPr>
          <w:rFonts w:hint="eastAsia" w:ascii="Arial" w:hAnsi="Arial" w:eastAsia="宋体" w:cs="Arial"/>
          <w:lang w:eastAsia="zh-CN"/>
        </w:rPr>
        <w:t>涵盖</w:t>
      </w:r>
      <w:r>
        <w:rPr>
          <w:rFonts w:ascii="Arial" w:hAnsi="Arial" w:eastAsia="宋体" w:cs="Arial"/>
          <w:lang w:eastAsia="zh-CN"/>
        </w:rPr>
        <w:t>革兰氏阴性和革兰氏阳性微生物及处理</w:t>
      </w:r>
      <w:r>
        <w:rPr>
          <w:rFonts w:hint="eastAsia" w:ascii="Arial" w:hAnsi="Arial" w:eastAsia="宋体" w:cs="Arial"/>
          <w:lang w:eastAsia="zh-CN"/>
        </w:rPr>
        <w:t>潜在的</w:t>
      </w:r>
      <w:r>
        <w:rPr>
          <w:rFonts w:ascii="Arial" w:hAnsi="Arial" w:eastAsia="宋体" w:cs="Arial"/>
          <w:lang w:eastAsia="zh-CN"/>
        </w:rPr>
        <w:t>耐药微生物。医生最容易获得的信息（12-24小时内）是来自阳性血培养瓶的革兰氏染色。可基于革兰氏染色结果（革兰氏阳性或革兰氏阴性微生物）</w:t>
      </w:r>
      <w:r>
        <w:rPr>
          <w:rFonts w:hint="eastAsia" w:ascii="Arial" w:hAnsi="Arial" w:eastAsia="宋体" w:cs="Arial"/>
          <w:lang w:eastAsia="zh-CN"/>
        </w:rPr>
        <w:t>变更</w:t>
      </w:r>
      <w:r>
        <w:rPr>
          <w:rFonts w:ascii="Arial" w:hAnsi="Arial" w:eastAsia="宋体" w:cs="Arial"/>
          <w:lang w:eastAsia="zh-CN"/>
        </w:rPr>
        <w:t>抗生素。完成微生物和药物敏感性的最终鉴定后，明确的微生物靶向治疗可再延迟1-2天。</w:t>
      </w:r>
    </w:p>
    <w:p w14:paraId="5C6F77B3">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初始的经验治疗是宽泛的且可能</w:t>
      </w:r>
      <w:r>
        <w:rPr>
          <w:rFonts w:hint="eastAsia" w:ascii="Arial" w:hAnsi="Arial" w:eastAsia="宋体" w:cs="Arial"/>
          <w:lang w:eastAsia="zh-CN"/>
        </w:rPr>
        <w:t>涵盖</w:t>
      </w:r>
      <w:r>
        <w:rPr>
          <w:rFonts w:ascii="Arial" w:hAnsi="Arial" w:eastAsia="宋体" w:cs="Arial"/>
          <w:lang w:eastAsia="zh-CN"/>
        </w:rPr>
        <w:t>/不</w:t>
      </w:r>
      <w:r>
        <w:rPr>
          <w:rFonts w:hint="eastAsia" w:ascii="Arial" w:hAnsi="Arial" w:eastAsia="宋体" w:cs="Arial"/>
          <w:lang w:eastAsia="zh-CN"/>
        </w:rPr>
        <w:t>涵盖</w:t>
      </w:r>
      <w:r>
        <w:rPr>
          <w:rFonts w:ascii="Arial" w:hAnsi="Arial" w:eastAsia="宋体" w:cs="Arial"/>
          <w:lang w:eastAsia="zh-CN"/>
        </w:rPr>
        <w:t>耐药微生物，这取决于医生的诊断水平和特定机构内耐药性的流行率。广谱抗生素治疗有弊端（例如过度广谱抗生素治疗可导致出现更多耐药菌和/或</w:t>
      </w:r>
      <w:bookmarkStart w:id="17" w:name="OLE_LINK5"/>
      <w:bookmarkStart w:id="18" w:name="OLE_LINK6"/>
      <w:r>
        <w:rPr>
          <w:rFonts w:ascii="Arial" w:hAnsi="Arial" w:eastAsia="宋体" w:cs="Arial"/>
          <w:lang w:eastAsia="zh-CN"/>
        </w:rPr>
        <w:t>艰难梭菌结肠炎</w:t>
      </w:r>
      <w:bookmarkEnd w:id="17"/>
      <w:bookmarkEnd w:id="18"/>
      <w:r>
        <w:rPr>
          <w:rFonts w:ascii="Arial" w:hAnsi="Arial" w:eastAsia="宋体" w:cs="Arial"/>
          <w:lang w:eastAsia="zh-CN"/>
        </w:rPr>
        <w:t>及其它抗生素毒性或副作用）。在传统鉴定方法的基础上添加更早确定微生物和相关抗性标记</w:t>
      </w:r>
      <w:r>
        <w:rPr>
          <w:rFonts w:hint="eastAsia" w:ascii="Arial" w:hAnsi="Arial" w:eastAsia="宋体" w:cs="Arial"/>
          <w:lang w:eastAsia="zh-CN"/>
        </w:rPr>
        <w:t>物</w:t>
      </w:r>
      <w:r>
        <w:rPr>
          <w:rFonts w:ascii="Arial" w:hAnsi="Arial" w:eastAsia="宋体" w:cs="Arial"/>
          <w:lang w:eastAsia="zh-CN"/>
        </w:rPr>
        <w:t>的方法，可以更早开始更明确的微生物靶向治疗，因此有益于疑似血流感染患者的治疗。</w:t>
      </w:r>
    </w:p>
    <w:p w14:paraId="2594F346">
      <w:pPr>
        <w:pStyle w:val="35"/>
        <w:numPr>
          <w:ilvl w:val="0"/>
          <w:numId w:val="1"/>
        </w:numPr>
        <w:tabs>
          <w:tab w:val="left" w:pos="680"/>
        </w:tabs>
        <w:overflowPunct w:val="0"/>
        <w:snapToGrid w:val="0"/>
        <w:spacing w:after="120" w:afterLines="50" w:line="300" w:lineRule="auto"/>
        <w:ind w:left="539" w:hanging="539"/>
        <w:jc w:val="both"/>
        <w:outlineLvl w:val="0"/>
        <w:rPr>
          <w:rFonts w:ascii="Arial" w:hAnsi="Arial" w:eastAsia="宋体" w:cs="Arial"/>
          <w:lang w:eastAsia="zh-CN"/>
        </w:rPr>
      </w:pPr>
      <w:bookmarkStart w:id="19" w:name="_bookmark2"/>
      <w:bookmarkEnd w:id="19"/>
      <w:bookmarkStart w:id="20" w:name="_Toc495603748"/>
      <w:r>
        <w:rPr>
          <w:rFonts w:ascii="Arial" w:hAnsi="Arial" w:eastAsia="宋体" w:cs="Arial"/>
          <w:lang w:eastAsia="zh-CN"/>
        </w:rPr>
        <w:t>上市前通告 – 背景</w:t>
      </w:r>
      <w:bookmarkEnd w:id="20"/>
    </w:p>
    <w:p w14:paraId="524DA960">
      <w:pPr>
        <w:overflowPunct w:val="0"/>
        <w:adjustRightInd w:val="0"/>
        <w:snapToGrid w:val="0"/>
        <w:spacing w:after="120" w:afterLines="50" w:line="300" w:lineRule="auto"/>
        <w:jc w:val="both"/>
        <w:rPr>
          <w:rFonts w:ascii="Arial" w:hAnsi="Arial" w:eastAsia="宋体" w:cs="Arial"/>
          <w:sz w:val="24"/>
          <w:lang w:eastAsia="zh-CN"/>
        </w:rPr>
      </w:pPr>
      <w:r>
        <w:rPr>
          <w:rFonts w:ascii="Arial" w:hAnsi="Arial" w:eastAsia="宋体" w:cs="Arial"/>
          <w:sz w:val="24"/>
          <w:lang w:eastAsia="zh-CN"/>
        </w:rPr>
        <w:t>FDA认为特殊控制与《联邦食品、药品和化妆品法案》（FD&amp;C 法案）的一般控制结合时才能为</w:t>
      </w:r>
      <w:r>
        <w:rPr>
          <w:rFonts w:hint="eastAsia" w:ascii="Arial" w:hAnsi="Arial" w:eastAsia="宋体" w:cs="Arial"/>
          <w:sz w:val="24"/>
          <w:lang w:eastAsia="zh-CN"/>
        </w:rPr>
        <w:t>用于</w:t>
      </w:r>
      <w:r>
        <w:rPr>
          <w:rFonts w:ascii="Arial" w:hAnsi="Arial" w:eastAsia="宋体" w:cs="Arial"/>
          <w:sz w:val="24"/>
          <w:lang w:eastAsia="zh-CN"/>
        </w:rPr>
        <w:t>鉴定阳性血培养中微生物和抗性标记</w:t>
      </w:r>
      <w:r>
        <w:rPr>
          <w:rFonts w:hint="eastAsia" w:ascii="Arial" w:hAnsi="Arial" w:eastAsia="宋体" w:cs="Arial"/>
          <w:sz w:val="24"/>
          <w:lang w:eastAsia="zh-CN"/>
        </w:rPr>
        <w:t>物</w:t>
      </w:r>
      <w:r>
        <w:rPr>
          <w:rFonts w:ascii="Arial" w:hAnsi="Arial" w:eastAsia="宋体" w:cs="Arial"/>
          <w:sz w:val="24"/>
          <w:lang w:eastAsia="zh-CN"/>
        </w:rPr>
        <w:t>的多重核酸检测试剂盒提供合理的安全性和有效性保证。预计上市这类器械的制造商必须（1）遵守FD&amp;C 法案的一般控制，包括21 CFR 807 子部分E中描述的上市前通告要求，（2）解决本指南中确定的安全性和有效性</w:t>
      </w:r>
      <w:r>
        <w:rPr>
          <w:rFonts w:hint="eastAsia" w:ascii="Arial" w:hAnsi="Arial" w:eastAsia="宋体" w:cs="Arial"/>
          <w:sz w:val="24"/>
          <w:lang w:eastAsia="zh-CN"/>
        </w:rPr>
        <w:t>特定</w:t>
      </w:r>
      <w:r>
        <w:rPr>
          <w:rFonts w:ascii="Arial" w:hAnsi="Arial" w:eastAsia="宋体" w:cs="Arial"/>
          <w:sz w:val="24"/>
          <w:lang w:eastAsia="zh-CN"/>
        </w:rPr>
        <w:t>问题，和（3）在器械上市前从FDA获得实质等同性测定。</w:t>
      </w:r>
    </w:p>
    <w:p w14:paraId="3380E0C8">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lang w:eastAsia="zh-CN"/>
        </w:rPr>
        <w:br w:type="page"/>
      </w:r>
      <w:bookmarkStart w:id="21" w:name="Risks_to_Health"/>
      <w:bookmarkEnd w:id="21"/>
      <w:bookmarkStart w:id="22" w:name="Scope"/>
      <w:bookmarkEnd w:id="22"/>
    </w:p>
    <w:p w14:paraId="199D8C7A">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本指南确定</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检测试剂盒的分类监管。此外，本指南的其他章节列出了健康风险，并描述了缓解措施，当制造商遵守这些措施并与一般控制结合时，通常会解决与这些器械相关的风险并使上市前通告（510（k））得到及时审查。本文件在</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的多重核酸检测试剂盒的上市前通告提交资料具体内容要求方面对其他FDA文件进行了补充。有关510（k）提交资料的其它信息，请参考21 CFR 807.87</w:t>
      </w:r>
      <w:r>
        <w:rPr>
          <w:rFonts w:hint="eastAsia" w:ascii="Arial" w:hAnsi="Arial" w:eastAsia="宋体" w:cs="Arial"/>
          <w:lang w:eastAsia="zh-CN"/>
        </w:rPr>
        <w:t>以及</w:t>
      </w:r>
      <w:r>
        <w:rPr>
          <w:rFonts w:ascii="Arial" w:hAnsi="Arial" w:eastAsia="宋体" w:cs="Arial"/>
          <w:lang w:eastAsia="zh-CN"/>
        </w:rPr>
        <w:t>器械</w:t>
      </w:r>
      <w:r>
        <w:rPr>
          <w:rFonts w:hint="eastAsia" w:ascii="Arial" w:hAnsi="Arial" w:eastAsia="宋体" w:cs="Arial"/>
          <w:lang w:eastAsia="zh-CN"/>
        </w:rPr>
        <w:t>和</w:t>
      </w:r>
      <w:r>
        <w:rPr>
          <w:rFonts w:ascii="Arial" w:hAnsi="Arial" w:eastAsia="宋体" w:cs="Arial"/>
          <w:lang w:eastAsia="zh-CN"/>
        </w:rPr>
        <w:t>放射卫生中心（CDRH）器械建议：全面监管援助。</w:t>
      </w:r>
      <w:r>
        <w:rPr>
          <w:rStyle w:val="22"/>
          <w:rFonts w:ascii="Arial" w:hAnsi="Arial" w:eastAsia="宋体" w:cs="Arial"/>
          <w:lang w:eastAsia="zh-CN"/>
        </w:rPr>
        <w:footnoteReference w:id="0"/>
      </w:r>
    </w:p>
    <w:p w14:paraId="019F113F">
      <w:pPr>
        <w:pStyle w:val="35"/>
        <w:numPr>
          <w:ilvl w:val="0"/>
          <w:numId w:val="1"/>
        </w:numPr>
        <w:tabs>
          <w:tab w:val="left" w:pos="659"/>
        </w:tabs>
        <w:overflowPunct w:val="0"/>
        <w:snapToGrid w:val="0"/>
        <w:spacing w:after="120" w:afterLines="50" w:line="300" w:lineRule="auto"/>
        <w:ind w:left="539" w:hanging="539"/>
        <w:jc w:val="both"/>
        <w:outlineLvl w:val="0"/>
        <w:rPr>
          <w:rFonts w:ascii="Arial" w:hAnsi="Arial" w:eastAsia="宋体" w:cs="Arial"/>
          <w:lang w:eastAsia="zh-CN"/>
        </w:rPr>
      </w:pPr>
      <w:bookmarkStart w:id="23" w:name="_bookmark3"/>
      <w:bookmarkEnd w:id="23"/>
      <w:bookmarkStart w:id="24" w:name="_Toc495603749"/>
      <w:r>
        <w:rPr>
          <w:rFonts w:ascii="Arial" w:hAnsi="Arial" w:eastAsia="宋体" w:cs="Arial"/>
          <w:lang w:eastAsia="zh-CN"/>
        </w:rPr>
        <w:t>范围</w:t>
      </w:r>
      <w:bookmarkEnd w:id="24"/>
    </w:p>
    <w:p w14:paraId="175D4088">
      <w:pPr>
        <w:overflowPunct w:val="0"/>
        <w:adjustRightInd w:val="0"/>
        <w:snapToGrid w:val="0"/>
        <w:spacing w:after="120" w:afterLines="50" w:line="300" w:lineRule="auto"/>
        <w:jc w:val="both"/>
        <w:rPr>
          <w:rFonts w:ascii="Arial" w:hAnsi="Arial" w:eastAsia="宋体" w:cs="Arial"/>
          <w:sz w:val="24"/>
          <w:lang w:eastAsia="zh-CN"/>
        </w:rPr>
      </w:pPr>
      <w:r>
        <w:rPr>
          <w:rFonts w:ascii="Arial" w:hAnsi="Arial" w:eastAsia="宋体" w:cs="Arial"/>
          <w:sz w:val="24"/>
          <w:lang w:eastAsia="zh-CN"/>
        </w:rPr>
        <w:t>本文件的范围限于21 CFR 866.3365分类下的器械。</w:t>
      </w:r>
    </w:p>
    <w:p w14:paraId="2DA82C9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b/>
          <w:bCs/>
          <w:lang w:eastAsia="zh-CN"/>
        </w:rPr>
        <w:t xml:space="preserve">21 CFR 866.3365 </w:t>
      </w:r>
      <w:r>
        <w:rPr>
          <w:rFonts w:ascii="Arial" w:hAnsi="Arial" w:eastAsia="宋体" w:cs="Arial"/>
          <w:lang w:eastAsia="zh-CN"/>
        </w:rPr>
        <w:t>–</w:t>
      </w:r>
      <w:r>
        <w:rPr>
          <w:rFonts w:hint="eastAsia" w:ascii="Arial" w:hAnsi="Arial" w:eastAsia="宋体" w:cs="Arial"/>
          <w:lang w:eastAsia="zh-CN"/>
        </w:rPr>
        <w:t>用于</w:t>
      </w:r>
      <w:r>
        <w:rPr>
          <w:rFonts w:ascii="Arial" w:hAnsi="Arial" w:eastAsia="宋体" w:cs="Arial"/>
          <w:lang w:eastAsia="zh-CN"/>
        </w:rPr>
        <w:t>鉴定阳性血培养中微生物和抗性标记的多重核酸检测试剂盒</w:t>
      </w:r>
    </w:p>
    <w:p w14:paraId="533100E4">
      <w:pPr>
        <w:numPr>
          <w:ilvl w:val="0"/>
          <w:numId w:val="2"/>
        </w:numPr>
        <w:tabs>
          <w:tab w:val="left" w:pos="504"/>
        </w:tabs>
        <w:overflowPunct w:val="0"/>
        <w:snapToGrid w:val="0"/>
        <w:spacing w:after="120" w:afterLines="50" w:line="300" w:lineRule="auto"/>
        <w:ind w:left="0" w:firstLine="60"/>
        <w:jc w:val="both"/>
        <w:rPr>
          <w:rFonts w:ascii="Arial" w:hAnsi="Arial" w:eastAsia="宋体" w:cs="Arial"/>
          <w:sz w:val="24"/>
          <w:szCs w:val="24"/>
        </w:rPr>
      </w:pPr>
      <w:r>
        <w:rPr>
          <w:rFonts w:ascii="Arial" w:hAnsi="Arial" w:eastAsia="宋体" w:cs="Arial"/>
          <w:i/>
          <w:sz w:val="24"/>
          <w:lang w:eastAsia="zh-CN"/>
        </w:rPr>
        <w:t>鉴定：</w:t>
      </w:r>
    </w:p>
    <w:p w14:paraId="432679EA">
      <w:pPr>
        <w:pStyle w:val="8"/>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用于</w:t>
      </w:r>
      <w:r>
        <w:rPr>
          <w:rFonts w:ascii="Arial" w:hAnsi="Arial" w:eastAsia="宋体" w:cs="Arial"/>
          <w:lang w:eastAsia="zh-CN"/>
        </w:rPr>
        <w:t>鉴定阳性血培养中微生物和抗性标记的多重核酸检测试剂盒是一种定性体外器械，预期同时检测并识别革兰氏染色或其它微生物学染色呈阳性的血培养中的微生物核酸。器械检测微生物识别</w:t>
      </w:r>
      <w:r>
        <w:rPr>
          <w:rFonts w:hint="eastAsia" w:ascii="Arial" w:hAnsi="Arial" w:eastAsia="宋体" w:cs="Arial"/>
          <w:lang w:eastAsia="zh-CN"/>
        </w:rPr>
        <w:t>的特定</w:t>
      </w:r>
      <w:r>
        <w:rPr>
          <w:rFonts w:ascii="Arial" w:hAnsi="Arial" w:eastAsia="宋体" w:cs="Arial"/>
          <w:lang w:eastAsia="zh-CN"/>
        </w:rPr>
        <w:t>核酸序列</w:t>
      </w:r>
      <w:r>
        <w:rPr>
          <w:rFonts w:hint="eastAsia" w:ascii="Arial" w:hAnsi="Arial" w:eastAsia="宋体" w:cs="Arial"/>
          <w:lang w:eastAsia="zh-CN"/>
        </w:rPr>
        <w:t>以</w:t>
      </w:r>
      <w:r>
        <w:rPr>
          <w:rFonts w:ascii="Arial" w:hAnsi="Arial" w:eastAsia="宋体" w:cs="Arial"/>
          <w:lang w:eastAsia="zh-CN"/>
        </w:rPr>
        <w:t>及</w:t>
      </w:r>
      <w:r>
        <w:rPr>
          <w:rFonts w:hint="eastAsia" w:ascii="Arial" w:hAnsi="Arial" w:eastAsia="宋体" w:cs="Arial"/>
          <w:lang w:eastAsia="zh-CN"/>
        </w:rPr>
        <w:t>抗菌剂</w:t>
      </w:r>
      <w:r>
        <w:rPr>
          <w:rFonts w:ascii="Arial" w:hAnsi="Arial" w:eastAsia="宋体" w:cs="Arial"/>
          <w:lang w:eastAsia="zh-CN"/>
        </w:rPr>
        <w:t>耐药性。该器械与其它临床和实验室成果结合使用</w:t>
      </w:r>
      <w:r>
        <w:rPr>
          <w:rFonts w:hint="eastAsia" w:ascii="Arial" w:hAnsi="Arial" w:eastAsia="宋体" w:cs="Arial"/>
          <w:lang w:eastAsia="zh-CN"/>
        </w:rPr>
        <w:t>时</w:t>
      </w:r>
      <w:r>
        <w:rPr>
          <w:rFonts w:ascii="Arial" w:hAnsi="Arial" w:eastAsia="宋体" w:cs="Arial"/>
          <w:lang w:eastAsia="zh-CN"/>
        </w:rPr>
        <w:t>，</w:t>
      </w:r>
      <w:r>
        <w:rPr>
          <w:rFonts w:hint="eastAsia" w:ascii="Arial" w:hAnsi="Arial" w:eastAsia="宋体" w:cs="Arial"/>
          <w:lang w:eastAsia="zh-CN"/>
        </w:rPr>
        <w:t>有助于</w:t>
      </w:r>
      <w:r>
        <w:rPr>
          <w:rFonts w:ascii="Arial" w:hAnsi="Arial" w:eastAsia="宋体" w:cs="Arial"/>
          <w:lang w:eastAsia="zh-CN"/>
        </w:rPr>
        <w:t>诊断血流感染。然而，该器械不能替代传统培养方法和敏感性试验。</w:t>
      </w:r>
    </w:p>
    <w:p w14:paraId="2A6BA176">
      <w:pPr>
        <w:pStyle w:val="8"/>
        <w:numPr>
          <w:ilvl w:val="0"/>
          <w:numId w:val="2"/>
        </w:numPr>
        <w:tabs>
          <w:tab w:val="left" w:pos="519"/>
        </w:tabs>
        <w:overflowPunct w:val="0"/>
        <w:snapToGrid w:val="0"/>
        <w:spacing w:after="120" w:afterLines="50" w:line="300" w:lineRule="auto"/>
        <w:ind w:left="0" w:firstLine="60"/>
        <w:jc w:val="both"/>
        <w:rPr>
          <w:rFonts w:ascii="Arial" w:hAnsi="Arial" w:eastAsia="宋体" w:cs="Arial"/>
          <w:lang w:eastAsia="zh-CN"/>
        </w:rPr>
      </w:pPr>
      <w:r>
        <w:rPr>
          <w:rFonts w:ascii="Arial" w:hAnsi="Arial" w:eastAsia="宋体" w:cs="Arial"/>
          <w:i/>
          <w:lang w:eastAsia="zh-CN"/>
        </w:rPr>
        <w:t>分类。</w:t>
      </w:r>
      <w:r>
        <w:rPr>
          <w:rFonts w:ascii="Arial" w:hAnsi="Arial" w:eastAsia="宋体" w:cs="Arial"/>
          <w:lang w:eastAsia="zh-CN"/>
        </w:rPr>
        <w:t>II 类（特殊控制）。器械的特殊控制是名为</w:t>
      </w:r>
      <w:r>
        <w:rPr>
          <w:rFonts w:ascii="宋体" w:hAnsi="宋体" w:eastAsia="宋体" w:cs="Arial"/>
          <w:lang w:eastAsia="zh-CN"/>
        </w:rPr>
        <w:t>“</w:t>
      </w:r>
      <w:r>
        <w:rPr>
          <w:rFonts w:ascii="Arial" w:hAnsi="Arial" w:eastAsia="宋体" w:cs="Arial"/>
          <w:lang w:eastAsia="zh-CN"/>
        </w:rPr>
        <w:t>II类特殊控制指导性文件：</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的多重核酸检测试剂盒</w:t>
      </w:r>
      <w:r>
        <w:rPr>
          <w:rFonts w:ascii="宋体" w:hAnsi="宋体" w:eastAsia="宋体" w:cs="Arial"/>
          <w:lang w:eastAsia="zh-CN"/>
        </w:rPr>
        <w:t>”</w:t>
      </w:r>
      <w:r>
        <w:rPr>
          <w:rFonts w:ascii="Arial" w:hAnsi="Arial" w:eastAsia="宋体" w:cs="Arial"/>
          <w:lang w:eastAsia="zh-CN"/>
        </w:rPr>
        <w:t>的FDA指南。指导性文件的可用性</w:t>
      </w:r>
      <w:r>
        <w:rPr>
          <w:rFonts w:hint="eastAsia" w:ascii="Arial" w:hAnsi="Arial" w:eastAsia="宋体" w:cs="Arial"/>
          <w:lang w:eastAsia="zh-CN"/>
        </w:rPr>
        <w:t>参</w:t>
      </w:r>
      <w:r>
        <w:rPr>
          <w:rFonts w:ascii="Arial" w:hAnsi="Arial" w:eastAsia="宋体" w:cs="Arial"/>
          <w:lang w:eastAsia="zh-CN"/>
        </w:rPr>
        <w:t>见§866.1（e）。</w:t>
      </w:r>
    </w:p>
    <w:p w14:paraId="249C3AD3">
      <w:pPr>
        <w:pStyle w:val="35"/>
        <w:numPr>
          <w:ilvl w:val="0"/>
          <w:numId w:val="1"/>
        </w:numPr>
        <w:tabs>
          <w:tab w:val="left" w:pos="659"/>
        </w:tabs>
        <w:overflowPunct w:val="0"/>
        <w:snapToGrid w:val="0"/>
        <w:spacing w:after="120" w:afterLines="50" w:line="300" w:lineRule="auto"/>
        <w:ind w:left="539" w:hanging="539"/>
        <w:jc w:val="both"/>
        <w:outlineLvl w:val="0"/>
        <w:rPr>
          <w:rFonts w:ascii="Arial" w:hAnsi="Arial" w:eastAsia="宋体" w:cs="Arial"/>
          <w:lang w:eastAsia="zh-CN"/>
        </w:rPr>
      </w:pPr>
      <w:bookmarkStart w:id="25" w:name="_bookmark4"/>
      <w:bookmarkEnd w:id="25"/>
      <w:bookmarkStart w:id="26" w:name="_Toc495603750"/>
      <w:r>
        <w:rPr>
          <w:rFonts w:ascii="Arial" w:hAnsi="Arial" w:eastAsia="宋体" w:cs="Arial"/>
          <w:lang w:eastAsia="zh-CN"/>
        </w:rPr>
        <w:t>健康风险</w:t>
      </w:r>
      <w:bookmarkEnd w:id="26"/>
    </w:p>
    <w:p w14:paraId="42E4638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FDA已经将假阴性和假阳性试验结果的风险（两种结果均可导致个人和/或公共卫生不良后果）和结果诠释错误确定为需要特殊控制的与本器械相关的健康风险。当</w:t>
      </w:r>
      <w:r>
        <w:rPr>
          <w:rFonts w:hint="eastAsia" w:ascii="Arial" w:hAnsi="Arial" w:eastAsia="宋体" w:cs="Arial"/>
          <w:lang w:eastAsia="zh-CN"/>
        </w:rPr>
        <w:t>样本</w:t>
      </w:r>
      <w:r>
        <w:rPr>
          <w:rFonts w:ascii="Arial" w:hAnsi="Arial" w:eastAsia="宋体" w:cs="Arial"/>
          <w:lang w:eastAsia="zh-CN"/>
        </w:rPr>
        <w:t>中存在微生物但器械不能检测并确定</w:t>
      </w:r>
      <w:r>
        <w:rPr>
          <w:rFonts w:hint="eastAsia" w:ascii="Arial" w:hAnsi="Arial" w:eastAsia="宋体" w:cs="Arial"/>
          <w:lang w:eastAsia="zh-CN"/>
        </w:rPr>
        <w:t>靶向</w:t>
      </w:r>
      <w:r>
        <w:rPr>
          <w:rFonts w:ascii="Arial" w:hAnsi="Arial" w:eastAsia="宋体" w:cs="Arial"/>
          <w:lang w:eastAsia="zh-CN"/>
        </w:rPr>
        <w:t>微生物时（假阴性结果），可能延误发现血流感染/菌血症真正原因的时间，不必要的治疗或不恰当的抗生素使用。错误的阳性试验结果（假阳性结果）也可能导致不必要或无效的抗生素治疗并延迟确定患者疾病真正原因的时间。</w:t>
      </w:r>
    </w:p>
    <w:p w14:paraId="6C9B6804">
      <w:pPr>
        <w:overflowPunct w:val="0"/>
        <w:snapToGrid w:val="0"/>
        <w:spacing w:after="120" w:afterLines="50" w:line="300" w:lineRule="auto"/>
        <w:jc w:val="both"/>
        <w:rPr>
          <w:rFonts w:ascii="Arial" w:hAnsi="Arial" w:eastAsia="宋体" w:cs="Arial"/>
          <w:sz w:val="2"/>
          <w:szCs w:val="2"/>
          <w:lang w:eastAsia="zh-CN"/>
        </w:rPr>
      </w:pPr>
    </w:p>
    <w:p w14:paraId="71EC4D8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sz w:val="20"/>
          <w:szCs w:val="20"/>
          <w:lang w:eastAsia="zh-CN"/>
        </w:rPr>
        <w:br w:type="page"/>
      </w:r>
    </w:p>
    <w:p w14:paraId="517984D5">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当检测到的微生物</w:t>
      </w:r>
      <w:r>
        <w:rPr>
          <w:rFonts w:hint="eastAsia" w:ascii="Arial" w:hAnsi="Arial" w:eastAsia="宋体" w:cs="Arial"/>
          <w:sz w:val="24"/>
          <w:szCs w:val="24"/>
          <w:lang w:eastAsia="zh-CN"/>
        </w:rPr>
        <w:t>中</w:t>
      </w:r>
      <w:r>
        <w:rPr>
          <w:rFonts w:ascii="Arial" w:hAnsi="Arial" w:eastAsia="宋体" w:cs="Arial"/>
          <w:sz w:val="24"/>
          <w:szCs w:val="24"/>
          <w:lang w:eastAsia="zh-CN"/>
        </w:rPr>
        <w:t>存在抗性基因但器械不能检测到与抗性相关的靶基因时（例如</w:t>
      </w:r>
      <w:r>
        <w:rPr>
          <w:rFonts w:ascii="Arial" w:hAnsi="Arial" w:eastAsia="宋体" w:cs="Arial"/>
          <w:i/>
          <w:lang w:eastAsia="zh-CN"/>
        </w:rPr>
        <w:t>mec</w:t>
      </w:r>
      <w:r>
        <w:rPr>
          <w:rFonts w:ascii="Arial" w:hAnsi="Arial" w:eastAsia="宋体" w:cs="Arial"/>
          <w:lang w:eastAsia="zh-CN"/>
        </w:rPr>
        <w:t>A</w:t>
      </w:r>
      <w:r>
        <w:rPr>
          <w:rFonts w:hint="eastAsia" w:ascii="Arial" w:hAnsi="Arial" w:eastAsia="宋体" w:cs="Arial"/>
          <w:lang w:eastAsia="zh-CN"/>
        </w:rPr>
        <w:t>、</w:t>
      </w:r>
      <w:r>
        <w:rPr>
          <w:rFonts w:ascii="Arial" w:hAnsi="Arial" w:eastAsia="宋体" w:cs="Arial"/>
          <w:i/>
          <w:lang w:eastAsia="zh-CN"/>
        </w:rPr>
        <w:t>van</w:t>
      </w:r>
      <w:r>
        <w:rPr>
          <w:rFonts w:ascii="Arial" w:hAnsi="Arial" w:eastAsia="宋体" w:cs="Arial"/>
          <w:lang w:eastAsia="zh-CN"/>
        </w:rPr>
        <w:t>A</w:t>
      </w:r>
      <w:r>
        <w:rPr>
          <w:rFonts w:hint="eastAsia" w:ascii="Arial" w:hAnsi="Arial" w:eastAsia="宋体" w:cs="Arial"/>
          <w:lang w:eastAsia="zh-CN"/>
        </w:rPr>
        <w:t>、</w:t>
      </w:r>
      <w:r>
        <w:rPr>
          <w:rFonts w:ascii="Arial" w:hAnsi="Arial" w:eastAsia="宋体" w:cs="Arial"/>
          <w:i/>
          <w:lang w:eastAsia="zh-CN"/>
        </w:rPr>
        <w:t>van</w:t>
      </w:r>
      <w:r>
        <w:rPr>
          <w:rFonts w:ascii="Arial" w:hAnsi="Arial" w:eastAsia="宋体" w:cs="Arial"/>
          <w:lang w:eastAsia="zh-CN"/>
        </w:rPr>
        <w:t>B</w:t>
      </w:r>
      <w:r>
        <w:rPr>
          <w:rFonts w:ascii="Arial" w:hAnsi="Arial" w:eastAsia="宋体" w:cs="Arial"/>
          <w:sz w:val="24"/>
          <w:szCs w:val="24"/>
          <w:lang w:eastAsia="zh-CN"/>
        </w:rPr>
        <w:t>假阴性结果），可能导致用无效抗生素进行治疗和感染控制措施失误。抗性标记</w:t>
      </w:r>
      <w:r>
        <w:rPr>
          <w:rFonts w:hint="eastAsia" w:ascii="Arial" w:hAnsi="Arial" w:eastAsia="宋体" w:cs="Arial"/>
          <w:sz w:val="24"/>
          <w:szCs w:val="24"/>
          <w:lang w:eastAsia="zh-CN"/>
        </w:rPr>
        <w:t>物</w:t>
      </w:r>
      <w:r>
        <w:rPr>
          <w:rFonts w:ascii="Arial" w:hAnsi="Arial" w:eastAsia="宋体" w:cs="Arial"/>
          <w:sz w:val="24"/>
          <w:szCs w:val="24"/>
          <w:lang w:eastAsia="zh-CN"/>
        </w:rPr>
        <w:t>的错误阳性结果（假阳性结果）也可能导致实施覆盖不存在的耐药微生物的不恰当抗生素治疗（频繁过度宽泛治疗）。更强效的抗生素可能有更多副作用（例如肾毒性），并可能导致实施不必要且通常昂贵的感染控制措施。</w:t>
      </w:r>
    </w:p>
    <w:p w14:paraId="7ADD91A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不能结合其它临床和实验室</w:t>
      </w:r>
      <w:r>
        <w:rPr>
          <w:rFonts w:hint="eastAsia" w:ascii="Arial" w:hAnsi="Arial" w:eastAsia="宋体" w:cs="Arial"/>
          <w:lang w:eastAsia="zh-CN"/>
        </w:rPr>
        <w:t>结果</w:t>
      </w:r>
      <w:r>
        <w:rPr>
          <w:rFonts w:ascii="Arial" w:hAnsi="Arial" w:eastAsia="宋体" w:cs="Arial"/>
          <w:lang w:eastAsia="zh-CN"/>
        </w:rPr>
        <w:t>正确解释试验结果可能导致不恰当或延迟治疗。例如，阳性检测结果不能排除病毒性感染或其它细菌联合感染。因此，需要进行</w:t>
      </w:r>
      <w:r>
        <w:rPr>
          <w:rFonts w:hint="eastAsia" w:ascii="Arial" w:hAnsi="Arial" w:eastAsia="宋体" w:cs="Arial"/>
          <w:lang w:eastAsia="zh-CN"/>
        </w:rPr>
        <w:t>其他</w:t>
      </w:r>
      <w:r>
        <w:rPr>
          <w:rFonts w:ascii="Arial" w:hAnsi="Arial" w:eastAsia="宋体" w:cs="Arial"/>
          <w:lang w:eastAsia="zh-CN"/>
        </w:rPr>
        <w:t>试验（例如细菌传代培养）以获得最终诊断。此外，同时检测到的微生物和抗性基因不能证明两者之间有确定的联系。</w:t>
      </w:r>
    </w:p>
    <w:p w14:paraId="18492AE4">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很可能这些器械的结果将强烈地影响疾病起因的归因，即归因于已鉴定出的微生物/抗性标记</w:t>
      </w:r>
      <w:r>
        <w:rPr>
          <w:rFonts w:hint="eastAsia" w:ascii="Arial" w:hAnsi="Arial" w:eastAsia="宋体" w:cs="Arial"/>
          <w:sz w:val="24"/>
          <w:szCs w:val="24"/>
          <w:lang w:eastAsia="zh-CN"/>
        </w:rPr>
        <w:t>物</w:t>
      </w:r>
      <w:r>
        <w:rPr>
          <w:rFonts w:ascii="Arial" w:hAnsi="Arial" w:eastAsia="宋体" w:cs="Arial"/>
          <w:sz w:val="24"/>
          <w:szCs w:val="24"/>
          <w:lang w:eastAsia="zh-CN"/>
        </w:rPr>
        <w:t>。然而，使用本器械进行的测试不能替代传统的阳性血培养测试，传统的阳性血培养测试一旦可用，将用于告知治疗选择。</w:t>
      </w:r>
    </w:p>
    <w:p w14:paraId="6CE6554E">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在</w:t>
      </w:r>
      <w:r>
        <w:rPr>
          <w:rFonts w:hint="eastAsia" w:ascii="Arial" w:hAnsi="Arial" w:eastAsia="宋体" w:cs="Arial"/>
          <w:lang w:eastAsia="zh-CN"/>
        </w:rPr>
        <w:t>以下</w:t>
      </w:r>
      <w:r>
        <w:rPr>
          <w:rFonts w:ascii="Arial" w:hAnsi="Arial" w:eastAsia="宋体" w:cs="Arial"/>
          <w:lang w:eastAsia="zh-CN"/>
        </w:rPr>
        <w:t>表1中，FDA已经指出通常与</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的多重核酸检测试剂盒使用相关的需要特殊控制的风险。</w:t>
      </w:r>
      <w:r>
        <w:rPr>
          <w:rFonts w:hint="eastAsia" w:ascii="Arial" w:hAnsi="Arial" w:eastAsia="宋体" w:cs="Arial"/>
          <w:lang w:eastAsia="zh-CN"/>
        </w:rPr>
        <w:t>与</w:t>
      </w:r>
      <w:r>
        <w:rPr>
          <w:rFonts w:ascii="Arial" w:hAnsi="Arial" w:eastAsia="宋体" w:cs="Arial"/>
          <w:lang w:eastAsia="zh-CN"/>
        </w:rPr>
        <w:t>21 CFR 866.3365</w:t>
      </w:r>
      <w:r>
        <w:rPr>
          <w:rFonts w:hint="eastAsia" w:ascii="Arial" w:hAnsi="Arial" w:eastAsia="宋体" w:cs="Arial"/>
          <w:lang w:eastAsia="zh-CN"/>
        </w:rPr>
        <w:t>相结合</w:t>
      </w:r>
      <w:r>
        <w:rPr>
          <w:rFonts w:ascii="Arial" w:hAnsi="Arial" w:eastAsia="宋体" w:cs="Arial"/>
          <w:lang w:eastAsia="zh-CN"/>
        </w:rPr>
        <w:t>，本指南提供了</w:t>
      </w:r>
      <w:r>
        <w:rPr>
          <w:rFonts w:hint="eastAsia" w:ascii="Arial" w:hAnsi="Arial" w:eastAsia="宋体" w:cs="Arial"/>
          <w:lang w:eastAsia="zh-CN"/>
        </w:rPr>
        <w:t>缓解</w:t>
      </w:r>
      <w:r>
        <w:rPr>
          <w:rFonts w:ascii="Arial" w:hAnsi="Arial" w:eastAsia="宋体" w:cs="Arial"/>
          <w:lang w:eastAsia="zh-CN"/>
        </w:rPr>
        <w:t>这些风险的措施，如表1所示。依照本指南，预计上市这类器械的制造商必须在提交上市前通告前进行风险分析，以确定针对其器械的任何其他风险。上市前通告必须描述所用的风险分析方法。如果贵公司选择使用一种替代方法解决本指南中指出的特定风险，或如果贵公司或其他人确定了使用这类器械的其它</w:t>
      </w:r>
      <w:r>
        <w:rPr>
          <w:rFonts w:hint="eastAsia" w:ascii="Arial" w:hAnsi="Arial" w:eastAsia="宋体" w:cs="Arial"/>
          <w:lang w:eastAsia="zh-CN"/>
        </w:rPr>
        <w:t>潜在</w:t>
      </w:r>
      <w:r>
        <w:rPr>
          <w:rFonts w:ascii="Arial" w:hAnsi="Arial" w:eastAsia="宋体" w:cs="Arial"/>
          <w:lang w:eastAsia="zh-CN"/>
        </w:rPr>
        <w:t>风险，贵公司必须提供</w:t>
      </w:r>
      <w:r>
        <w:rPr>
          <w:rFonts w:hint="eastAsia" w:ascii="Arial" w:hAnsi="Arial" w:eastAsia="宋体" w:cs="Arial"/>
          <w:lang w:eastAsia="zh-CN"/>
        </w:rPr>
        <w:t>缓解</w:t>
      </w:r>
      <w:r>
        <w:rPr>
          <w:rFonts w:ascii="Arial" w:hAnsi="Arial" w:eastAsia="宋体" w:cs="Arial"/>
          <w:lang w:eastAsia="zh-CN"/>
        </w:rPr>
        <w:t>这些风险所用方法的足够细节和采用该方法的理由。</w:t>
      </w:r>
    </w:p>
    <w:p w14:paraId="5B1F6A64">
      <w:pPr>
        <w:overflowPunct w:val="0"/>
        <w:snapToGrid w:val="0"/>
        <w:spacing w:after="120" w:afterLines="50" w:line="300" w:lineRule="auto"/>
        <w:jc w:val="both"/>
        <w:rPr>
          <w:rFonts w:ascii="Arial" w:hAnsi="Arial" w:eastAsia="宋体" w:cs="Arial"/>
          <w:sz w:val="24"/>
          <w:szCs w:val="24"/>
          <w:lang w:eastAsia="zh-CN"/>
        </w:rPr>
      </w:pPr>
    </w:p>
    <w:p w14:paraId="5C994668">
      <w:pPr>
        <w:pStyle w:val="37"/>
        <w:overflowPunct w:val="0"/>
        <w:snapToGrid w:val="0"/>
        <w:spacing w:after="120" w:afterLines="50" w:line="300" w:lineRule="auto"/>
        <w:ind w:left="0" w:firstLine="0"/>
        <w:jc w:val="both"/>
        <w:rPr>
          <w:rFonts w:ascii="Arial" w:hAnsi="Arial" w:eastAsia="宋体" w:cs="Arial"/>
          <w:b w:val="0"/>
          <w:bCs w:val="0"/>
          <w:lang w:eastAsia="zh-CN"/>
        </w:rPr>
      </w:pPr>
      <w:r>
        <w:rPr>
          <w:rFonts w:ascii="Arial" w:hAnsi="Arial" w:eastAsia="宋体" w:cs="Arial"/>
          <w:lang w:eastAsia="zh-CN"/>
        </w:rPr>
        <w:t>表 1 – 确定的健康风险和缓解措施</w:t>
      </w:r>
    </w:p>
    <w:tbl>
      <w:tblPr>
        <w:tblStyle w:val="23"/>
        <w:tblW w:w="7895" w:type="dxa"/>
        <w:tblInd w:w="720" w:type="dxa"/>
        <w:tblLayout w:type="fixed"/>
        <w:tblCellMar>
          <w:top w:w="0" w:type="dxa"/>
          <w:left w:w="0" w:type="dxa"/>
          <w:bottom w:w="0" w:type="dxa"/>
          <w:right w:w="0" w:type="dxa"/>
        </w:tblCellMar>
      </w:tblPr>
      <w:tblGrid>
        <w:gridCol w:w="2659"/>
        <w:gridCol w:w="5236"/>
      </w:tblGrid>
      <w:tr w14:paraId="6069D06B">
        <w:tblPrEx>
          <w:tblCellMar>
            <w:top w:w="0" w:type="dxa"/>
            <w:left w:w="0" w:type="dxa"/>
            <w:bottom w:w="0" w:type="dxa"/>
            <w:right w:w="0" w:type="dxa"/>
          </w:tblCellMar>
        </w:tblPrEx>
        <w:tc>
          <w:tcPr>
            <w:tcW w:w="2659" w:type="dxa"/>
            <w:tcBorders>
              <w:top w:val="single" w:color="000000" w:sz="4" w:space="0"/>
              <w:left w:val="single" w:color="000000" w:sz="4" w:space="0"/>
              <w:bottom w:val="single" w:color="000000" w:sz="4" w:space="0"/>
              <w:right w:val="single" w:color="000000" w:sz="4" w:space="0"/>
            </w:tcBorders>
          </w:tcPr>
          <w:p w14:paraId="3A7DB286">
            <w:pPr>
              <w:pStyle w:val="40"/>
              <w:overflowPunct w:val="0"/>
              <w:snapToGrid w:val="0"/>
              <w:spacing w:before="36" w:beforeLines="15" w:after="36" w:afterLines="15"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确定的健康风险</w:t>
            </w:r>
          </w:p>
        </w:tc>
        <w:tc>
          <w:tcPr>
            <w:tcW w:w="5236" w:type="dxa"/>
            <w:tcBorders>
              <w:top w:val="single" w:color="000000" w:sz="4" w:space="0"/>
              <w:left w:val="single" w:color="000000" w:sz="4" w:space="0"/>
              <w:bottom w:val="single" w:color="000000" w:sz="4" w:space="0"/>
              <w:right w:val="single" w:color="000000" w:sz="4" w:space="0"/>
            </w:tcBorders>
          </w:tcPr>
          <w:p w14:paraId="531AC35F">
            <w:pPr>
              <w:pStyle w:val="40"/>
              <w:overflowPunct w:val="0"/>
              <w:snapToGrid w:val="0"/>
              <w:spacing w:before="36" w:beforeLines="15" w:after="36" w:afterLines="15"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缓解措施</w:t>
            </w:r>
          </w:p>
        </w:tc>
      </w:tr>
      <w:tr w14:paraId="35697112">
        <w:tblPrEx>
          <w:tblCellMar>
            <w:top w:w="0" w:type="dxa"/>
            <w:left w:w="0" w:type="dxa"/>
            <w:bottom w:w="0" w:type="dxa"/>
            <w:right w:w="0" w:type="dxa"/>
          </w:tblCellMar>
        </w:tblPrEx>
        <w:tc>
          <w:tcPr>
            <w:tcW w:w="2659" w:type="dxa"/>
            <w:tcBorders>
              <w:top w:val="single" w:color="000000" w:sz="4" w:space="0"/>
              <w:left w:val="single" w:color="000000" w:sz="4" w:space="0"/>
              <w:bottom w:val="single" w:color="000000" w:sz="4" w:space="0"/>
              <w:right w:val="single" w:color="000000" w:sz="4" w:space="0"/>
            </w:tcBorders>
          </w:tcPr>
          <w:p w14:paraId="1FCF5EB5">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假阴性结果</w:t>
            </w:r>
          </w:p>
        </w:tc>
        <w:tc>
          <w:tcPr>
            <w:tcW w:w="5236" w:type="dxa"/>
            <w:tcBorders>
              <w:top w:val="single" w:color="000000" w:sz="4" w:space="0"/>
              <w:left w:val="single" w:color="000000" w:sz="4" w:space="0"/>
              <w:bottom w:val="single" w:color="000000" w:sz="4" w:space="0"/>
              <w:right w:val="single" w:color="000000" w:sz="4" w:space="0"/>
            </w:tcBorders>
          </w:tcPr>
          <w:p w14:paraId="50556272">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 xml:space="preserve">包含特殊控制指南中指定信息的器械说明（第6节） </w:t>
            </w:r>
          </w:p>
          <w:p w14:paraId="71CC5385">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性能特点 （第 7节）</w:t>
            </w:r>
          </w:p>
          <w:p w14:paraId="4C5CAA14">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标签 （第 8节）</w:t>
            </w:r>
          </w:p>
        </w:tc>
      </w:tr>
      <w:tr w14:paraId="4462442D">
        <w:tblPrEx>
          <w:tblCellMar>
            <w:top w:w="0" w:type="dxa"/>
            <w:left w:w="0" w:type="dxa"/>
            <w:bottom w:w="0" w:type="dxa"/>
            <w:right w:w="0" w:type="dxa"/>
          </w:tblCellMar>
        </w:tblPrEx>
        <w:tc>
          <w:tcPr>
            <w:tcW w:w="2659" w:type="dxa"/>
            <w:tcBorders>
              <w:top w:val="single" w:color="000000" w:sz="4" w:space="0"/>
              <w:left w:val="single" w:color="000000" w:sz="4" w:space="0"/>
              <w:bottom w:val="single" w:color="000000" w:sz="4" w:space="0"/>
              <w:right w:val="single" w:color="000000" w:sz="4" w:space="0"/>
            </w:tcBorders>
          </w:tcPr>
          <w:p w14:paraId="1D790C89">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假阳性结果</w:t>
            </w:r>
          </w:p>
        </w:tc>
        <w:tc>
          <w:tcPr>
            <w:tcW w:w="5236" w:type="dxa"/>
            <w:tcBorders>
              <w:top w:val="single" w:color="000000" w:sz="4" w:space="0"/>
              <w:left w:val="single" w:color="000000" w:sz="4" w:space="0"/>
              <w:bottom w:val="single" w:color="000000" w:sz="4" w:space="0"/>
              <w:right w:val="single" w:color="000000" w:sz="4" w:space="0"/>
            </w:tcBorders>
          </w:tcPr>
          <w:p w14:paraId="2297D96F">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包含特殊控制指南中指定信息的器械说明（第6节）</w:t>
            </w:r>
          </w:p>
        </w:tc>
      </w:tr>
    </w:tbl>
    <w:p w14:paraId="27A07516">
      <w:pPr>
        <w:overflowPunct w:val="0"/>
        <w:snapToGrid w:val="0"/>
        <w:spacing w:after="120" w:afterLines="50" w:line="300" w:lineRule="auto"/>
        <w:jc w:val="both"/>
        <w:rPr>
          <w:rFonts w:ascii="Arial" w:hAnsi="Arial" w:eastAsia="宋体" w:cs="Arial"/>
          <w:b/>
          <w:bCs/>
          <w:sz w:val="6"/>
          <w:szCs w:val="6"/>
          <w:lang w:eastAsia="zh-CN"/>
        </w:rPr>
      </w:pPr>
      <w:r>
        <w:rPr>
          <w:rFonts w:ascii="Arial" w:hAnsi="Arial" w:eastAsia="宋体" w:cs="Arial"/>
          <w:sz w:val="24"/>
          <w:szCs w:val="24"/>
          <w:lang w:eastAsia="zh-CN"/>
        </w:rPr>
        <w:br w:type="page"/>
      </w:r>
    </w:p>
    <w:tbl>
      <w:tblPr>
        <w:tblStyle w:val="23"/>
        <w:tblW w:w="0" w:type="auto"/>
        <w:tblInd w:w="720" w:type="dxa"/>
        <w:tblLayout w:type="fixed"/>
        <w:tblCellMar>
          <w:top w:w="0" w:type="dxa"/>
          <w:left w:w="0" w:type="dxa"/>
          <w:bottom w:w="0" w:type="dxa"/>
          <w:right w:w="0" w:type="dxa"/>
        </w:tblCellMar>
      </w:tblPr>
      <w:tblGrid>
        <w:gridCol w:w="2659"/>
        <w:gridCol w:w="5236"/>
      </w:tblGrid>
      <w:tr w14:paraId="2AAE7A2F">
        <w:tblPrEx>
          <w:tblCellMar>
            <w:top w:w="0" w:type="dxa"/>
            <w:left w:w="0" w:type="dxa"/>
            <w:bottom w:w="0" w:type="dxa"/>
            <w:right w:w="0" w:type="dxa"/>
          </w:tblCellMar>
        </w:tblPrEx>
        <w:tc>
          <w:tcPr>
            <w:tcW w:w="2659" w:type="dxa"/>
            <w:tcBorders>
              <w:top w:val="single" w:color="000000" w:sz="4" w:space="0"/>
              <w:left w:val="single" w:color="000000" w:sz="4" w:space="0"/>
              <w:bottom w:val="single" w:color="000000" w:sz="4" w:space="0"/>
              <w:right w:val="single" w:color="000000" w:sz="4" w:space="0"/>
            </w:tcBorders>
          </w:tcPr>
          <w:p w14:paraId="4D70741E">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p>
        </w:tc>
        <w:tc>
          <w:tcPr>
            <w:tcW w:w="5236" w:type="dxa"/>
            <w:tcBorders>
              <w:top w:val="single" w:color="000000" w:sz="4" w:space="0"/>
              <w:left w:val="single" w:color="000000" w:sz="4" w:space="0"/>
              <w:bottom w:val="single" w:color="000000" w:sz="4" w:space="0"/>
              <w:right w:val="single" w:color="000000" w:sz="4" w:space="0"/>
            </w:tcBorders>
          </w:tcPr>
          <w:p w14:paraId="64C91C88">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bookmarkStart w:id="27" w:name="Device_Description"/>
            <w:bookmarkEnd w:id="27"/>
            <w:bookmarkStart w:id="28" w:name="Intended_Use"/>
            <w:bookmarkEnd w:id="28"/>
            <w:bookmarkStart w:id="29" w:name="Test_Methodology"/>
            <w:bookmarkEnd w:id="29"/>
            <w:r>
              <w:rPr>
                <w:rFonts w:ascii="Arial" w:hAnsi="Arial" w:eastAsia="宋体" w:cs="Arial"/>
                <w:sz w:val="21"/>
                <w:szCs w:val="21"/>
                <w:lang w:eastAsia="zh-CN"/>
              </w:rPr>
              <w:t>性能特点 （第 7节）</w:t>
            </w:r>
          </w:p>
          <w:p w14:paraId="1C6491CF">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标签 （第 8节）</w:t>
            </w:r>
          </w:p>
        </w:tc>
      </w:tr>
      <w:tr w14:paraId="501BFEA0">
        <w:tblPrEx>
          <w:tblCellMar>
            <w:top w:w="0" w:type="dxa"/>
            <w:left w:w="0" w:type="dxa"/>
            <w:bottom w:w="0" w:type="dxa"/>
            <w:right w:w="0" w:type="dxa"/>
          </w:tblCellMar>
        </w:tblPrEx>
        <w:tc>
          <w:tcPr>
            <w:tcW w:w="2659" w:type="dxa"/>
            <w:tcBorders>
              <w:top w:val="single" w:color="000000" w:sz="4" w:space="0"/>
              <w:left w:val="single" w:color="000000" w:sz="4" w:space="0"/>
              <w:bottom w:val="single" w:color="000000" w:sz="4" w:space="0"/>
              <w:right w:val="single" w:color="000000" w:sz="4" w:space="0"/>
            </w:tcBorders>
          </w:tcPr>
          <w:p w14:paraId="3319C784">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解释错误</w:t>
            </w:r>
          </w:p>
        </w:tc>
        <w:tc>
          <w:tcPr>
            <w:tcW w:w="5236" w:type="dxa"/>
            <w:tcBorders>
              <w:top w:val="single" w:color="000000" w:sz="4" w:space="0"/>
              <w:left w:val="single" w:color="000000" w:sz="4" w:space="0"/>
              <w:bottom w:val="single" w:color="000000" w:sz="4" w:space="0"/>
              <w:right w:val="single" w:color="000000" w:sz="4" w:space="0"/>
            </w:tcBorders>
          </w:tcPr>
          <w:p w14:paraId="6B3E45DC">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 xml:space="preserve">包含特殊控制指南中指定信息的器械说明（第6节） </w:t>
            </w:r>
          </w:p>
          <w:p w14:paraId="3AD2DEDF">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性能特点 （第 7节）</w:t>
            </w:r>
          </w:p>
          <w:p w14:paraId="19991A13">
            <w:pPr>
              <w:pStyle w:val="40"/>
              <w:overflowPunct w:val="0"/>
              <w:snapToGrid w:val="0"/>
              <w:spacing w:before="36" w:beforeLines="15" w:after="36" w:afterLines="15"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标签 （第 8节）</w:t>
            </w:r>
          </w:p>
        </w:tc>
      </w:tr>
    </w:tbl>
    <w:p w14:paraId="6A921032">
      <w:pPr>
        <w:overflowPunct w:val="0"/>
        <w:snapToGrid w:val="0"/>
        <w:spacing w:after="120" w:afterLines="50" w:line="300" w:lineRule="auto"/>
        <w:jc w:val="both"/>
        <w:rPr>
          <w:rFonts w:ascii="Arial" w:hAnsi="Arial" w:eastAsia="宋体" w:cs="Arial"/>
          <w:b/>
          <w:bCs/>
          <w:sz w:val="20"/>
          <w:szCs w:val="20"/>
          <w:lang w:eastAsia="zh-CN"/>
        </w:rPr>
      </w:pPr>
    </w:p>
    <w:p w14:paraId="1D08164E">
      <w:pPr>
        <w:pStyle w:val="35"/>
        <w:numPr>
          <w:ilvl w:val="0"/>
          <w:numId w:val="1"/>
        </w:numPr>
        <w:tabs>
          <w:tab w:val="left" w:pos="639"/>
        </w:tabs>
        <w:overflowPunct w:val="0"/>
        <w:snapToGrid w:val="0"/>
        <w:spacing w:after="120" w:afterLines="50" w:line="300" w:lineRule="auto"/>
        <w:ind w:left="539" w:hanging="539"/>
        <w:jc w:val="both"/>
        <w:outlineLvl w:val="0"/>
        <w:rPr>
          <w:rFonts w:ascii="Arial" w:hAnsi="Arial" w:eastAsia="宋体" w:cs="Arial"/>
          <w:lang w:eastAsia="zh-CN"/>
        </w:rPr>
      </w:pPr>
      <w:bookmarkStart w:id="30" w:name="_bookmark6"/>
      <w:bookmarkEnd w:id="30"/>
      <w:bookmarkStart w:id="31" w:name="_Toc495603751"/>
      <w:r>
        <w:rPr>
          <w:rFonts w:ascii="Arial" w:hAnsi="Arial" w:eastAsia="宋体" w:cs="Arial"/>
          <w:lang w:eastAsia="zh-CN"/>
        </w:rPr>
        <w:t>器械</w:t>
      </w:r>
      <w:r>
        <w:rPr>
          <w:rFonts w:hint="eastAsia" w:ascii="Arial" w:hAnsi="Arial" w:eastAsia="宋体" w:cs="Arial"/>
          <w:lang w:eastAsia="zh-CN"/>
        </w:rPr>
        <w:t>描述</w:t>
      </w:r>
      <w:bookmarkEnd w:id="31"/>
    </w:p>
    <w:p w14:paraId="160FA524">
      <w:pPr>
        <w:overflowPunct w:val="0"/>
        <w:snapToGrid w:val="0"/>
        <w:spacing w:after="120" w:afterLines="50" w:line="300" w:lineRule="auto"/>
        <w:jc w:val="both"/>
        <w:rPr>
          <w:rFonts w:ascii="Arial" w:hAnsi="Arial" w:eastAsia="宋体" w:cs="Arial"/>
          <w:lang w:eastAsia="zh-CN"/>
        </w:rPr>
      </w:pPr>
      <w:r>
        <w:rPr>
          <w:rFonts w:ascii="Arial" w:hAnsi="Arial" w:eastAsia="宋体" w:cs="Arial"/>
          <w:sz w:val="24"/>
          <w:szCs w:val="24"/>
          <w:lang w:eastAsia="zh-CN"/>
        </w:rPr>
        <w:t>贵公司的510（k）提交资料中，必须包含满足21 CFR 807.87（a） 和 （f） 要求的器械说明且必须</w:t>
      </w:r>
      <w:r>
        <w:rPr>
          <w:rFonts w:hint="eastAsia" w:ascii="Arial" w:hAnsi="Arial" w:eastAsia="宋体" w:cs="Arial"/>
          <w:sz w:val="24"/>
          <w:szCs w:val="24"/>
          <w:lang w:eastAsia="zh-CN"/>
        </w:rPr>
        <w:t>根据</w:t>
      </w:r>
      <w:r>
        <w:rPr>
          <w:rFonts w:ascii="Arial" w:hAnsi="Arial" w:eastAsia="宋体" w:cs="Arial"/>
          <w:sz w:val="24"/>
          <w:szCs w:val="24"/>
          <w:lang w:eastAsia="zh-CN"/>
        </w:rPr>
        <w:t>21 CFR 807.92（a）（3）要求</w:t>
      </w:r>
      <w:r>
        <w:rPr>
          <w:rFonts w:hint="eastAsia" w:ascii="Arial" w:hAnsi="Arial" w:eastAsia="宋体" w:cs="Arial"/>
          <w:sz w:val="24"/>
          <w:szCs w:val="24"/>
          <w:lang w:eastAsia="zh-CN"/>
        </w:rPr>
        <w:t>确实</w:t>
      </w:r>
      <w:r>
        <w:rPr>
          <w:rFonts w:ascii="Arial" w:hAnsi="Arial" w:eastAsia="宋体" w:cs="Arial"/>
          <w:sz w:val="24"/>
          <w:szCs w:val="24"/>
          <w:lang w:eastAsia="zh-CN"/>
        </w:rPr>
        <w:t>合法销售的比较器械。而且，贵公司也必须</w:t>
      </w:r>
      <w:r>
        <w:rPr>
          <w:rFonts w:hint="eastAsia" w:ascii="Arial" w:hAnsi="Arial" w:eastAsia="宋体" w:cs="Arial"/>
          <w:sz w:val="24"/>
          <w:szCs w:val="24"/>
          <w:lang w:eastAsia="zh-CN"/>
        </w:rPr>
        <w:t>确定</w:t>
      </w:r>
      <w:r>
        <w:rPr>
          <w:rFonts w:ascii="Arial" w:hAnsi="Arial" w:eastAsia="宋体" w:cs="Arial"/>
          <w:sz w:val="24"/>
          <w:szCs w:val="24"/>
          <w:lang w:eastAsia="zh-CN"/>
        </w:rPr>
        <w:t>适用的法规和器械的产品代码；必须包含概述贵公司器械与比较器械（或另一种预期用途相同的合法销售器械）相似之处和不同之处的表格。贵公司可</w:t>
      </w:r>
      <w:r>
        <w:rPr>
          <w:rFonts w:hint="eastAsia" w:ascii="Arial" w:hAnsi="Arial" w:eastAsia="宋体" w:cs="Arial"/>
          <w:sz w:val="24"/>
          <w:szCs w:val="24"/>
          <w:lang w:eastAsia="zh-CN"/>
        </w:rPr>
        <w:t>引用</w:t>
      </w:r>
      <w:r>
        <w:rPr>
          <w:rFonts w:ascii="Arial" w:hAnsi="Arial" w:eastAsia="宋体" w:cs="Arial"/>
          <w:sz w:val="24"/>
          <w:szCs w:val="24"/>
          <w:lang w:eastAsia="zh-CN"/>
        </w:rPr>
        <w:t>支持贵公司器械用于其预期诊断用途的合适的同行评议文章和融入器械设计的具体检测原理。贵公司必须详细描述上述提到的每项器械要素。</w:t>
      </w:r>
    </w:p>
    <w:p w14:paraId="2AFC088E">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此外，贵公司必须提供</w:t>
      </w:r>
      <w:r>
        <w:rPr>
          <w:rFonts w:hint="eastAsia" w:ascii="Arial" w:hAnsi="Arial" w:eastAsia="宋体" w:cs="Arial"/>
          <w:lang w:eastAsia="zh-CN"/>
        </w:rPr>
        <w:t>以下</w:t>
      </w:r>
      <w:r>
        <w:rPr>
          <w:rFonts w:ascii="Arial" w:hAnsi="Arial" w:eastAsia="宋体" w:cs="Arial"/>
          <w:lang w:eastAsia="zh-CN"/>
        </w:rPr>
        <w:t>描述性信息，以充分描述贵公司</w:t>
      </w:r>
      <w:r>
        <w:rPr>
          <w:rFonts w:hint="eastAsia" w:ascii="Arial" w:hAnsi="Arial" w:eastAsia="宋体" w:cs="Arial"/>
          <w:lang w:eastAsia="zh-CN"/>
        </w:rPr>
        <w:t>用于</w:t>
      </w:r>
      <w:r>
        <w:rPr>
          <w:rFonts w:ascii="Arial" w:hAnsi="Arial" w:eastAsia="宋体" w:cs="Arial"/>
          <w:lang w:eastAsia="zh-CN"/>
        </w:rPr>
        <w:t>鉴定阳性血培养中微生物和抗性标记</w:t>
      </w:r>
      <w:r>
        <w:rPr>
          <w:rFonts w:hint="eastAsia" w:ascii="Arial" w:hAnsi="Arial" w:eastAsia="宋体" w:cs="Arial"/>
          <w:lang w:eastAsia="zh-CN"/>
        </w:rPr>
        <w:t>物</w:t>
      </w:r>
      <w:r>
        <w:rPr>
          <w:rFonts w:ascii="Arial" w:hAnsi="Arial" w:eastAsia="宋体" w:cs="Arial"/>
          <w:lang w:eastAsia="zh-CN"/>
        </w:rPr>
        <w:t>的多重核酸检测试剂盒的特性。</w:t>
      </w:r>
    </w:p>
    <w:p w14:paraId="6A2F0868">
      <w:pPr>
        <w:pStyle w:val="36"/>
        <w:numPr>
          <w:ilvl w:val="0"/>
          <w:numId w:val="3"/>
        </w:numPr>
        <w:tabs>
          <w:tab w:val="left" w:pos="460"/>
        </w:tabs>
        <w:overflowPunct w:val="0"/>
        <w:snapToGrid w:val="0"/>
        <w:spacing w:after="120" w:afterLines="50" w:line="300" w:lineRule="auto"/>
        <w:ind w:left="357" w:hanging="357"/>
        <w:jc w:val="both"/>
        <w:outlineLvl w:val="1"/>
        <w:rPr>
          <w:rFonts w:ascii="Arial" w:hAnsi="Arial" w:eastAsia="宋体" w:cs="Arial"/>
          <w:b w:val="0"/>
          <w:bCs w:val="0"/>
        </w:rPr>
      </w:pPr>
      <w:bookmarkStart w:id="32" w:name="_bookmark7"/>
      <w:bookmarkEnd w:id="32"/>
      <w:bookmarkStart w:id="33" w:name="_Toc495603752"/>
      <w:r>
        <w:rPr>
          <w:rFonts w:ascii="Arial" w:hAnsi="Arial" w:eastAsia="宋体" w:cs="Arial"/>
          <w:lang w:eastAsia="zh-CN"/>
        </w:rPr>
        <w:t>预期用途</w:t>
      </w:r>
      <w:bookmarkEnd w:id="33"/>
    </w:p>
    <w:p w14:paraId="4B1C3B65">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预期用途必须详细说明试验预期用于的具体人群和</w:t>
      </w:r>
      <w:r>
        <w:rPr>
          <w:rFonts w:hint="eastAsia" w:ascii="Arial" w:hAnsi="Arial" w:eastAsia="宋体" w:cs="Arial"/>
          <w:sz w:val="24"/>
          <w:szCs w:val="24"/>
          <w:lang w:eastAsia="zh-CN"/>
        </w:rPr>
        <w:t>样本</w:t>
      </w:r>
      <w:r>
        <w:rPr>
          <w:rFonts w:ascii="Arial" w:hAnsi="Arial" w:eastAsia="宋体" w:cs="Arial"/>
          <w:sz w:val="24"/>
          <w:szCs w:val="24"/>
          <w:lang w:eastAsia="zh-CN"/>
        </w:rPr>
        <w:t>类型（例如阳性血培养），贵公司器械检测到的具体分析物（微生物</w:t>
      </w:r>
      <w:r>
        <w:rPr>
          <w:rFonts w:hint="eastAsia" w:ascii="Arial" w:hAnsi="Arial" w:eastAsia="宋体" w:cs="Arial"/>
          <w:sz w:val="24"/>
          <w:szCs w:val="24"/>
          <w:lang w:eastAsia="zh-CN"/>
        </w:rPr>
        <w:t>、</w:t>
      </w:r>
      <w:r>
        <w:rPr>
          <w:rFonts w:ascii="Arial" w:hAnsi="Arial" w:eastAsia="宋体" w:cs="Arial"/>
          <w:sz w:val="24"/>
          <w:szCs w:val="24"/>
          <w:lang w:eastAsia="zh-CN"/>
        </w:rPr>
        <w:t>抗性标记</w:t>
      </w:r>
      <w:r>
        <w:rPr>
          <w:rFonts w:hint="eastAsia" w:ascii="Arial" w:hAnsi="Arial" w:eastAsia="宋体" w:cs="Arial"/>
          <w:sz w:val="24"/>
          <w:szCs w:val="24"/>
          <w:lang w:eastAsia="zh-CN"/>
        </w:rPr>
        <w:t>物</w:t>
      </w:r>
      <w:r>
        <w:rPr>
          <w:rFonts w:ascii="Arial" w:hAnsi="Arial" w:eastAsia="宋体" w:cs="Arial"/>
          <w:sz w:val="24"/>
          <w:szCs w:val="24"/>
          <w:lang w:eastAsia="zh-CN"/>
        </w:rPr>
        <w:t>）</w:t>
      </w:r>
      <w:r>
        <w:rPr>
          <w:rFonts w:hint="eastAsia" w:ascii="Arial" w:hAnsi="Arial" w:eastAsia="宋体" w:cs="Arial"/>
          <w:sz w:val="24"/>
          <w:szCs w:val="24"/>
          <w:lang w:eastAsia="zh-CN"/>
        </w:rPr>
        <w:t>、</w:t>
      </w:r>
      <w:r>
        <w:rPr>
          <w:rFonts w:ascii="Arial" w:hAnsi="Arial" w:eastAsia="宋体" w:cs="Arial"/>
          <w:sz w:val="24"/>
          <w:szCs w:val="24"/>
          <w:lang w:eastAsia="zh-CN"/>
        </w:rPr>
        <w:t>分析物本质（例如DNA）和试验用于</w:t>
      </w:r>
      <w:r>
        <w:rPr>
          <w:rFonts w:hint="eastAsia" w:ascii="Arial" w:hAnsi="Arial" w:eastAsia="宋体" w:cs="Arial"/>
          <w:sz w:val="24"/>
          <w:szCs w:val="24"/>
          <w:lang w:eastAsia="zh-CN"/>
        </w:rPr>
        <w:t>的</w:t>
      </w:r>
      <w:r>
        <w:rPr>
          <w:rFonts w:ascii="Arial" w:hAnsi="Arial" w:eastAsia="宋体" w:cs="Arial"/>
          <w:sz w:val="24"/>
          <w:szCs w:val="24"/>
          <w:lang w:eastAsia="zh-CN"/>
        </w:rPr>
        <w:t>临床适应症。预期用途必须是定性的并说明分析物检测是否为假定（例如不能替代传统培养方法和敏感性试验）和任何具体使用条件。</w:t>
      </w:r>
    </w:p>
    <w:p w14:paraId="3A36289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贵公司的510（k）必须清晰描述</w:t>
      </w:r>
      <w:r>
        <w:rPr>
          <w:rFonts w:hint="eastAsia" w:ascii="Arial" w:hAnsi="Arial" w:eastAsia="宋体" w:cs="Arial"/>
          <w:lang w:eastAsia="zh-CN"/>
        </w:rPr>
        <w:t>以下</w:t>
      </w:r>
      <w:r>
        <w:rPr>
          <w:rFonts w:ascii="Arial" w:hAnsi="Arial" w:eastAsia="宋体" w:cs="Arial"/>
          <w:lang w:eastAsia="zh-CN"/>
        </w:rPr>
        <w:t>有关贵公司产品预期用途的信息：</w:t>
      </w:r>
    </w:p>
    <w:p w14:paraId="14FAC4AA">
      <w:pPr>
        <w:pStyle w:val="8"/>
        <w:numPr>
          <w:ilvl w:val="1"/>
          <w:numId w:val="3"/>
        </w:numPr>
        <w:tabs>
          <w:tab w:val="left" w:pos="1000"/>
        </w:tabs>
        <w:overflowPunct w:val="0"/>
        <w:snapToGrid w:val="0"/>
        <w:spacing w:after="120" w:afterLines="50" w:line="300" w:lineRule="auto"/>
        <w:ind w:left="896" w:hanging="434"/>
        <w:jc w:val="both"/>
        <w:rPr>
          <w:rFonts w:ascii="Arial" w:hAnsi="Arial" w:eastAsia="宋体" w:cs="Arial"/>
          <w:lang w:eastAsia="zh-CN"/>
        </w:rPr>
      </w:pPr>
      <w:r>
        <w:rPr>
          <w:rFonts w:ascii="Arial" w:hAnsi="Arial" w:eastAsia="宋体" w:cs="Arial"/>
          <w:lang w:eastAsia="zh-CN"/>
        </w:rPr>
        <w:t>贵公司器械预期检测的微生物和抗性标记</w:t>
      </w:r>
      <w:r>
        <w:rPr>
          <w:rFonts w:hint="eastAsia" w:ascii="Arial" w:hAnsi="Arial" w:eastAsia="宋体" w:cs="Arial"/>
          <w:lang w:eastAsia="zh-CN"/>
        </w:rPr>
        <w:t>物</w:t>
      </w:r>
      <w:r>
        <w:rPr>
          <w:rFonts w:ascii="Arial" w:hAnsi="Arial" w:eastAsia="宋体" w:cs="Arial"/>
          <w:lang w:eastAsia="zh-CN"/>
        </w:rPr>
        <w:t>的特性。</w:t>
      </w:r>
    </w:p>
    <w:p w14:paraId="070962DD">
      <w:pPr>
        <w:pStyle w:val="8"/>
        <w:numPr>
          <w:ilvl w:val="1"/>
          <w:numId w:val="3"/>
        </w:numPr>
        <w:tabs>
          <w:tab w:val="left" w:pos="1000"/>
        </w:tabs>
        <w:overflowPunct w:val="0"/>
        <w:snapToGrid w:val="0"/>
        <w:spacing w:after="120" w:afterLines="50" w:line="300" w:lineRule="auto"/>
        <w:ind w:left="896" w:hanging="434"/>
        <w:jc w:val="both"/>
        <w:rPr>
          <w:rFonts w:ascii="Arial" w:hAnsi="Arial" w:eastAsia="宋体" w:cs="Arial"/>
          <w:lang w:eastAsia="zh-CN"/>
        </w:rPr>
      </w:pPr>
      <w:r>
        <w:rPr>
          <w:rFonts w:ascii="Arial" w:hAnsi="Arial" w:eastAsia="宋体" w:cs="Arial"/>
          <w:lang w:eastAsia="zh-CN"/>
        </w:rPr>
        <w:t>如何</w:t>
      </w:r>
      <w:r>
        <w:rPr>
          <w:rFonts w:hint="eastAsia" w:ascii="Arial" w:hAnsi="Arial" w:eastAsia="宋体" w:cs="Arial"/>
          <w:lang w:eastAsia="zh-CN"/>
        </w:rPr>
        <w:t>使用</w:t>
      </w:r>
      <w:r>
        <w:rPr>
          <w:rFonts w:ascii="Arial" w:hAnsi="Arial" w:eastAsia="宋体" w:cs="Arial"/>
          <w:lang w:eastAsia="zh-CN"/>
        </w:rPr>
        <w:t>器械试验结果帮助实验室鉴定患者阳性血培养内的微生物和微生物</w:t>
      </w:r>
      <w:r>
        <w:rPr>
          <w:rFonts w:hint="eastAsia" w:ascii="Arial" w:hAnsi="Arial" w:eastAsia="宋体" w:cs="Arial"/>
          <w:lang w:eastAsia="zh-CN"/>
        </w:rPr>
        <w:t>抗菌剂</w:t>
      </w:r>
      <w:r>
        <w:rPr>
          <w:rFonts w:ascii="Arial" w:hAnsi="Arial" w:eastAsia="宋体" w:cs="Arial"/>
          <w:lang w:eastAsia="zh-CN"/>
        </w:rPr>
        <w:t>耐药性。</w:t>
      </w:r>
    </w:p>
    <w:p w14:paraId="43F1E806">
      <w:pPr>
        <w:pStyle w:val="36"/>
        <w:numPr>
          <w:ilvl w:val="0"/>
          <w:numId w:val="3"/>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bookmarkStart w:id="34" w:name="_bookmark8"/>
      <w:bookmarkEnd w:id="34"/>
      <w:bookmarkStart w:id="35" w:name="_Toc495603753"/>
      <w:r>
        <w:rPr>
          <w:rFonts w:ascii="Arial" w:hAnsi="Arial" w:eastAsia="宋体" w:cs="Arial"/>
          <w:lang w:eastAsia="zh-CN"/>
        </w:rPr>
        <w:t>测试方法学</w:t>
      </w:r>
      <w:bookmarkEnd w:id="35"/>
    </w:p>
    <w:p w14:paraId="46CAD01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贵公司必须详细描述贵公司器械所用方法学，包括必须描述</w:t>
      </w:r>
      <w:r>
        <w:rPr>
          <w:rFonts w:hint="eastAsia" w:ascii="Arial" w:hAnsi="Arial" w:eastAsia="宋体" w:cs="Arial"/>
          <w:lang w:eastAsia="zh-CN"/>
        </w:rPr>
        <w:t>以下</w:t>
      </w:r>
      <w:r>
        <w:rPr>
          <w:rFonts w:ascii="Arial" w:hAnsi="Arial" w:eastAsia="宋体" w:cs="Arial"/>
          <w:lang w:eastAsia="zh-CN"/>
        </w:rPr>
        <w:t>适用于器械的要素：</w:t>
      </w:r>
    </w:p>
    <w:p w14:paraId="72397C2F">
      <w:pPr>
        <w:pStyle w:val="8"/>
        <w:numPr>
          <w:ilvl w:val="1"/>
          <w:numId w:val="3"/>
        </w:numPr>
        <w:tabs>
          <w:tab w:val="left" w:pos="1000"/>
        </w:tabs>
        <w:overflowPunct w:val="0"/>
        <w:snapToGrid w:val="0"/>
        <w:spacing w:after="120" w:afterLines="50" w:line="300" w:lineRule="auto"/>
        <w:ind w:left="896" w:hanging="434"/>
        <w:jc w:val="both"/>
        <w:rPr>
          <w:rFonts w:ascii="Arial" w:hAnsi="Arial" w:eastAsia="宋体" w:cs="Arial"/>
          <w:lang w:eastAsia="zh-CN"/>
        </w:rPr>
      </w:pPr>
      <w:r>
        <w:rPr>
          <w:rFonts w:ascii="Arial" w:hAnsi="Arial" w:eastAsia="宋体" w:cs="Arial"/>
          <w:lang w:eastAsia="zh-CN"/>
        </w:rPr>
        <w:t>测试平台 （例如实时 PCR</w:t>
      </w:r>
      <w:r>
        <w:rPr>
          <w:rFonts w:hint="eastAsia" w:ascii="Arial" w:hAnsi="Arial" w:eastAsia="宋体" w:cs="Arial"/>
          <w:lang w:eastAsia="zh-CN"/>
        </w:rPr>
        <w:t>、</w:t>
      </w:r>
      <w:r>
        <w:rPr>
          <w:rFonts w:ascii="Arial" w:hAnsi="Arial" w:eastAsia="宋体" w:cs="Arial"/>
          <w:lang w:eastAsia="zh-CN"/>
        </w:rPr>
        <w:t>杂交</w:t>
      </w:r>
      <w:r>
        <w:rPr>
          <w:rFonts w:hint="eastAsia" w:ascii="Arial" w:hAnsi="Arial" w:eastAsia="宋体" w:cs="Arial"/>
          <w:lang w:eastAsia="zh-CN"/>
        </w:rPr>
        <w:t>含量测定、</w:t>
      </w:r>
      <w:r>
        <w:rPr>
          <w:rFonts w:ascii="Arial" w:hAnsi="Arial" w:eastAsia="宋体" w:cs="Arial"/>
          <w:lang w:eastAsia="zh-CN"/>
        </w:rPr>
        <w:t>微球阵列技术）。</w:t>
      </w:r>
      <w:r>
        <w:rPr>
          <w:rFonts w:ascii="Arial" w:hAnsi="Arial" w:eastAsia="宋体" w:cs="Arial"/>
          <w:lang w:eastAsia="zh-CN"/>
        </w:rPr>
        <w:br w:type="page"/>
      </w:r>
    </w:p>
    <w:p w14:paraId="04A49F64">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hint="eastAsia" w:ascii="Arial" w:hAnsi="Arial" w:eastAsia="宋体" w:cs="Arial"/>
          <w:lang w:eastAsia="zh-CN"/>
        </w:rPr>
        <w:t>有关</w:t>
      </w:r>
      <w:r>
        <w:rPr>
          <w:rFonts w:ascii="Arial" w:hAnsi="Arial" w:eastAsia="宋体" w:cs="Arial"/>
          <w:lang w:eastAsia="zh-CN"/>
        </w:rPr>
        <w:t>细菌/抗性标记</w:t>
      </w:r>
      <w:r>
        <w:rPr>
          <w:rFonts w:hint="eastAsia" w:ascii="Arial" w:hAnsi="Arial" w:eastAsia="宋体" w:cs="Arial"/>
          <w:lang w:eastAsia="zh-CN"/>
        </w:rPr>
        <w:t>物</w:t>
      </w:r>
      <w:r>
        <w:rPr>
          <w:rFonts w:ascii="Arial" w:hAnsi="Arial" w:eastAsia="宋体" w:cs="Arial"/>
          <w:lang w:eastAsia="zh-CN"/>
        </w:rPr>
        <w:t>的引物/探针</w:t>
      </w:r>
      <w:r>
        <w:rPr>
          <w:rFonts w:hint="eastAsia" w:ascii="Arial" w:hAnsi="Arial" w:eastAsia="宋体" w:cs="Arial"/>
          <w:lang w:eastAsia="zh-CN"/>
        </w:rPr>
        <w:t>和</w:t>
      </w:r>
      <w:r>
        <w:rPr>
          <w:rFonts w:ascii="Arial" w:hAnsi="Arial" w:eastAsia="宋体" w:cs="Arial"/>
          <w:lang w:eastAsia="zh-CN"/>
        </w:rPr>
        <w:t>靶标的特异性。</w:t>
      </w:r>
    </w:p>
    <w:p w14:paraId="1EBE0271">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有关选择特异性靶标的基本原理的信息。</w:t>
      </w:r>
    </w:p>
    <w:p w14:paraId="66B5A18D">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hint="eastAsia" w:ascii="Arial" w:hAnsi="Arial" w:eastAsia="宋体" w:cs="Arial"/>
          <w:lang w:eastAsia="zh-CN"/>
        </w:rPr>
        <w:t>含量测定的</w:t>
      </w:r>
      <w:r>
        <w:rPr>
          <w:rFonts w:ascii="Arial" w:hAnsi="Arial" w:eastAsia="宋体" w:cs="Arial"/>
          <w:lang w:eastAsia="zh-CN"/>
        </w:rPr>
        <w:t>限制因素（例如杂交饱和水平</w:t>
      </w:r>
      <w:r>
        <w:rPr>
          <w:rFonts w:hint="eastAsia" w:ascii="Arial" w:hAnsi="Arial" w:eastAsia="宋体" w:cs="Arial"/>
          <w:lang w:eastAsia="zh-CN"/>
        </w:rPr>
        <w:t>、</w:t>
      </w:r>
      <w:r>
        <w:rPr>
          <w:rFonts w:ascii="Arial" w:hAnsi="Arial" w:eastAsia="宋体" w:cs="Arial"/>
          <w:lang w:eastAsia="zh-CN"/>
        </w:rPr>
        <w:t>最大循环次数）。</w:t>
      </w:r>
    </w:p>
    <w:p w14:paraId="0F5D2400">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使因污染或携带导致的假阳性结果减至最少的器械设计。</w:t>
      </w:r>
    </w:p>
    <w:p w14:paraId="369F2299">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样本类型（例如血培养瓶的具体类型）。</w:t>
      </w:r>
    </w:p>
    <w:p w14:paraId="3C95267D">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提供或建议使用的试剂组分</w:t>
      </w:r>
      <w:r>
        <w:rPr>
          <w:rFonts w:hint="eastAsia" w:ascii="Arial" w:hAnsi="Arial" w:eastAsia="宋体" w:cs="Arial"/>
          <w:lang w:eastAsia="zh-CN"/>
        </w:rPr>
        <w:t>以及其</w:t>
      </w:r>
      <w:r>
        <w:rPr>
          <w:rFonts w:ascii="Arial" w:hAnsi="Arial" w:eastAsia="宋体" w:cs="Arial"/>
          <w:lang w:eastAsia="zh-CN"/>
        </w:rPr>
        <w:t>在系统内的功能（例如缓冲剂</w:t>
      </w:r>
      <w:r>
        <w:rPr>
          <w:rFonts w:hint="eastAsia" w:ascii="Arial" w:hAnsi="Arial" w:eastAsia="宋体" w:cs="Arial"/>
          <w:lang w:eastAsia="zh-CN"/>
        </w:rPr>
        <w:t>、</w:t>
      </w:r>
      <w:r>
        <w:rPr>
          <w:rFonts w:ascii="Arial" w:hAnsi="Arial" w:eastAsia="宋体" w:cs="Arial"/>
          <w:lang w:eastAsia="zh-CN"/>
        </w:rPr>
        <w:t>酶类</w:t>
      </w:r>
      <w:r>
        <w:rPr>
          <w:rFonts w:hint="eastAsia" w:ascii="Arial" w:hAnsi="Arial" w:eastAsia="宋体" w:cs="Arial"/>
          <w:lang w:eastAsia="zh-CN"/>
        </w:rPr>
        <w:t>、</w:t>
      </w:r>
      <w:r>
        <w:rPr>
          <w:rFonts w:ascii="Arial" w:hAnsi="Arial" w:eastAsia="宋体" w:cs="Arial"/>
          <w:lang w:eastAsia="zh-CN"/>
        </w:rPr>
        <w:t>荧光染料</w:t>
      </w:r>
      <w:r>
        <w:rPr>
          <w:rFonts w:hint="eastAsia" w:ascii="Arial" w:hAnsi="Arial" w:eastAsia="宋体" w:cs="Arial"/>
          <w:lang w:eastAsia="zh-CN"/>
        </w:rPr>
        <w:t>、</w:t>
      </w:r>
      <w:r>
        <w:rPr>
          <w:rFonts w:ascii="Arial" w:hAnsi="Arial" w:eastAsia="宋体" w:cs="Arial"/>
          <w:lang w:eastAsia="zh-CN"/>
        </w:rPr>
        <w:t>化学发光试剂</w:t>
      </w:r>
      <w:r>
        <w:rPr>
          <w:rFonts w:hint="eastAsia" w:ascii="Arial" w:hAnsi="Arial" w:eastAsia="宋体" w:cs="Arial"/>
          <w:lang w:eastAsia="zh-CN"/>
        </w:rPr>
        <w:t>、</w:t>
      </w:r>
      <w:r>
        <w:rPr>
          <w:rFonts w:ascii="Arial" w:hAnsi="Arial" w:eastAsia="宋体" w:cs="Arial"/>
          <w:lang w:eastAsia="zh-CN"/>
        </w:rPr>
        <w:t>其它信号/扩增试剂）。</w:t>
      </w:r>
    </w:p>
    <w:p w14:paraId="5249AC50">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bookmarkStart w:id="36" w:name="OLE_LINK1"/>
      <w:bookmarkStart w:id="37" w:name="OLE_LINK2"/>
      <w:r>
        <w:rPr>
          <w:rFonts w:ascii="Arial" w:hAnsi="Arial" w:eastAsia="宋体" w:cs="Arial"/>
          <w:lang w:eastAsia="zh-CN"/>
        </w:rPr>
        <w:t>特异性和非特异性探针交叉杂交</w:t>
      </w:r>
      <w:bookmarkEnd w:id="36"/>
      <w:bookmarkEnd w:id="37"/>
      <w:r>
        <w:rPr>
          <w:rFonts w:ascii="Arial" w:hAnsi="Arial" w:eastAsia="宋体" w:cs="Arial"/>
          <w:lang w:eastAsia="zh-CN"/>
        </w:rPr>
        <w:t>的可能性。</w:t>
      </w:r>
    </w:p>
    <w:p w14:paraId="0519446E">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说明针对器械使用的任何内部对照和外部对照。</w:t>
      </w:r>
    </w:p>
    <w:p w14:paraId="354710B5">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使用贵公司器械时涉及的</w:t>
      </w:r>
      <w:r>
        <w:rPr>
          <w:rFonts w:hint="eastAsia" w:ascii="Arial" w:hAnsi="Arial" w:eastAsia="宋体" w:cs="Arial"/>
          <w:lang w:eastAsia="zh-CN"/>
        </w:rPr>
        <w:t>工具</w:t>
      </w:r>
      <w:r>
        <w:rPr>
          <w:rFonts w:ascii="Arial" w:hAnsi="Arial" w:eastAsia="宋体" w:cs="Arial"/>
          <w:lang w:eastAsia="zh-CN"/>
        </w:rPr>
        <w:t>和软件，包括组件</w:t>
      </w:r>
      <w:r>
        <w:rPr>
          <w:rFonts w:hint="eastAsia" w:ascii="Arial" w:hAnsi="Arial" w:eastAsia="宋体" w:cs="Arial"/>
          <w:lang w:eastAsia="zh-CN"/>
        </w:rPr>
        <w:t>以及其</w:t>
      </w:r>
      <w:r>
        <w:rPr>
          <w:rFonts w:ascii="Arial" w:hAnsi="Arial" w:eastAsia="宋体" w:cs="Arial"/>
          <w:lang w:eastAsia="zh-CN"/>
        </w:rPr>
        <w:t>在系统内的功能。</w:t>
      </w:r>
    </w:p>
    <w:p w14:paraId="74A58D3A">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适当情况下，从原始数据至最终报告结果的计算路径（例如原始信号如何转变为数值）。这包括鉴定和处理数据集内明显问题的足够的软件控制措施。如果适用，也包括背景和规范化调整。</w:t>
      </w:r>
    </w:p>
    <w:p w14:paraId="6B90B68B">
      <w:pPr>
        <w:pStyle w:val="8"/>
        <w:numPr>
          <w:ilvl w:val="1"/>
          <w:numId w:val="3"/>
        </w:numPr>
        <w:tabs>
          <w:tab w:val="left" w:pos="1000"/>
        </w:tabs>
        <w:overflowPunct w:val="0"/>
        <w:snapToGrid w:val="0"/>
        <w:spacing w:after="120" w:afterLines="50" w:line="300" w:lineRule="auto"/>
        <w:ind w:left="896" w:hanging="434"/>
        <w:jc w:val="both"/>
        <w:rPr>
          <w:rFonts w:ascii="Arial" w:hAnsi="Arial" w:eastAsia="宋体" w:cs="Arial"/>
          <w:lang w:eastAsia="zh-CN"/>
        </w:rPr>
      </w:pPr>
      <w:r>
        <w:rPr>
          <w:rFonts w:ascii="Arial" w:hAnsi="Arial" w:eastAsia="宋体" w:cs="Arial"/>
          <w:lang w:eastAsia="zh-CN"/>
        </w:rPr>
        <w:t>适当情况下，非标准设备或方法的插图或照片，并提供详细说明</w:t>
      </w:r>
    </w:p>
    <w:p w14:paraId="66F08D1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如果适用，贵公司必须描述解决或</w:t>
      </w:r>
      <w:r>
        <w:rPr>
          <w:rFonts w:hint="eastAsia" w:ascii="Arial" w:hAnsi="Arial" w:eastAsia="宋体" w:cs="Arial"/>
          <w:lang w:eastAsia="zh-CN"/>
        </w:rPr>
        <w:t>缓解</w:t>
      </w:r>
      <w:r>
        <w:rPr>
          <w:rFonts w:ascii="Arial" w:hAnsi="Arial" w:eastAsia="宋体" w:cs="Arial"/>
          <w:lang w:eastAsia="zh-CN"/>
        </w:rPr>
        <w:t>与基于核酸的多重测试程序（用于检测微生物核酸）所用引物</w:t>
      </w:r>
      <w:r>
        <w:rPr>
          <w:rFonts w:hint="eastAsia" w:ascii="Arial" w:hAnsi="Arial" w:eastAsia="宋体" w:cs="Arial"/>
          <w:lang w:eastAsia="zh-CN"/>
        </w:rPr>
        <w:t>、</w:t>
      </w:r>
      <w:r>
        <w:rPr>
          <w:rFonts w:ascii="Arial" w:hAnsi="Arial" w:eastAsia="宋体" w:cs="Arial"/>
          <w:lang w:eastAsia="zh-CN"/>
        </w:rPr>
        <w:t>探针和控制措施相关风险的器械设计控制规格，例如：</w:t>
      </w:r>
    </w:p>
    <w:p w14:paraId="11332A37">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使因样本污染或携带导致的假阳性结果减至最少。</w:t>
      </w:r>
    </w:p>
    <w:p w14:paraId="11959BAE">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（由于多重测试时会处理很多探针）制造过程中预防多重测试探针交叉污染的措施。</w:t>
      </w:r>
    </w:p>
    <w:p w14:paraId="726A5F80">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检测物的正确放置和特性（例如探针）。</w:t>
      </w:r>
    </w:p>
    <w:p w14:paraId="262CFFFE">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使用多个探针以能够检测菌株或抗性基因标记变体。</w:t>
      </w:r>
    </w:p>
    <w:p w14:paraId="1425ACE2">
      <w:pPr>
        <w:pStyle w:val="8"/>
        <w:numPr>
          <w:ilvl w:val="1"/>
          <w:numId w:val="3"/>
        </w:numPr>
        <w:tabs>
          <w:tab w:val="left" w:pos="1000"/>
        </w:tabs>
        <w:overflowPunct w:val="0"/>
        <w:snapToGrid w:val="0"/>
        <w:spacing w:line="300" w:lineRule="auto"/>
        <w:ind w:left="896" w:hanging="437"/>
        <w:jc w:val="both"/>
        <w:rPr>
          <w:rFonts w:ascii="Arial" w:hAnsi="Arial" w:eastAsia="宋体" w:cs="Arial"/>
          <w:lang w:eastAsia="zh-CN"/>
        </w:rPr>
      </w:pPr>
      <w:r>
        <w:rPr>
          <w:rFonts w:ascii="Arial" w:hAnsi="Arial" w:eastAsia="宋体" w:cs="Arial"/>
          <w:lang w:eastAsia="zh-CN"/>
        </w:rPr>
        <w:t>如果适用，推荐</w:t>
      </w:r>
      <w:r>
        <w:rPr>
          <w:rFonts w:hint="eastAsia" w:ascii="Arial" w:hAnsi="Arial" w:eastAsia="宋体" w:cs="Arial"/>
          <w:lang w:eastAsia="zh-CN"/>
        </w:rPr>
        <w:t>数种</w:t>
      </w:r>
      <w:r>
        <w:rPr>
          <w:rFonts w:ascii="Arial" w:hAnsi="Arial" w:eastAsia="宋体" w:cs="Arial"/>
          <w:lang w:eastAsia="zh-CN"/>
        </w:rPr>
        <w:t>能从革兰氏染色阳性血培养中获得在测试系统中与贵公司试剂</w:t>
      </w:r>
      <w:r>
        <w:rPr>
          <w:rFonts w:hint="eastAsia" w:ascii="Arial" w:hAnsi="Arial" w:eastAsia="宋体" w:cs="Arial"/>
          <w:lang w:eastAsia="zh-CN"/>
        </w:rPr>
        <w:t>同时</w:t>
      </w:r>
      <w:r>
        <w:rPr>
          <w:rFonts w:ascii="Arial" w:hAnsi="Arial" w:eastAsia="宋体" w:cs="Arial"/>
          <w:lang w:eastAsia="zh-CN"/>
        </w:rPr>
        <w:t>使用的合适质量和数量核酸的经确认的核酸提取和纯化方法。</w:t>
      </w:r>
    </w:p>
    <w:p w14:paraId="76B59F7A">
      <w:pPr>
        <w:pStyle w:val="8"/>
        <w:numPr>
          <w:ilvl w:val="1"/>
          <w:numId w:val="3"/>
        </w:numPr>
        <w:tabs>
          <w:tab w:val="left" w:pos="1000"/>
        </w:tabs>
        <w:overflowPunct w:val="0"/>
        <w:snapToGrid w:val="0"/>
        <w:spacing w:after="120" w:afterLines="50" w:line="300" w:lineRule="auto"/>
        <w:ind w:left="896" w:hanging="437"/>
        <w:jc w:val="both"/>
        <w:rPr>
          <w:rFonts w:ascii="Arial" w:hAnsi="Arial" w:eastAsia="宋体" w:cs="Arial"/>
          <w:lang w:eastAsia="zh-CN"/>
        </w:rPr>
      </w:pPr>
      <w:r>
        <w:rPr>
          <w:rFonts w:hint="eastAsia" w:ascii="Arial" w:hAnsi="Arial" w:eastAsia="宋体" w:cs="Arial"/>
          <w:lang w:eastAsia="zh-CN"/>
        </w:rPr>
        <w:t>优化推荐工具的试剂和测试程序。</w:t>
      </w:r>
    </w:p>
    <w:p w14:paraId="04FEBFBD">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贵公司的510（k）必须提供支持满足贵公司设计控制规格的性能信息。也必须提供可验证贵公司试剂设计的信息（例如选择特异引物/探针的基本原理）。</w:t>
      </w:r>
      <w:r>
        <w:rPr>
          <w:rFonts w:hint="eastAsia" w:ascii="Arial" w:hAnsi="Arial" w:eastAsia="宋体" w:cs="Arial"/>
          <w:lang w:eastAsia="zh-CN"/>
        </w:rPr>
        <w:t>参</w:t>
      </w:r>
      <w:r>
        <w:rPr>
          <w:rFonts w:ascii="Arial" w:hAnsi="Arial" w:eastAsia="宋体" w:cs="Arial"/>
          <w:lang w:eastAsia="zh-CN"/>
        </w:rPr>
        <w:t>见第7节—性能特点。</w:t>
      </w:r>
    </w:p>
    <w:p w14:paraId="77DF19CE">
      <w:pPr>
        <w:pStyle w:val="36"/>
        <w:numPr>
          <w:ilvl w:val="0"/>
          <w:numId w:val="3"/>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r>
        <w:rPr>
          <w:rFonts w:ascii="Arial" w:hAnsi="Arial" w:eastAsia="宋体" w:cs="Arial"/>
        </w:rPr>
        <w:br w:type="page"/>
      </w:r>
      <w:bookmarkStart w:id="38" w:name="_bookmark9"/>
      <w:bookmarkEnd w:id="38"/>
      <w:bookmarkStart w:id="39" w:name="_Toc495603754"/>
      <w:r>
        <w:rPr>
          <w:rFonts w:hint="eastAsia" w:ascii="Arial" w:hAnsi="Arial" w:eastAsia="宋体" w:cs="Arial"/>
          <w:lang w:eastAsia="zh-CN"/>
        </w:rPr>
        <w:t>样本</w:t>
      </w:r>
      <w:r>
        <w:rPr>
          <w:rFonts w:ascii="Arial" w:hAnsi="Arial" w:eastAsia="宋体" w:cs="Arial"/>
          <w:lang w:eastAsia="zh-CN"/>
        </w:rPr>
        <w:t>储存条件</w:t>
      </w:r>
      <w:bookmarkEnd w:id="39"/>
    </w:p>
    <w:p w14:paraId="71EBD9AA">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如果贵公司推荐</w:t>
      </w:r>
      <w:r>
        <w:rPr>
          <w:rFonts w:hint="eastAsia" w:ascii="Arial" w:hAnsi="Arial" w:eastAsia="宋体" w:cs="Arial"/>
          <w:lang w:eastAsia="zh-CN"/>
        </w:rPr>
        <w:t>样本</w:t>
      </w:r>
      <w:r>
        <w:rPr>
          <w:rFonts w:ascii="Arial" w:hAnsi="Arial" w:eastAsia="宋体" w:cs="Arial"/>
          <w:lang w:eastAsia="zh-CN"/>
        </w:rPr>
        <w:t>储存条件，必须证明对于储存期限内各个时间点的储存</w:t>
      </w:r>
      <w:r>
        <w:rPr>
          <w:rFonts w:hint="eastAsia" w:ascii="Arial" w:hAnsi="Arial" w:eastAsia="宋体" w:cs="Arial"/>
          <w:lang w:eastAsia="zh-CN"/>
        </w:rPr>
        <w:t>样本</w:t>
      </w:r>
      <w:r>
        <w:rPr>
          <w:rFonts w:ascii="Arial" w:hAnsi="Arial" w:eastAsia="宋体" w:cs="Arial"/>
          <w:lang w:eastAsia="zh-CN"/>
        </w:rPr>
        <w:t>，器械产生等同的结果。必须评估推荐的每个储存温度，如果是</w:t>
      </w:r>
      <w:r>
        <w:rPr>
          <w:rFonts w:hint="eastAsia" w:ascii="Arial" w:hAnsi="Arial" w:eastAsia="宋体" w:cs="Arial"/>
          <w:lang w:eastAsia="zh-CN"/>
        </w:rPr>
        <w:t>在</w:t>
      </w:r>
      <w:r>
        <w:rPr>
          <w:rFonts w:ascii="Arial" w:hAnsi="Arial" w:eastAsia="宋体" w:cs="Arial"/>
          <w:lang w:eastAsia="zh-CN"/>
        </w:rPr>
        <w:t>温度范围</w:t>
      </w:r>
      <w:r>
        <w:rPr>
          <w:rFonts w:hint="eastAsia" w:ascii="Arial" w:hAnsi="Arial" w:eastAsia="宋体" w:cs="Arial"/>
          <w:lang w:eastAsia="zh-CN"/>
        </w:rPr>
        <w:t>内</w:t>
      </w:r>
      <w:r>
        <w:rPr>
          <w:rFonts w:ascii="Arial" w:hAnsi="Arial" w:eastAsia="宋体" w:cs="Arial"/>
          <w:lang w:eastAsia="zh-CN"/>
        </w:rPr>
        <w:t>，必须评估范围的两个端点（例如推荐室温为15-30ºC，</w:t>
      </w:r>
      <w:r>
        <w:rPr>
          <w:rFonts w:hint="eastAsia" w:ascii="Arial" w:hAnsi="Arial" w:eastAsia="宋体" w:cs="Arial"/>
          <w:lang w:eastAsia="zh-CN"/>
        </w:rPr>
        <w:t>则</w:t>
      </w:r>
      <w:r>
        <w:rPr>
          <w:rFonts w:ascii="Arial" w:hAnsi="Arial" w:eastAsia="宋体" w:cs="Arial"/>
          <w:lang w:eastAsia="zh-CN"/>
        </w:rPr>
        <w:t>测试15ºC 和 30ºC）。</w:t>
      </w:r>
    </w:p>
    <w:p w14:paraId="15CABA9C">
      <w:pPr>
        <w:pStyle w:val="36"/>
        <w:numPr>
          <w:ilvl w:val="0"/>
          <w:numId w:val="3"/>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bookmarkStart w:id="40" w:name="_bookmark10"/>
      <w:bookmarkEnd w:id="40"/>
      <w:bookmarkStart w:id="41" w:name="_Toc495603755"/>
      <w:r>
        <w:rPr>
          <w:rFonts w:ascii="Arial" w:hAnsi="Arial" w:eastAsia="宋体" w:cs="Arial"/>
          <w:lang w:eastAsia="zh-CN"/>
        </w:rPr>
        <w:t>辅助试剂</w:t>
      </w:r>
      <w:bookmarkEnd w:id="41"/>
    </w:p>
    <w:p w14:paraId="4D3F0620">
      <w:pPr>
        <w:pStyle w:val="8"/>
        <w:overflowPunct w:val="0"/>
        <w:snapToGrid w:val="0"/>
        <w:spacing w:after="120" w:afterLines="50" w:line="300" w:lineRule="auto"/>
        <w:ind w:left="0"/>
        <w:jc w:val="both"/>
        <w:rPr>
          <w:rFonts w:ascii="Arial" w:hAnsi="Arial" w:eastAsia="宋体" w:cs="Arial"/>
          <w:lang w:eastAsia="zh-CN"/>
        </w:rPr>
      </w:pPr>
      <w:bookmarkStart w:id="42" w:name="OLE_LINK7"/>
      <w:bookmarkStart w:id="43" w:name="OLE_LINK8"/>
      <w:r>
        <w:rPr>
          <w:rFonts w:ascii="Arial" w:hAnsi="Arial" w:eastAsia="宋体" w:cs="Arial"/>
          <w:lang w:eastAsia="zh-CN"/>
        </w:rPr>
        <w:t>辅助试剂是指器械标签中指定的</w:t>
      </w:r>
      <w:r>
        <w:rPr>
          <w:rFonts w:ascii="宋体" w:hAnsi="宋体" w:eastAsia="宋体" w:cs="Arial"/>
          <w:lang w:eastAsia="zh-CN"/>
        </w:rPr>
        <w:t>“</w:t>
      </w:r>
      <w:r>
        <w:rPr>
          <w:rFonts w:ascii="Arial" w:hAnsi="Arial" w:eastAsia="宋体" w:cs="Arial"/>
          <w:lang w:eastAsia="zh-CN"/>
        </w:rPr>
        <w:t>需要但未提供</w:t>
      </w:r>
      <w:r>
        <w:rPr>
          <w:rFonts w:ascii="宋体" w:hAnsi="宋体" w:eastAsia="宋体" w:cs="Arial"/>
          <w:lang w:eastAsia="zh-CN"/>
        </w:rPr>
        <w:t>”</w:t>
      </w:r>
      <w:r>
        <w:rPr>
          <w:rFonts w:ascii="Arial" w:hAnsi="Arial" w:eastAsia="宋体" w:cs="Arial"/>
          <w:lang w:eastAsia="zh-CN"/>
        </w:rPr>
        <w:t>的试剂，这些试剂帮助实施使用说明书中提出的检测和达到检测试剂盒标签中声称的测试性能。例如，如果贵公司器械标签指定使用某种特定试剂（例如，</w:t>
      </w:r>
      <w:r>
        <w:rPr>
          <w:rFonts w:hint="eastAsia" w:ascii="Arial" w:hAnsi="Arial" w:eastAsia="宋体" w:cs="Arial"/>
          <w:lang w:eastAsia="zh-CN"/>
        </w:rPr>
        <w:t>‘</w:t>
      </w:r>
      <w:r>
        <w:rPr>
          <w:rFonts w:ascii="Arial" w:hAnsi="Arial" w:eastAsia="宋体" w:cs="Arial"/>
          <w:lang w:eastAsia="zh-CN"/>
        </w:rPr>
        <w:t>某品牌提取缓冲液</w:t>
      </w:r>
      <w:r>
        <w:rPr>
          <w:rFonts w:hint="eastAsia" w:ascii="Arial" w:hAnsi="Arial" w:eastAsia="宋体" w:cs="Arial"/>
          <w:lang w:eastAsia="zh-CN"/>
        </w:rPr>
        <w:t>’</w:t>
      </w:r>
      <w:r>
        <w:rPr>
          <w:rFonts w:ascii="Arial" w:hAnsi="Arial" w:eastAsia="宋体" w:cs="Arial"/>
          <w:lang w:eastAsia="zh-CN"/>
        </w:rPr>
        <w:t>或其它经证明等同的缓冲液），且使用任何其它提取缓冲液可能改变贵公司器械的性能特点，使其不同于标签中报告的性能特点，</w:t>
      </w:r>
      <w:r>
        <w:rPr>
          <w:rFonts w:hint="eastAsia" w:ascii="Arial" w:hAnsi="Arial" w:eastAsia="宋体" w:cs="Arial"/>
          <w:lang w:eastAsia="zh-CN"/>
        </w:rPr>
        <w:t>则</w:t>
      </w:r>
      <w:r>
        <w:rPr>
          <w:rFonts w:ascii="Arial" w:hAnsi="Arial" w:eastAsia="宋体" w:cs="Arial"/>
          <w:lang w:eastAsia="zh-CN"/>
        </w:rPr>
        <w:t>某品牌提取缓冲液或任何经证明等同的其它缓冲液是本文件所指的需要关注的辅助试剂。即使贵公司证实贵公司的检测可使用一种或多种替代辅助试剂，</w:t>
      </w:r>
      <w:r>
        <w:rPr>
          <w:rFonts w:hint="eastAsia" w:ascii="Arial" w:hAnsi="Arial" w:eastAsia="宋体" w:cs="Arial"/>
          <w:lang w:eastAsia="zh-CN"/>
        </w:rPr>
        <w:t>但那些命名</w:t>
      </w:r>
      <w:r>
        <w:rPr>
          <w:rFonts w:ascii="Arial" w:hAnsi="Arial" w:eastAsia="宋体" w:cs="Arial"/>
          <w:lang w:eastAsia="zh-CN"/>
        </w:rPr>
        <w:t>的替代试剂可能仍是需要关注的辅助试剂。如果不确定这方面的特殊控制是否适用于贵公司的器械，可咨询FDA。</w:t>
      </w:r>
      <w:bookmarkEnd w:id="42"/>
      <w:bookmarkEnd w:id="43"/>
    </w:p>
    <w:p w14:paraId="7B767BBC">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相比之下，如果贵公司器械需要使用95%乙醇且任何品牌的95%乙醇都能使贵公司器械达到贵公司标签中提供的性能特性，</w:t>
      </w:r>
      <w:r>
        <w:rPr>
          <w:rFonts w:hint="eastAsia" w:ascii="Arial" w:hAnsi="Arial" w:eastAsia="宋体" w:cs="Arial"/>
          <w:lang w:eastAsia="zh-CN"/>
        </w:rPr>
        <w:t>则</w:t>
      </w:r>
      <w:r>
        <w:rPr>
          <w:rFonts w:ascii="Arial" w:hAnsi="Arial" w:eastAsia="宋体" w:cs="Arial"/>
          <w:lang w:eastAsia="zh-CN"/>
        </w:rPr>
        <w:t>95%乙醇就不是本文件所指的需要关注的辅助试剂。</w:t>
      </w:r>
    </w:p>
    <w:p w14:paraId="58F03A2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贵公司器械的使用说明书指定一种或多种需要关注的辅助试剂，必须提供方案说明贵公司确保用贵公司器械和这些辅助试剂得到的测试结果（按照贵公司的使用说明）与贵公司上市前提交资料中确立的性能一致。贵公司的方案可包括应用质量体系方法</w:t>
      </w:r>
      <w:r>
        <w:rPr>
          <w:rFonts w:hint="eastAsia" w:ascii="Arial" w:hAnsi="Arial" w:eastAsia="宋体" w:cs="Arial"/>
          <w:lang w:eastAsia="zh-CN"/>
        </w:rPr>
        <w:t>、</w:t>
      </w:r>
      <w:r>
        <w:rPr>
          <w:rFonts w:ascii="Arial" w:hAnsi="Arial" w:eastAsia="宋体" w:cs="Arial"/>
          <w:lang w:eastAsia="zh-CN"/>
        </w:rPr>
        <w:t>产品标签和其它措施。</w:t>
      </w:r>
    </w:p>
    <w:p w14:paraId="06842A7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FDA将评估贵公司的方案是否能帮助</w:t>
      </w:r>
      <w:r>
        <w:rPr>
          <w:rFonts w:hint="eastAsia" w:ascii="Arial" w:hAnsi="Arial" w:eastAsia="宋体" w:cs="Arial"/>
          <w:lang w:eastAsia="zh-CN"/>
        </w:rPr>
        <w:t>缓解</w:t>
      </w:r>
      <w:r>
        <w:rPr>
          <w:rFonts w:ascii="Arial" w:hAnsi="Arial" w:eastAsia="宋体" w:cs="Arial"/>
          <w:lang w:eastAsia="zh-CN"/>
        </w:rPr>
        <w:t>器械</w:t>
      </w:r>
      <w:r>
        <w:rPr>
          <w:rFonts w:hint="eastAsia" w:ascii="Arial" w:hAnsi="Arial" w:eastAsia="宋体" w:cs="Arial"/>
          <w:lang w:eastAsia="zh-CN"/>
        </w:rPr>
        <w:t>存在</w:t>
      </w:r>
      <w:r>
        <w:rPr>
          <w:rFonts w:ascii="Arial" w:hAnsi="Arial" w:eastAsia="宋体" w:cs="Arial"/>
          <w:lang w:eastAsia="zh-CN"/>
        </w:rPr>
        <w:t>的风险，以提供合理的器械安全性和有效性保证并建立实质等同性。为解决指南的这个方面，贵公司的510（k）提交资料必须解决</w:t>
      </w:r>
      <w:r>
        <w:rPr>
          <w:rFonts w:hint="eastAsia" w:ascii="Arial" w:hAnsi="Arial" w:eastAsia="宋体" w:cs="Arial"/>
          <w:lang w:eastAsia="zh-CN"/>
        </w:rPr>
        <w:t>以下</w:t>
      </w:r>
      <w:r>
        <w:rPr>
          <w:rFonts w:ascii="Arial" w:hAnsi="Arial" w:eastAsia="宋体" w:cs="Arial"/>
          <w:lang w:eastAsia="zh-CN"/>
        </w:rPr>
        <w:t>描述的要素。</w:t>
      </w:r>
    </w:p>
    <w:p w14:paraId="407D6457">
      <w:pPr>
        <w:pStyle w:val="8"/>
        <w:numPr>
          <w:ilvl w:val="0"/>
          <w:numId w:val="4"/>
        </w:numPr>
        <w:tabs>
          <w:tab w:val="left" w:pos="882"/>
        </w:tabs>
        <w:overflowPunct w:val="0"/>
        <w:snapToGrid w:val="0"/>
        <w:spacing w:line="300" w:lineRule="auto"/>
        <w:ind w:left="825" w:leftChars="241" w:hanging="295"/>
        <w:jc w:val="both"/>
        <w:rPr>
          <w:rFonts w:ascii="Arial" w:hAnsi="Arial" w:eastAsia="宋体" w:cs="Arial"/>
          <w:lang w:eastAsia="zh-CN"/>
        </w:rPr>
      </w:pPr>
      <w:r>
        <w:rPr>
          <w:rFonts w:ascii="Arial" w:hAnsi="Arial" w:eastAsia="宋体" w:cs="Arial"/>
          <w:lang w:eastAsia="zh-CN"/>
        </w:rPr>
        <w:t>贵公司的510（k）必须包含解决辅助试剂使用的风险评估，包括与试剂质量和可变性管理相关的风险，与使用说明书（与辅助试剂一起提供和贵公司与检测试剂盒一起提供）不一致相关的风险和任何可能导致用贵公司的检测试剂盒获得错误结果的其它问题。</w:t>
      </w:r>
    </w:p>
    <w:p w14:paraId="16031800">
      <w:pPr>
        <w:pStyle w:val="8"/>
        <w:numPr>
          <w:ilvl w:val="0"/>
          <w:numId w:val="4"/>
        </w:numPr>
        <w:tabs>
          <w:tab w:val="left" w:pos="882"/>
        </w:tabs>
        <w:overflowPunct w:val="0"/>
        <w:snapToGrid w:val="0"/>
        <w:spacing w:line="300" w:lineRule="auto"/>
        <w:ind w:left="824" w:leftChars="241" w:hanging="294"/>
        <w:jc w:val="both"/>
        <w:rPr>
          <w:rFonts w:ascii="Arial" w:hAnsi="Arial" w:eastAsia="宋体" w:cs="Arial"/>
          <w:lang w:eastAsia="zh-CN"/>
        </w:rPr>
      </w:pPr>
      <w:r>
        <w:rPr>
          <w:rFonts w:ascii="Arial" w:hAnsi="Arial" w:eastAsia="宋体" w:cs="Arial"/>
          <w:lang w:eastAsia="zh-CN"/>
        </w:rPr>
        <w:t>将风险评估作为适用的基础，贵公司的510（k）中必须描述贵公司预期通过对辅助试剂执行任何必要的控制措施</w:t>
      </w:r>
      <w:r>
        <w:rPr>
          <w:rFonts w:hint="eastAsia" w:ascii="Arial" w:hAnsi="Arial" w:eastAsia="宋体" w:cs="Arial"/>
          <w:lang w:eastAsia="zh-CN"/>
        </w:rPr>
        <w:t>缓解</w:t>
      </w:r>
      <w:r>
        <w:rPr>
          <w:rFonts w:ascii="Arial" w:hAnsi="Arial" w:eastAsia="宋体" w:cs="Arial"/>
          <w:lang w:eastAsia="zh-CN"/>
        </w:rPr>
        <w:t>风险。适用情况下，这些可能包括：</w:t>
      </w:r>
    </w:p>
    <w:p w14:paraId="71C087E2">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保证恰当使用辅助试剂的用户标签（进一步讨论见</w:t>
      </w:r>
      <w:r>
        <w:rPr>
          <w:rFonts w:ascii="宋体" w:hAnsi="宋体" w:eastAsia="宋体" w:cs="Arial"/>
          <w:lang w:eastAsia="zh-CN"/>
        </w:rPr>
        <w:t>“标签”）</w:t>
      </w:r>
      <w:r>
        <w:rPr>
          <w:rFonts w:ascii="Arial" w:hAnsi="Arial" w:eastAsia="宋体" w:cs="Arial"/>
          <w:lang w:eastAsia="zh-CN"/>
        </w:rPr>
        <w:t>。</w:t>
      </w:r>
    </w:p>
    <w:p w14:paraId="6D35418B">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ascii="Arial" w:hAnsi="Arial" w:eastAsia="宋体" w:cs="Arial"/>
          <w:lang w:eastAsia="zh-CN"/>
        </w:rPr>
        <w:t>评估用户是否遵守标签上关于辅助试剂使用说明的方案。</w:t>
      </w:r>
    </w:p>
    <w:p w14:paraId="50CF5A17">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ascii="Arial" w:hAnsi="Arial" w:eastAsia="宋体" w:cs="Arial"/>
          <w:lang w:eastAsia="zh-CN"/>
        </w:rPr>
        <w:t>辅助试剂的材料</w:t>
      </w:r>
      <w:r>
        <w:rPr>
          <w:rFonts w:hint="eastAsia" w:ascii="Arial" w:hAnsi="Arial" w:eastAsia="宋体" w:cs="Arial"/>
          <w:lang w:eastAsia="zh-CN"/>
        </w:rPr>
        <w:t>质量标准</w:t>
      </w:r>
      <w:r>
        <w:rPr>
          <w:rFonts w:ascii="Arial" w:hAnsi="Arial" w:eastAsia="宋体" w:cs="Arial"/>
          <w:lang w:eastAsia="zh-CN"/>
        </w:rPr>
        <w:t>。</w:t>
      </w:r>
    </w:p>
    <w:p w14:paraId="0A5C656C">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hint="eastAsia" w:ascii="Arial" w:hAnsi="Arial" w:eastAsia="宋体" w:cs="Arial"/>
          <w:lang w:eastAsia="zh-CN"/>
        </w:rPr>
        <w:t>识别将允许</w:t>
      </w:r>
      <w:r>
        <w:rPr>
          <w:rFonts w:ascii="Arial" w:hAnsi="Arial" w:eastAsia="宋体" w:cs="Arial"/>
          <w:lang w:eastAsia="zh-CN"/>
        </w:rPr>
        <w:t>贵公司器械</w:t>
      </w:r>
      <w:r>
        <w:rPr>
          <w:rFonts w:hint="eastAsia" w:ascii="Arial" w:hAnsi="Arial" w:eastAsia="宋体" w:cs="Arial"/>
          <w:lang w:eastAsia="zh-CN"/>
        </w:rPr>
        <w:t>适当性能</w:t>
      </w:r>
      <w:r>
        <w:rPr>
          <w:rFonts w:ascii="Arial" w:hAnsi="Arial" w:eastAsia="宋体" w:cs="Arial"/>
          <w:lang w:eastAsia="zh-CN"/>
        </w:rPr>
        <w:t>的试剂批次。</w:t>
      </w:r>
    </w:p>
    <w:p w14:paraId="1D0E3F3D">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ascii="Arial" w:hAnsi="Arial" w:eastAsia="宋体" w:cs="Arial"/>
          <w:lang w:eastAsia="zh-CN"/>
        </w:rPr>
        <w:t>稳定性测试。</w:t>
      </w:r>
    </w:p>
    <w:p w14:paraId="68778C40">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ascii="Arial" w:hAnsi="Arial" w:eastAsia="宋体" w:cs="Arial"/>
          <w:lang w:eastAsia="zh-CN"/>
        </w:rPr>
        <w:t>投诉处理。</w:t>
      </w:r>
    </w:p>
    <w:p w14:paraId="4483D0FF">
      <w:pPr>
        <w:pStyle w:val="8"/>
        <w:numPr>
          <w:ilvl w:val="1"/>
          <w:numId w:val="4"/>
        </w:numPr>
        <w:tabs>
          <w:tab w:val="left" w:pos="1540"/>
        </w:tabs>
        <w:overflowPunct w:val="0"/>
        <w:snapToGrid w:val="0"/>
        <w:spacing w:line="300" w:lineRule="auto"/>
        <w:ind w:left="2170" w:leftChars="528" w:hanging="1008"/>
        <w:jc w:val="both"/>
        <w:rPr>
          <w:rFonts w:ascii="Arial" w:hAnsi="Arial" w:eastAsia="宋体" w:cs="Arial"/>
          <w:lang w:eastAsia="zh-CN"/>
        </w:rPr>
      </w:pPr>
      <w:r>
        <w:rPr>
          <w:rFonts w:ascii="Arial" w:hAnsi="Arial" w:eastAsia="宋体" w:cs="Arial"/>
          <w:lang w:eastAsia="zh-CN"/>
        </w:rPr>
        <w:t>纠正预防措施。</w:t>
      </w:r>
    </w:p>
    <w:p w14:paraId="02ABCE9C">
      <w:pPr>
        <w:pStyle w:val="8"/>
        <w:numPr>
          <w:ilvl w:val="1"/>
          <w:numId w:val="4"/>
        </w:numPr>
        <w:tabs>
          <w:tab w:val="left" w:pos="1582"/>
        </w:tabs>
        <w:overflowPunct w:val="0"/>
        <w:snapToGrid w:val="0"/>
        <w:spacing w:line="300" w:lineRule="auto"/>
        <w:ind w:left="1579" w:leftChars="527" w:hanging="420"/>
        <w:jc w:val="both"/>
        <w:rPr>
          <w:rFonts w:ascii="Arial" w:hAnsi="Arial" w:eastAsia="宋体" w:cs="Arial"/>
          <w:lang w:eastAsia="zh-CN"/>
        </w:rPr>
      </w:pPr>
      <w:r>
        <w:rPr>
          <w:rFonts w:ascii="Arial" w:hAnsi="Arial" w:eastAsia="宋体" w:cs="Arial"/>
          <w:lang w:eastAsia="zh-CN"/>
        </w:rPr>
        <w:t>涉及辅助试剂的将影响检测试剂盒性能的问题发生时，用于警告用户的方案。</w:t>
      </w:r>
    </w:p>
    <w:p w14:paraId="06049D58">
      <w:pPr>
        <w:pStyle w:val="8"/>
        <w:numPr>
          <w:ilvl w:val="1"/>
          <w:numId w:val="4"/>
        </w:numPr>
        <w:tabs>
          <w:tab w:val="left" w:pos="1582"/>
        </w:tabs>
        <w:overflowPunct w:val="0"/>
        <w:snapToGrid w:val="0"/>
        <w:spacing w:line="300" w:lineRule="auto"/>
        <w:ind w:left="1579" w:leftChars="527" w:hanging="420"/>
        <w:jc w:val="both"/>
        <w:rPr>
          <w:rFonts w:ascii="Arial" w:hAnsi="Arial" w:eastAsia="宋体" w:cs="Arial"/>
          <w:lang w:eastAsia="zh-CN"/>
        </w:rPr>
      </w:pPr>
      <w:r>
        <w:rPr>
          <w:rFonts w:ascii="Arial" w:hAnsi="Arial" w:eastAsia="宋体" w:cs="Arial"/>
          <w:lang w:eastAsia="zh-CN"/>
        </w:rPr>
        <w:t>为保证按照贵公司器械的使用说明书，结合</w:t>
      </w:r>
      <w:r>
        <w:rPr>
          <w:rFonts w:hint="eastAsia" w:ascii="Arial" w:hAnsi="Arial" w:eastAsia="宋体" w:cs="Arial"/>
          <w:lang w:eastAsia="zh-CN"/>
        </w:rPr>
        <w:t>指定</w:t>
      </w:r>
      <w:r>
        <w:rPr>
          <w:rFonts w:ascii="Arial" w:hAnsi="Arial" w:eastAsia="宋体" w:cs="Arial"/>
          <w:lang w:eastAsia="zh-CN"/>
        </w:rPr>
        <w:t>名称的辅助试剂，安全并有效运用贵公司的测试，需要解决的任何其它问题。</w:t>
      </w:r>
    </w:p>
    <w:p w14:paraId="7D5A610C">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另外，贵公司必须提供测试数据，证实贵公司提供或推荐的质量控制足以检测辅助试剂的性能或稳定性问题。</w:t>
      </w:r>
    </w:p>
    <w:p w14:paraId="4434E66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如贵公司有关于辅助试剂的鉴定</w:t>
      </w:r>
      <w:r>
        <w:rPr>
          <w:rFonts w:hint="eastAsia" w:ascii="Arial" w:hAnsi="Arial" w:eastAsia="宋体" w:cs="Arial"/>
          <w:lang w:eastAsia="zh-CN"/>
        </w:rPr>
        <w:t>、</w:t>
      </w:r>
      <w:r>
        <w:rPr>
          <w:rFonts w:ascii="Arial" w:hAnsi="Arial" w:eastAsia="宋体" w:cs="Arial"/>
          <w:lang w:eastAsia="zh-CN"/>
        </w:rPr>
        <w:t>使用或控制方面的问题，请联系微生物学器械</w:t>
      </w:r>
      <w:r>
        <w:rPr>
          <w:rFonts w:hint="eastAsia" w:ascii="Arial" w:hAnsi="Arial" w:eastAsia="宋体" w:cs="Arial"/>
          <w:lang w:eastAsia="zh-CN"/>
        </w:rPr>
        <w:t>部</w:t>
      </w:r>
      <w:r>
        <w:rPr>
          <w:rFonts w:ascii="Arial" w:hAnsi="Arial" w:eastAsia="宋体" w:cs="Arial"/>
          <w:lang w:eastAsia="zh-CN"/>
        </w:rPr>
        <w:t>以获得有关贵公司计划研究的建议或信息。</w:t>
      </w:r>
    </w:p>
    <w:p w14:paraId="1C942F1C">
      <w:pPr>
        <w:pStyle w:val="36"/>
        <w:numPr>
          <w:ilvl w:val="0"/>
          <w:numId w:val="3"/>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bookmarkStart w:id="44" w:name="_bookmark11"/>
      <w:bookmarkEnd w:id="44"/>
      <w:bookmarkStart w:id="45" w:name="_Toc495603756"/>
      <w:r>
        <w:rPr>
          <w:rFonts w:ascii="Arial" w:hAnsi="Arial" w:eastAsia="宋体" w:cs="Arial"/>
          <w:lang w:eastAsia="zh-CN"/>
        </w:rPr>
        <w:t>对照组</w:t>
      </w:r>
      <w:bookmarkEnd w:id="45"/>
    </w:p>
    <w:p w14:paraId="76E94B98">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对照组必须接近样本的成分和核酸浓度以充分挑战系统，及解决</w:t>
      </w:r>
      <w:r>
        <w:rPr>
          <w:rFonts w:ascii="Arial" w:hAnsi="Arial" w:eastAsia="宋体" w:cs="Arial"/>
          <w:lang w:eastAsia="zh-CN"/>
        </w:rPr>
        <w:t>cut-off值附近的</w:t>
      </w:r>
      <w:r>
        <w:rPr>
          <w:rFonts w:ascii="Arial" w:hAnsi="Arial" w:eastAsia="宋体" w:cs="Arial"/>
          <w:sz w:val="24"/>
          <w:szCs w:val="24"/>
          <w:lang w:eastAsia="zh-CN"/>
        </w:rPr>
        <w:t>再现性</w:t>
      </w:r>
      <w:r>
        <w:rPr>
          <w:rFonts w:ascii="Arial" w:hAnsi="Arial" w:eastAsia="宋体" w:cs="Arial"/>
          <w:lang w:eastAsia="zh-CN"/>
        </w:rPr>
        <w:t>。分析和临床研究期间，贵公司必须</w:t>
      </w:r>
      <w:r>
        <w:rPr>
          <w:rFonts w:hint="eastAsia" w:ascii="Arial" w:hAnsi="Arial" w:eastAsia="宋体" w:cs="Arial"/>
          <w:lang w:eastAsia="zh-CN"/>
        </w:rPr>
        <w:t>每天进行</w:t>
      </w:r>
      <w:r>
        <w:rPr>
          <w:rFonts w:ascii="Arial" w:hAnsi="Arial" w:eastAsia="宋体" w:cs="Arial"/>
          <w:lang w:eastAsia="zh-CN"/>
        </w:rPr>
        <w:t>适当的对照</w:t>
      </w:r>
      <w:r>
        <w:rPr>
          <w:rFonts w:hint="eastAsia" w:ascii="Arial" w:hAnsi="Arial" w:eastAsia="宋体" w:cs="Arial"/>
          <w:lang w:eastAsia="zh-CN"/>
        </w:rPr>
        <w:t>测试</w:t>
      </w:r>
      <w:r>
        <w:rPr>
          <w:rFonts w:ascii="Arial" w:hAnsi="Arial" w:eastAsia="宋体" w:cs="Arial"/>
          <w:lang w:eastAsia="zh-CN"/>
        </w:rPr>
        <w:t>。这包括与贵公司检测试剂盒一起提供的任何阳性和阴性对照以及推荐的（但不一定与检测试剂盒一起提供）适当外部对照。</w:t>
      </w:r>
    </w:p>
    <w:p w14:paraId="2DF485E8">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贵公司必须描述下面有关质量控制和校准的内容：</w:t>
      </w:r>
    </w:p>
    <w:p w14:paraId="56085FFC">
      <w:pPr>
        <w:pStyle w:val="8"/>
        <w:numPr>
          <w:ilvl w:val="1"/>
          <w:numId w:val="3"/>
        </w:numPr>
        <w:tabs>
          <w:tab w:val="left" w:pos="896"/>
        </w:tabs>
        <w:overflowPunct w:val="0"/>
        <w:snapToGrid w:val="0"/>
        <w:spacing w:line="300" w:lineRule="auto"/>
        <w:ind w:left="836" w:leftChars="215" w:hanging="363"/>
        <w:jc w:val="both"/>
        <w:rPr>
          <w:rFonts w:ascii="Arial" w:hAnsi="Arial" w:eastAsia="宋体" w:cs="Arial"/>
          <w:lang w:eastAsia="zh-CN"/>
        </w:rPr>
      </w:pPr>
      <w:r>
        <w:rPr>
          <w:rFonts w:ascii="Arial" w:hAnsi="Arial" w:eastAsia="宋体" w:cs="Arial"/>
          <w:lang w:eastAsia="zh-CN"/>
        </w:rPr>
        <w:t>与贵公司系统一起提供的，或为其推荐的各种对照的本质和功能。这些对照组必须能够使用户确定所有步骤和临界反应是否在无污染或交叉杂交情况下恰当进行。</w:t>
      </w:r>
    </w:p>
    <w:p w14:paraId="5D742604">
      <w:pPr>
        <w:pStyle w:val="8"/>
        <w:numPr>
          <w:ilvl w:val="1"/>
          <w:numId w:val="3"/>
        </w:numPr>
        <w:tabs>
          <w:tab w:val="left" w:pos="896"/>
        </w:tabs>
        <w:overflowPunct w:val="0"/>
        <w:snapToGrid w:val="0"/>
        <w:spacing w:line="300" w:lineRule="auto"/>
        <w:ind w:left="836" w:leftChars="215" w:hanging="363"/>
        <w:jc w:val="both"/>
        <w:rPr>
          <w:rFonts w:ascii="Arial" w:hAnsi="Arial" w:eastAsia="宋体" w:cs="Arial"/>
          <w:lang w:eastAsia="zh-CN"/>
        </w:rPr>
      </w:pPr>
      <w:r>
        <w:rPr>
          <w:rFonts w:ascii="Arial" w:hAnsi="Arial" w:eastAsia="宋体" w:cs="Arial"/>
          <w:lang w:eastAsia="zh-CN"/>
        </w:rPr>
        <w:t>如果适用，贵公司的赋值方法（相对或绝对）和确认控制和校准器材料的方法。</w:t>
      </w:r>
    </w:p>
    <w:p w14:paraId="4B9011E3">
      <w:pPr>
        <w:pStyle w:val="8"/>
        <w:numPr>
          <w:ilvl w:val="1"/>
          <w:numId w:val="3"/>
        </w:numPr>
        <w:tabs>
          <w:tab w:val="left" w:pos="896"/>
        </w:tabs>
        <w:overflowPunct w:val="0"/>
        <w:snapToGrid w:val="0"/>
        <w:spacing w:after="120" w:afterLines="50" w:line="300" w:lineRule="auto"/>
        <w:ind w:left="837" w:leftChars="215" w:hanging="364"/>
        <w:jc w:val="both"/>
        <w:rPr>
          <w:rFonts w:ascii="Arial" w:hAnsi="Arial" w:eastAsia="宋体" w:cs="Arial"/>
          <w:lang w:eastAsia="zh-CN"/>
        </w:rPr>
      </w:pPr>
      <w:r>
        <w:rPr>
          <w:rFonts w:ascii="Arial" w:hAnsi="Arial" w:eastAsia="宋体" w:cs="Arial"/>
          <w:lang w:eastAsia="zh-CN"/>
        </w:rPr>
        <w:t>用于检测仪器</w:t>
      </w:r>
      <w:r>
        <w:rPr>
          <w:rFonts w:hint="eastAsia" w:ascii="Arial" w:hAnsi="Arial" w:eastAsia="宋体" w:cs="Arial"/>
          <w:lang w:eastAsia="zh-CN"/>
        </w:rPr>
        <w:t>失效以</w:t>
      </w:r>
      <w:r>
        <w:rPr>
          <w:rFonts w:ascii="Arial" w:hAnsi="Arial" w:eastAsia="宋体" w:cs="Arial"/>
          <w:lang w:eastAsia="zh-CN"/>
        </w:rPr>
        <w:t>满足所需</w:t>
      </w:r>
      <w:r>
        <w:rPr>
          <w:rFonts w:hint="eastAsia" w:ascii="Arial" w:hAnsi="Arial" w:eastAsia="宋体" w:cs="Arial"/>
          <w:lang w:eastAsia="zh-CN"/>
        </w:rPr>
        <w:t>质量标准</w:t>
      </w:r>
      <w:r>
        <w:rPr>
          <w:rFonts w:ascii="Arial" w:hAnsi="Arial" w:eastAsia="宋体" w:cs="Arial"/>
          <w:lang w:eastAsia="zh-CN"/>
        </w:rPr>
        <w:t>的控制参数。</w:t>
      </w:r>
    </w:p>
    <w:p w14:paraId="561C39CC">
      <w:pPr>
        <w:pStyle w:val="37"/>
        <w:tabs>
          <w:tab w:val="left" w:pos="559"/>
        </w:tabs>
        <w:overflowPunct w:val="0"/>
        <w:snapToGrid w:val="0"/>
        <w:spacing w:after="120" w:afterLines="50" w:line="300" w:lineRule="auto"/>
        <w:ind w:left="0" w:firstLine="0"/>
        <w:jc w:val="both"/>
        <w:rPr>
          <w:rFonts w:ascii="Arial" w:hAnsi="Arial" w:eastAsia="宋体" w:cs="Arial"/>
          <w:b w:val="0"/>
          <w:bCs w:val="0"/>
          <w:lang w:eastAsia="zh-CN"/>
        </w:rPr>
      </w:pPr>
      <w:r>
        <w:rPr>
          <w:rFonts w:ascii="Arial" w:hAnsi="Arial" w:eastAsia="宋体" w:cs="Arial"/>
          <w:b w:val="0"/>
          <w:lang w:eastAsia="zh-CN"/>
        </w:rPr>
        <w:t>对照组必须提供关于三方面的信息：（1）样本质量，（2）核酸质量</w:t>
      </w:r>
      <w:r>
        <w:rPr>
          <w:rFonts w:hint="eastAsia" w:ascii="Arial" w:hAnsi="Arial" w:eastAsia="宋体" w:cs="Arial"/>
          <w:b w:val="0"/>
          <w:lang w:eastAsia="zh-CN"/>
        </w:rPr>
        <w:t>以及</w:t>
      </w:r>
      <w:r>
        <w:rPr>
          <w:rFonts w:ascii="Arial" w:hAnsi="Arial" w:eastAsia="宋体" w:cs="Arial"/>
          <w:b w:val="0"/>
          <w:lang w:eastAsia="zh-CN"/>
        </w:rPr>
        <w:t>（3）过程质量。为器械设计具体的对照组时，贵公司可联系微生物学器械部。通常，贵公司必须包含以下类型的对照：</w:t>
      </w:r>
    </w:p>
    <w:p w14:paraId="77F9021A">
      <w:pPr>
        <w:pStyle w:val="37"/>
        <w:numPr>
          <w:ilvl w:val="0"/>
          <w:numId w:val="5"/>
        </w:numPr>
        <w:tabs>
          <w:tab w:val="left" w:pos="559"/>
        </w:tabs>
        <w:overflowPunct w:val="0"/>
        <w:snapToGrid w:val="0"/>
        <w:spacing w:after="120" w:afterLines="50" w:line="300" w:lineRule="auto"/>
        <w:ind w:left="459"/>
        <w:jc w:val="both"/>
        <w:outlineLvl w:val="2"/>
        <w:rPr>
          <w:rFonts w:ascii="Arial" w:hAnsi="Arial" w:eastAsia="宋体" w:cs="Arial"/>
          <w:b w:val="0"/>
          <w:bCs w:val="0"/>
          <w:lang w:eastAsia="zh-CN"/>
        </w:rPr>
      </w:pPr>
      <w:r>
        <w:rPr>
          <w:rFonts w:ascii="Arial" w:hAnsi="Arial" w:eastAsia="宋体" w:cs="Arial"/>
          <w:lang w:eastAsia="zh-CN"/>
        </w:rPr>
        <w:br w:type="page"/>
      </w:r>
      <w:bookmarkStart w:id="46" w:name="Positive_control_for_amplification_and_d"/>
      <w:bookmarkEnd w:id="46"/>
      <w:bookmarkStart w:id="47" w:name="Internal_control"/>
      <w:bookmarkEnd w:id="47"/>
      <w:bookmarkStart w:id="48" w:name="_bookmark12"/>
      <w:bookmarkEnd w:id="48"/>
      <w:bookmarkStart w:id="49" w:name="Negative_sample_control"/>
      <w:bookmarkEnd w:id="49"/>
      <w:bookmarkStart w:id="50" w:name="The_negative_sample_control_contains_non"/>
      <w:bookmarkEnd w:id="50"/>
      <w:bookmarkStart w:id="51" w:name="External_positive_control_for_complete_a"/>
      <w:bookmarkEnd w:id="51"/>
      <w:bookmarkStart w:id="52" w:name="(2)___Positive_Controls"/>
      <w:bookmarkEnd w:id="52"/>
      <w:bookmarkStart w:id="53" w:name="_Toc495603757"/>
      <w:r>
        <w:rPr>
          <w:rFonts w:ascii="Arial" w:hAnsi="Arial" w:eastAsia="宋体" w:cs="Arial"/>
          <w:lang w:eastAsia="zh-CN"/>
        </w:rPr>
        <w:t>阴性对照</w:t>
      </w:r>
      <w:bookmarkEnd w:id="53"/>
    </w:p>
    <w:p w14:paraId="0C4B2BCC">
      <w:pPr>
        <w:pStyle w:val="38"/>
        <w:overflowPunct w:val="0"/>
        <w:snapToGrid w:val="0"/>
        <w:spacing w:after="120" w:afterLines="50" w:line="300" w:lineRule="auto"/>
        <w:ind w:left="0"/>
        <w:jc w:val="both"/>
        <w:rPr>
          <w:rFonts w:ascii="Arial" w:hAnsi="Arial" w:eastAsia="宋体" w:cs="Arial"/>
          <w:b w:val="0"/>
          <w:bCs w:val="0"/>
          <w:i w:val="0"/>
          <w:lang w:eastAsia="zh-CN"/>
        </w:rPr>
      </w:pPr>
      <w:r>
        <w:rPr>
          <w:rFonts w:ascii="Arial" w:hAnsi="Arial" w:eastAsia="宋体" w:cs="Arial"/>
          <w:lang w:eastAsia="zh-CN"/>
        </w:rPr>
        <w:t>空白或无模板对照</w:t>
      </w:r>
    </w:p>
    <w:p w14:paraId="2605FC3C">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空白或无模板对照，包含缓冲液或样本运输培养基和所有检测试剂盒组分，核酸除外。这种对照用于排除靶核酸污染或扩增反应中背景增加的情况。可能不适用于在单一试验，一次性检测盒或检测试管中实施的</w:t>
      </w:r>
      <w:r>
        <w:rPr>
          <w:rFonts w:hint="eastAsia" w:ascii="Arial" w:hAnsi="Arial" w:eastAsia="宋体" w:cs="Arial"/>
          <w:lang w:eastAsia="zh-CN"/>
        </w:rPr>
        <w:t>检测试剂盒</w:t>
      </w:r>
      <w:r>
        <w:rPr>
          <w:rFonts w:ascii="Arial" w:hAnsi="Arial" w:eastAsia="宋体" w:cs="Arial"/>
          <w:lang w:eastAsia="zh-CN"/>
        </w:rPr>
        <w:t>。</w:t>
      </w:r>
    </w:p>
    <w:p w14:paraId="7F952B5C">
      <w:pPr>
        <w:pStyle w:val="38"/>
        <w:overflowPunct w:val="0"/>
        <w:snapToGrid w:val="0"/>
        <w:spacing w:after="120" w:afterLines="50" w:line="300" w:lineRule="auto"/>
        <w:ind w:left="0"/>
        <w:jc w:val="both"/>
        <w:rPr>
          <w:rFonts w:ascii="Arial" w:hAnsi="Arial" w:eastAsia="宋体" w:cs="Arial"/>
          <w:b w:val="0"/>
          <w:bCs w:val="0"/>
          <w:i w:val="0"/>
          <w:lang w:eastAsia="zh-CN"/>
        </w:rPr>
      </w:pPr>
      <w:r>
        <w:rPr>
          <w:rFonts w:ascii="Arial" w:hAnsi="Arial" w:eastAsia="宋体" w:cs="Arial"/>
          <w:lang w:eastAsia="zh-CN"/>
        </w:rPr>
        <w:t>阴性样本对照</w:t>
      </w:r>
    </w:p>
    <w:p w14:paraId="584685C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阴性样本对照包含非靶核酸，或（如果用于评价提取程序）包含</w:t>
      </w:r>
      <w:r>
        <w:rPr>
          <w:rFonts w:hint="eastAsia" w:ascii="Arial" w:hAnsi="Arial" w:eastAsia="宋体" w:cs="Arial"/>
          <w:lang w:eastAsia="zh-CN"/>
        </w:rPr>
        <w:t>测定</w:t>
      </w:r>
      <w:r>
        <w:rPr>
          <w:rFonts w:ascii="Arial" w:hAnsi="Arial" w:eastAsia="宋体" w:cs="Arial"/>
          <w:lang w:eastAsia="zh-CN"/>
        </w:rPr>
        <w:t>的整个非靶标微生物。</w:t>
      </w:r>
      <w:r>
        <w:rPr>
          <w:rFonts w:hint="eastAsia" w:ascii="Arial" w:hAnsi="Arial" w:eastAsia="宋体" w:cs="Arial"/>
          <w:lang w:eastAsia="zh-CN"/>
        </w:rPr>
        <w:t>其</w:t>
      </w:r>
      <w:r>
        <w:rPr>
          <w:rFonts w:ascii="Arial" w:hAnsi="Arial" w:eastAsia="宋体" w:cs="Arial"/>
          <w:lang w:eastAsia="zh-CN"/>
        </w:rPr>
        <w:t>揭示非特异性引发或检测并表明无靶序列时</w:t>
      </w:r>
      <w:r>
        <w:rPr>
          <w:rFonts w:hint="eastAsia" w:ascii="Arial" w:hAnsi="Arial" w:eastAsia="宋体" w:cs="Arial"/>
          <w:lang w:eastAsia="zh-CN"/>
        </w:rPr>
        <w:t>无法</w:t>
      </w:r>
      <w:r>
        <w:rPr>
          <w:rFonts w:ascii="Arial" w:hAnsi="Arial" w:eastAsia="宋体" w:cs="Arial"/>
          <w:lang w:eastAsia="zh-CN"/>
        </w:rPr>
        <w:t>获得信号。分析和临床研究期间，每天必须实施</w:t>
      </w:r>
      <w:r>
        <w:rPr>
          <w:rFonts w:hint="eastAsia" w:ascii="Arial" w:hAnsi="Arial" w:eastAsia="宋体" w:cs="Arial"/>
          <w:lang w:eastAsia="zh-CN"/>
        </w:rPr>
        <w:t>该类</w:t>
      </w:r>
      <w:r>
        <w:rPr>
          <w:rFonts w:ascii="Arial" w:hAnsi="Arial" w:eastAsia="宋体" w:cs="Arial"/>
          <w:lang w:eastAsia="zh-CN"/>
        </w:rPr>
        <w:t>对照。可接受的阴性样本对照材料包括：</w:t>
      </w:r>
    </w:p>
    <w:p w14:paraId="1B35AAE5">
      <w:pPr>
        <w:pStyle w:val="8"/>
        <w:numPr>
          <w:ilvl w:val="1"/>
          <w:numId w:val="5"/>
        </w:numPr>
        <w:tabs>
          <w:tab w:val="left" w:pos="820"/>
        </w:tabs>
        <w:overflowPunct w:val="0"/>
        <w:snapToGrid w:val="0"/>
        <w:spacing w:after="120" w:afterLines="50" w:line="300" w:lineRule="auto"/>
        <w:ind w:left="0" w:firstLine="490"/>
        <w:jc w:val="both"/>
        <w:rPr>
          <w:rFonts w:ascii="Arial" w:hAnsi="Arial" w:eastAsia="宋体" w:cs="Arial"/>
        </w:rPr>
      </w:pPr>
      <w:r>
        <w:rPr>
          <w:rFonts w:ascii="Arial" w:hAnsi="Arial" w:eastAsia="宋体" w:cs="Arial"/>
          <w:lang w:eastAsia="zh-CN"/>
        </w:rPr>
        <w:t>阴性血培养瓶</w:t>
      </w:r>
    </w:p>
    <w:p w14:paraId="79568E28">
      <w:pPr>
        <w:pStyle w:val="8"/>
        <w:numPr>
          <w:ilvl w:val="1"/>
          <w:numId w:val="5"/>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Arial" w:hAnsi="Arial" w:eastAsia="宋体" w:cs="Arial"/>
          <w:lang w:eastAsia="zh-CN"/>
        </w:rPr>
        <w:t>含有非靶标微生物的样本（例如添加非靶标微生物的血培养瓶）</w:t>
      </w:r>
    </w:p>
    <w:p w14:paraId="7DC3248B">
      <w:pPr>
        <w:pStyle w:val="8"/>
        <w:numPr>
          <w:ilvl w:val="1"/>
          <w:numId w:val="5"/>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Arial" w:hAnsi="Arial" w:eastAsia="宋体" w:cs="Arial"/>
          <w:lang w:eastAsia="zh-CN"/>
        </w:rPr>
        <w:t>替代物阴性对照（例如提取的DNA）</w:t>
      </w:r>
    </w:p>
    <w:p w14:paraId="6E373F28">
      <w:pPr>
        <w:pStyle w:val="37"/>
        <w:numPr>
          <w:ilvl w:val="0"/>
          <w:numId w:val="5"/>
        </w:numPr>
        <w:tabs>
          <w:tab w:val="left" w:pos="561"/>
        </w:tabs>
        <w:overflowPunct w:val="0"/>
        <w:snapToGrid w:val="0"/>
        <w:spacing w:after="120" w:afterLines="50" w:line="300" w:lineRule="auto"/>
        <w:ind w:left="459"/>
        <w:jc w:val="both"/>
        <w:outlineLvl w:val="2"/>
        <w:rPr>
          <w:rFonts w:ascii="Arial" w:hAnsi="Arial" w:eastAsia="宋体" w:cs="Arial"/>
          <w:b w:val="0"/>
          <w:bCs w:val="0"/>
        </w:rPr>
      </w:pPr>
      <w:bookmarkStart w:id="54" w:name="_bookmark13"/>
      <w:bookmarkEnd w:id="54"/>
      <w:bookmarkStart w:id="55" w:name="_Toc495603758"/>
      <w:r>
        <w:rPr>
          <w:rFonts w:ascii="Arial" w:hAnsi="Arial" w:eastAsia="宋体" w:cs="Arial"/>
          <w:lang w:eastAsia="zh-CN"/>
        </w:rPr>
        <w:t>阳性对照</w:t>
      </w:r>
      <w:bookmarkEnd w:id="55"/>
    </w:p>
    <w:p w14:paraId="3CA9D38B">
      <w:pPr>
        <w:pStyle w:val="38"/>
        <w:overflowPunct w:val="0"/>
        <w:snapToGrid w:val="0"/>
        <w:spacing w:after="120" w:afterLines="50" w:line="300" w:lineRule="auto"/>
        <w:ind w:left="0"/>
        <w:jc w:val="both"/>
        <w:rPr>
          <w:rFonts w:ascii="Arial" w:hAnsi="Arial" w:eastAsia="宋体" w:cs="Arial"/>
          <w:b w:val="0"/>
          <w:bCs w:val="0"/>
          <w:i w:val="0"/>
          <w:lang w:eastAsia="zh-CN"/>
        </w:rPr>
      </w:pPr>
      <w:r>
        <w:rPr>
          <w:rFonts w:ascii="Arial" w:hAnsi="Arial" w:eastAsia="宋体" w:cs="Arial"/>
          <w:lang w:eastAsia="zh-CN"/>
        </w:rPr>
        <w:t>完整</w:t>
      </w:r>
      <w:r>
        <w:rPr>
          <w:rFonts w:hint="eastAsia" w:ascii="Arial" w:hAnsi="Arial" w:eastAsia="宋体" w:cs="Arial"/>
          <w:lang w:eastAsia="zh-CN"/>
        </w:rPr>
        <w:t>测定</w:t>
      </w:r>
      <w:r>
        <w:rPr>
          <w:rFonts w:ascii="Arial" w:hAnsi="Arial" w:eastAsia="宋体" w:cs="Arial"/>
          <w:lang w:eastAsia="zh-CN"/>
        </w:rPr>
        <w:t>的外部阳性对照</w:t>
      </w:r>
    </w:p>
    <w:p w14:paraId="6280153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阳性对照的设计目的是模仿阳性血培养标本，包含靶核酸，并用于对照整个检测过程，包括核酸提取</w:t>
      </w:r>
      <w:r>
        <w:rPr>
          <w:rFonts w:hint="eastAsia" w:ascii="Arial" w:hAnsi="Arial" w:eastAsia="宋体" w:cs="Arial"/>
          <w:lang w:eastAsia="zh-CN"/>
        </w:rPr>
        <w:t>、</w:t>
      </w:r>
      <w:r>
        <w:rPr>
          <w:rFonts w:ascii="Arial" w:hAnsi="Arial" w:eastAsia="宋体" w:cs="Arial"/>
          <w:lang w:eastAsia="zh-CN"/>
        </w:rPr>
        <w:t>扩增和检测。可接受的阳性检测对照材料包括添加血液和</w:t>
      </w:r>
      <w:r>
        <w:rPr>
          <w:rFonts w:hint="eastAsia" w:ascii="Arial" w:hAnsi="Arial" w:eastAsia="宋体" w:cs="Arial"/>
          <w:lang w:eastAsia="zh-CN"/>
        </w:rPr>
        <w:t>测定</w:t>
      </w:r>
      <w:r>
        <w:rPr>
          <w:rFonts w:ascii="Arial" w:hAnsi="Arial" w:eastAsia="宋体" w:cs="Arial"/>
          <w:lang w:eastAsia="zh-CN"/>
        </w:rPr>
        <w:t>靶标</w:t>
      </w:r>
      <w:r>
        <w:rPr>
          <w:rFonts w:hint="eastAsia" w:ascii="Arial" w:hAnsi="Arial" w:eastAsia="宋体" w:cs="Arial"/>
          <w:lang w:eastAsia="zh-CN"/>
        </w:rPr>
        <w:t>的整体</w:t>
      </w:r>
      <w:r>
        <w:rPr>
          <w:rFonts w:ascii="Arial" w:hAnsi="Arial" w:eastAsia="宋体" w:cs="Arial"/>
          <w:lang w:eastAsia="zh-CN"/>
        </w:rPr>
        <w:t>微生物的血液培养基。分析和临床研究期间，每天必须实施</w:t>
      </w:r>
      <w:r>
        <w:rPr>
          <w:rFonts w:hint="eastAsia" w:ascii="Arial" w:hAnsi="Arial" w:eastAsia="宋体" w:cs="Arial"/>
          <w:lang w:eastAsia="zh-CN"/>
        </w:rPr>
        <w:t>该类</w:t>
      </w:r>
      <w:r>
        <w:rPr>
          <w:rFonts w:ascii="Arial" w:hAnsi="Arial" w:eastAsia="宋体" w:cs="Arial"/>
          <w:lang w:eastAsia="zh-CN"/>
        </w:rPr>
        <w:t>阳性对照。如果适用，可按照预定义的计划表轮流测试代表性分析物。</w:t>
      </w:r>
    </w:p>
    <w:p w14:paraId="2510413B">
      <w:pPr>
        <w:pStyle w:val="38"/>
        <w:overflowPunct w:val="0"/>
        <w:snapToGrid w:val="0"/>
        <w:spacing w:after="120" w:afterLines="50" w:line="300" w:lineRule="auto"/>
        <w:ind w:left="0"/>
        <w:jc w:val="both"/>
        <w:rPr>
          <w:rFonts w:ascii="Arial" w:hAnsi="Arial" w:eastAsia="宋体" w:cs="Arial"/>
          <w:b w:val="0"/>
          <w:bCs w:val="0"/>
          <w:i w:val="0"/>
          <w:lang w:eastAsia="zh-CN"/>
        </w:rPr>
      </w:pPr>
      <w:r>
        <w:rPr>
          <w:rFonts w:ascii="Arial" w:hAnsi="Arial" w:eastAsia="宋体" w:cs="Arial"/>
          <w:lang w:eastAsia="zh-CN"/>
        </w:rPr>
        <w:t>扩增和检测的阳性对照</w:t>
      </w:r>
    </w:p>
    <w:p w14:paraId="06E503DC">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扩增/检测的阳性对照可包含处于或接近定性检测检测限的纯化靶核酸。获得阴性结果时，</w:t>
      </w:r>
      <w:r>
        <w:rPr>
          <w:rFonts w:hint="eastAsia" w:ascii="Arial" w:hAnsi="Arial" w:eastAsia="宋体" w:cs="Arial"/>
          <w:sz w:val="24"/>
          <w:szCs w:val="24"/>
          <w:lang w:eastAsia="zh-CN"/>
        </w:rPr>
        <w:t>其</w:t>
      </w:r>
      <w:r>
        <w:rPr>
          <w:rFonts w:ascii="Arial" w:hAnsi="Arial" w:eastAsia="宋体" w:cs="Arial"/>
          <w:sz w:val="24"/>
          <w:szCs w:val="24"/>
          <w:lang w:eastAsia="zh-CN"/>
        </w:rPr>
        <w:t>对照反应成分的完整性和仪器。如果样本中存在靶标，</w:t>
      </w:r>
      <w:r>
        <w:rPr>
          <w:rFonts w:hint="eastAsia" w:ascii="Arial" w:hAnsi="Arial" w:eastAsia="宋体" w:cs="Arial"/>
          <w:sz w:val="24"/>
          <w:szCs w:val="24"/>
          <w:lang w:eastAsia="zh-CN"/>
        </w:rPr>
        <w:t>则</w:t>
      </w:r>
      <w:r>
        <w:rPr>
          <w:rFonts w:ascii="Arial" w:hAnsi="Arial" w:eastAsia="宋体" w:cs="Arial"/>
          <w:sz w:val="24"/>
          <w:szCs w:val="24"/>
          <w:lang w:eastAsia="zh-CN"/>
        </w:rPr>
        <w:t>表明检测到靶标。</w:t>
      </w:r>
    </w:p>
    <w:p w14:paraId="37FE46F4">
      <w:pPr>
        <w:pStyle w:val="38"/>
        <w:overflowPunct w:val="0"/>
        <w:snapToGrid w:val="0"/>
        <w:spacing w:after="120" w:afterLines="50" w:line="300" w:lineRule="auto"/>
        <w:ind w:left="0"/>
        <w:jc w:val="both"/>
        <w:rPr>
          <w:rFonts w:ascii="Arial" w:hAnsi="Arial" w:eastAsia="宋体" w:cs="Arial"/>
          <w:b w:val="0"/>
          <w:bCs w:val="0"/>
          <w:i w:val="0"/>
          <w:lang w:eastAsia="zh-CN"/>
        </w:rPr>
      </w:pPr>
      <w:r>
        <w:rPr>
          <w:rFonts w:ascii="Arial" w:hAnsi="Arial" w:eastAsia="宋体" w:cs="Arial"/>
          <w:lang w:eastAsia="zh-CN"/>
        </w:rPr>
        <w:t>内部对照</w:t>
      </w:r>
    </w:p>
    <w:p w14:paraId="0408738D">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内部对照是指与靶核酸共同提取和共同扩增的一种非靶核酸序列。</w:t>
      </w:r>
      <w:r>
        <w:rPr>
          <w:rFonts w:hint="eastAsia" w:ascii="Arial" w:hAnsi="Arial" w:eastAsia="宋体" w:cs="Arial"/>
          <w:lang w:eastAsia="zh-CN"/>
        </w:rPr>
        <w:t>其</w:t>
      </w:r>
      <w:r>
        <w:rPr>
          <w:rFonts w:ascii="Arial" w:hAnsi="Arial" w:eastAsia="宋体" w:cs="Arial"/>
          <w:lang w:eastAsia="zh-CN"/>
        </w:rPr>
        <w:t>对照试剂完整性（例如聚合酶，引物）</w:t>
      </w:r>
      <w:r>
        <w:rPr>
          <w:rFonts w:hint="eastAsia" w:ascii="Arial" w:hAnsi="Arial" w:eastAsia="宋体" w:cs="Arial"/>
          <w:lang w:eastAsia="zh-CN"/>
        </w:rPr>
        <w:t>、</w:t>
      </w:r>
      <w:r>
        <w:rPr>
          <w:rFonts w:ascii="Arial" w:hAnsi="Arial" w:eastAsia="宋体" w:cs="Arial"/>
          <w:lang w:eastAsia="zh-CN"/>
        </w:rPr>
        <w:t>设备功能（例如热循环仪）和样本中抑制剂的存在。可接受的内部对照可以是一种非特异性靶标微生物，如枯草杆菌。通过逐个分析每个器械的机构反馈确定是否需要</w:t>
      </w:r>
      <w:r>
        <w:rPr>
          <w:rFonts w:hint="eastAsia" w:ascii="Arial" w:hAnsi="Arial" w:eastAsia="宋体" w:cs="Arial"/>
          <w:lang w:eastAsia="zh-CN"/>
        </w:rPr>
        <w:t>该类</w:t>
      </w:r>
      <w:r>
        <w:rPr>
          <w:rFonts w:ascii="Arial" w:hAnsi="Arial" w:eastAsia="宋体" w:cs="Arial"/>
          <w:lang w:eastAsia="zh-CN"/>
        </w:rPr>
        <w:t>对照。其它信息可参考临床和实验室标准协会（CLSI）文件MM3- A2，</w:t>
      </w:r>
      <w:r>
        <w:rPr>
          <w:rFonts w:ascii="Arial" w:hAnsi="Arial" w:eastAsia="宋体" w:cs="Arial"/>
          <w:i/>
          <w:lang w:eastAsia="zh-CN"/>
        </w:rPr>
        <w:t>传染病分子诊断方法</w:t>
      </w:r>
      <w:r>
        <w:rPr>
          <w:rFonts w:ascii="Arial" w:hAnsi="Arial" w:eastAsia="宋体" w:cs="Arial"/>
          <w:lang w:eastAsia="zh-CN"/>
        </w:rPr>
        <w:t>【参考文件 1】。</w:t>
      </w:r>
      <w:r>
        <w:rPr>
          <w:rFonts w:ascii="Arial" w:hAnsi="Arial" w:eastAsia="宋体" w:cs="Arial"/>
          <w:lang w:eastAsia="zh-CN"/>
        </w:rPr>
        <w:br w:type="page"/>
      </w:r>
      <w:bookmarkStart w:id="56" w:name="Interpreting_Test_Results/Reporting"/>
      <w:bookmarkEnd w:id="56"/>
    </w:p>
    <w:p w14:paraId="7EB858E8">
      <w:pPr>
        <w:pStyle w:val="36"/>
        <w:numPr>
          <w:ilvl w:val="0"/>
          <w:numId w:val="3"/>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bookmarkStart w:id="57" w:name="_bookmark14"/>
      <w:bookmarkEnd w:id="57"/>
      <w:bookmarkStart w:id="58" w:name="_Toc495603759"/>
      <w:r>
        <w:rPr>
          <w:rFonts w:ascii="Arial" w:hAnsi="Arial" w:eastAsia="宋体" w:cs="Arial"/>
          <w:lang w:eastAsia="zh-CN"/>
        </w:rPr>
        <w:t>解释试验结果/报告</w:t>
      </w:r>
      <w:bookmarkEnd w:id="58"/>
    </w:p>
    <w:p w14:paraId="09DD07E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贵公司的510（k）必须描述如何确定阳性</w:t>
      </w:r>
      <w:r>
        <w:rPr>
          <w:rFonts w:hint="eastAsia" w:ascii="Arial" w:hAnsi="Arial" w:eastAsia="宋体" w:cs="Arial"/>
          <w:lang w:eastAsia="zh-CN"/>
        </w:rPr>
        <w:t>、</w:t>
      </w:r>
      <w:r>
        <w:rPr>
          <w:rFonts w:ascii="Arial" w:hAnsi="Arial" w:eastAsia="宋体" w:cs="Arial"/>
          <w:lang w:eastAsia="zh-CN"/>
        </w:rPr>
        <w:t>阴性</w:t>
      </w:r>
      <w:r>
        <w:rPr>
          <w:rFonts w:hint="eastAsia" w:ascii="Arial" w:hAnsi="Arial" w:eastAsia="宋体" w:cs="Arial"/>
          <w:lang w:eastAsia="zh-CN"/>
        </w:rPr>
        <w:t>、</w:t>
      </w:r>
      <w:r>
        <w:rPr>
          <w:rFonts w:ascii="Arial" w:hAnsi="Arial" w:eastAsia="宋体" w:cs="Arial"/>
          <w:lang w:eastAsia="zh-CN"/>
        </w:rPr>
        <w:t>模棱两可（如果适用）或无效结果和如何解释这些结果。必须清楚阐明解释算法。贵公司的510（k）提交资料必须</w:t>
      </w:r>
      <w:r>
        <w:rPr>
          <w:rFonts w:hint="eastAsia" w:ascii="Arial" w:hAnsi="Arial" w:eastAsia="宋体" w:cs="Arial"/>
          <w:lang w:eastAsia="zh-CN"/>
        </w:rPr>
        <w:t>提供</w:t>
      </w:r>
      <w:r>
        <w:rPr>
          <w:rFonts w:ascii="Arial" w:hAnsi="Arial" w:eastAsia="宋体" w:cs="Arial"/>
          <w:lang w:eastAsia="zh-CN"/>
        </w:rPr>
        <w:t>检测的所有输出结果的</w:t>
      </w:r>
      <w:bookmarkStart w:id="59" w:name="OLE_LINK9"/>
      <w:bookmarkStart w:id="60" w:name="OLE_LINK10"/>
      <w:r>
        <w:rPr>
          <w:rFonts w:ascii="Arial" w:hAnsi="Arial" w:eastAsia="宋体" w:cs="Arial"/>
          <w:lang w:eastAsia="zh-CN"/>
        </w:rPr>
        <w:t>cut-off值</w:t>
      </w:r>
      <w:bookmarkEnd w:id="59"/>
      <w:bookmarkEnd w:id="60"/>
      <w:r>
        <w:rPr>
          <w:rFonts w:ascii="Arial" w:hAnsi="Arial" w:eastAsia="宋体" w:cs="Arial"/>
          <w:lang w:eastAsia="zh-CN"/>
        </w:rPr>
        <w:t>。</w:t>
      </w:r>
    </w:p>
    <w:p w14:paraId="04B25ABA">
      <w:pPr>
        <w:pStyle w:val="8"/>
        <w:numPr>
          <w:ilvl w:val="1"/>
          <w:numId w:val="3"/>
        </w:numPr>
        <w:tabs>
          <w:tab w:val="left" w:pos="820"/>
        </w:tabs>
        <w:overflowPunct w:val="0"/>
        <w:snapToGrid w:val="0"/>
        <w:spacing w:after="120" w:afterLines="50" w:line="300" w:lineRule="auto"/>
        <w:ind w:left="824" w:leftChars="222" w:hanging="336"/>
        <w:jc w:val="both"/>
        <w:rPr>
          <w:rFonts w:ascii="Arial" w:hAnsi="Arial" w:eastAsia="宋体" w:cs="Arial"/>
          <w:lang w:eastAsia="zh-CN"/>
        </w:rPr>
      </w:pPr>
      <w:r>
        <w:rPr>
          <w:rFonts w:ascii="Arial" w:hAnsi="Arial" w:eastAsia="宋体" w:cs="Arial"/>
          <w:lang w:eastAsia="zh-CN"/>
        </w:rPr>
        <w:t>贵公司必须提供定义检测阴性结果的cut-off值。如果检测仅有两种可能的输出结果（阴性/阳性），此cut-off值也定义检测的阳性结果。</w:t>
      </w:r>
    </w:p>
    <w:p w14:paraId="3542B475">
      <w:pPr>
        <w:pStyle w:val="8"/>
        <w:numPr>
          <w:ilvl w:val="1"/>
          <w:numId w:val="3"/>
        </w:numPr>
        <w:tabs>
          <w:tab w:val="left" w:pos="820"/>
        </w:tabs>
        <w:overflowPunct w:val="0"/>
        <w:snapToGrid w:val="0"/>
        <w:spacing w:after="120" w:afterLines="50" w:line="300" w:lineRule="auto"/>
        <w:ind w:left="824" w:leftChars="222" w:hanging="336"/>
        <w:jc w:val="both"/>
        <w:rPr>
          <w:rFonts w:ascii="Arial" w:hAnsi="Arial" w:eastAsia="宋体" w:cs="Arial"/>
          <w:lang w:eastAsia="zh-CN"/>
        </w:rPr>
      </w:pPr>
      <w:r>
        <w:rPr>
          <w:rFonts w:ascii="Arial" w:hAnsi="Arial" w:eastAsia="宋体" w:cs="Arial"/>
          <w:lang w:eastAsia="zh-CN"/>
        </w:rPr>
        <w:t>如果检测结果无效，贵公司必须描述如何定义无效结果。如果内部对照是确定无效结果的一部分，贵公司必须解释定义无效结果的每种可能的对照结果组合。贵公司必须提供建议说明出现无效结果后如何继续操作（即报告结果为无效还是推荐重新测试）。如果推荐重新测试，贵公司必须提供与模棱两可结果重新测试信息类似的信息（即重新测试是否必须从准备相同核酸，重新提取或采集新的患者标本开始）。</w:t>
      </w:r>
    </w:p>
    <w:p w14:paraId="59D4047A">
      <w:pPr>
        <w:pStyle w:val="8"/>
        <w:numPr>
          <w:ilvl w:val="1"/>
          <w:numId w:val="3"/>
        </w:numPr>
        <w:tabs>
          <w:tab w:val="left" w:pos="820"/>
        </w:tabs>
        <w:overflowPunct w:val="0"/>
        <w:snapToGrid w:val="0"/>
        <w:spacing w:after="120" w:afterLines="50" w:line="300" w:lineRule="auto"/>
        <w:ind w:left="824" w:leftChars="222" w:hanging="336"/>
        <w:jc w:val="both"/>
        <w:rPr>
          <w:rFonts w:ascii="Arial" w:hAnsi="Arial" w:eastAsia="宋体" w:cs="Arial"/>
          <w:lang w:eastAsia="zh-CN"/>
        </w:rPr>
      </w:pPr>
      <w:r>
        <w:rPr>
          <w:rFonts w:ascii="Arial" w:hAnsi="Arial" w:eastAsia="宋体" w:cs="Arial"/>
          <w:lang w:eastAsia="zh-CN"/>
        </w:rPr>
        <w:t>只有器械检测到已知的携带抗性标记的微生物，才必须报告抗性标记。</w:t>
      </w:r>
    </w:p>
    <w:p w14:paraId="1218D218">
      <w:pPr>
        <w:pStyle w:val="35"/>
        <w:numPr>
          <w:ilvl w:val="0"/>
          <w:numId w:val="1"/>
        </w:numPr>
        <w:tabs>
          <w:tab w:val="left" w:pos="659"/>
        </w:tabs>
        <w:overflowPunct w:val="0"/>
        <w:snapToGrid w:val="0"/>
        <w:spacing w:after="120" w:afterLines="50" w:line="300" w:lineRule="auto"/>
        <w:ind w:left="539" w:hanging="539"/>
        <w:jc w:val="both"/>
        <w:outlineLvl w:val="0"/>
        <w:rPr>
          <w:rFonts w:ascii="Arial" w:hAnsi="Arial" w:eastAsia="宋体" w:cs="Arial"/>
          <w:lang w:eastAsia="zh-CN"/>
        </w:rPr>
      </w:pPr>
      <w:bookmarkStart w:id="61" w:name="_bookmark15"/>
      <w:bookmarkEnd w:id="61"/>
      <w:bookmarkStart w:id="62" w:name="_Toc495603760"/>
      <w:r>
        <w:rPr>
          <w:rFonts w:ascii="Arial" w:hAnsi="Arial" w:eastAsia="宋体" w:cs="Arial"/>
          <w:lang w:eastAsia="zh-CN"/>
        </w:rPr>
        <w:t>性能特点：</w:t>
      </w:r>
      <w:bookmarkEnd w:id="62"/>
    </w:p>
    <w:p w14:paraId="0F637121">
      <w:pPr>
        <w:pStyle w:val="36"/>
        <w:numPr>
          <w:ilvl w:val="0"/>
          <w:numId w:val="6"/>
        </w:numPr>
        <w:tabs>
          <w:tab w:val="left" w:pos="460"/>
        </w:tabs>
        <w:overflowPunct w:val="0"/>
        <w:snapToGrid w:val="0"/>
        <w:spacing w:after="120" w:afterLines="50" w:line="300" w:lineRule="auto"/>
        <w:ind w:left="357" w:hanging="357"/>
        <w:jc w:val="both"/>
        <w:outlineLvl w:val="1"/>
        <w:rPr>
          <w:rFonts w:ascii="Arial" w:hAnsi="Arial" w:eastAsia="宋体" w:cs="Arial"/>
          <w:b w:val="0"/>
          <w:bCs w:val="0"/>
        </w:rPr>
      </w:pPr>
      <w:bookmarkStart w:id="63" w:name="_bookmark16"/>
      <w:bookmarkEnd w:id="63"/>
      <w:bookmarkStart w:id="64" w:name="_Toc495603761"/>
      <w:r>
        <w:rPr>
          <w:rFonts w:hint="eastAsia" w:ascii="Arial" w:hAnsi="Arial" w:eastAsia="宋体" w:cs="Arial"/>
          <w:lang w:eastAsia="zh-CN"/>
        </w:rPr>
        <w:t>一般</w:t>
      </w:r>
      <w:r>
        <w:rPr>
          <w:rFonts w:ascii="Arial" w:hAnsi="Arial" w:eastAsia="宋体" w:cs="Arial"/>
          <w:lang w:eastAsia="zh-CN"/>
        </w:rPr>
        <w:t>研究建议</w:t>
      </w:r>
      <w:bookmarkEnd w:id="64"/>
    </w:p>
    <w:p w14:paraId="3AFD650C">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贵公司为证实下面列出的每项性能特点所实施研究的详细描述性信息必须包含在贵公司的510（k）提交资料中。</w:t>
      </w:r>
    </w:p>
    <w:p w14:paraId="0B05D0E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通常，为确定贵公司器械在类似预期使用条件下的性能，需进行前瞻性临床研究。一般而言，对于临床研究和再现性研究，贵公司实施测试的地点必须与贵公司预期</w:t>
      </w:r>
      <w:r>
        <w:rPr>
          <w:rFonts w:hint="eastAsia" w:ascii="Arial" w:hAnsi="Arial" w:eastAsia="宋体" w:cs="Arial"/>
          <w:lang w:eastAsia="zh-CN"/>
        </w:rPr>
        <w:t>上市</w:t>
      </w:r>
      <w:r>
        <w:rPr>
          <w:rFonts w:ascii="Arial" w:hAnsi="Arial" w:eastAsia="宋体" w:cs="Arial"/>
          <w:lang w:eastAsia="zh-CN"/>
        </w:rPr>
        <w:t>器械的地点一致（例如临床实验室地点）。</w:t>
      </w:r>
    </w:p>
    <w:p w14:paraId="50C8CB8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510（k）提交资料中必须提供描述开发检测试剂盒期间所用方案的适当具体信息，以便FDA准确解释贵公司申请内包含的验收标准和数据总结。该信息对于帮助用户理解贵公司标签中的信息也很重要。如果参考CLSI 方案或指南，贵公司必须说明是否遵守了指南的所有方面；如果没有，说明遵守了方案或指南的哪些具体方面。</w:t>
      </w:r>
    </w:p>
    <w:p w14:paraId="618CFE9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br w:type="page"/>
      </w:r>
      <w:bookmarkStart w:id="65" w:name="(1)___Specimen_Collection_and_Handling"/>
      <w:bookmarkEnd w:id="65"/>
      <w:r>
        <w:rPr>
          <w:rFonts w:ascii="Arial" w:hAnsi="Arial" w:eastAsia="宋体" w:cs="Arial"/>
          <w:lang w:eastAsia="zh-CN"/>
        </w:rPr>
        <w:t>贵公司的510（k）必须详细描述用于评价第7节中指出的每项性能特点的研究设计。在开始实施临床研究前，贵公司可联系微生物学器械</w:t>
      </w:r>
      <w:r>
        <w:rPr>
          <w:rFonts w:hint="eastAsia" w:ascii="Arial" w:hAnsi="Arial" w:eastAsia="宋体" w:cs="Arial"/>
          <w:lang w:eastAsia="zh-CN"/>
        </w:rPr>
        <w:t>部</w:t>
      </w:r>
      <w:r>
        <w:rPr>
          <w:rFonts w:ascii="Arial" w:hAnsi="Arial" w:eastAsia="宋体" w:cs="Arial"/>
          <w:lang w:eastAsia="zh-CN"/>
        </w:rPr>
        <w:t>，以获得有关贵公司计划研究和计划包含在510（k）提交资料中的预期用途的反馈。</w:t>
      </w:r>
    </w:p>
    <w:p w14:paraId="7C393634">
      <w:pPr>
        <w:pStyle w:val="36"/>
        <w:numPr>
          <w:ilvl w:val="0"/>
          <w:numId w:val="6"/>
        </w:numPr>
        <w:tabs>
          <w:tab w:val="left" w:pos="460"/>
        </w:tabs>
        <w:overflowPunct w:val="0"/>
        <w:snapToGrid w:val="0"/>
        <w:spacing w:after="120" w:afterLines="50" w:line="300" w:lineRule="auto"/>
        <w:ind w:left="357" w:hanging="357"/>
        <w:jc w:val="both"/>
        <w:outlineLvl w:val="1"/>
        <w:rPr>
          <w:rFonts w:ascii="Arial" w:hAnsi="Arial" w:eastAsia="宋体" w:cs="Arial"/>
          <w:b w:val="0"/>
          <w:bCs w:val="0"/>
        </w:rPr>
      </w:pPr>
      <w:bookmarkStart w:id="66" w:name="_bookmark17"/>
      <w:bookmarkEnd w:id="66"/>
      <w:bookmarkStart w:id="67" w:name="_Toc495603762"/>
      <w:r>
        <w:rPr>
          <w:rFonts w:ascii="Arial" w:hAnsi="Arial" w:eastAsia="宋体" w:cs="Arial"/>
          <w:lang w:eastAsia="zh-CN"/>
        </w:rPr>
        <w:t>预分析因素</w:t>
      </w:r>
      <w:bookmarkEnd w:id="67"/>
    </w:p>
    <w:p w14:paraId="3C1CB1E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对于这些器械，考虑预分析因素是至关重要的。在510（k）中，贵公司必须解决</w:t>
      </w:r>
      <w:r>
        <w:rPr>
          <w:rFonts w:hint="eastAsia" w:ascii="Arial" w:hAnsi="Arial" w:eastAsia="宋体" w:cs="Arial"/>
          <w:lang w:eastAsia="zh-CN"/>
        </w:rPr>
        <w:t>以下</w:t>
      </w:r>
      <w:r>
        <w:rPr>
          <w:rFonts w:ascii="Arial" w:hAnsi="Arial" w:eastAsia="宋体" w:cs="Arial"/>
          <w:lang w:eastAsia="zh-CN"/>
        </w:rPr>
        <w:t>有关预分析因素的问题。</w:t>
      </w:r>
    </w:p>
    <w:p w14:paraId="75F9C78E">
      <w:pPr>
        <w:pStyle w:val="37"/>
        <w:numPr>
          <w:ilvl w:val="0"/>
          <w:numId w:val="7"/>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68" w:name="_bookmark18"/>
      <w:bookmarkEnd w:id="68"/>
      <w:bookmarkStart w:id="69" w:name="_Toc495603763"/>
      <w:r>
        <w:rPr>
          <w:rFonts w:ascii="Arial" w:hAnsi="Arial" w:eastAsia="宋体" w:cs="Arial"/>
          <w:lang w:eastAsia="zh-CN"/>
        </w:rPr>
        <w:t>标本采集与处理</w:t>
      </w:r>
      <w:bookmarkEnd w:id="69"/>
    </w:p>
    <w:p w14:paraId="5D1517F5">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必须指定贵公司检测试剂盒预期用于的具体血培养瓶类型。</w:t>
      </w:r>
    </w:p>
    <w:p w14:paraId="126F58C2">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如果贵公司推荐</w:t>
      </w:r>
      <w:r>
        <w:rPr>
          <w:rFonts w:hint="eastAsia" w:ascii="Arial" w:hAnsi="Arial" w:eastAsia="宋体" w:cs="Arial"/>
          <w:lang w:eastAsia="zh-CN"/>
        </w:rPr>
        <w:t>样本</w:t>
      </w:r>
      <w:r>
        <w:rPr>
          <w:rFonts w:ascii="Arial" w:hAnsi="Arial" w:eastAsia="宋体" w:cs="Arial"/>
          <w:lang w:eastAsia="zh-CN"/>
        </w:rPr>
        <w:t>储存和/或运送条件，必须证明对于推荐储存期限内各个时间点的储存</w:t>
      </w:r>
      <w:r>
        <w:rPr>
          <w:rFonts w:hint="eastAsia" w:ascii="Arial" w:hAnsi="Arial" w:eastAsia="宋体" w:cs="Arial"/>
          <w:lang w:eastAsia="zh-CN"/>
        </w:rPr>
        <w:t>样本、</w:t>
      </w:r>
      <w:r>
        <w:rPr>
          <w:rFonts w:ascii="Arial" w:hAnsi="Arial" w:eastAsia="宋体" w:cs="Arial"/>
          <w:lang w:eastAsia="zh-CN"/>
        </w:rPr>
        <w:t>器械产生等同结果。也必须评估声称的每个温度范围。必须陈述所有</w:t>
      </w:r>
      <w:r>
        <w:rPr>
          <w:rFonts w:hint="eastAsia" w:ascii="Arial" w:hAnsi="Arial" w:eastAsia="宋体" w:cs="Arial"/>
          <w:lang w:eastAsia="zh-CN"/>
        </w:rPr>
        <w:t>样本</w:t>
      </w:r>
      <w:r>
        <w:rPr>
          <w:rFonts w:ascii="Arial" w:hAnsi="Arial" w:eastAsia="宋体" w:cs="Arial"/>
          <w:lang w:eastAsia="zh-CN"/>
        </w:rPr>
        <w:t>稳定性参数的验收标准。</w:t>
      </w:r>
    </w:p>
    <w:p w14:paraId="7028D99C">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lang w:eastAsia="zh-CN"/>
        </w:rPr>
        <w:t>CLSI 文件 MM13-A，</w:t>
      </w:r>
      <w:r>
        <w:rPr>
          <w:rFonts w:ascii="Arial" w:hAnsi="Arial" w:eastAsia="宋体" w:cs="Arial"/>
          <w:i/>
          <w:sz w:val="24"/>
          <w:lang w:eastAsia="zh-CN"/>
        </w:rPr>
        <w:t>分子诊断方法中</w:t>
      </w:r>
      <w:r>
        <w:rPr>
          <w:rFonts w:hint="eastAsia" w:ascii="Arial" w:hAnsi="Arial" w:eastAsia="宋体" w:cs="Arial"/>
          <w:i/>
          <w:sz w:val="24"/>
          <w:lang w:eastAsia="zh-CN"/>
        </w:rPr>
        <w:t>样本</w:t>
      </w:r>
      <w:r>
        <w:rPr>
          <w:rFonts w:ascii="Arial" w:hAnsi="Arial" w:eastAsia="宋体" w:cs="Arial"/>
          <w:i/>
          <w:sz w:val="24"/>
          <w:lang w:eastAsia="zh-CN"/>
        </w:rPr>
        <w:t>收集</w:t>
      </w:r>
      <w:r>
        <w:rPr>
          <w:rFonts w:hint="eastAsia" w:ascii="Arial" w:hAnsi="Arial" w:eastAsia="宋体" w:cs="Arial"/>
          <w:i/>
          <w:sz w:val="24"/>
          <w:lang w:eastAsia="zh-CN"/>
        </w:rPr>
        <w:t>、</w:t>
      </w:r>
      <w:r>
        <w:rPr>
          <w:rFonts w:ascii="Arial" w:hAnsi="Arial" w:eastAsia="宋体" w:cs="Arial"/>
          <w:i/>
          <w:sz w:val="24"/>
          <w:lang w:eastAsia="zh-CN"/>
        </w:rPr>
        <w:t>运输</w:t>
      </w:r>
      <w:r>
        <w:rPr>
          <w:rFonts w:hint="eastAsia" w:ascii="Arial" w:hAnsi="Arial" w:eastAsia="宋体" w:cs="Arial"/>
          <w:i/>
          <w:sz w:val="24"/>
          <w:lang w:eastAsia="zh-CN"/>
        </w:rPr>
        <w:t>、</w:t>
      </w:r>
      <w:r>
        <w:rPr>
          <w:rFonts w:ascii="Arial" w:hAnsi="Arial" w:eastAsia="宋体" w:cs="Arial"/>
          <w:i/>
          <w:sz w:val="24"/>
          <w:lang w:eastAsia="zh-CN"/>
        </w:rPr>
        <w:t xml:space="preserve">处理和储存 </w:t>
      </w:r>
      <w:r>
        <w:rPr>
          <w:rFonts w:ascii="Arial" w:hAnsi="Arial" w:eastAsia="宋体" w:cs="Arial"/>
          <w:sz w:val="24"/>
          <w:lang w:eastAsia="zh-CN"/>
        </w:rPr>
        <w:t>【参考文件 2】， CLSI 文件 H18-A4，</w:t>
      </w:r>
      <w:r>
        <w:rPr>
          <w:rFonts w:ascii="Arial" w:hAnsi="Arial" w:eastAsia="宋体" w:cs="Arial"/>
          <w:i/>
          <w:sz w:val="24"/>
          <w:lang w:eastAsia="zh-CN"/>
        </w:rPr>
        <w:t xml:space="preserve">血液标本处理和加工程序 </w:t>
      </w:r>
      <w:r>
        <w:rPr>
          <w:rFonts w:ascii="Arial" w:hAnsi="Arial" w:eastAsia="宋体" w:cs="Arial"/>
          <w:sz w:val="24"/>
          <w:lang w:eastAsia="zh-CN"/>
        </w:rPr>
        <w:t>【参考文件3】和 CLSI 文件</w:t>
      </w:r>
      <w:bookmarkStart w:id="70" w:name="OLE_LINK39"/>
      <w:bookmarkStart w:id="71" w:name="OLE_LINK40"/>
      <w:r>
        <w:rPr>
          <w:rFonts w:ascii="Arial" w:hAnsi="Arial" w:eastAsia="宋体" w:cs="Arial"/>
          <w:sz w:val="24"/>
          <w:lang w:eastAsia="zh-CN"/>
        </w:rPr>
        <w:t xml:space="preserve"> M29-A2</w:t>
      </w:r>
      <w:bookmarkEnd w:id="70"/>
      <w:bookmarkEnd w:id="71"/>
      <w:r>
        <w:rPr>
          <w:rFonts w:ascii="Arial" w:hAnsi="Arial" w:eastAsia="宋体" w:cs="Arial"/>
          <w:sz w:val="24"/>
          <w:lang w:eastAsia="zh-CN"/>
        </w:rPr>
        <w:t>，</w:t>
      </w:r>
      <w:r>
        <w:rPr>
          <w:rFonts w:ascii="Arial" w:hAnsi="Arial" w:eastAsia="宋体" w:cs="Arial"/>
          <w:i/>
          <w:sz w:val="24"/>
          <w:lang w:eastAsia="zh-CN"/>
        </w:rPr>
        <w:t xml:space="preserve">保护实验室工作者免受职业获得性传染 </w:t>
      </w:r>
      <w:r>
        <w:rPr>
          <w:rFonts w:ascii="Arial" w:hAnsi="Arial" w:eastAsia="宋体" w:cs="Arial"/>
          <w:sz w:val="24"/>
          <w:lang w:eastAsia="zh-CN"/>
        </w:rPr>
        <w:t>【参考文件 4】 含有关于本</w:t>
      </w:r>
      <w:r>
        <w:rPr>
          <w:rFonts w:hint="eastAsia" w:ascii="Arial" w:hAnsi="Arial" w:eastAsia="宋体" w:cs="Arial"/>
          <w:sz w:val="24"/>
          <w:lang w:eastAsia="zh-CN"/>
        </w:rPr>
        <w:t>主题</w:t>
      </w:r>
      <w:r>
        <w:rPr>
          <w:rFonts w:ascii="Arial" w:hAnsi="Arial" w:eastAsia="宋体" w:cs="Arial"/>
          <w:sz w:val="24"/>
          <w:lang w:eastAsia="zh-CN"/>
        </w:rPr>
        <w:t>的其它信息。</w:t>
      </w:r>
    </w:p>
    <w:p w14:paraId="0435C932">
      <w:pPr>
        <w:pStyle w:val="37"/>
        <w:numPr>
          <w:ilvl w:val="0"/>
          <w:numId w:val="7"/>
        </w:numPr>
        <w:tabs>
          <w:tab w:val="left" w:pos="561"/>
        </w:tabs>
        <w:overflowPunct w:val="0"/>
        <w:snapToGrid w:val="0"/>
        <w:spacing w:after="120" w:afterLines="50" w:line="300" w:lineRule="auto"/>
        <w:ind w:left="459"/>
        <w:jc w:val="both"/>
        <w:outlineLvl w:val="2"/>
        <w:rPr>
          <w:rFonts w:ascii="Arial" w:hAnsi="Arial" w:eastAsia="宋体" w:cs="Arial"/>
          <w:b w:val="0"/>
          <w:bCs w:val="0"/>
          <w:lang w:eastAsia="zh-CN"/>
        </w:rPr>
      </w:pPr>
      <w:bookmarkStart w:id="72" w:name="_bookmark19"/>
      <w:bookmarkEnd w:id="72"/>
      <w:bookmarkStart w:id="73" w:name="_Toc495603764"/>
      <w:r>
        <w:rPr>
          <w:rFonts w:ascii="Arial" w:hAnsi="Arial" w:eastAsia="宋体" w:cs="Arial"/>
          <w:lang w:eastAsia="zh-CN"/>
        </w:rPr>
        <w:t>新鲜样本对比冻存样本（稳定性）</w:t>
      </w:r>
      <w:bookmarkEnd w:id="73"/>
    </w:p>
    <w:p w14:paraId="456BE49D">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color w:val="0A0A0A"/>
          <w:lang w:eastAsia="zh-CN"/>
        </w:rPr>
        <w:t>对于新鲜样本和冻存样本，阳性血培养的表现可能不同。如果贵公司研究中使用任何冻存样本，或声称</w:t>
      </w:r>
      <w:r>
        <w:rPr>
          <w:rFonts w:hint="eastAsia" w:ascii="Arial" w:hAnsi="Arial" w:eastAsia="宋体" w:cs="Arial"/>
          <w:color w:val="0A0A0A"/>
          <w:lang w:eastAsia="zh-CN"/>
        </w:rPr>
        <w:t>使</w:t>
      </w:r>
      <w:r>
        <w:rPr>
          <w:rFonts w:ascii="Arial" w:hAnsi="Arial" w:eastAsia="宋体" w:cs="Arial"/>
          <w:color w:val="0A0A0A"/>
          <w:lang w:eastAsia="zh-CN"/>
        </w:rPr>
        <w:t>用</w:t>
      </w:r>
      <w:r>
        <w:rPr>
          <w:rFonts w:hint="eastAsia" w:ascii="Arial" w:hAnsi="Arial" w:eastAsia="宋体" w:cs="Arial"/>
          <w:color w:val="0A0A0A"/>
          <w:lang w:eastAsia="zh-CN"/>
        </w:rPr>
        <w:t>冷冻样本对</w:t>
      </w:r>
      <w:r>
        <w:rPr>
          <w:rFonts w:ascii="Arial" w:hAnsi="Arial" w:eastAsia="宋体" w:cs="Arial"/>
          <w:color w:val="0A0A0A"/>
          <w:lang w:eastAsia="zh-CN"/>
        </w:rPr>
        <w:t>贵公司器械进行测试，测试前必须评估冻存样本和多次冻结/解冻循环对贵公司器械性能的影响。贵公司必须用至少60个样本测试代表性分析物，且大多数样本的水平接近检测限（LoD），其余样本的浓度应</w:t>
      </w:r>
      <w:r>
        <w:rPr>
          <w:rFonts w:hint="eastAsia" w:ascii="Arial" w:hAnsi="Arial" w:eastAsia="宋体" w:cs="Arial"/>
          <w:color w:val="0A0A0A"/>
          <w:lang w:eastAsia="zh-CN"/>
        </w:rPr>
        <w:t>包括在</w:t>
      </w:r>
      <w:r>
        <w:rPr>
          <w:rFonts w:ascii="Arial" w:hAnsi="Arial" w:eastAsia="宋体" w:cs="Arial"/>
          <w:color w:val="0A0A0A"/>
          <w:lang w:eastAsia="zh-CN"/>
        </w:rPr>
        <w:t>临床相关分析物浓度范围</w:t>
      </w:r>
      <w:r>
        <w:rPr>
          <w:rFonts w:hint="eastAsia" w:ascii="Arial" w:hAnsi="Arial" w:eastAsia="宋体" w:cs="Arial"/>
          <w:color w:val="0A0A0A"/>
          <w:lang w:eastAsia="zh-CN"/>
        </w:rPr>
        <w:t>内</w:t>
      </w:r>
      <w:r>
        <w:rPr>
          <w:rFonts w:ascii="Arial" w:hAnsi="Arial" w:eastAsia="宋体" w:cs="Arial"/>
          <w:color w:val="0A0A0A"/>
          <w:lang w:eastAsia="zh-CN"/>
        </w:rPr>
        <w:t>。研究必须证明至少95%的阳性符合率，且95%（双侧）置信区间的下限超过90%。</w:t>
      </w:r>
    </w:p>
    <w:p w14:paraId="709F6896">
      <w:pPr>
        <w:pStyle w:val="37"/>
        <w:numPr>
          <w:ilvl w:val="0"/>
          <w:numId w:val="7"/>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74" w:name="_bookmark20"/>
      <w:bookmarkEnd w:id="74"/>
      <w:bookmarkStart w:id="75" w:name="_Toc495603765"/>
      <w:r>
        <w:rPr>
          <w:rFonts w:ascii="Arial" w:hAnsi="Arial" w:eastAsia="宋体" w:cs="Arial"/>
          <w:lang w:eastAsia="zh-CN"/>
        </w:rPr>
        <w:t>核酸提取</w:t>
      </w:r>
      <w:bookmarkEnd w:id="75"/>
    </w:p>
    <w:p w14:paraId="7AA87672">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不同的提取方法可能产生不同数量和质量的核酸，因此提取方法对取得成功结果至关重要。所以贵公司必须利用推荐器械使用的整个预分析过程（包括提取程序）评价检测试剂盒对每种靶标微生物的分析和临床性能特点。</w:t>
      </w:r>
    </w:p>
    <w:p w14:paraId="1B129BBF">
      <w:pPr>
        <w:rPr>
          <w:rFonts w:ascii="Arial" w:hAnsi="Arial" w:eastAsia="宋体" w:cs="Arial"/>
          <w:sz w:val="24"/>
          <w:szCs w:val="24"/>
          <w:lang w:eastAsia="zh-CN"/>
        </w:rPr>
      </w:pPr>
      <w:r>
        <w:rPr>
          <w:rFonts w:ascii="Arial" w:hAnsi="Arial" w:eastAsia="宋体" w:cs="Arial"/>
          <w:lang w:eastAsia="zh-CN"/>
        </w:rPr>
        <w:br w:type="page"/>
      </w:r>
    </w:p>
    <w:p w14:paraId="6049D40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如果贵公司推荐多种提取方法，必须分别确定每种方法的器械LoD。此外，再现性研究设计必须含有对每种提取程序的评价。如果不同提取方法的LoD结果等同，</w:t>
      </w:r>
      <w:r>
        <w:rPr>
          <w:rFonts w:hint="eastAsia" w:ascii="Arial" w:hAnsi="Arial" w:eastAsia="宋体" w:cs="Arial"/>
          <w:lang w:eastAsia="zh-CN"/>
        </w:rPr>
        <w:t>则</w:t>
      </w:r>
      <w:r>
        <w:rPr>
          <w:rFonts w:ascii="Arial" w:hAnsi="Arial" w:eastAsia="宋体" w:cs="Arial"/>
          <w:lang w:eastAsia="zh-CN"/>
        </w:rPr>
        <w:t>再现性研究的不同测试地点采用不同方法是可接受的。</w:t>
      </w:r>
    </w:p>
    <w:p w14:paraId="29955582">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如果LoD和再现性研究结果证明采用不同提取程序时器械的性能等同，可能临床研究测试地点采用不同提取程序是可接受的。此外，如果对于每种提取方法器械的临床性能</w:t>
      </w:r>
      <w:r>
        <w:rPr>
          <w:rFonts w:hint="eastAsia" w:ascii="Arial" w:hAnsi="Arial" w:eastAsia="宋体" w:cs="Arial"/>
          <w:lang w:eastAsia="zh-CN"/>
        </w:rPr>
        <w:t>等同</w:t>
      </w:r>
      <w:r>
        <w:rPr>
          <w:rFonts w:ascii="Arial" w:hAnsi="Arial" w:eastAsia="宋体" w:cs="Arial"/>
          <w:lang w:eastAsia="zh-CN"/>
        </w:rPr>
        <w:t>，</w:t>
      </w:r>
      <w:r>
        <w:rPr>
          <w:rFonts w:hint="eastAsia" w:ascii="Arial" w:hAnsi="Arial" w:eastAsia="宋体" w:cs="Arial"/>
          <w:lang w:eastAsia="zh-CN"/>
        </w:rPr>
        <w:t>则</w:t>
      </w:r>
      <w:r>
        <w:rPr>
          <w:rFonts w:ascii="Arial" w:hAnsi="Arial" w:eastAsia="宋体" w:cs="Arial"/>
          <w:lang w:eastAsia="zh-CN"/>
        </w:rPr>
        <w:t>最后分析时可将数据</w:t>
      </w:r>
      <w:r>
        <w:rPr>
          <w:rFonts w:hint="eastAsia" w:ascii="Arial" w:hAnsi="Arial" w:eastAsia="宋体" w:cs="Arial"/>
          <w:lang w:eastAsia="zh-CN"/>
        </w:rPr>
        <w:t>汇总</w:t>
      </w:r>
      <w:r>
        <w:rPr>
          <w:rFonts w:ascii="Arial" w:hAnsi="Arial" w:eastAsia="宋体" w:cs="Arial"/>
          <w:lang w:eastAsia="zh-CN"/>
        </w:rPr>
        <w:t>。</w:t>
      </w:r>
    </w:p>
    <w:p w14:paraId="5DC80EDA">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贵公司必须提供关于器械如何对照提取效率的信息（例如给每种试样设立内部对照）。</w:t>
      </w:r>
    </w:p>
    <w:p w14:paraId="77FCCCA8">
      <w:pPr>
        <w:pStyle w:val="37"/>
        <w:numPr>
          <w:ilvl w:val="0"/>
          <w:numId w:val="7"/>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76" w:name="_bookmark21"/>
      <w:bookmarkEnd w:id="76"/>
      <w:bookmarkStart w:id="77" w:name="_Toc495603766"/>
      <w:bookmarkStart w:id="78" w:name="OLE_LINK11"/>
      <w:bookmarkStart w:id="79" w:name="OLE_LINK12"/>
      <w:r>
        <w:rPr>
          <w:rFonts w:ascii="Arial" w:hAnsi="Arial" w:eastAsia="宋体" w:cs="Arial"/>
          <w:lang w:eastAsia="zh-CN"/>
        </w:rPr>
        <w:t>确定cut-off值</w:t>
      </w:r>
      <w:bookmarkEnd w:id="77"/>
    </w:p>
    <w:bookmarkEnd w:id="78"/>
    <w:bookmarkEnd w:id="79"/>
    <w:p w14:paraId="4731397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贵公司必须解释最初是如何确定每种靶标/分析物的cut-off值及如何确认。必须使用适当的统计方法确定cut-off值。利用预先确定的cut-off值得到的器械性能必须在</w:t>
      </w:r>
      <w:r>
        <w:rPr>
          <w:rFonts w:hint="eastAsia" w:ascii="Arial" w:hAnsi="Arial" w:eastAsia="宋体" w:cs="Arial"/>
          <w:lang w:eastAsia="zh-CN"/>
        </w:rPr>
        <w:t>一组</w:t>
      </w:r>
      <w:r>
        <w:rPr>
          <w:rFonts w:ascii="Arial" w:hAnsi="Arial" w:eastAsia="宋体" w:cs="Arial"/>
          <w:lang w:eastAsia="zh-CN"/>
        </w:rPr>
        <w:t>独立的阳性血培养中进行确认。基于临床标本前导性研究的受试者工作曲线（ROC）分析</w:t>
      </w:r>
      <w:r>
        <w:rPr>
          <w:rFonts w:hint="eastAsia" w:ascii="Arial" w:hAnsi="Arial" w:eastAsia="宋体" w:cs="Arial"/>
          <w:lang w:eastAsia="zh-CN"/>
        </w:rPr>
        <w:t>获得</w:t>
      </w:r>
      <w:r>
        <w:rPr>
          <w:rFonts w:ascii="Arial" w:hAnsi="Arial" w:eastAsia="宋体" w:cs="Arial"/>
          <w:lang w:eastAsia="zh-CN"/>
        </w:rPr>
        <w:t>的敏感性与特异性相关水平，可作为证据证明选择的cut-off值是适当的。有关ROC分析的细节，贵公司可参考CLSI 文件 EP24-A2</w:t>
      </w:r>
      <w:r>
        <w:rPr>
          <w:rFonts w:ascii="Arial" w:hAnsi="Arial" w:eastAsia="宋体" w:cs="Arial"/>
          <w:i/>
          <w:lang w:eastAsia="zh-CN"/>
        </w:rPr>
        <w:t>利用受试者工作特征曲线评估实验室检测的诊断正确性</w:t>
      </w:r>
      <w:r>
        <w:rPr>
          <w:rFonts w:ascii="Arial" w:hAnsi="Arial" w:eastAsia="宋体" w:cs="Arial"/>
          <w:lang w:eastAsia="zh-CN"/>
        </w:rPr>
        <w:t>【参考文件 5】。</w:t>
      </w:r>
    </w:p>
    <w:p w14:paraId="6B0A81B5">
      <w:pPr>
        <w:pStyle w:val="36"/>
        <w:numPr>
          <w:ilvl w:val="0"/>
          <w:numId w:val="6"/>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bookmarkStart w:id="80" w:name="_bookmark22"/>
      <w:bookmarkEnd w:id="80"/>
      <w:bookmarkStart w:id="81" w:name="_Toc495603767"/>
      <w:r>
        <w:rPr>
          <w:rFonts w:ascii="Arial" w:hAnsi="Arial" w:eastAsia="宋体" w:cs="Arial"/>
          <w:lang w:eastAsia="zh-CN"/>
        </w:rPr>
        <w:t>分析性能</w:t>
      </w:r>
      <w:bookmarkEnd w:id="81"/>
    </w:p>
    <w:p w14:paraId="6F24BD7C">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rPr>
      </w:pPr>
      <w:bookmarkStart w:id="82" w:name="_bookmark23"/>
      <w:bookmarkEnd w:id="82"/>
      <w:bookmarkStart w:id="83" w:name="_Toc495603768"/>
      <w:r>
        <w:rPr>
          <w:rFonts w:ascii="Arial" w:hAnsi="Arial" w:eastAsia="宋体" w:cs="Arial"/>
          <w:lang w:eastAsia="zh-CN"/>
        </w:rPr>
        <w:t>检测限</w:t>
      </w:r>
      <w:r>
        <w:rPr>
          <w:rFonts w:ascii="Arial" w:hAnsi="Arial" w:eastAsia="宋体" w:cs="Arial"/>
        </w:rPr>
        <w:t>（LoD）</w:t>
      </w:r>
      <w:bookmarkEnd w:id="83"/>
    </w:p>
    <w:p w14:paraId="35653037">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LoD定义</w:t>
      </w:r>
      <w:r>
        <w:rPr>
          <w:rFonts w:hint="eastAsia" w:ascii="Arial" w:hAnsi="Arial" w:eastAsia="宋体" w:cs="Arial"/>
          <w:lang w:eastAsia="zh-CN"/>
        </w:rPr>
        <w:t>为在</w:t>
      </w:r>
      <w:r>
        <w:rPr>
          <w:rFonts w:ascii="Arial" w:hAnsi="Arial" w:eastAsia="宋体" w:cs="Arial"/>
          <w:lang w:eastAsia="zh-CN"/>
        </w:rPr>
        <w:t>约95</w:t>
      </w:r>
      <w:r>
        <w:rPr>
          <w:rFonts w:hint="eastAsia" w:ascii="Arial" w:hAnsi="Arial" w:eastAsia="宋体" w:cs="Arial"/>
          <w:lang w:eastAsia="zh-CN"/>
        </w:rPr>
        <w:t>%的时间内</w:t>
      </w:r>
      <w:r>
        <w:rPr>
          <w:rFonts w:ascii="Arial" w:hAnsi="Arial" w:eastAsia="宋体" w:cs="Arial"/>
          <w:lang w:eastAsia="zh-CN"/>
        </w:rPr>
        <w:t>均可检测到的阳性血培养样本中分析物的最低浓度（CFU/ml）。必须在器械可使用的最有挑战性血液培养基中确定每种靶标微生物和抗性标记的LoD。测试的菌株数量可随分析物变化，但通常贵公司必须至少测试器械每种靶标微生物和抗性标记的2个菌株才能确定LoD。</w:t>
      </w:r>
    </w:p>
    <w:p w14:paraId="2790F64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可通过将连续稀释的阳性血培养液添加至阴性模拟血培养基质（例如添加人类血液的血液培养基）</w:t>
      </w:r>
      <w:r>
        <w:rPr>
          <w:rFonts w:hint="eastAsia" w:ascii="Arial" w:hAnsi="Arial" w:eastAsia="宋体" w:cs="Arial"/>
          <w:lang w:eastAsia="zh-CN"/>
        </w:rPr>
        <w:t>测定</w:t>
      </w:r>
      <w:r>
        <w:rPr>
          <w:rFonts w:ascii="Arial" w:hAnsi="Arial" w:eastAsia="宋体" w:cs="Arial"/>
          <w:lang w:eastAsia="zh-CN"/>
        </w:rPr>
        <w:t>LoD。必须通过铺板和随后的菌落计数证实受试样本浓度。最初可通过测试每种稀释液的少量样本估计LoD。</w:t>
      </w:r>
      <w:r>
        <w:rPr>
          <w:rFonts w:hint="eastAsia" w:ascii="Arial" w:hAnsi="Arial" w:eastAsia="宋体" w:cs="Arial"/>
          <w:lang w:eastAsia="zh-CN"/>
        </w:rPr>
        <w:t>然后通过</w:t>
      </w:r>
      <w:r>
        <w:rPr>
          <w:rFonts w:ascii="Arial" w:hAnsi="Arial" w:eastAsia="宋体" w:cs="Arial"/>
          <w:lang w:eastAsia="zh-CN"/>
        </w:rPr>
        <w:t>95%</w:t>
      </w:r>
      <w:r>
        <w:rPr>
          <w:rFonts w:hint="eastAsia" w:ascii="Arial" w:hAnsi="Arial" w:eastAsia="宋体" w:cs="Arial"/>
          <w:lang w:eastAsia="zh-CN"/>
        </w:rPr>
        <w:t>以上时间可产生阳性结果的最低浓度情况下，通过测试至少</w:t>
      </w:r>
      <w:r>
        <w:rPr>
          <w:rFonts w:ascii="Arial" w:hAnsi="Arial" w:eastAsia="宋体" w:cs="Arial"/>
          <w:lang w:eastAsia="zh-CN"/>
        </w:rPr>
        <w:t>20</w:t>
      </w:r>
      <w:r>
        <w:rPr>
          <w:rFonts w:hint="eastAsia" w:ascii="Arial" w:hAnsi="Arial" w:eastAsia="宋体" w:cs="Arial"/>
          <w:lang w:eastAsia="zh-CN"/>
        </w:rPr>
        <w:t>份样本确认</w:t>
      </w:r>
      <w:r>
        <w:rPr>
          <w:rFonts w:ascii="Arial" w:hAnsi="Arial" w:eastAsia="宋体" w:cs="Arial"/>
          <w:lang w:eastAsia="zh-CN"/>
        </w:rPr>
        <w:t>LoD</w:t>
      </w:r>
      <w:r>
        <w:rPr>
          <w:rFonts w:hint="eastAsia" w:ascii="Arial" w:hAnsi="Arial" w:eastAsia="宋体" w:cs="Arial"/>
          <w:lang w:eastAsia="zh-CN"/>
        </w:rPr>
        <w:t>。</w:t>
      </w:r>
    </w:p>
    <w:p w14:paraId="1E01082B">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lang w:eastAsia="zh-CN"/>
        </w:rPr>
        <w:t>设计LoD研究时，贵公司可参考CLSI 文件 EP17-A2，</w:t>
      </w:r>
      <w:r>
        <w:rPr>
          <w:rFonts w:ascii="Arial" w:hAnsi="Arial" w:eastAsia="宋体" w:cs="Arial"/>
          <w:i/>
          <w:sz w:val="24"/>
          <w:lang w:eastAsia="zh-CN"/>
        </w:rPr>
        <w:t>临床实验室测量程序检测能力评价</w:t>
      </w:r>
      <w:r>
        <w:rPr>
          <w:rFonts w:ascii="Arial" w:hAnsi="Arial" w:eastAsia="宋体" w:cs="Arial"/>
          <w:sz w:val="24"/>
          <w:lang w:eastAsia="zh-CN"/>
        </w:rPr>
        <w:t>【参考文件 6】 。</w:t>
      </w:r>
    </w:p>
    <w:p w14:paraId="72EA8C41">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rPr>
      </w:pPr>
      <w:r>
        <w:rPr>
          <w:rFonts w:ascii="Arial" w:hAnsi="Arial" w:eastAsia="宋体" w:cs="Arial"/>
          <w:lang w:eastAsia="zh-CN"/>
        </w:rPr>
        <w:br w:type="page"/>
      </w:r>
      <w:bookmarkStart w:id="84" w:name="_bookmark24"/>
      <w:bookmarkEnd w:id="84"/>
      <w:bookmarkStart w:id="85" w:name="_Toc495603769"/>
      <w:r>
        <w:rPr>
          <w:rFonts w:ascii="Arial" w:hAnsi="Arial" w:eastAsia="宋体" w:cs="Arial"/>
          <w:lang w:eastAsia="zh-CN"/>
        </w:rPr>
        <w:t>分析反应性（包容性）</w:t>
      </w:r>
      <w:bookmarkEnd w:id="85"/>
    </w:p>
    <w:p w14:paraId="7A6CCCB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贵公司必须证明器械预期检测的每种微生物和抗性标记</w:t>
      </w:r>
      <w:r>
        <w:rPr>
          <w:rFonts w:hint="eastAsia" w:ascii="Arial" w:hAnsi="Arial" w:eastAsia="宋体" w:cs="Arial"/>
          <w:lang w:eastAsia="zh-CN"/>
        </w:rPr>
        <w:t>物</w:t>
      </w:r>
      <w:r>
        <w:rPr>
          <w:rFonts w:ascii="Arial" w:hAnsi="Arial" w:eastAsia="宋体" w:cs="Arial"/>
          <w:lang w:eastAsia="zh-CN"/>
        </w:rPr>
        <w:t>的各类菌株的反应性。对于器械检测到的每种微生物，贵公司必须包含多种特征明显的临床相关并代表时间和区域多样性的菌株（例如对于MRSA，测试代表各种脉冲场凝胶电泳（PFGE）类型的多种菌株：USA 100</w:t>
      </w:r>
      <w:r>
        <w:rPr>
          <w:rFonts w:hint="eastAsia" w:ascii="Arial" w:hAnsi="Arial" w:eastAsia="宋体" w:cs="Arial"/>
          <w:lang w:eastAsia="zh-CN"/>
        </w:rPr>
        <w:t>、</w:t>
      </w:r>
      <w:r>
        <w:rPr>
          <w:rFonts w:ascii="Arial" w:hAnsi="Arial" w:eastAsia="宋体" w:cs="Arial"/>
          <w:lang w:eastAsia="zh-CN"/>
        </w:rPr>
        <w:t>200</w:t>
      </w:r>
      <w:r>
        <w:rPr>
          <w:rFonts w:hint="eastAsia" w:ascii="Arial" w:hAnsi="Arial" w:eastAsia="宋体" w:cs="Arial"/>
          <w:lang w:eastAsia="zh-CN"/>
        </w:rPr>
        <w:t>、</w:t>
      </w:r>
      <w:r>
        <w:rPr>
          <w:rFonts w:ascii="Arial" w:hAnsi="Arial" w:eastAsia="宋体" w:cs="Arial"/>
          <w:lang w:eastAsia="zh-CN"/>
        </w:rPr>
        <w:t>300和400，着重测试USA 300菌株）。对于器械检测的每种抗性标记</w:t>
      </w:r>
      <w:r>
        <w:rPr>
          <w:rFonts w:hint="eastAsia" w:ascii="Arial" w:hAnsi="Arial" w:eastAsia="宋体" w:cs="Arial"/>
          <w:lang w:eastAsia="zh-CN"/>
        </w:rPr>
        <w:t>物</w:t>
      </w:r>
      <w:r>
        <w:rPr>
          <w:rFonts w:ascii="Arial" w:hAnsi="Arial" w:eastAsia="宋体" w:cs="Arial"/>
          <w:lang w:eastAsia="zh-CN"/>
        </w:rPr>
        <w:t>，贵公司必须包含器械检测到和已知携带特异标记的每种微生物的多种菌株。适合包容性研究测试的菌株因器械靶分析物不同而不同。样本必须含有各种低浓度的挑战菌株（例如接近检测限）。必须确认所有隔离群的同一性和浓度。</w:t>
      </w:r>
    </w:p>
    <w:p w14:paraId="1A77493B">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适当情况下，基于靶序列比对同一性的</w:t>
      </w:r>
      <w:r>
        <w:rPr>
          <w:rFonts w:ascii="Arial" w:hAnsi="Arial" w:eastAsia="宋体" w:cs="Arial"/>
          <w:i/>
          <w:lang w:eastAsia="zh-CN"/>
        </w:rPr>
        <w:t>in silico</w:t>
      </w:r>
      <w:r>
        <w:rPr>
          <w:rFonts w:ascii="Arial" w:hAnsi="Arial" w:eastAsia="宋体" w:cs="Arial"/>
          <w:lang w:eastAsia="zh-CN"/>
        </w:rPr>
        <w:t>结果可用于指导选择需要</w:t>
      </w:r>
      <w:r>
        <w:rPr>
          <w:rFonts w:ascii="宋体" w:hAnsi="宋体" w:eastAsia="宋体" w:cs="Arial"/>
          <w:lang w:eastAsia="zh-CN"/>
        </w:rPr>
        <w:t>“</w:t>
      </w:r>
      <w:r>
        <w:rPr>
          <w:rFonts w:ascii="Arial" w:hAnsi="Arial" w:eastAsia="宋体" w:cs="Arial"/>
          <w:lang w:eastAsia="zh-CN"/>
        </w:rPr>
        <w:t>湿试</w:t>
      </w:r>
      <w:r>
        <w:rPr>
          <w:rFonts w:ascii="宋体" w:hAnsi="宋体" w:eastAsia="宋体" w:cs="Arial"/>
          <w:lang w:eastAsia="zh-CN"/>
        </w:rPr>
        <w:t>”</w:t>
      </w:r>
      <w:r>
        <w:rPr>
          <w:rFonts w:ascii="Arial" w:hAnsi="Arial" w:eastAsia="宋体" w:cs="Arial"/>
          <w:lang w:eastAsia="zh-CN"/>
        </w:rPr>
        <w:t>的菌株。</w:t>
      </w:r>
      <w:r>
        <w:rPr>
          <w:rFonts w:ascii="Arial" w:hAnsi="Arial" w:eastAsia="宋体" w:cs="Arial"/>
          <w:i/>
          <w:lang w:eastAsia="zh-CN"/>
        </w:rPr>
        <w:t>In silico</w:t>
      </w:r>
      <w:r>
        <w:rPr>
          <w:rFonts w:ascii="Arial" w:hAnsi="Arial" w:eastAsia="宋体" w:cs="Arial"/>
          <w:lang w:eastAsia="zh-CN"/>
        </w:rPr>
        <w:t>分析必须包含临床相关菌株并代表每种靶标的时间</w:t>
      </w:r>
      <w:r>
        <w:rPr>
          <w:rFonts w:hint="eastAsia" w:ascii="Arial" w:hAnsi="Arial" w:eastAsia="宋体" w:cs="Arial"/>
          <w:lang w:eastAsia="zh-CN"/>
        </w:rPr>
        <w:t>、</w:t>
      </w:r>
      <w:r>
        <w:rPr>
          <w:rFonts w:ascii="Arial" w:hAnsi="Arial" w:eastAsia="宋体" w:cs="Arial"/>
          <w:lang w:eastAsia="zh-CN"/>
        </w:rPr>
        <w:t>区域和系统发育多样性。用这种方法，有更多数量的从与靶区同一性水平渐减的小组中选择出的代表性微生物可供进一步实验室测试。贵公司必须清晰阐明所选菌株入选的原理和评估包容性所用的标准，并清晰呈现每种已评价微生物在关心区域的序列比对。此外，贵公司必须提供有关引物和探针序列的信息，每个受试种类在靶区的任何序列差异以及计算出的同源百分比。贵公司可联系微生物器械</w:t>
      </w:r>
      <w:r>
        <w:rPr>
          <w:rFonts w:hint="eastAsia" w:ascii="Arial" w:hAnsi="Arial" w:eastAsia="宋体" w:cs="Arial"/>
          <w:lang w:eastAsia="zh-CN"/>
        </w:rPr>
        <w:t>部</w:t>
      </w:r>
      <w:r>
        <w:rPr>
          <w:rFonts w:ascii="Arial" w:hAnsi="Arial" w:eastAsia="宋体" w:cs="Arial"/>
          <w:lang w:eastAsia="zh-CN"/>
        </w:rPr>
        <w:t>请求研究设计指导。</w:t>
      </w:r>
    </w:p>
    <w:p w14:paraId="73B00C21">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lang w:eastAsia="zh-CN"/>
        </w:rPr>
      </w:pPr>
      <w:bookmarkStart w:id="86" w:name="_bookmark25"/>
      <w:bookmarkEnd w:id="86"/>
      <w:bookmarkStart w:id="87" w:name="_Toc495603770"/>
      <w:r>
        <w:rPr>
          <w:rFonts w:ascii="Arial" w:hAnsi="Arial" w:eastAsia="宋体" w:cs="Arial"/>
          <w:lang w:eastAsia="zh-CN"/>
        </w:rPr>
        <w:t>分析特异性（交叉反应性）</w:t>
      </w:r>
      <w:bookmarkEnd w:id="87"/>
    </w:p>
    <w:p w14:paraId="1613EE9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确定器械对于大量非靶标酵母菌和需氧、厌氧细菌的分析特异性。必须包含在系统发育方面与器械可检测到的微生物相关的微生物以及可能存在于血培养标本中的微生物，包括通常认为是皮肤污染物的微生物。该测试必须在含有人类血液和高浓度（即 10</w:t>
      </w:r>
      <w:r>
        <w:rPr>
          <w:rFonts w:hint="eastAsia" w:ascii="Arial" w:hAnsi="Arial" w:eastAsia="宋体" w:cs="Arial"/>
          <w:vertAlign w:val="superscript"/>
          <w:lang w:eastAsia="zh-CN"/>
        </w:rPr>
        <w:t xml:space="preserve">8 </w:t>
      </w:r>
      <w:r>
        <w:rPr>
          <w:rFonts w:ascii="Arial" w:hAnsi="Arial" w:eastAsia="宋体" w:cs="Arial"/>
          <w:lang w:eastAsia="zh-CN"/>
        </w:rPr>
        <w:t>– 10</w:t>
      </w:r>
      <w:r>
        <w:rPr>
          <w:rFonts w:hint="eastAsia" w:ascii="Arial" w:hAnsi="Arial" w:eastAsia="宋体" w:cs="Arial"/>
          <w:vertAlign w:val="superscript"/>
          <w:lang w:eastAsia="zh-CN"/>
        </w:rPr>
        <w:t xml:space="preserve">9 </w:t>
      </w:r>
      <w:r>
        <w:rPr>
          <w:rFonts w:ascii="Arial" w:hAnsi="Arial" w:eastAsia="宋体" w:cs="Arial"/>
          <w:lang w:eastAsia="zh-CN"/>
        </w:rPr>
        <w:t>CFU/mL）可能交叉反应微生物的血培养基基质中实施。</w:t>
      </w:r>
    </w:p>
    <w:p w14:paraId="7FF3E05A">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为补充</w:t>
      </w:r>
      <w:bookmarkStart w:id="88" w:name="OLE_LINK55"/>
      <w:r>
        <w:rPr>
          <w:rFonts w:ascii="Arial" w:hAnsi="Arial" w:eastAsia="宋体" w:cs="Arial"/>
          <w:lang w:eastAsia="zh-CN"/>
        </w:rPr>
        <w:t>排他性湿试法</w:t>
      </w:r>
      <w:bookmarkEnd w:id="88"/>
      <w:r>
        <w:rPr>
          <w:rFonts w:ascii="Arial" w:hAnsi="Arial" w:eastAsia="宋体" w:cs="Arial"/>
          <w:lang w:eastAsia="zh-CN"/>
        </w:rPr>
        <w:t>，贵公司的提交资料中也必须包含</w:t>
      </w:r>
      <w:r>
        <w:rPr>
          <w:rFonts w:ascii="Arial" w:hAnsi="Arial" w:eastAsia="宋体" w:cs="Arial"/>
          <w:i/>
          <w:lang w:eastAsia="zh-CN"/>
        </w:rPr>
        <w:t>in silico</w:t>
      </w:r>
      <w:r>
        <w:rPr>
          <w:rFonts w:ascii="Arial" w:hAnsi="Arial" w:eastAsia="宋体" w:cs="Arial"/>
          <w:lang w:eastAsia="zh-CN"/>
        </w:rPr>
        <w:t>证据，以支持贵公司检测试剂盒靶核酸的特异性并帮助确定贵公司交叉反应性研究中的受试微生物。贵公司可联系微生物学器械部请求研究设计指导。</w:t>
      </w:r>
    </w:p>
    <w:p w14:paraId="0D5993D7">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应入选贵公司交叉反应性研究中的微生物取决于器械的预期用途。表2</w:t>
      </w:r>
      <w:r>
        <w:rPr>
          <w:rFonts w:hint="eastAsia" w:ascii="Arial" w:hAnsi="Arial" w:eastAsia="宋体" w:cs="Arial"/>
          <w:lang w:eastAsia="zh-CN"/>
        </w:rPr>
        <w:t>包含</w:t>
      </w:r>
      <w:r>
        <w:rPr>
          <w:rFonts w:ascii="Arial" w:hAnsi="Arial" w:eastAsia="宋体" w:cs="Arial"/>
          <w:lang w:eastAsia="zh-CN"/>
        </w:rPr>
        <w:t>可能适于</w:t>
      </w:r>
      <w:r>
        <w:rPr>
          <w:rFonts w:hint="eastAsia" w:ascii="Arial" w:hAnsi="Arial" w:eastAsia="宋体" w:cs="Arial"/>
          <w:lang w:eastAsia="zh-CN"/>
        </w:rPr>
        <w:t>纳入</w:t>
      </w:r>
      <w:r>
        <w:rPr>
          <w:rFonts w:ascii="Arial" w:hAnsi="Arial" w:eastAsia="宋体" w:cs="Arial"/>
          <w:lang w:eastAsia="zh-CN"/>
        </w:rPr>
        <w:t>革兰氏阳性血培养</w:t>
      </w:r>
      <w:r>
        <w:rPr>
          <w:rFonts w:hint="eastAsia" w:ascii="Arial" w:hAnsi="Arial" w:eastAsia="宋体" w:cs="Arial"/>
          <w:lang w:eastAsia="zh-CN"/>
        </w:rPr>
        <w:t>板</w:t>
      </w:r>
      <w:r>
        <w:rPr>
          <w:rFonts w:ascii="Arial" w:hAnsi="Arial" w:eastAsia="宋体" w:cs="Arial"/>
          <w:lang w:eastAsia="zh-CN"/>
        </w:rPr>
        <w:t>排他性研究中的微生物类型示例：</w:t>
      </w:r>
    </w:p>
    <w:p w14:paraId="1C833ED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 xml:space="preserve"> </w:t>
      </w:r>
    </w:p>
    <w:p w14:paraId="06B9D9EC">
      <w:pPr>
        <w:pStyle w:val="37"/>
        <w:overflowPunct w:val="0"/>
        <w:snapToGrid w:val="0"/>
        <w:spacing w:after="120" w:afterLines="50" w:line="300" w:lineRule="auto"/>
        <w:ind w:left="0" w:firstLine="0"/>
        <w:jc w:val="both"/>
        <w:rPr>
          <w:rFonts w:ascii="Arial" w:hAnsi="Arial" w:eastAsia="宋体" w:cs="Arial"/>
          <w:b w:val="0"/>
          <w:bCs w:val="0"/>
        </w:rPr>
      </w:pPr>
      <w:r>
        <w:rPr>
          <w:rFonts w:ascii="Arial" w:hAnsi="Arial" w:eastAsia="宋体" w:cs="Arial"/>
          <w:lang w:eastAsia="zh-CN"/>
        </w:rPr>
        <w:br w:type="page"/>
      </w:r>
      <w:r>
        <w:rPr>
          <w:rFonts w:ascii="Arial" w:hAnsi="Arial" w:eastAsia="宋体" w:cs="Arial"/>
          <w:lang w:eastAsia="zh-CN"/>
        </w:rPr>
        <w:t>表</w:t>
      </w:r>
      <w:r>
        <w:rPr>
          <w:rFonts w:ascii="Arial" w:hAnsi="Arial" w:eastAsia="宋体" w:cs="Arial"/>
        </w:rPr>
        <w:t xml:space="preserve"> 2</w:t>
      </w:r>
    </w:p>
    <w:tbl>
      <w:tblPr>
        <w:tblStyle w:val="23"/>
        <w:tblW w:w="5000" w:type="pct"/>
        <w:tblInd w:w="0" w:type="dxa"/>
        <w:tblLayout w:type="autofit"/>
        <w:tblCellMar>
          <w:top w:w="0" w:type="dxa"/>
          <w:left w:w="0" w:type="dxa"/>
          <w:bottom w:w="0" w:type="dxa"/>
          <w:right w:w="0" w:type="dxa"/>
        </w:tblCellMar>
      </w:tblPr>
      <w:tblGrid>
        <w:gridCol w:w="2884"/>
        <w:gridCol w:w="2884"/>
        <w:gridCol w:w="2882"/>
      </w:tblGrid>
      <w:tr w14:paraId="6E890440">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1A6E555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软弱贫养菌</w:t>
            </w:r>
          </w:p>
        </w:tc>
        <w:tc>
          <w:tcPr>
            <w:tcW w:w="1667" w:type="pct"/>
            <w:tcBorders>
              <w:top w:val="single" w:color="000000" w:sz="4" w:space="0"/>
              <w:left w:val="single" w:color="000000" w:sz="4" w:space="0"/>
              <w:bottom w:val="single" w:color="000000" w:sz="4" w:space="0"/>
              <w:right w:val="single" w:color="000000" w:sz="4" w:space="0"/>
            </w:tcBorders>
          </w:tcPr>
          <w:p w14:paraId="395AB58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牛棒杆菌</w:t>
            </w:r>
          </w:p>
        </w:tc>
        <w:tc>
          <w:tcPr>
            <w:tcW w:w="1667" w:type="pct"/>
            <w:tcBorders>
              <w:top w:val="single" w:color="000000" w:sz="4" w:space="0"/>
              <w:left w:val="single" w:color="000000" w:sz="4" w:space="0"/>
              <w:bottom w:val="single" w:color="000000" w:sz="4" w:space="0"/>
              <w:right w:val="single" w:color="000000" w:sz="4" w:space="0"/>
            </w:tcBorders>
          </w:tcPr>
          <w:p w14:paraId="291C66C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明串珠菌</w:t>
            </w:r>
          </w:p>
        </w:tc>
      </w:tr>
      <w:tr w14:paraId="0BC79241">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0A4D5567">
            <w:pPr>
              <w:pStyle w:val="40"/>
              <w:overflowPunct w:val="0"/>
              <w:snapToGrid w:val="0"/>
              <w:spacing w:line="276" w:lineRule="auto"/>
              <w:ind w:left="44" w:leftChars="20" w:right="44" w:rightChars="20"/>
              <w:jc w:val="both"/>
              <w:rPr>
                <w:rFonts w:ascii="Arial" w:hAnsi="Arial" w:eastAsia="宋体" w:cs="Arial"/>
                <w:sz w:val="21"/>
                <w:szCs w:val="21"/>
                <w:lang w:eastAsia="zh-CN"/>
              </w:rPr>
            </w:pPr>
            <w:bookmarkStart w:id="89" w:name="OLE_LINK60"/>
            <w:bookmarkStart w:id="90" w:name="OLE_LINK61"/>
            <w:r>
              <w:rPr>
                <w:rFonts w:ascii="Arial" w:hAnsi="Arial" w:eastAsia="宋体" w:cs="Arial"/>
                <w:i/>
                <w:sz w:val="21"/>
                <w:szCs w:val="21"/>
                <w:lang w:eastAsia="zh-CN"/>
              </w:rPr>
              <w:t>鲍曼不动杆菌</w:t>
            </w:r>
            <w:bookmarkEnd w:id="89"/>
            <w:bookmarkEnd w:id="90"/>
          </w:p>
        </w:tc>
        <w:tc>
          <w:tcPr>
            <w:tcW w:w="1667" w:type="pct"/>
            <w:tcBorders>
              <w:top w:val="single" w:color="000000" w:sz="4" w:space="0"/>
              <w:left w:val="single" w:color="000000" w:sz="4" w:space="0"/>
              <w:bottom w:val="single" w:color="000000" w:sz="4" w:space="0"/>
              <w:right w:val="single" w:color="000000" w:sz="4" w:space="0"/>
            </w:tcBorders>
          </w:tcPr>
          <w:p w14:paraId="0DBF077A">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白喉杆菌</w:t>
            </w:r>
          </w:p>
        </w:tc>
        <w:tc>
          <w:tcPr>
            <w:tcW w:w="1667" w:type="pct"/>
            <w:tcBorders>
              <w:top w:val="single" w:color="000000" w:sz="4" w:space="0"/>
              <w:left w:val="single" w:color="000000" w:sz="4" w:space="0"/>
              <w:bottom w:val="single" w:color="000000" w:sz="4" w:space="0"/>
              <w:right w:val="single" w:color="000000" w:sz="4" w:space="0"/>
            </w:tcBorders>
          </w:tcPr>
          <w:p w14:paraId="1497F64B">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肠系膜明串珠菌</w:t>
            </w:r>
          </w:p>
        </w:tc>
      </w:tr>
      <w:tr w14:paraId="1C7B3B00">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BCF05C9">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溶血不动杆菌</w:t>
            </w:r>
          </w:p>
        </w:tc>
        <w:tc>
          <w:tcPr>
            <w:tcW w:w="1667" w:type="pct"/>
            <w:tcBorders>
              <w:top w:val="single" w:color="000000" w:sz="4" w:space="0"/>
              <w:left w:val="single" w:color="000000" w:sz="4" w:space="0"/>
              <w:bottom w:val="single" w:color="000000" w:sz="4" w:space="0"/>
              <w:right w:val="single" w:color="000000" w:sz="4" w:space="0"/>
            </w:tcBorders>
          </w:tcPr>
          <w:p w14:paraId="2679EA82">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微黄棒杆菌</w:t>
            </w:r>
          </w:p>
        </w:tc>
        <w:tc>
          <w:tcPr>
            <w:tcW w:w="1667" w:type="pct"/>
            <w:tcBorders>
              <w:top w:val="single" w:color="000000" w:sz="4" w:space="0"/>
              <w:left w:val="single" w:color="000000" w:sz="4" w:space="0"/>
              <w:bottom w:val="single" w:color="000000" w:sz="4" w:space="0"/>
              <w:right w:val="single" w:color="000000" w:sz="4" w:space="0"/>
            </w:tcBorders>
          </w:tcPr>
          <w:p w14:paraId="462622CC">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卡他莫拉菌</w:t>
            </w:r>
          </w:p>
        </w:tc>
      </w:tr>
      <w:tr w14:paraId="349DEE54">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6EBB2364">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洛菲不动杆菌</w:t>
            </w:r>
          </w:p>
        </w:tc>
        <w:tc>
          <w:tcPr>
            <w:tcW w:w="1667" w:type="pct"/>
            <w:tcBorders>
              <w:top w:val="single" w:color="000000" w:sz="4" w:space="0"/>
              <w:left w:val="single" w:color="000000" w:sz="4" w:space="0"/>
              <w:bottom w:val="single" w:color="000000" w:sz="4" w:space="0"/>
              <w:right w:val="single" w:color="000000" w:sz="4" w:space="0"/>
            </w:tcBorders>
          </w:tcPr>
          <w:p w14:paraId="25BD63E2">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生殖道棒杆菌</w:t>
            </w:r>
          </w:p>
        </w:tc>
        <w:tc>
          <w:tcPr>
            <w:tcW w:w="1667" w:type="pct"/>
            <w:tcBorders>
              <w:top w:val="single" w:color="000000" w:sz="4" w:space="0"/>
              <w:left w:val="single" w:color="000000" w:sz="4" w:space="0"/>
              <w:bottom w:val="single" w:color="000000" w:sz="4" w:space="0"/>
              <w:right w:val="single" w:color="000000" w:sz="4" w:space="0"/>
            </w:tcBorders>
          </w:tcPr>
          <w:p w14:paraId="1BFA7BB0">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结核分枝杆菌</w:t>
            </w:r>
          </w:p>
        </w:tc>
      </w:tr>
      <w:tr w14:paraId="0C24A064">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6095FDEE">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琼氏不动杆菌</w:t>
            </w:r>
          </w:p>
        </w:tc>
        <w:tc>
          <w:tcPr>
            <w:tcW w:w="1667" w:type="pct"/>
            <w:tcBorders>
              <w:top w:val="single" w:color="000000" w:sz="4" w:space="0"/>
              <w:left w:val="single" w:color="000000" w:sz="4" w:space="0"/>
              <w:bottom w:val="single" w:color="000000" w:sz="4" w:space="0"/>
              <w:right w:val="single" w:color="000000" w:sz="4" w:space="0"/>
            </w:tcBorders>
          </w:tcPr>
          <w:p w14:paraId="225D7692">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谷氨酸棒杆菌</w:t>
            </w:r>
          </w:p>
        </w:tc>
        <w:tc>
          <w:tcPr>
            <w:tcW w:w="1667" w:type="pct"/>
            <w:tcBorders>
              <w:top w:val="single" w:color="000000" w:sz="4" w:space="0"/>
              <w:left w:val="single" w:color="000000" w:sz="4" w:space="0"/>
              <w:bottom w:val="single" w:color="000000" w:sz="4" w:space="0"/>
              <w:right w:val="single" w:color="000000" w:sz="4" w:space="0"/>
            </w:tcBorders>
          </w:tcPr>
          <w:p w14:paraId="124B51CD">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肺炎支原体</w:t>
            </w:r>
          </w:p>
        </w:tc>
      </w:tr>
      <w:tr w14:paraId="1E5DFDDA">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1D55313">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乌尔新不动杆菌</w:t>
            </w:r>
          </w:p>
        </w:tc>
        <w:tc>
          <w:tcPr>
            <w:tcW w:w="1667" w:type="pct"/>
            <w:tcBorders>
              <w:top w:val="single" w:color="000000" w:sz="4" w:space="0"/>
              <w:left w:val="single" w:color="000000" w:sz="4" w:space="0"/>
              <w:bottom w:val="single" w:color="000000" w:sz="4" w:space="0"/>
              <w:right w:val="single" w:color="000000" w:sz="4" w:space="0"/>
            </w:tcBorders>
          </w:tcPr>
          <w:p w14:paraId="1CD246EF">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杰氏棒杆菌</w:t>
            </w:r>
          </w:p>
        </w:tc>
        <w:tc>
          <w:tcPr>
            <w:tcW w:w="1667" w:type="pct"/>
            <w:tcBorders>
              <w:top w:val="single" w:color="000000" w:sz="4" w:space="0"/>
              <w:left w:val="single" w:color="000000" w:sz="4" w:space="0"/>
              <w:bottom w:val="single" w:color="000000" w:sz="4" w:space="0"/>
              <w:right w:val="single" w:color="000000" w:sz="4" w:space="0"/>
            </w:tcBorders>
          </w:tcPr>
          <w:p w14:paraId="3F772E77">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乳糖奈瑟球菌</w:t>
            </w:r>
          </w:p>
        </w:tc>
      </w:tr>
      <w:tr w14:paraId="73DE7498">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0A5306F9">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绿浅气球菌</w:t>
            </w:r>
          </w:p>
        </w:tc>
        <w:tc>
          <w:tcPr>
            <w:tcW w:w="1667" w:type="pct"/>
            <w:tcBorders>
              <w:top w:val="single" w:color="000000" w:sz="4" w:space="0"/>
              <w:left w:val="single" w:color="000000" w:sz="4" w:space="0"/>
              <w:bottom w:val="single" w:color="000000" w:sz="4" w:space="0"/>
              <w:right w:val="single" w:color="000000" w:sz="4" w:space="0"/>
            </w:tcBorders>
          </w:tcPr>
          <w:p w14:paraId="1A13BE20">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牛肾盂炎棒杆菌</w:t>
            </w:r>
          </w:p>
        </w:tc>
        <w:tc>
          <w:tcPr>
            <w:tcW w:w="1667" w:type="pct"/>
            <w:tcBorders>
              <w:top w:val="single" w:color="000000" w:sz="4" w:space="0"/>
              <w:left w:val="single" w:color="000000" w:sz="4" w:space="0"/>
              <w:bottom w:val="single" w:color="000000" w:sz="4" w:space="0"/>
              <w:right w:val="single" w:color="000000" w:sz="4" w:space="0"/>
            </w:tcBorders>
          </w:tcPr>
          <w:p w14:paraId="7CBCD5EB">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lang w:eastAsia="zh-CN"/>
              </w:rPr>
              <w:t>脑膜炎双球菌</w:t>
            </w:r>
          </w:p>
          <w:p w14:paraId="201CA6D1">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sz w:val="21"/>
                <w:szCs w:val="21"/>
                <w:lang w:eastAsia="zh-CN"/>
              </w:rPr>
              <w:t>（血清组 B）</w:t>
            </w:r>
          </w:p>
        </w:tc>
      </w:tr>
      <w:tr w14:paraId="5F30CA3A">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3AA8A3E5">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伯纳德隐秘杆菌</w:t>
            </w:r>
          </w:p>
        </w:tc>
        <w:tc>
          <w:tcPr>
            <w:tcW w:w="1667" w:type="pct"/>
            <w:tcBorders>
              <w:top w:val="single" w:color="000000" w:sz="4" w:space="0"/>
              <w:left w:val="single" w:color="000000" w:sz="4" w:space="0"/>
              <w:bottom w:val="single" w:color="000000" w:sz="4" w:space="0"/>
              <w:right w:val="single" w:color="000000" w:sz="4" w:space="0"/>
            </w:tcBorders>
          </w:tcPr>
          <w:p w14:paraId="60418E17">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纹带棒杆菌</w:t>
            </w:r>
          </w:p>
        </w:tc>
        <w:tc>
          <w:tcPr>
            <w:tcW w:w="1667" w:type="pct"/>
            <w:tcBorders>
              <w:top w:val="single" w:color="000000" w:sz="4" w:space="0"/>
              <w:left w:val="single" w:color="000000" w:sz="4" w:space="0"/>
              <w:bottom w:val="single" w:color="000000" w:sz="4" w:space="0"/>
              <w:right w:val="single" w:color="000000" w:sz="4" w:space="0"/>
            </w:tcBorders>
          </w:tcPr>
          <w:p w14:paraId="6628FE36">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粘液奈瑟球菌</w:t>
            </w:r>
          </w:p>
        </w:tc>
      </w:tr>
      <w:tr w14:paraId="0D17118C">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28061D16">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溶血隐秘杆菌</w:t>
            </w:r>
          </w:p>
        </w:tc>
        <w:tc>
          <w:tcPr>
            <w:tcW w:w="1667" w:type="pct"/>
            <w:tcBorders>
              <w:top w:val="single" w:color="000000" w:sz="4" w:space="0"/>
              <w:left w:val="single" w:color="000000" w:sz="4" w:space="0"/>
              <w:bottom w:val="single" w:color="000000" w:sz="4" w:space="0"/>
              <w:right w:val="single" w:color="000000" w:sz="4" w:space="0"/>
            </w:tcBorders>
          </w:tcPr>
          <w:p w14:paraId="3016D653">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解脲棒杆菌</w:t>
            </w:r>
          </w:p>
        </w:tc>
        <w:tc>
          <w:tcPr>
            <w:tcW w:w="1667" w:type="pct"/>
            <w:tcBorders>
              <w:top w:val="single" w:color="000000" w:sz="4" w:space="0"/>
              <w:left w:val="single" w:color="000000" w:sz="4" w:space="0"/>
              <w:bottom w:val="single" w:color="000000" w:sz="4" w:space="0"/>
              <w:right w:val="single" w:color="000000" w:sz="4" w:space="0"/>
            </w:tcBorders>
          </w:tcPr>
          <w:p w14:paraId="603764B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干燥奈瑟球菌</w:t>
            </w:r>
          </w:p>
        </w:tc>
      </w:tr>
      <w:tr w14:paraId="76F56CA0">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2F0B5920">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蜡样芽孢杆菌</w:t>
            </w:r>
          </w:p>
        </w:tc>
        <w:tc>
          <w:tcPr>
            <w:tcW w:w="1667" w:type="pct"/>
            <w:tcBorders>
              <w:top w:val="single" w:color="000000" w:sz="4" w:space="0"/>
              <w:left w:val="single" w:color="000000" w:sz="4" w:space="0"/>
              <w:bottom w:val="single" w:color="000000" w:sz="4" w:space="0"/>
              <w:right w:val="single" w:color="000000" w:sz="4" w:space="0"/>
            </w:tcBorders>
          </w:tcPr>
          <w:p w14:paraId="53495BA0">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新生隐球菌</w:t>
            </w:r>
          </w:p>
        </w:tc>
        <w:tc>
          <w:tcPr>
            <w:tcW w:w="1667" w:type="pct"/>
            <w:tcBorders>
              <w:top w:val="single" w:color="000000" w:sz="4" w:space="0"/>
              <w:left w:val="single" w:color="000000" w:sz="4" w:space="0"/>
              <w:bottom w:val="single" w:color="000000" w:sz="4" w:space="0"/>
              <w:right w:val="single" w:color="000000" w:sz="4" w:space="0"/>
            </w:tcBorders>
          </w:tcPr>
          <w:p w14:paraId="25B76D7B">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产气巴斯德菌</w:t>
            </w:r>
          </w:p>
        </w:tc>
      </w:tr>
      <w:tr w14:paraId="60641B2E">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1CF78C2A">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地衣芽孢杆菌</w:t>
            </w:r>
          </w:p>
        </w:tc>
        <w:tc>
          <w:tcPr>
            <w:tcW w:w="1667" w:type="pct"/>
            <w:tcBorders>
              <w:top w:val="single" w:color="000000" w:sz="4" w:space="0"/>
              <w:left w:val="single" w:color="000000" w:sz="4" w:space="0"/>
              <w:bottom w:val="single" w:color="000000" w:sz="4" w:space="0"/>
              <w:right w:val="single" w:color="000000" w:sz="4" w:space="0"/>
            </w:tcBorders>
          </w:tcPr>
          <w:p w14:paraId="72492D5C">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产气肠杆菌</w:t>
            </w:r>
          </w:p>
        </w:tc>
        <w:tc>
          <w:tcPr>
            <w:tcW w:w="1667" w:type="pct"/>
            <w:tcBorders>
              <w:top w:val="single" w:color="000000" w:sz="4" w:space="0"/>
              <w:left w:val="single" w:color="000000" w:sz="4" w:space="0"/>
              <w:bottom w:val="single" w:color="000000" w:sz="4" w:space="0"/>
              <w:right w:val="single" w:color="000000" w:sz="4" w:space="0"/>
            </w:tcBorders>
          </w:tcPr>
          <w:p w14:paraId="3E2ED7CC">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乳酸片球菌</w:t>
            </w:r>
          </w:p>
        </w:tc>
      </w:tr>
      <w:tr w14:paraId="0765910C">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6DCC91A6">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苏云金芽孢杆菌</w:t>
            </w:r>
          </w:p>
        </w:tc>
        <w:tc>
          <w:tcPr>
            <w:tcW w:w="1667" w:type="pct"/>
            <w:tcBorders>
              <w:top w:val="single" w:color="000000" w:sz="4" w:space="0"/>
              <w:left w:val="single" w:color="000000" w:sz="4" w:space="0"/>
              <w:bottom w:val="single" w:color="000000" w:sz="4" w:space="0"/>
              <w:right w:val="single" w:color="000000" w:sz="4" w:space="0"/>
            </w:tcBorders>
          </w:tcPr>
          <w:p w14:paraId="5FBA5A48">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阴沟肠杆菌</w:t>
            </w:r>
          </w:p>
        </w:tc>
        <w:tc>
          <w:tcPr>
            <w:tcW w:w="1667" w:type="pct"/>
            <w:tcBorders>
              <w:top w:val="single" w:color="000000" w:sz="4" w:space="0"/>
              <w:left w:val="single" w:color="000000" w:sz="4" w:space="0"/>
              <w:bottom w:val="single" w:color="000000" w:sz="4" w:space="0"/>
              <w:right w:val="single" w:color="000000" w:sz="4" w:space="0"/>
            </w:tcBorders>
          </w:tcPr>
          <w:p w14:paraId="4BCAF72C">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戊糖片球菌</w:t>
            </w:r>
          </w:p>
        </w:tc>
      </w:tr>
      <w:tr w14:paraId="1532FF9B">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18854F4">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百日咳杆菌</w:t>
            </w:r>
          </w:p>
        </w:tc>
        <w:tc>
          <w:tcPr>
            <w:tcW w:w="1667" w:type="pct"/>
            <w:tcBorders>
              <w:top w:val="single" w:color="000000" w:sz="4" w:space="0"/>
              <w:left w:val="single" w:color="000000" w:sz="4" w:space="0"/>
              <w:bottom w:val="single" w:color="000000" w:sz="4" w:space="0"/>
              <w:right w:val="single" w:color="000000" w:sz="4" w:space="0"/>
            </w:tcBorders>
          </w:tcPr>
          <w:p w14:paraId="0A83395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鸟肠球菌</w:t>
            </w:r>
          </w:p>
        </w:tc>
        <w:tc>
          <w:tcPr>
            <w:tcW w:w="1667" w:type="pct"/>
            <w:tcBorders>
              <w:top w:val="single" w:color="000000" w:sz="4" w:space="0"/>
              <w:left w:val="single" w:color="000000" w:sz="4" w:space="0"/>
              <w:bottom w:val="single" w:color="000000" w:sz="4" w:space="0"/>
              <w:right w:val="single" w:color="000000" w:sz="4" w:space="0"/>
            </w:tcBorders>
          </w:tcPr>
          <w:p w14:paraId="29305233">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厌氧消化链球菌</w:t>
            </w:r>
          </w:p>
        </w:tc>
      </w:tr>
      <w:tr w14:paraId="3C7FD8E3">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5DB72A8F">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白</w:t>
            </w:r>
            <w:r>
              <w:rPr>
                <w:rFonts w:ascii="Arial" w:hAnsi="Arial" w:eastAsia="宋体" w:cs="Arial"/>
                <w:i/>
                <w:sz w:val="21"/>
                <w:szCs w:val="21"/>
                <w:lang w:eastAsia="zh-CN"/>
              </w:rPr>
              <w:t>假丝酵母</w:t>
            </w:r>
            <w:r>
              <w:rPr>
                <w:rFonts w:ascii="Arial" w:hAnsi="Arial" w:eastAsia="宋体" w:cs="Arial"/>
                <w:i/>
                <w:sz w:val="21"/>
                <w:szCs w:val="21"/>
              </w:rPr>
              <w:t>菌</w:t>
            </w:r>
          </w:p>
        </w:tc>
        <w:tc>
          <w:tcPr>
            <w:tcW w:w="1667" w:type="pct"/>
            <w:tcBorders>
              <w:top w:val="single" w:color="000000" w:sz="4" w:space="0"/>
              <w:left w:val="single" w:color="000000" w:sz="4" w:space="0"/>
              <w:bottom w:val="single" w:color="000000" w:sz="4" w:space="0"/>
              <w:right w:val="single" w:color="000000" w:sz="4" w:space="0"/>
            </w:tcBorders>
          </w:tcPr>
          <w:p w14:paraId="5145A970">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酪黄肠球菌 </w:t>
            </w:r>
          </w:p>
        </w:tc>
        <w:tc>
          <w:tcPr>
            <w:tcW w:w="1667" w:type="pct"/>
            <w:tcBorders>
              <w:top w:val="single" w:color="000000" w:sz="4" w:space="0"/>
              <w:left w:val="single" w:color="000000" w:sz="4" w:space="0"/>
              <w:bottom w:val="single" w:color="000000" w:sz="4" w:space="0"/>
              <w:right w:val="single" w:color="000000" w:sz="4" w:space="0"/>
            </w:tcBorders>
          </w:tcPr>
          <w:p w14:paraId="1CC80BC0">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柠檬色游动球菌</w:t>
            </w:r>
          </w:p>
        </w:tc>
      </w:tr>
      <w:tr w14:paraId="13C42697">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612FA98F">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光滑念珠菌</w:t>
            </w:r>
          </w:p>
        </w:tc>
        <w:tc>
          <w:tcPr>
            <w:tcW w:w="1667" w:type="pct"/>
            <w:tcBorders>
              <w:top w:val="single" w:color="000000" w:sz="4" w:space="0"/>
              <w:left w:val="single" w:color="000000" w:sz="4" w:space="0"/>
              <w:bottom w:val="single" w:color="000000" w:sz="4" w:space="0"/>
              <w:right w:val="single" w:color="000000" w:sz="4" w:space="0"/>
            </w:tcBorders>
          </w:tcPr>
          <w:p w14:paraId="29CA2FC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耐久</w:t>
            </w:r>
            <w:r>
              <w:rPr>
                <w:rFonts w:ascii="Arial" w:hAnsi="Arial" w:eastAsia="宋体" w:cs="Arial"/>
                <w:i/>
                <w:sz w:val="21"/>
                <w:szCs w:val="21"/>
              </w:rPr>
              <w:t>肠球菌 </w:t>
            </w:r>
          </w:p>
        </w:tc>
        <w:tc>
          <w:tcPr>
            <w:tcW w:w="1667" w:type="pct"/>
            <w:tcBorders>
              <w:top w:val="single" w:color="000000" w:sz="4" w:space="0"/>
              <w:left w:val="single" w:color="000000" w:sz="4" w:space="0"/>
              <w:bottom w:val="single" w:color="000000" w:sz="4" w:space="0"/>
              <w:right w:val="single" w:color="000000" w:sz="4" w:space="0"/>
            </w:tcBorders>
          </w:tcPr>
          <w:p w14:paraId="073ECFAF">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科氏游动球菌</w:t>
            </w:r>
          </w:p>
        </w:tc>
      </w:tr>
      <w:tr w14:paraId="482545BF">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1D7AC88">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克柔念珠菌</w:t>
            </w:r>
          </w:p>
        </w:tc>
        <w:tc>
          <w:tcPr>
            <w:tcW w:w="1667" w:type="pct"/>
            <w:tcBorders>
              <w:top w:val="single" w:color="000000" w:sz="4" w:space="0"/>
              <w:left w:val="single" w:color="000000" w:sz="4" w:space="0"/>
              <w:bottom w:val="single" w:color="000000" w:sz="4" w:space="0"/>
              <w:right w:val="single" w:color="000000" w:sz="4" w:space="0"/>
            </w:tcBorders>
          </w:tcPr>
          <w:p w14:paraId="0CBB7FC8">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铅黄肠球菌</w:t>
            </w:r>
          </w:p>
        </w:tc>
        <w:tc>
          <w:tcPr>
            <w:tcW w:w="1667" w:type="pct"/>
            <w:tcBorders>
              <w:top w:val="single" w:color="000000" w:sz="4" w:space="0"/>
              <w:left w:val="single" w:color="000000" w:sz="4" w:space="0"/>
              <w:bottom w:val="single" w:color="000000" w:sz="4" w:space="0"/>
              <w:right w:val="single" w:color="000000" w:sz="4" w:space="0"/>
            </w:tcBorders>
          </w:tcPr>
          <w:p w14:paraId="55543B62">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痤疮丙酸杆菌</w:t>
            </w:r>
          </w:p>
        </w:tc>
      </w:tr>
      <w:tr w14:paraId="61C8AEF1">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0D7353C6">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近平滑念珠菌</w:t>
            </w:r>
          </w:p>
        </w:tc>
        <w:tc>
          <w:tcPr>
            <w:tcW w:w="1667" w:type="pct"/>
            <w:tcBorders>
              <w:top w:val="single" w:color="000000" w:sz="4" w:space="0"/>
              <w:left w:val="single" w:color="000000" w:sz="4" w:space="0"/>
              <w:bottom w:val="single" w:color="000000" w:sz="4" w:space="0"/>
              <w:right w:val="single" w:color="000000" w:sz="4" w:space="0"/>
            </w:tcBorders>
          </w:tcPr>
          <w:p w14:paraId="05F6B171">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鹑鸡肠球菌</w:t>
            </w:r>
          </w:p>
        </w:tc>
        <w:tc>
          <w:tcPr>
            <w:tcW w:w="1667" w:type="pct"/>
            <w:tcBorders>
              <w:top w:val="single" w:color="000000" w:sz="4" w:space="0"/>
              <w:left w:val="single" w:color="000000" w:sz="4" w:space="0"/>
              <w:bottom w:val="single" w:color="000000" w:sz="4" w:space="0"/>
              <w:right w:val="single" w:color="000000" w:sz="4" w:space="0"/>
            </w:tcBorders>
          </w:tcPr>
          <w:p w14:paraId="5BF90C8E">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奇异变形杆菌</w:t>
            </w:r>
          </w:p>
        </w:tc>
      </w:tr>
      <w:tr w14:paraId="2239BD75">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2A4A5125">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热带念珠菌</w:t>
            </w:r>
          </w:p>
        </w:tc>
        <w:tc>
          <w:tcPr>
            <w:tcW w:w="1667" w:type="pct"/>
            <w:tcBorders>
              <w:top w:val="single" w:color="000000" w:sz="4" w:space="0"/>
              <w:left w:val="single" w:color="000000" w:sz="4" w:space="0"/>
              <w:bottom w:val="single" w:color="000000" w:sz="4" w:space="0"/>
              <w:right w:val="single" w:color="000000" w:sz="4" w:space="0"/>
            </w:tcBorders>
          </w:tcPr>
          <w:p w14:paraId="18F264E5">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海氏肠球菌</w:t>
            </w:r>
          </w:p>
        </w:tc>
        <w:tc>
          <w:tcPr>
            <w:tcW w:w="1667" w:type="pct"/>
            <w:tcBorders>
              <w:top w:val="single" w:color="000000" w:sz="4" w:space="0"/>
              <w:left w:val="single" w:color="000000" w:sz="4" w:space="0"/>
              <w:bottom w:val="single" w:color="000000" w:sz="4" w:space="0"/>
              <w:right w:val="single" w:color="000000" w:sz="4" w:space="0"/>
            </w:tcBorders>
          </w:tcPr>
          <w:p w14:paraId="472B1E30">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普通变形杆菌</w:t>
            </w:r>
          </w:p>
        </w:tc>
      </w:tr>
      <w:tr w14:paraId="6B87D2FC">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B7E099B">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纤维化纤维微细菌</w:t>
            </w:r>
          </w:p>
        </w:tc>
        <w:tc>
          <w:tcPr>
            <w:tcW w:w="1667" w:type="pct"/>
            <w:tcBorders>
              <w:top w:val="single" w:color="000000" w:sz="4" w:space="0"/>
              <w:left w:val="single" w:color="000000" w:sz="4" w:space="0"/>
              <w:bottom w:val="single" w:color="000000" w:sz="4" w:space="0"/>
              <w:right w:val="single" w:color="000000" w:sz="4" w:space="0"/>
            </w:tcBorders>
          </w:tcPr>
          <w:p w14:paraId="229A405E">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蒙氏肠球菌</w:t>
            </w:r>
          </w:p>
        </w:tc>
        <w:tc>
          <w:tcPr>
            <w:tcW w:w="1667" w:type="pct"/>
            <w:tcBorders>
              <w:top w:val="single" w:color="000000" w:sz="4" w:space="0"/>
              <w:left w:val="single" w:color="000000" w:sz="4" w:space="0"/>
              <w:bottom w:val="single" w:color="000000" w:sz="4" w:space="0"/>
              <w:right w:val="single" w:color="000000" w:sz="4" w:space="0"/>
            </w:tcBorders>
          </w:tcPr>
          <w:p w14:paraId="57E78A7F">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斯氏普罗威登斯菌</w:t>
            </w:r>
          </w:p>
        </w:tc>
      </w:tr>
      <w:tr w14:paraId="653E6F4A">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05C7B30A">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特氏纤维单胞菌</w:t>
            </w:r>
          </w:p>
        </w:tc>
        <w:tc>
          <w:tcPr>
            <w:tcW w:w="1667" w:type="pct"/>
            <w:tcBorders>
              <w:top w:val="single" w:color="000000" w:sz="4" w:space="0"/>
              <w:left w:val="single" w:color="000000" w:sz="4" w:space="0"/>
              <w:bottom w:val="single" w:color="000000" w:sz="4" w:space="0"/>
              <w:right w:val="single" w:color="000000" w:sz="4" w:space="0"/>
            </w:tcBorders>
          </w:tcPr>
          <w:p w14:paraId="49FC9D63">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棉子糖肠球菌</w:t>
            </w:r>
          </w:p>
        </w:tc>
        <w:tc>
          <w:tcPr>
            <w:tcW w:w="1667" w:type="pct"/>
            <w:tcBorders>
              <w:top w:val="single" w:color="000000" w:sz="4" w:space="0"/>
              <w:left w:val="single" w:color="000000" w:sz="4" w:space="0"/>
              <w:bottom w:val="single" w:color="000000" w:sz="4" w:space="0"/>
              <w:right w:val="single" w:color="000000" w:sz="4" w:space="0"/>
            </w:tcBorders>
          </w:tcPr>
          <w:p w14:paraId="77EA5298">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绿脓杆菌</w:t>
            </w:r>
          </w:p>
        </w:tc>
      </w:tr>
      <w:tr w14:paraId="408C7A5B">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0F94E957">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无丙二酸柠檬酸杆菌</w:t>
            </w:r>
          </w:p>
        </w:tc>
        <w:tc>
          <w:tcPr>
            <w:tcW w:w="1667" w:type="pct"/>
            <w:tcBorders>
              <w:top w:val="single" w:color="000000" w:sz="4" w:space="0"/>
              <w:left w:val="single" w:color="000000" w:sz="4" w:space="0"/>
              <w:bottom w:val="single" w:color="000000" w:sz="4" w:space="0"/>
              <w:right w:val="single" w:color="000000" w:sz="4" w:space="0"/>
            </w:tcBorders>
          </w:tcPr>
          <w:p w14:paraId="483E10E7">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猪丹毒杆菌</w:t>
            </w:r>
          </w:p>
        </w:tc>
        <w:tc>
          <w:tcPr>
            <w:tcW w:w="1667" w:type="pct"/>
            <w:tcBorders>
              <w:top w:val="single" w:color="000000" w:sz="4" w:space="0"/>
              <w:left w:val="single" w:color="000000" w:sz="4" w:space="0"/>
              <w:bottom w:val="single" w:color="000000" w:sz="4" w:space="0"/>
              <w:right w:val="single" w:color="000000" w:sz="4" w:space="0"/>
            </w:tcBorders>
          </w:tcPr>
          <w:p w14:paraId="4A852BD5">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荧光假单胞菌</w:t>
            </w:r>
          </w:p>
        </w:tc>
      </w:tr>
      <w:tr w14:paraId="0BD7E621">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178A60A8">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布氏柠檬酸杆菌</w:t>
            </w:r>
          </w:p>
        </w:tc>
        <w:tc>
          <w:tcPr>
            <w:tcW w:w="1667" w:type="pct"/>
            <w:tcBorders>
              <w:top w:val="single" w:color="000000" w:sz="4" w:space="0"/>
              <w:left w:val="single" w:color="000000" w:sz="4" w:space="0"/>
              <w:bottom w:val="single" w:color="000000" w:sz="4" w:space="0"/>
              <w:right w:val="single" w:color="000000" w:sz="4" w:space="0"/>
            </w:tcBorders>
          </w:tcPr>
          <w:p w14:paraId="0E4DB68F">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大肠埃希菌</w:t>
            </w:r>
          </w:p>
        </w:tc>
        <w:tc>
          <w:tcPr>
            <w:tcW w:w="1667" w:type="pct"/>
            <w:tcBorders>
              <w:top w:val="single" w:color="000000" w:sz="4" w:space="0"/>
              <w:left w:val="single" w:color="000000" w:sz="4" w:space="0"/>
              <w:bottom w:val="single" w:color="000000" w:sz="4" w:space="0"/>
              <w:right w:val="single" w:color="000000" w:sz="4" w:space="0"/>
            </w:tcBorders>
          </w:tcPr>
          <w:p w14:paraId="04796E06">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龋齿罗菌</w:t>
            </w:r>
          </w:p>
        </w:tc>
      </w:tr>
      <w:tr w14:paraId="296787D9">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26CAC418">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法氏柠檬酸杆菌</w:t>
            </w:r>
          </w:p>
        </w:tc>
        <w:tc>
          <w:tcPr>
            <w:tcW w:w="1667" w:type="pct"/>
            <w:tcBorders>
              <w:top w:val="single" w:color="000000" w:sz="4" w:space="0"/>
              <w:left w:val="single" w:color="000000" w:sz="4" w:space="0"/>
              <w:bottom w:val="single" w:color="000000" w:sz="4" w:space="0"/>
              <w:right w:val="single" w:color="000000" w:sz="4" w:space="0"/>
            </w:tcBorders>
          </w:tcPr>
          <w:p w14:paraId="49DE653C">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流感嗜血杆菌</w:t>
            </w:r>
          </w:p>
        </w:tc>
        <w:tc>
          <w:tcPr>
            <w:tcW w:w="1667" w:type="pct"/>
            <w:tcBorders>
              <w:top w:val="single" w:color="000000" w:sz="4" w:space="0"/>
              <w:left w:val="single" w:color="000000" w:sz="4" w:space="0"/>
              <w:bottom w:val="single" w:color="000000" w:sz="4" w:space="0"/>
              <w:right w:val="single" w:color="000000" w:sz="4" w:space="0"/>
            </w:tcBorders>
          </w:tcPr>
          <w:p w14:paraId="793D4E6F">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粘滑罗斯菌</w:t>
            </w:r>
          </w:p>
        </w:tc>
      </w:tr>
      <w:tr w14:paraId="05B3F183">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3B93A731">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弗氏柠檬酸杆菌</w:t>
            </w:r>
          </w:p>
        </w:tc>
        <w:tc>
          <w:tcPr>
            <w:tcW w:w="1667" w:type="pct"/>
            <w:tcBorders>
              <w:top w:val="single" w:color="000000" w:sz="4" w:space="0"/>
              <w:left w:val="single" w:color="000000" w:sz="4" w:space="0"/>
              <w:bottom w:val="single" w:color="000000" w:sz="4" w:space="0"/>
              <w:right w:val="single" w:color="000000" w:sz="4" w:space="0"/>
            </w:tcBorders>
          </w:tcPr>
          <w:p w14:paraId="0F4E6D3F">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产酸克雷伯菌</w:t>
            </w:r>
          </w:p>
        </w:tc>
        <w:tc>
          <w:tcPr>
            <w:tcW w:w="1667" w:type="pct"/>
            <w:tcBorders>
              <w:top w:val="single" w:color="000000" w:sz="4" w:space="0"/>
              <w:left w:val="single" w:color="000000" w:sz="4" w:space="0"/>
              <w:bottom w:val="single" w:color="000000" w:sz="4" w:space="0"/>
              <w:right w:val="single" w:color="000000" w:sz="4" w:space="0"/>
            </w:tcBorders>
          </w:tcPr>
          <w:p w14:paraId="13F793F0">
            <w:pPr>
              <w:pStyle w:val="40"/>
              <w:overflowPunct w:val="0"/>
              <w:snapToGrid w:val="0"/>
              <w:spacing w:line="276" w:lineRule="auto"/>
              <w:ind w:left="44" w:leftChars="20" w:right="44" w:rightChars="20"/>
              <w:jc w:val="both"/>
              <w:rPr>
                <w:rFonts w:ascii="Arial" w:hAnsi="Arial" w:eastAsia="宋体" w:cs="Arial"/>
                <w:sz w:val="21"/>
                <w:szCs w:val="21"/>
                <w:lang w:eastAsia="zh-CN"/>
              </w:rPr>
            </w:pPr>
            <w:bookmarkStart w:id="91" w:name="OLE_LINK69"/>
            <w:bookmarkStart w:id="92" w:name="OLE_LINK68"/>
            <w:r>
              <w:rPr>
                <w:rFonts w:ascii="Arial" w:hAnsi="Arial" w:eastAsia="宋体" w:cs="Arial"/>
                <w:i/>
                <w:sz w:val="21"/>
                <w:szCs w:val="21"/>
                <w:lang w:eastAsia="zh-CN"/>
              </w:rPr>
              <w:t>肠道沙门氏菌</w:t>
            </w:r>
            <w:bookmarkEnd w:id="91"/>
            <w:bookmarkEnd w:id="92"/>
            <w:r>
              <w:rPr>
                <w:rFonts w:ascii="Arial" w:hAnsi="Arial" w:eastAsia="宋体" w:cs="Arial"/>
                <w:sz w:val="21"/>
                <w:szCs w:val="21"/>
                <w:lang w:eastAsia="zh-CN"/>
              </w:rPr>
              <w:t>（血清型肠炎</w:t>
            </w:r>
            <w:r>
              <w:rPr>
                <w:rFonts w:ascii="Arial" w:hAnsi="Arial" w:eastAsia="宋体" w:cs="Arial"/>
                <w:i/>
                <w:sz w:val="21"/>
                <w:szCs w:val="21"/>
                <w:lang w:eastAsia="zh-CN"/>
              </w:rPr>
              <w:t>）</w:t>
            </w:r>
          </w:p>
        </w:tc>
      </w:tr>
      <w:tr w14:paraId="3B9D75C5">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517B79D">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吉氏柠檬酸杆菌</w:t>
            </w:r>
          </w:p>
        </w:tc>
        <w:tc>
          <w:tcPr>
            <w:tcW w:w="1667" w:type="pct"/>
            <w:tcBorders>
              <w:top w:val="single" w:color="000000" w:sz="4" w:space="0"/>
              <w:left w:val="single" w:color="000000" w:sz="4" w:space="0"/>
              <w:bottom w:val="single" w:color="000000" w:sz="4" w:space="0"/>
              <w:right w:val="single" w:color="000000" w:sz="4" w:space="0"/>
            </w:tcBorders>
          </w:tcPr>
          <w:p w14:paraId="7A00EC05">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肺炎克雷伯菌</w:t>
            </w:r>
          </w:p>
        </w:tc>
        <w:tc>
          <w:tcPr>
            <w:tcW w:w="1667" w:type="pct"/>
            <w:tcBorders>
              <w:top w:val="single" w:color="000000" w:sz="4" w:space="0"/>
              <w:left w:val="single" w:color="000000" w:sz="4" w:space="0"/>
              <w:bottom w:val="single" w:color="000000" w:sz="4" w:space="0"/>
              <w:right w:val="single" w:color="000000" w:sz="4" w:space="0"/>
            </w:tcBorders>
          </w:tcPr>
          <w:p w14:paraId="4B784ACF">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肠道沙门氏菌</w:t>
            </w:r>
            <w:r>
              <w:rPr>
                <w:rFonts w:ascii="Arial" w:hAnsi="Arial" w:eastAsia="宋体" w:cs="Arial"/>
                <w:sz w:val="21"/>
                <w:szCs w:val="21"/>
                <w:lang w:eastAsia="zh-CN"/>
              </w:rPr>
              <w:t>（血清型鼠伤寒</w:t>
            </w:r>
            <w:r>
              <w:rPr>
                <w:rFonts w:ascii="Arial" w:hAnsi="Arial" w:eastAsia="宋体" w:cs="Arial"/>
                <w:i/>
                <w:sz w:val="21"/>
                <w:szCs w:val="21"/>
                <w:lang w:eastAsia="zh-CN"/>
              </w:rPr>
              <w:t>）</w:t>
            </w:r>
          </w:p>
        </w:tc>
      </w:tr>
      <w:tr w14:paraId="5004760C">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0E28ADC6">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克氏柠檬酸杆菌</w:t>
            </w:r>
          </w:p>
        </w:tc>
        <w:tc>
          <w:tcPr>
            <w:tcW w:w="1667" w:type="pct"/>
            <w:tcBorders>
              <w:top w:val="single" w:color="000000" w:sz="4" w:space="0"/>
              <w:left w:val="single" w:color="000000" w:sz="4" w:space="0"/>
              <w:bottom w:val="single" w:color="000000" w:sz="4" w:space="0"/>
              <w:right w:val="single" w:color="000000" w:sz="4" w:space="0"/>
            </w:tcBorders>
          </w:tcPr>
          <w:p w14:paraId="3CE697E6">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克氏库克菌</w:t>
            </w:r>
          </w:p>
        </w:tc>
        <w:tc>
          <w:tcPr>
            <w:tcW w:w="1667" w:type="pct"/>
            <w:tcBorders>
              <w:top w:val="single" w:color="000000" w:sz="4" w:space="0"/>
              <w:left w:val="single" w:color="000000" w:sz="4" w:space="0"/>
              <w:bottom w:val="single" w:color="000000" w:sz="4" w:space="0"/>
              <w:right w:val="single" w:color="000000" w:sz="4" w:space="0"/>
            </w:tcBorders>
          </w:tcPr>
          <w:p w14:paraId="52750128">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粘质沙雷氏菌</w:t>
            </w:r>
          </w:p>
        </w:tc>
      </w:tr>
      <w:tr w14:paraId="18B20800">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99C4309">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莫氏柠檬酸杆菌</w:t>
            </w:r>
          </w:p>
        </w:tc>
        <w:tc>
          <w:tcPr>
            <w:tcW w:w="1667" w:type="pct"/>
            <w:tcBorders>
              <w:top w:val="single" w:color="000000" w:sz="4" w:space="0"/>
              <w:left w:val="single" w:color="000000" w:sz="4" w:space="0"/>
              <w:bottom w:val="single" w:color="000000" w:sz="4" w:space="0"/>
              <w:right w:val="single" w:color="000000" w:sz="4" w:space="0"/>
            </w:tcBorders>
          </w:tcPr>
          <w:p w14:paraId="6E200519">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坐皮肤球菌</w:t>
            </w:r>
          </w:p>
        </w:tc>
        <w:tc>
          <w:tcPr>
            <w:tcW w:w="1667" w:type="pct"/>
            <w:tcBorders>
              <w:top w:val="single" w:color="000000" w:sz="4" w:space="0"/>
              <w:left w:val="single" w:color="000000" w:sz="4" w:space="0"/>
              <w:bottom w:val="single" w:color="000000" w:sz="4" w:space="0"/>
              <w:right w:val="single" w:color="000000" w:sz="4" w:space="0"/>
            </w:tcBorders>
          </w:tcPr>
          <w:p w14:paraId="7431AF7C">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气味沙雷氏菌</w:t>
            </w:r>
          </w:p>
        </w:tc>
      </w:tr>
      <w:tr w14:paraId="32694EF0">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BB34918">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鼠柠檬酸杆菌</w:t>
            </w:r>
          </w:p>
        </w:tc>
        <w:tc>
          <w:tcPr>
            <w:tcW w:w="1667" w:type="pct"/>
            <w:tcBorders>
              <w:top w:val="single" w:color="000000" w:sz="4" w:space="0"/>
              <w:left w:val="single" w:color="000000" w:sz="4" w:space="0"/>
              <w:bottom w:val="single" w:color="000000" w:sz="4" w:space="0"/>
              <w:right w:val="single" w:color="000000" w:sz="4" w:space="0"/>
            </w:tcBorders>
          </w:tcPr>
          <w:p w14:paraId="4AF2A1C0">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嗜酸乳杆菌</w:t>
            </w:r>
          </w:p>
        </w:tc>
        <w:tc>
          <w:tcPr>
            <w:tcW w:w="1667" w:type="pct"/>
            <w:tcBorders>
              <w:top w:val="single" w:color="000000" w:sz="4" w:space="0"/>
              <w:left w:val="single" w:color="000000" w:sz="4" w:space="0"/>
              <w:bottom w:val="single" w:color="000000" w:sz="4" w:space="0"/>
              <w:right w:val="single" w:color="000000" w:sz="4" w:space="0"/>
            </w:tcBorders>
          </w:tcPr>
          <w:p w14:paraId="52664991">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宋内志贺菌</w:t>
            </w:r>
          </w:p>
        </w:tc>
      </w:tr>
      <w:tr w14:paraId="2D62E7E0">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7CD151EC">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沃克曼氏柠檬酸杆菌</w:t>
            </w:r>
          </w:p>
        </w:tc>
        <w:tc>
          <w:tcPr>
            <w:tcW w:w="1667" w:type="pct"/>
            <w:tcBorders>
              <w:top w:val="single" w:color="000000" w:sz="4" w:space="0"/>
              <w:left w:val="single" w:color="000000" w:sz="4" w:space="0"/>
              <w:bottom w:val="single" w:color="000000" w:sz="4" w:space="0"/>
              <w:right w:val="single" w:color="000000" w:sz="4" w:space="0"/>
            </w:tcBorders>
          </w:tcPr>
          <w:p w14:paraId="270614C9">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卷曲乳杆菌</w:t>
            </w:r>
          </w:p>
        </w:tc>
        <w:tc>
          <w:tcPr>
            <w:tcW w:w="1667" w:type="pct"/>
            <w:tcBorders>
              <w:top w:val="single" w:color="000000" w:sz="4" w:space="0"/>
              <w:left w:val="single" w:color="000000" w:sz="4" w:space="0"/>
              <w:bottom w:val="single" w:color="000000" w:sz="4" w:space="0"/>
              <w:right w:val="single" w:color="000000" w:sz="4" w:space="0"/>
            </w:tcBorders>
          </w:tcPr>
          <w:p w14:paraId="675ACCB9">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小肠结肠炎耶尔森菌</w:t>
            </w:r>
          </w:p>
        </w:tc>
      </w:tr>
      <w:tr w14:paraId="73FEF107">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34B36CD7">
            <w:pPr>
              <w:pStyle w:val="40"/>
              <w:overflowPunct w:val="0"/>
              <w:snapToGrid w:val="0"/>
              <w:spacing w:line="276" w:lineRule="auto"/>
              <w:ind w:left="44" w:leftChars="20" w:right="44" w:rightChars="20"/>
              <w:jc w:val="both"/>
              <w:rPr>
                <w:rFonts w:ascii="Arial" w:hAnsi="Arial" w:eastAsia="宋体" w:cs="Arial"/>
                <w:sz w:val="21"/>
                <w:szCs w:val="21"/>
                <w:lang w:eastAsia="zh-CN"/>
              </w:rPr>
            </w:pPr>
            <w:r>
              <w:rPr>
                <w:rFonts w:ascii="Arial" w:hAnsi="Arial" w:eastAsia="宋体" w:cs="Arial"/>
                <w:i/>
                <w:sz w:val="21"/>
                <w:szCs w:val="21"/>
                <w:lang w:eastAsia="zh-CN"/>
              </w:rPr>
              <w:t>杨氏柠檬酸杆菌</w:t>
            </w:r>
          </w:p>
        </w:tc>
        <w:tc>
          <w:tcPr>
            <w:tcW w:w="1667" w:type="pct"/>
            <w:tcBorders>
              <w:top w:val="single" w:color="000000" w:sz="4" w:space="0"/>
              <w:left w:val="single" w:color="000000" w:sz="4" w:space="0"/>
              <w:bottom w:val="single" w:color="000000" w:sz="4" w:space="0"/>
              <w:right w:val="single" w:color="000000" w:sz="4" w:space="0"/>
            </w:tcBorders>
          </w:tcPr>
          <w:p w14:paraId="0DA05FC7">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鼠李糖乳杆菌</w:t>
            </w:r>
          </w:p>
        </w:tc>
        <w:tc>
          <w:tcPr>
            <w:tcW w:w="1667" w:type="pct"/>
            <w:tcBorders>
              <w:top w:val="single" w:color="000000" w:sz="4" w:space="0"/>
              <w:left w:val="single" w:color="000000" w:sz="4" w:space="0"/>
              <w:bottom w:val="single" w:color="000000" w:sz="4" w:space="0"/>
              <w:right w:val="single" w:color="000000" w:sz="4" w:space="0"/>
            </w:tcBorders>
          </w:tcPr>
          <w:p w14:paraId="23C69006">
            <w:pPr>
              <w:overflowPunct w:val="0"/>
              <w:snapToGrid w:val="0"/>
              <w:spacing w:line="276" w:lineRule="auto"/>
              <w:ind w:left="44" w:leftChars="20" w:right="44" w:rightChars="20"/>
              <w:jc w:val="both"/>
              <w:rPr>
                <w:rFonts w:ascii="Arial" w:hAnsi="Arial" w:eastAsia="宋体" w:cs="Arial"/>
                <w:sz w:val="21"/>
                <w:szCs w:val="21"/>
              </w:rPr>
            </w:pPr>
          </w:p>
        </w:tc>
      </w:tr>
      <w:tr w14:paraId="5109DBA4">
        <w:tblPrEx>
          <w:tblCellMar>
            <w:top w:w="0" w:type="dxa"/>
            <w:left w:w="0" w:type="dxa"/>
            <w:bottom w:w="0" w:type="dxa"/>
            <w:right w:w="0" w:type="dxa"/>
          </w:tblCellMar>
        </w:tblPrEx>
        <w:tc>
          <w:tcPr>
            <w:tcW w:w="1667" w:type="pct"/>
            <w:tcBorders>
              <w:top w:val="single" w:color="000000" w:sz="4" w:space="0"/>
              <w:left w:val="single" w:color="000000" w:sz="4" w:space="0"/>
              <w:bottom w:val="single" w:color="000000" w:sz="4" w:space="0"/>
              <w:right w:val="single" w:color="000000" w:sz="4" w:space="0"/>
            </w:tcBorders>
          </w:tcPr>
          <w:p w14:paraId="171C5245">
            <w:pPr>
              <w:pStyle w:val="40"/>
              <w:overflowPunct w:val="0"/>
              <w:snapToGrid w:val="0"/>
              <w:spacing w:line="276" w:lineRule="auto"/>
              <w:ind w:left="44" w:leftChars="20" w:right="44" w:rightChars="20"/>
              <w:jc w:val="both"/>
              <w:rPr>
                <w:rFonts w:ascii="Arial" w:hAnsi="Arial" w:eastAsia="宋体" w:cs="Arial"/>
                <w:sz w:val="21"/>
                <w:szCs w:val="21"/>
              </w:rPr>
            </w:pPr>
            <w:r>
              <w:rPr>
                <w:rFonts w:ascii="Arial" w:hAnsi="Arial" w:eastAsia="宋体" w:cs="Arial"/>
                <w:i/>
                <w:sz w:val="21"/>
                <w:szCs w:val="21"/>
              </w:rPr>
              <w:t>无枝菌酸棒杆菌</w:t>
            </w:r>
          </w:p>
        </w:tc>
        <w:tc>
          <w:tcPr>
            <w:tcW w:w="1667" w:type="pct"/>
            <w:tcBorders>
              <w:top w:val="single" w:color="000000" w:sz="4" w:space="0"/>
              <w:left w:val="single" w:color="000000" w:sz="4" w:space="0"/>
              <w:bottom w:val="single" w:color="000000" w:sz="4" w:space="0"/>
              <w:right w:val="single" w:color="000000" w:sz="4" w:space="0"/>
            </w:tcBorders>
          </w:tcPr>
          <w:p w14:paraId="3822C74E">
            <w:pPr>
              <w:pStyle w:val="40"/>
              <w:overflowPunct w:val="0"/>
              <w:snapToGrid w:val="0"/>
              <w:spacing w:line="276" w:lineRule="auto"/>
              <w:ind w:left="44" w:leftChars="20" w:right="44" w:rightChars="20"/>
              <w:jc w:val="both"/>
              <w:rPr>
                <w:rFonts w:ascii="Arial" w:hAnsi="Arial" w:eastAsia="宋体" w:cs="Arial"/>
                <w:bCs/>
                <w:i/>
                <w:sz w:val="21"/>
                <w:szCs w:val="21"/>
                <w:lang w:eastAsia="zh-CN"/>
              </w:rPr>
            </w:pPr>
            <w:r>
              <w:rPr>
                <w:rFonts w:ascii="Arial" w:hAnsi="Arial" w:eastAsia="宋体" w:cs="Arial"/>
                <w:bCs/>
                <w:i/>
                <w:sz w:val="21"/>
                <w:szCs w:val="21"/>
              </w:rPr>
              <w:t>嗜肺军团菌</w:t>
            </w:r>
          </w:p>
        </w:tc>
        <w:tc>
          <w:tcPr>
            <w:tcW w:w="1667" w:type="pct"/>
            <w:tcBorders>
              <w:top w:val="single" w:color="000000" w:sz="4" w:space="0"/>
              <w:left w:val="single" w:color="000000" w:sz="4" w:space="0"/>
              <w:bottom w:val="single" w:color="000000" w:sz="4" w:space="0"/>
              <w:right w:val="single" w:color="000000" w:sz="4" w:space="0"/>
            </w:tcBorders>
          </w:tcPr>
          <w:p w14:paraId="2C035B61">
            <w:pPr>
              <w:overflowPunct w:val="0"/>
              <w:snapToGrid w:val="0"/>
              <w:spacing w:line="276" w:lineRule="auto"/>
              <w:ind w:left="44" w:leftChars="20" w:right="44" w:rightChars="20"/>
              <w:jc w:val="both"/>
              <w:rPr>
                <w:rFonts w:ascii="Arial" w:hAnsi="Arial" w:eastAsia="宋体" w:cs="Arial"/>
                <w:sz w:val="21"/>
                <w:szCs w:val="21"/>
              </w:rPr>
            </w:pPr>
          </w:p>
        </w:tc>
      </w:tr>
    </w:tbl>
    <w:p w14:paraId="5687F3A8">
      <w:pPr>
        <w:overflowPunct w:val="0"/>
        <w:snapToGrid w:val="0"/>
        <w:spacing w:after="120" w:afterLines="50" w:line="300" w:lineRule="auto"/>
        <w:jc w:val="both"/>
        <w:rPr>
          <w:rFonts w:ascii="Arial" w:hAnsi="Arial" w:eastAsia="宋体" w:cs="Arial"/>
          <w:b/>
          <w:bCs/>
          <w:sz w:val="17"/>
          <w:szCs w:val="17"/>
        </w:rPr>
      </w:pPr>
    </w:p>
    <w:p w14:paraId="114BC8E7">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rPr>
      </w:pPr>
      <w:bookmarkStart w:id="93" w:name="_bookmark26"/>
      <w:bookmarkEnd w:id="93"/>
      <w:bookmarkStart w:id="94" w:name="_Toc495603771"/>
      <w:r>
        <w:rPr>
          <w:rFonts w:ascii="Arial" w:hAnsi="Arial" w:eastAsia="宋体" w:cs="Arial"/>
          <w:lang w:eastAsia="zh-CN"/>
        </w:rPr>
        <w:t>竞争性抑制研究</w:t>
      </w:r>
      <w:bookmarkEnd w:id="94"/>
    </w:p>
    <w:p w14:paraId="2E1A16FD">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竞争性抑制研究必须用混合阳性血培养中</w:t>
      </w:r>
      <w:r>
        <w:rPr>
          <w:rFonts w:hint="eastAsia" w:ascii="Arial" w:hAnsi="Arial" w:eastAsia="宋体" w:cs="Arial"/>
          <w:lang w:eastAsia="zh-CN"/>
        </w:rPr>
        <w:t>常见的</w:t>
      </w:r>
      <w:r>
        <w:rPr>
          <w:rFonts w:ascii="Arial" w:hAnsi="Arial" w:eastAsia="宋体" w:cs="Arial"/>
          <w:lang w:eastAsia="zh-CN"/>
        </w:rPr>
        <w:t>分析物组合以及混合了非靶标微生物包括常见的皮肤污染物（例如，棒状杆菌属，</w:t>
      </w:r>
      <w:r>
        <w:fldChar w:fldCharType="begin"/>
      </w:r>
      <w:r>
        <w:rPr>
          <w:lang w:eastAsia="zh-CN"/>
        </w:rPr>
        <w:instrText xml:space="preserve"> HYPERLINK "javascript:;" </w:instrText>
      </w:r>
      <w:r>
        <w:fldChar w:fldCharType="separate"/>
      </w:r>
      <w:r>
        <w:rPr>
          <w:rFonts w:ascii="Arial" w:hAnsi="Arial" w:eastAsia="宋体" w:cs="Arial"/>
          <w:lang w:eastAsia="zh-CN"/>
        </w:rPr>
        <w:t>痤疮丙酸杆菌</w:t>
      </w:r>
      <w:r>
        <w:rPr>
          <w:rFonts w:ascii="Arial" w:hAnsi="Arial" w:eastAsia="宋体" w:cs="Arial"/>
          <w:lang w:eastAsia="zh-CN"/>
        </w:rPr>
        <w:fldChar w:fldCharType="end"/>
      </w:r>
      <w:r>
        <w:rPr>
          <w:rFonts w:ascii="Arial" w:hAnsi="Arial" w:eastAsia="宋体" w:cs="Arial"/>
          <w:lang w:eastAsia="zh-CN"/>
        </w:rPr>
        <w:t>）的分析物挑战贵公司的检测试剂盒。在这些研究中，贵公司必须证明某种高浓度的微生物不</w:t>
      </w:r>
      <w:r>
        <w:rPr>
          <w:rFonts w:hint="eastAsia" w:ascii="Arial" w:hAnsi="Arial" w:eastAsia="宋体" w:cs="Arial"/>
          <w:lang w:eastAsia="zh-CN"/>
        </w:rPr>
        <w:t>会</w:t>
      </w:r>
      <w:r>
        <w:rPr>
          <w:rFonts w:ascii="Arial" w:hAnsi="Arial" w:eastAsia="宋体" w:cs="Arial"/>
          <w:lang w:eastAsia="zh-CN"/>
        </w:rPr>
        <w:t>抑制对存在于接近LoD浓度中的靶标微生物的检测，反之亦然。可参考当前发表的文献以支持贵公司选择最适于包含在这些研究中的微生物组合。</w:t>
      </w:r>
    </w:p>
    <w:p w14:paraId="4187DCCD">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rPr>
      </w:pPr>
      <w:bookmarkStart w:id="95" w:name="_bookmark27"/>
      <w:bookmarkEnd w:id="95"/>
      <w:bookmarkStart w:id="96" w:name="_Toc495603772"/>
      <w:r>
        <w:rPr>
          <w:rFonts w:ascii="Arial" w:hAnsi="Arial" w:eastAsia="宋体" w:cs="Arial"/>
          <w:lang w:eastAsia="zh-CN"/>
        </w:rPr>
        <w:t>干扰试验</w:t>
      </w:r>
      <w:bookmarkEnd w:id="96"/>
    </w:p>
    <w:p w14:paraId="56C3CA43">
      <w:pPr>
        <w:pStyle w:val="8"/>
        <w:numPr>
          <w:ilvl w:val="0"/>
          <w:numId w:val="9"/>
        </w:numPr>
        <w:tabs>
          <w:tab w:val="left" w:pos="487"/>
        </w:tabs>
        <w:overflowPunct w:val="0"/>
        <w:snapToGrid w:val="0"/>
        <w:spacing w:after="120" w:afterLines="50" w:line="300" w:lineRule="auto"/>
        <w:ind w:left="386" w:hanging="386"/>
        <w:jc w:val="both"/>
        <w:outlineLvl w:val="3"/>
        <w:rPr>
          <w:rFonts w:ascii="Arial" w:hAnsi="Arial" w:eastAsia="宋体" w:cs="Arial"/>
        </w:rPr>
      </w:pPr>
      <w:bookmarkStart w:id="97" w:name="_bookmark28"/>
      <w:bookmarkEnd w:id="97"/>
      <w:bookmarkStart w:id="98" w:name="_Toc495603773"/>
      <w:r>
        <w:rPr>
          <w:rFonts w:ascii="Arial" w:hAnsi="Arial" w:eastAsia="宋体" w:cs="Arial"/>
          <w:lang w:eastAsia="zh-CN"/>
        </w:rPr>
        <w:t>干扰物</w:t>
      </w:r>
      <w:bookmarkEnd w:id="98"/>
    </w:p>
    <w:p w14:paraId="5E86ABC1">
      <w:pPr>
        <w:pStyle w:val="8"/>
        <w:overflowPunct w:val="0"/>
        <w:snapToGrid w:val="0"/>
        <w:spacing w:after="120" w:afterLines="50" w:line="300" w:lineRule="auto"/>
        <w:ind w:left="0"/>
        <w:jc w:val="both"/>
        <w:rPr>
          <w:rFonts w:ascii="Arial" w:hAnsi="Arial" w:eastAsia="宋体" w:cs="Arial"/>
          <w:b/>
          <w:bCs/>
          <w:lang w:eastAsia="zh-CN"/>
        </w:rPr>
      </w:pPr>
      <w:r>
        <w:rPr>
          <w:rFonts w:ascii="Arial" w:hAnsi="Arial" w:eastAsia="宋体" w:cs="Arial"/>
          <w:lang w:eastAsia="zh-CN"/>
        </w:rPr>
        <w:t>为评估血液和</w:t>
      </w:r>
      <w:bookmarkStart w:id="99" w:name="OLE_LINK84"/>
      <w:bookmarkStart w:id="100" w:name="OLE_LINK85"/>
      <w:r>
        <w:rPr>
          <w:rFonts w:ascii="Arial" w:hAnsi="Arial" w:eastAsia="宋体" w:cs="Arial"/>
          <w:lang w:eastAsia="zh-CN"/>
        </w:rPr>
        <w:t>血培养基</w:t>
      </w:r>
      <w:bookmarkEnd w:id="99"/>
      <w:bookmarkEnd w:id="100"/>
      <w:r>
        <w:rPr>
          <w:rFonts w:ascii="Arial" w:hAnsi="Arial" w:eastAsia="宋体" w:cs="Arial"/>
          <w:lang w:eastAsia="zh-CN"/>
        </w:rPr>
        <w:t>中物质的抑制作用，贵公司必须使用相关浓度的可能干扰物实施干扰研究。这些物质可能包括但不限于血红蛋白</w:t>
      </w:r>
      <w:r>
        <w:rPr>
          <w:rFonts w:hint="eastAsia" w:ascii="Arial" w:hAnsi="Arial" w:eastAsia="宋体" w:cs="Arial"/>
          <w:lang w:eastAsia="zh-CN"/>
        </w:rPr>
        <w:t>、</w:t>
      </w:r>
      <w:r>
        <w:rPr>
          <w:rFonts w:ascii="Arial" w:hAnsi="Arial" w:eastAsia="宋体" w:cs="Arial"/>
          <w:lang w:eastAsia="zh-CN"/>
        </w:rPr>
        <w:t>甘油三脂</w:t>
      </w:r>
      <w:r>
        <w:rPr>
          <w:rFonts w:hint="eastAsia" w:ascii="Arial" w:hAnsi="Arial" w:eastAsia="宋体" w:cs="Arial"/>
          <w:lang w:eastAsia="zh-CN"/>
        </w:rPr>
        <w:t>、</w:t>
      </w:r>
      <w:r>
        <w:rPr>
          <w:rFonts w:ascii="Arial" w:hAnsi="Arial" w:eastAsia="宋体" w:cs="Arial"/>
          <w:lang w:eastAsia="zh-CN"/>
        </w:rPr>
        <w:t>结合和未结合胆红素</w:t>
      </w:r>
      <w:r>
        <w:rPr>
          <w:rFonts w:hint="eastAsia" w:ascii="Arial" w:hAnsi="Arial" w:eastAsia="宋体" w:cs="Arial"/>
          <w:lang w:eastAsia="zh-CN"/>
        </w:rPr>
        <w:t>、</w:t>
      </w:r>
      <w:r>
        <w:rPr>
          <w:rFonts w:ascii="Arial" w:hAnsi="Arial" w:eastAsia="宋体" w:cs="Arial"/>
          <w:bCs/>
          <w:lang w:eastAsia="zh-CN"/>
        </w:rPr>
        <w:t>丙种球蛋白</w:t>
      </w:r>
      <w:r>
        <w:rPr>
          <w:rFonts w:hint="eastAsia" w:ascii="Arial" w:hAnsi="Arial" w:eastAsia="宋体" w:cs="Arial"/>
          <w:bCs/>
          <w:lang w:eastAsia="zh-CN"/>
        </w:rPr>
        <w:t>、</w:t>
      </w:r>
      <w:r>
        <w:rPr>
          <w:rFonts w:ascii="Arial" w:hAnsi="Arial" w:eastAsia="宋体" w:cs="Arial"/>
          <w:bCs/>
          <w:lang w:eastAsia="zh-CN"/>
        </w:rPr>
        <w:t>高浓度白血球和聚茴香磺酸钠。贵公司设计研究时，可参考</w:t>
      </w:r>
      <w:r>
        <w:rPr>
          <w:rFonts w:ascii="Arial" w:hAnsi="Arial" w:eastAsia="宋体" w:cs="Arial"/>
          <w:lang w:eastAsia="zh-CN"/>
        </w:rPr>
        <w:t>CLSI文件</w:t>
      </w:r>
      <w:bookmarkStart w:id="101" w:name="OLE_LINK87"/>
      <w:bookmarkStart w:id="102" w:name="OLE_LINK86"/>
      <w:r>
        <w:rPr>
          <w:rFonts w:ascii="Arial" w:hAnsi="Arial" w:eastAsia="宋体" w:cs="Arial"/>
          <w:lang w:eastAsia="zh-CN"/>
        </w:rPr>
        <w:t>EP07-A2</w:t>
      </w:r>
      <w:bookmarkEnd w:id="101"/>
      <w:bookmarkEnd w:id="102"/>
      <w:r>
        <w:rPr>
          <w:rFonts w:ascii="Arial" w:hAnsi="Arial" w:eastAsia="宋体" w:cs="Arial"/>
          <w:lang w:eastAsia="zh-CN"/>
        </w:rPr>
        <w:t xml:space="preserve">， </w:t>
      </w:r>
      <w:r>
        <w:rPr>
          <w:rFonts w:ascii="Arial" w:hAnsi="Arial" w:eastAsia="宋体" w:cs="Arial"/>
          <w:i/>
          <w:lang w:eastAsia="zh-CN"/>
        </w:rPr>
        <w:t>临床化学中的干扰试验；</w:t>
      </w:r>
      <w:r>
        <w:rPr>
          <w:rFonts w:ascii="Arial" w:hAnsi="Arial" w:eastAsia="宋体" w:cs="Arial"/>
          <w:lang w:eastAsia="zh-CN"/>
        </w:rPr>
        <w:t>已获批指南。【参考文件7】。</w:t>
      </w:r>
    </w:p>
    <w:p w14:paraId="5088EFEA">
      <w:pPr>
        <w:pStyle w:val="8"/>
        <w:numPr>
          <w:ilvl w:val="0"/>
          <w:numId w:val="9"/>
        </w:numPr>
        <w:tabs>
          <w:tab w:val="left" w:pos="499"/>
        </w:tabs>
        <w:overflowPunct w:val="0"/>
        <w:snapToGrid w:val="0"/>
        <w:spacing w:after="120" w:afterLines="50" w:line="300" w:lineRule="auto"/>
        <w:ind w:left="386" w:hanging="386"/>
        <w:jc w:val="both"/>
        <w:outlineLvl w:val="3"/>
        <w:rPr>
          <w:rFonts w:ascii="Arial" w:hAnsi="Arial" w:eastAsia="宋体" w:cs="Arial"/>
          <w:lang w:eastAsia="zh-CN"/>
        </w:rPr>
      </w:pPr>
      <w:bookmarkStart w:id="103" w:name="_bookmark29"/>
      <w:bookmarkEnd w:id="103"/>
      <w:bookmarkStart w:id="104" w:name="_Toc495603774"/>
      <w:r>
        <w:rPr>
          <w:rFonts w:ascii="Arial" w:hAnsi="Arial" w:eastAsia="宋体" w:cs="Arial"/>
          <w:lang w:eastAsia="zh-CN"/>
        </w:rPr>
        <w:t>血培养瓶种类测试</w:t>
      </w:r>
      <w:bookmarkEnd w:id="104"/>
    </w:p>
    <w:p w14:paraId="15DF26E8">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为证明不同类型血培养基不会干扰器械，贵公司必须针对不同类型血培养基实施额外的干扰试验。贵公司必须评价当前临床微生物学实验室进行血培养试验时所用的大多数种类的血培养瓶。可利用</w:t>
      </w:r>
      <w:bookmarkStart w:id="105" w:name="OLE_LINK93"/>
      <w:r>
        <w:rPr>
          <w:rFonts w:ascii="Arial" w:hAnsi="Arial" w:eastAsia="宋体" w:cs="Arial"/>
          <w:lang w:eastAsia="zh-CN"/>
        </w:rPr>
        <w:t>血培养</w:t>
      </w:r>
      <w:r>
        <w:rPr>
          <w:rFonts w:hint="eastAsia" w:ascii="Arial" w:hAnsi="Arial" w:eastAsia="宋体" w:cs="Arial"/>
          <w:lang w:eastAsia="zh-CN"/>
        </w:rPr>
        <w:t>加标</w:t>
      </w:r>
      <w:r>
        <w:rPr>
          <w:rFonts w:ascii="Arial" w:hAnsi="Arial" w:eastAsia="宋体" w:cs="Arial"/>
          <w:lang w:eastAsia="zh-CN"/>
        </w:rPr>
        <w:t>模型</w:t>
      </w:r>
      <w:bookmarkEnd w:id="105"/>
      <w:r>
        <w:rPr>
          <w:rFonts w:ascii="Arial" w:hAnsi="Arial" w:eastAsia="宋体" w:cs="Arial"/>
          <w:lang w:eastAsia="zh-CN"/>
        </w:rPr>
        <w:t>实施血培养瓶种类的分析评价。</w:t>
      </w:r>
    </w:p>
    <w:p w14:paraId="1F781B90">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可通过向含有无菌人类血液的血培养瓶中掺加每种靶微生物制备人工阳性血培养。然后将培养瓶放进合适的血培养系统中，直到</w:t>
      </w:r>
      <w:bookmarkStart w:id="106" w:name="OLE_LINK14"/>
      <w:bookmarkStart w:id="107" w:name="OLE_LINK13"/>
      <w:r>
        <w:rPr>
          <w:rFonts w:ascii="Arial" w:hAnsi="Arial" w:eastAsia="宋体" w:cs="Arial"/>
          <w:lang w:eastAsia="zh-CN"/>
        </w:rPr>
        <w:t>自动血培养仪（</w:t>
      </w:r>
      <w:r>
        <w:rPr>
          <w:rFonts w:ascii="宋体" w:hAnsi="宋体" w:eastAsia="宋体" w:cs="Arial"/>
          <w:lang w:eastAsia="zh-CN"/>
        </w:rPr>
        <w:t>“</w:t>
      </w:r>
      <w:r>
        <w:rPr>
          <w:rFonts w:hint="eastAsia" w:ascii="宋体" w:hAnsi="宋体" w:eastAsia="宋体" w:cs="Arial"/>
          <w:lang w:eastAsia="zh-CN"/>
        </w:rPr>
        <w:t>报阳</w:t>
      </w:r>
      <w:r>
        <w:rPr>
          <w:rFonts w:ascii="宋体" w:hAnsi="宋体" w:eastAsia="宋体" w:cs="Arial"/>
          <w:lang w:eastAsia="zh-CN"/>
        </w:rPr>
        <w:t>”</w:t>
      </w:r>
      <w:bookmarkEnd w:id="106"/>
      <w:bookmarkEnd w:id="107"/>
      <w:r>
        <w:rPr>
          <w:rFonts w:ascii="宋体" w:hAnsi="宋体" w:eastAsia="宋体" w:cs="Arial"/>
          <w:lang w:eastAsia="zh-CN"/>
        </w:rPr>
        <w:t>）</w:t>
      </w:r>
      <w:r>
        <w:rPr>
          <w:rFonts w:ascii="Arial" w:hAnsi="Arial" w:eastAsia="宋体" w:cs="Arial"/>
          <w:lang w:eastAsia="zh-CN"/>
        </w:rPr>
        <w:t>检测到微生物生长且信号显示阳性。掺入微生物的浓度必须代表抽取血液标本时血液中微生物的浓度 【参考文件 8】。</w:t>
      </w:r>
      <w:r>
        <w:rPr>
          <w:rFonts w:hint="eastAsia" w:ascii="Arial" w:hAnsi="Arial" w:eastAsia="宋体" w:cs="Arial"/>
          <w:lang w:eastAsia="zh-CN"/>
        </w:rPr>
        <w:t>在使用贵公司</w:t>
      </w:r>
      <w:r>
        <w:rPr>
          <w:rFonts w:ascii="Arial" w:hAnsi="Arial" w:eastAsia="宋体" w:cs="Arial"/>
          <w:lang w:eastAsia="zh-CN"/>
        </w:rPr>
        <w:t>器械进行测试前，必须用革兰氏染色确认每个阳性瓶。</w:t>
      </w:r>
    </w:p>
    <w:p w14:paraId="4ADC0BF0">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或者，如果血培养仪</w:t>
      </w:r>
      <w:r>
        <w:rPr>
          <w:rFonts w:hint="eastAsia" w:ascii="Arial" w:hAnsi="Arial" w:eastAsia="宋体" w:cs="Arial"/>
          <w:lang w:eastAsia="zh-CN"/>
        </w:rPr>
        <w:t>不适用于所有瓶型</w:t>
      </w:r>
      <w:r>
        <w:rPr>
          <w:rFonts w:ascii="Arial" w:hAnsi="Arial" w:eastAsia="宋体" w:cs="Arial"/>
          <w:lang w:eastAsia="zh-CN"/>
        </w:rPr>
        <w:t>，</w:t>
      </w:r>
      <w:r>
        <w:rPr>
          <w:rFonts w:hint="eastAsia" w:ascii="Arial" w:hAnsi="Arial" w:eastAsia="宋体" w:cs="Arial"/>
          <w:lang w:eastAsia="zh-CN"/>
        </w:rPr>
        <w:t>则</w:t>
      </w:r>
      <w:r>
        <w:rPr>
          <w:rFonts w:ascii="Arial" w:hAnsi="Arial" w:eastAsia="宋体" w:cs="Arial"/>
          <w:lang w:eastAsia="zh-CN"/>
        </w:rPr>
        <w:t>在掺入合适浓度微生物前，可将含阴性血液的血培养瓶放在标准实验室培养箱内培养一段时间（例如24小时），以模仿血培养系统的培养时间。然后通过向含阴性血液的每种类型的血培养瓶内掺入微生物制备人工阳性瓶，浓度水平等同于血培养系统将瓶标记为阳性时的浓度。</w:t>
      </w:r>
    </w:p>
    <w:p w14:paraId="6F43CF1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根据</w:t>
      </w:r>
      <w:r>
        <w:rPr>
          <w:rFonts w:hint="eastAsia" w:ascii="Arial" w:hAnsi="Arial" w:eastAsia="宋体" w:cs="Arial"/>
          <w:lang w:eastAsia="zh-CN"/>
        </w:rPr>
        <w:t>所</w:t>
      </w:r>
      <w:r>
        <w:rPr>
          <w:rFonts w:ascii="Arial" w:hAnsi="Arial" w:eastAsia="宋体" w:cs="Arial"/>
          <w:lang w:eastAsia="zh-CN"/>
        </w:rPr>
        <w:t>评价的可商购血培养瓶的宽度和使用每种受试类型瓶时器械的性能，预期用途适于所有血培养瓶种类是可接受的。标签必须清晰指出哪类瓶受过临床评价以及哪类瓶仅</w:t>
      </w:r>
      <w:r>
        <w:rPr>
          <w:rFonts w:hint="eastAsia" w:ascii="Arial" w:hAnsi="Arial" w:eastAsia="宋体" w:cs="Arial"/>
          <w:lang w:eastAsia="zh-CN"/>
        </w:rPr>
        <w:t>通过</w:t>
      </w:r>
      <w:r>
        <w:rPr>
          <w:rFonts w:ascii="Arial" w:hAnsi="Arial" w:eastAsia="宋体" w:cs="Arial"/>
          <w:lang w:eastAsia="zh-CN"/>
        </w:rPr>
        <w:t>分析评价。</w:t>
      </w:r>
    </w:p>
    <w:p w14:paraId="6D88293F">
      <w:pPr>
        <w:pStyle w:val="37"/>
        <w:numPr>
          <w:ilvl w:val="0"/>
          <w:numId w:val="8"/>
        </w:numPr>
        <w:tabs>
          <w:tab w:val="left" w:pos="561"/>
        </w:tabs>
        <w:overflowPunct w:val="0"/>
        <w:snapToGrid w:val="0"/>
        <w:spacing w:after="120" w:afterLines="50" w:line="300" w:lineRule="auto"/>
        <w:ind w:left="454" w:hanging="454"/>
        <w:jc w:val="both"/>
        <w:outlineLvl w:val="2"/>
        <w:rPr>
          <w:rFonts w:ascii="Arial" w:hAnsi="Arial" w:eastAsia="宋体" w:cs="Arial"/>
          <w:b w:val="0"/>
          <w:bCs w:val="0"/>
          <w:lang w:eastAsia="zh-CN"/>
        </w:rPr>
      </w:pPr>
      <w:r>
        <w:rPr>
          <w:rFonts w:ascii="Arial" w:hAnsi="Arial" w:eastAsia="宋体" w:cs="Arial"/>
          <w:lang w:eastAsia="zh-CN"/>
        </w:rPr>
        <w:br w:type="page"/>
      </w:r>
      <w:bookmarkStart w:id="108" w:name="_bookmark30"/>
      <w:bookmarkEnd w:id="108"/>
      <w:bookmarkStart w:id="109" w:name="(7)___Multi-Site_Reproducibility_Study"/>
      <w:bookmarkEnd w:id="109"/>
      <w:bookmarkStart w:id="110" w:name="_Toc495603775"/>
      <w:r>
        <w:rPr>
          <w:rFonts w:ascii="Arial" w:hAnsi="Arial" w:eastAsia="宋体" w:cs="Arial"/>
          <w:lang w:eastAsia="zh-CN"/>
        </w:rPr>
        <w:t>精密度（实验室内/重复性）</w:t>
      </w:r>
      <w:bookmarkEnd w:id="110"/>
    </w:p>
    <w:p w14:paraId="2F6FA6E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根据单个器械的具体情况确定是否需要进行室内精密度研究。请联系微生物学器械部请求针对贵公司器械的指导。</w:t>
      </w:r>
    </w:p>
    <w:p w14:paraId="60F4A07C">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如果认为贵公司器械需要实施实验室内精密度研究，贵公司必须测试可变性来源，例如操作者</w:t>
      </w:r>
      <w:r>
        <w:rPr>
          <w:rFonts w:hint="eastAsia" w:ascii="Arial" w:hAnsi="Arial" w:eastAsia="宋体" w:cs="Arial"/>
          <w:lang w:eastAsia="zh-CN"/>
        </w:rPr>
        <w:t>、</w:t>
      </w:r>
      <w:r>
        <w:rPr>
          <w:rFonts w:ascii="Arial" w:hAnsi="Arial" w:eastAsia="宋体" w:cs="Arial"/>
          <w:lang w:eastAsia="zh-CN"/>
        </w:rPr>
        <w:t>天数和检测次数。将每种血培养样本分成多份，用这些</w:t>
      </w:r>
      <w:r>
        <w:rPr>
          <w:rFonts w:hint="eastAsia" w:ascii="Arial" w:hAnsi="Arial" w:eastAsia="宋体" w:cs="Arial"/>
          <w:lang w:eastAsia="zh-CN"/>
        </w:rPr>
        <w:t>样本</w:t>
      </w:r>
      <w:r>
        <w:rPr>
          <w:rFonts w:ascii="Arial" w:hAnsi="Arial" w:eastAsia="宋体" w:cs="Arial"/>
          <w:lang w:eastAsia="zh-CN"/>
        </w:rPr>
        <w:t>实施测试，每次必须至少持续12天（不一定要连续）。</w:t>
      </w:r>
    </w:p>
    <w:p w14:paraId="3F31C03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必须通过向含人类血液的单个血培养瓶中掺加每种低浓度的靶标微生物/抗性基因制备样本。然后必须将瓶放进自动血培养仪中培养直到</w:t>
      </w:r>
      <w:r>
        <w:rPr>
          <w:rFonts w:ascii="宋体" w:hAnsi="宋体" w:eastAsia="宋体" w:cs="Arial"/>
          <w:lang w:eastAsia="zh-CN"/>
        </w:rPr>
        <w:t>“</w:t>
      </w:r>
      <w:r>
        <w:rPr>
          <w:rFonts w:hint="eastAsia" w:ascii="Arial" w:hAnsi="Arial" w:eastAsia="宋体" w:cs="Arial"/>
          <w:lang w:eastAsia="zh-CN"/>
        </w:rPr>
        <w:t>报阳</w:t>
      </w:r>
      <w:r>
        <w:rPr>
          <w:rFonts w:ascii="宋体" w:hAnsi="宋体" w:eastAsia="宋体" w:cs="Arial"/>
          <w:lang w:eastAsia="zh-CN"/>
        </w:rPr>
        <w:t>”</w:t>
      </w:r>
      <w:r>
        <w:rPr>
          <w:rFonts w:ascii="Arial" w:hAnsi="Arial" w:eastAsia="宋体" w:cs="Arial"/>
          <w:lang w:eastAsia="zh-CN"/>
        </w:rPr>
        <w:t>。对于每种靶标微生物/抗性基因，推荐贵公司测试至少两种不同浓度靶标微生物。此外，研究对象中必须包含带有某种非靶标微生物（例如，诸如痤疮丙酸杆菌或棒状杆菌属等的皮肤污染物）的阳性血培养标本。作为最低限度，精密度研究必须包含以下研究对象：</w:t>
      </w:r>
    </w:p>
    <w:p w14:paraId="14D52CF5">
      <w:pPr>
        <w:pStyle w:val="8"/>
        <w:numPr>
          <w:ilvl w:val="1"/>
          <w:numId w:val="8"/>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宋体" w:hAnsi="宋体" w:eastAsia="宋体" w:cs="Arial"/>
          <w:lang w:eastAsia="zh-CN"/>
        </w:rPr>
        <w:t>“</w:t>
      </w:r>
      <w:r>
        <w:rPr>
          <w:rFonts w:hint="eastAsia" w:ascii="Arial" w:hAnsi="Arial" w:eastAsia="宋体" w:cs="Arial"/>
          <w:lang w:eastAsia="zh-CN"/>
        </w:rPr>
        <w:t>报阳</w:t>
      </w:r>
      <w:r>
        <w:rPr>
          <w:rFonts w:ascii="宋体" w:hAnsi="宋体" w:eastAsia="宋体" w:cs="Arial"/>
          <w:lang w:eastAsia="zh-CN"/>
        </w:rPr>
        <w:t>”</w:t>
      </w:r>
      <w:r>
        <w:rPr>
          <w:rFonts w:ascii="Arial" w:hAnsi="Arial" w:eastAsia="宋体" w:cs="Arial"/>
          <w:lang w:eastAsia="zh-CN"/>
        </w:rPr>
        <w:t>时的阳性血培养</w:t>
      </w:r>
    </w:p>
    <w:p w14:paraId="26A9F8CD">
      <w:pPr>
        <w:pStyle w:val="8"/>
        <w:numPr>
          <w:ilvl w:val="1"/>
          <w:numId w:val="8"/>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Arial" w:hAnsi="Arial" w:eastAsia="宋体" w:cs="Arial"/>
          <w:lang w:eastAsia="zh-CN"/>
        </w:rPr>
        <w:t xml:space="preserve">在自动血培养仪中额外培养8小时 </w:t>
      </w:r>
      <w:r>
        <w:rPr>
          <w:rFonts w:ascii="宋体" w:hAnsi="宋体" w:eastAsia="宋体" w:cs="Arial"/>
          <w:lang w:eastAsia="zh-CN"/>
        </w:rPr>
        <w:t>“</w:t>
      </w:r>
      <w:r>
        <w:rPr>
          <w:rFonts w:ascii="Arial" w:hAnsi="Arial" w:eastAsia="宋体" w:cs="Arial"/>
          <w:lang w:eastAsia="zh-CN"/>
        </w:rPr>
        <w:t>报阳</w:t>
      </w:r>
      <w:r>
        <w:rPr>
          <w:rFonts w:ascii="宋体" w:hAnsi="宋体" w:eastAsia="宋体" w:cs="Arial"/>
          <w:lang w:eastAsia="zh-CN"/>
        </w:rPr>
        <w:t>”</w:t>
      </w:r>
      <w:r>
        <w:rPr>
          <w:rFonts w:ascii="Arial" w:hAnsi="Arial" w:eastAsia="宋体" w:cs="Arial"/>
          <w:lang w:eastAsia="zh-CN"/>
        </w:rPr>
        <w:t>时的阳性血培养</w:t>
      </w:r>
    </w:p>
    <w:p w14:paraId="2E001C4D">
      <w:pPr>
        <w:pStyle w:val="8"/>
        <w:numPr>
          <w:ilvl w:val="1"/>
          <w:numId w:val="8"/>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Arial" w:hAnsi="Arial" w:eastAsia="宋体" w:cs="Arial"/>
          <w:lang w:eastAsia="zh-CN"/>
        </w:rPr>
        <w:t>含有高浓度（例如大于1x10</w:t>
      </w:r>
      <w:r>
        <w:rPr>
          <w:rFonts w:ascii="Arial" w:hAnsi="Arial" w:eastAsia="宋体" w:cs="Arial"/>
          <w:position w:val="11"/>
          <w:sz w:val="16"/>
          <w:lang w:eastAsia="zh-CN"/>
        </w:rPr>
        <w:t xml:space="preserve">8 </w:t>
      </w:r>
      <w:r>
        <w:rPr>
          <w:rFonts w:ascii="Arial" w:hAnsi="Arial" w:eastAsia="宋体" w:cs="Arial"/>
          <w:lang w:eastAsia="zh-CN"/>
        </w:rPr>
        <w:t>CFU/mL）非靶标微生物的阳性血培养。</w:t>
      </w:r>
    </w:p>
    <w:p w14:paraId="25AD40A6">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精密度研究报告必须包含以下信息：测试天数和次数</w:t>
      </w:r>
      <w:r>
        <w:rPr>
          <w:rFonts w:hint="eastAsia" w:ascii="Arial" w:hAnsi="Arial" w:eastAsia="宋体" w:cs="Arial"/>
          <w:sz w:val="24"/>
          <w:szCs w:val="24"/>
          <w:lang w:eastAsia="zh-CN"/>
        </w:rPr>
        <w:t>、</w:t>
      </w:r>
      <w:r>
        <w:rPr>
          <w:rFonts w:ascii="Arial" w:hAnsi="Arial" w:eastAsia="宋体" w:cs="Arial"/>
          <w:sz w:val="24"/>
          <w:szCs w:val="24"/>
          <w:lang w:eastAsia="zh-CN"/>
        </w:rPr>
        <w:t>操作人数和研究所用验收标准。通常对于定性检测，必须对可变成分进行单独和整体评估。对于有潜在定量输出的定性检测，必须对可变成分进行数值分析（例如，均值</w:t>
      </w:r>
      <w:r>
        <w:rPr>
          <w:rFonts w:hint="eastAsia" w:ascii="Arial" w:hAnsi="Arial" w:eastAsia="宋体" w:cs="Arial"/>
          <w:sz w:val="24"/>
          <w:szCs w:val="24"/>
          <w:lang w:eastAsia="zh-CN"/>
        </w:rPr>
        <w:t>、</w:t>
      </w:r>
      <w:r>
        <w:rPr>
          <w:rFonts w:ascii="Arial" w:hAnsi="Arial" w:eastAsia="宋体" w:cs="Arial"/>
          <w:sz w:val="24"/>
          <w:szCs w:val="24"/>
          <w:lang w:eastAsia="zh-CN"/>
        </w:rPr>
        <w:t>标准差和</w:t>
      </w:r>
      <w:bookmarkStart w:id="111" w:name="OLE_LINK99"/>
      <w:bookmarkStart w:id="112" w:name="OLE_LINK101"/>
      <w:bookmarkStart w:id="113" w:name="OLE_LINK100"/>
      <w:r>
        <w:rPr>
          <w:rFonts w:ascii="Arial" w:hAnsi="Arial" w:eastAsia="宋体" w:cs="Arial"/>
          <w:sz w:val="24"/>
          <w:szCs w:val="24"/>
          <w:lang w:eastAsia="zh-CN"/>
        </w:rPr>
        <w:t>变异系数百分比</w:t>
      </w:r>
      <w:bookmarkEnd w:id="111"/>
      <w:bookmarkEnd w:id="112"/>
      <w:bookmarkEnd w:id="113"/>
      <w:r>
        <w:rPr>
          <w:rFonts w:ascii="Arial" w:hAnsi="Arial" w:eastAsia="宋体" w:cs="Arial"/>
          <w:sz w:val="24"/>
          <w:szCs w:val="24"/>
          <w:lang w:eastAsia="zh-CN"/>
        </w:rPr>
        <w:t>）。</w:t>
      </w:r>
    </w:p>
    <w:p w14:paraId="7154D6A2">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lang w:eastAsia="zh-CN"/>
        </w:rPr>
        <w:t>CLSI 文件 EP05-A2</w:t>
      </w:r>
      <w:r>
        <w:rPr>
          <w:rFonts w:ascii="Arial" w:hAnsi="Arial" w:eastAsia="宋体" w:cs="Arial"/>
          <w:i/>
          <w:sz w:val="24"/>
          <w:lang w:eastAsia="zh-CN"/>
        </w:rPr>
        <w:t>定量测量方法的精密度性能评价</w:t>
      </w:r>
      <w:r>
        <w:rPr>
          <w:rFonts w:ascii="Arial" w:hAnsi="Arial" w:eastAsia="宋体" w:cs="Arial"/>
          <w:sz w:val="24"/>
          <w:lang w:eastAsia="zh-CN"/>
        </w:rPr>
        <w:t>【参考文件 9】，和</w:t>
      </w:r>
      <w:bookmarkStart w:id="114" w:name="OLE_LINK104"/>
      <w:bookmarkStart w:id="115" w:name="OLE_LINK105"/>
      <w:r>
        <w:rPr>
          <w:rFonts w:ascii="Arial" w:hAnsi="Arial" w:eastAsia="宋体" w:cs="Arial"/>
          <w:sz w:val="24"/>
          <w:lang w:eastAsia="zh-CN"/>
        </w:rPr>
        <w:t>EP12-A2</w:t>
      </w:r>
      <w:bookmarkEnd w:id="114"/>
      <w:bookmarkEnd w:id="115"/>
      <w:r>
        <w:rPr>
          <w:rFonts w:ascii="Arial" w:hAnsi="Arial" w:eastAsia="宋体" w:cs="Arial"/>
          <w:sz w:val="24"/>
          <w:lang w:eastAsia="zh-CN"/>
        </w:rPr>
        <w:t>，</w:t>
      </w:r>
      <w:r>
        <w:rPr>
          <w:rFonts w:ascii="Arial" w:hAnsi="Arial" w:eastAsia="宋体" w:cs="Arial"/>
          <w:i/>
          <w:sz w:val="24"/>
          <w:lang w:eastAsia="zh-CN"/>
        </w:rPr>
        <w:t>定性检测性能评价的用户协议</w:t>
      </w:r>
      <w:r>
        <w:rPr>
          <w:rFonts w:ascii="Arial" w:hAnsi="Arial" w:eastAsia="宋体" w:cs="Arial"/>
          <w:sz w:val="24"/>
          <w:lang w:eastAsia="zh-CN"/>
        </w:rPr>
        <w:t>【参考文件 10】，含有关设计和实施重复性研究的进一步信息。</w:t>
      </w:r>
    </w:p>
    <w:p w14:paraId="0AADD6B6">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rPr>
      </w:pPr>
      <w:bookmarkStart w:id="116" w:name="_bookmark31"/>
      <w:bookmarkEnd w:id="116"/>
      <w:bookmarkStart w:id="117" w:name="_Toc495603776"/>
      <w:r>
        <w:rPr>
          <w:rFonts w:ascii="Arial" w:hAnsi="Arial" w:eastAsia="宋体" w:cs="Arial"/>
          <w:lang w:eastAsia="zh-CN"/>
        </w:rPr>
        <w:t>多中心再现性研究</w:t>
      </w:r>
      <w:bookmarkEnd w:id="117"/>
    </w:p>
    <w:p w14:paraId="42CBAD70">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尽管制备所有样本的方式相同且研究对象通常与</w:t>
      </w:r>
      <w:r>
        <w:rPr>
          <w:rFonts w:hint="eastAsia" w:ascii="Arial" w:hAnsi="Arial" w:eastAsia="宋体" w:cs="Arial"/>
          <w:sz w:val="24"/>
          <w:szCs w:val="24"/>
          <w:lang w:eastAsia="zh-CN"/>
        </w:rPr>
        <w:t>以上</w:t>
      </w:r>
      <w:r>
        <w:rPr>
          <w:rFonts w:ascii="Arial" w:hAnsi="Arial" w:eastAsia="宋体" w:cs="Arial"/>
          <w:sz w:val="24"/>
          <w:szCs w:val="24"/>
          <w:lang w:eastAsia="zh-CN"/>
        </w:rPr>
        <w:t>描述的室内精密度研究相同，再现性研究的方案仍可能因检测形式不同而有轻微变化。</w:t>
      </w:r>
    </w:p>
    <w:p w14:paraId="12F5246D">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如果贵公司器械可检测大量分析物，在再现性研究中</w:t>
      </w:r>
      <w:r>
        <w:rPr>
          <w:rFonts w:hint="eastAsia" w:ascii="Arial" w:hAnsi="Arial" w:eastAsia="宋体" w:cs="Arial"/>
          <w:lang w:eastAsia="zh-CN"/>
        </w:rPr>
        <w:t>建立</w:t>
      </w:r>
      <w:r>
        <w:rPr>
          <w:rFonts w:ascii="Arial" w:hAnsi="Arial" w:eastAsia="宋体" w:cs="Arial"/>
          <w:lang w:eastAsia="zh-CN"/>
        </w:rPr>
        <w:t>代表性靶标微生物亚组可能合理。可联系微生物学器械部请求针对贵公司器械的指导。</w:t>
      </w:r>
    </w:p>
    <w:p w14:paraId="28C08A0C">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作为通用指导，贵公司必须使用以下方法实施再现性研究：</w:t>
      </w:r>
    </w:p>
    <w:p w14:paraId="592CE735">
      <w:pPr>
        <w:pStyle w:val="8"/>
        <w:numPr>
          <w:ilvl w:val="1"/>
          <w:numId w:val="8"/>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Arial" w:hAnsi="Arial" w:eastAsia="宋体" w:cs="Arial"/>
          <w:lang w:eastAsia="zh-CN"/>
        </w:rPr>
        <w:t>在三个测试中心（其中一个可以是室内）评价检测的再现性。</w:t>
      </w:r>
    </w:p>
    <w:p w14:paraId="2506B190">
      <w:pPr>
        <w:pStyle w:val="8"/>
        <w:numPr>
          <w:ilvl w:val="1"/>
          <w:numId w:val="8"/>
        </w:numPr>
        <w:tabs>
          <w:tab w:val="left" w:pos="820"/>
        </w:tabs>
        <w:overflowPunct w:val="0"/>
        <w:snapToGrid w:val="0"/>
        <w:spacing w:after="120" w:afterLines="50" w:line="300" w:lineRule="auto"/>
        <w:ind w:left="824" w:leftChars="222" w:hanging="336"/>
        <w:jc w:val="both"/>
        <w:rPr>
          <w:rFonts w:ascii="Arial" w:hAnsi="Arial" w:eastAsia="宋体" w:cs="Arial"/>
          <w:lang w:eastAsia="zh-CN"/>
        </w:rPr>
      </w:pPr>
      <w:r>
        <w:rPr>
          <w:rFonts w:ascii="Arial" w:hAnsi="Arial" w:eastAsia="宋体" w:cs="Arial"/>
          <w:lang w:eastAsia="zh-CN"/>
        </w:rPr>
        <w:t>采用5天测试方案，包括每天至少2次测试（除非检测试剂盒的设计不允许每天进行多次测试），</w:t>
      </w:r>
      <w:r>
        <w:rPr>
          <w:rFonts w:hint="eastAsia" w:ascii="Arial" w:hAnsi="Arial" w:eastAsia="宋体" w:cs="Arial"/>
          <w:lang w:eastAsia="zh-CN"/>
        </w:rPr>
        <w:t>每次测试对</w:t>
      </w:r>
      <w:r>
        <w:rPr>
          <w:rFonts w:ascii="Arial" w:hAnsi="Arial" w:eastAsia="宋体" w:cs="Arial"/>
          <w:lang w:eastAsia="zh-CN"/>
        </w:rPr>
        <w:t>3</w:t>
      </w:r>
      <w:r>
        <w:rPr>
          <w:rFonts w:hint="eastAsia" w:ascii="Arial" w:hAnsi="Arial" w:eastAsia="宋体" w:cs="Arial"/>
          <w:lang w:eastAsia="zh-CN"/>
        </w:rPr>
        <w:t>份研究对象进行测试，</w:t>
      </w:r>
      <w:r>
        <w:rPr>
          <w:rFonts w:ascii="Arial" w:hAnsi="Arial" w:eastAsia="宋体" w:cs="Arial"/>
          <w:lang w:eastAsia="zh-CN"/>
        </w:rPr>
        <w:t>每天每个机构至少有2名操作者实施测试。每种分析物及每种浓度必须</w:t>
      </w:r>
      <w:r>
        <w:rPr>
          <w:rFonts w:hint="eastAsia" w:ascii="Arial" w:hAnsi="Arial" w:eastAsia="宋体" w:cs="Arial"/>
          <w:lang w:eastAsia="zh-CN"/>
        </w:rPr>
        <w:t>进行</w:t>
      </w:r>
      <w:r>
        <w:rPr>
          <w:rFonts w:ascii="Arial" w:hAnsi="Arial" w:eastAsia="宋体" w:cs="Arial"/>
          <w:lang w:eastAsia="zh-CN"/>
        </w:rPr>
        <w:t>至少90次</w:t>
      </w:r>
      <w:r>
        <w:rPr>
          <w:rFonts w:hint="eastAsia" w:ascii="Arial" w:hAnsi="Arial" w:eastAsia="宋体" w:cs="Arial"/>
          <w:lang w:eastAsia="zh-CN"/>
        </w:rPr>
        <w:t>重复测试</w:t>
      </w:r>
      <w:r>
        <w:rPr>
          <w:rFonts w:ascii="Arial" w:hAnsi="Arial" w:eastAsia="宋体" w:cs="Arial"/>
          <w:lang w:eastAsia="zh-CN"/>
        </w:rPr>
        <w:t>。</w:t>
      </w:r>
    </w:p>
    <w:p w14:paraId="0511A43B">
      <w:pPr>
        <w:pStyle w:val="8"/>
        <w:numPr>
          <w:ilvl w:val="1"/>
          <w:numId w:val="8"/>
        </w:numPr>
        <w:tabs>
          <w:tab w:val="left" w:pos="820"/>
        </w:tabs>
        <w:overflowPunct w:val="0"/>
        <w:snapToGrid w:val="0"/>
        <w:spacing w:after="120" w:afterLines="50" w:line="300" w:lineRule="auto"/>
        <w:ind w:left="0" w:firstLine="490"/>
        <w:jc w:val="both"/>
        <w:rPr>
          <w:rFonts w:ascii="Arial" w:hAnsi="Arial" w:eastAsia="宋体" w:cs="Arial"/>
          <w:lang w:eastAsia="zh-CN"/>
        </w:rPr>
      </w:pPr>
      <w:r>
        <w:rPr>
          <w:rFonts w:ascii="Arial" w:hAnsi="Arial" w:eastAsia="宋体" w:cs="Arial"/>
          <w:lang w:eastAsia="zh-CN"/>
        </w:rPr>
        <w:t>器械</w:t>
      </w:r>
      <w:r>
        <w:rPr>
          <w:rFonts w:hint="eastAsia" w:ascii="Arial" w:hAnsi="Arial" w:eastAsia="宋体" w:cs="Arial"/>
          <w:lang w:eastAsia="zh-CN"/>
        </w:rPr>
        <w:t>上市</w:t>
      </w:r>
      <w:r>
        <w:rPr>
          <w:rFonts w:ascii="Arial" w:hAnsi="Arial" w:eastAsia="宋体" w:cs="Arial"/>
          <w:lang w:eastAsia="zh-CN"/>
        </w:rPr>
        <w:t>后，贵公司必须给用户提供与预期培训程度相同的培训。</w:t>
      </w:r>
    </w:p>
    <w:p w14:paraId="7C75667F">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贵公司的再现性研究报告必须包含以下信息：测试天数和次数</w:t>
      </w:r>
      <w:r>
        <w:rPr>
          <w:rFonts w:hint="eastAsia" w:ascii="Arial" w:hAnsi="Arial" w:eastAsia="宋体" w:cs="Arial"/>
          <w:lang w:eastAsia="zh-CN"/>
        </w:rPr>
        <w:t>、</w:t>
      </w:r>
      <w:r>
        <w:rPr>
          <w:rFonts w:ascii="Arial" w:hAnsi="Arial" w:eastAsia="宋体" w:cs="Arial"/>
          <w:lang w:eastAsia="zh-CN"/>
        </w:rPr>
        <w:t>操作人数和确定器械性能的验收标准。通常对于定性检测，必须对可变成分进行单独和整体评估。对于有潜在定量输出的定性检测，也必须对可变成分进行数值分析（例如，均值</w:t>
      </w:r>
      <w:r>
        <w:rPr>
          <w:rFonts w:hint="eastAsia" w:ascii="Arial" w:hAnsi="Arial" w:eastAsia="宋体" w:cs="Arial"/>
          <w:lang w:eastAsia="zh-CN"/>
        </w:rPr>
        <w:t>、</w:t>
      </w:r>
      <w:r>
        <w:rPr>
          <w:rFonts w:ascii="Arial" w:hAnsi="Arial" w:eastAsia="宋体" w:cs="Arial"/>
          <w:lang w:eastAsia="zh-CN"/>
        </w:rPr>
        <w:t>标准差和变异系数</w:t>
      </w:r>
      <w:r>
        <w:rPr>
          <w:rFonts w:hint="eastAsia" w:ascii="Arial" w:hAnsi="Arial" w:eastAsia="宋体" w:cs="Arial"/>
          <w:lang w:eastAsia="zh-CN"/>
        </w:rPr>
        <w:t>百分比</w:t>
      </w:r>
      <w:r>
        <w:rPr>
          <w:rFonts w:ascii="Arial" w:hAnsi="Arial" w:eastAsia="宋体" w:cs="Arial"/>
          <w:lang w:eastAsia="zh-CN"/>
        </w:rPr>
        <w:t>）。此外，贵公司必须提供每个测试中心各自的和所有测试中心合计的无效结果百分比。</w:t>
      </w:r>
    </w:p>
    <w:p w14:paraId="6703A9EE">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lang w:eastAsia="zh-CN"/>
        </w:rPr>
        <w:t xml:space="preserve">CLSI 文件 </w:t>
      </w:r>
      <w:bookmarkStart w:id="118" w:name="OLE_LINK109"/>
      <w:bookmarkStart w:id="119" w:name="OLE_LINK108"/>
      <w:r>
        <w:rPr>
          <w:rFonts w:ascii="Arial" w:hAnsi="Arial" w:eastAsia="宋体" w:cs="Arial"/>
          <w:sz w:val="24"/>
          <w:lang w:eastAsia="zh-CN"/>
        </w:rPr>
        <w:t>EP15-A2</w:t>
      </w:r>
      <w:bookmarkEnd w:id="118"/>
      <w:bookmarkEnd w:id="119"/>
      <w:r>
        <w:rPr>
          <w:rFonts w:ascii="Arial" w:hAnsi="Arial" w:eastAsia="宋体" w:cs="Arial"/>
          <w:sz w:val="24"/>
          <w:lang w:eastAsia="zh-CN"/>
        </w:rPr>
        <w:t>，</w:t>
      </w:r>
      <w:r>
        <w:rPr>
          <w:rFonts w:ascii="Arial" w:hAnsi="Arial" w:eastAsia="宋体" w:cs="Arial"/>
          <w:i/>
          <w:sz w:val="24"/>
          <w:lang w:eastAsia="zh-CN"/>
        </w:rPr>
        <w:t xml:space="preserve">精密度和真实度性能的用户验证 </w:t>
      </w:r>
      <w:r>
        <w:rPr>
          <w:rFonts w:ascii="Arial" w:hAnsi="Arial" w:eastAsia="宋体" w:cs="Arial"/>
          <w:sz w:val="24"/>
          <w:lang w:eastAsia="zh-CN"/>
        </w:rPr>
        <w:t>【参考文件11】含有关再现性研究设计的其它信息。</w:t>
      </w:r>
    </w:p>
    <w:p w14:paraId="258A182E">
      <w:pPr>
        <w:pStyle w:val="37"/>
        <w:numPr>
          <w:ilvl w:val="0"/>
          <w:numId w:val="8"/>
        </w:numPr>
        <w:tabs>
          <w:tab w:val="left" w:pos="559"/>
        </w:tabs>
        <w:overflowPunct w:val="0"/>
        <w:snapToGrid w:val="0"/>
        <w:spacing w:after="120" w:afterLines="50" w:line="300" w:lineRule="auto"/>
        <w:ind w:left="454" w:hanging="454"/>
        <w:jc w:val="both"/>
        <w:outlineLvl w:val="2"/>
        <w:rPr>
          <w:rFonts w:ascii="Arial" w:hAnsi="Arial" w:eastAsia="宋体" w:cs="Arial"/>
          <w:b w:val="0"/>
          <w:bCs w:val="0"/>
          <w:lang w:eastAsia="zh-CN"/>
        </w:rPr>
      </w:pPr>
      <w:bookmarkStart w:id="120" w:name="_bookmark32"/>
      <w:bookmarkEnd w:id="120"/>
      <w:bookmarkStart w:id="121" w:name="_Toc495603777"/>
      <w:r>
        <w:rPr>
          <w:rFonts w:ascii="Arial" w:hAnsi="Arial" w:eastAsia="宋体" w:cs="Arial"/>
          <w:lang w:eastAsia="zh-CN"/>
        </w:rPr>
        <w:t>携带污染研究和交叉污染研究 （对于需要工具的多样本检测试剂盒和器械）</w:t>
      </w:r>
      <w:bookmarkEnd w:id="121"/>
    </w:p>
    <w:p w14:paraId="4B284464">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需要工具的多样本检测试剂盒和器械，贵公司必须证明使用器械时不会发生携带污染和交叉污染。在携带污染和交叉污染研究中，必须交替测试阳性血培养样本与阴性血培养样本（或含某种非靶标微生物的血培养样本）。研究必须包含至少5次测试，每次需交替测试阳性和阴性样本。阳性样本必须含有器械的代表性靶标分析物。</w:t>
      </w:r>
    </w:p>
    <w:p w14:paraId="0FB2583F">
      <w:pPr>
        <w:pStyle w:val="36"/>
        <w:numPr>
          <w:ilvl w:val="0"/>
          <w:numId w:val="6"/>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bookmarkStart w:id="122" w:name="_bookmark33"/>
      <w:bookmarkEnd w:id="122"/>
      <w:bookmarkStart w:id="123" w:name="_Toc495603778"/>
      <w:r>
        <w:rPr>
          <w:rFonts w:ascii="Arial" w:hAnsi="Arial" w:eastAsia="宋体" w:cs="Arial"/>
          <w:lang w:eastAsia="zh-CN"/>
        </w:rPr>
        <w:t>临床性能</w:t>
      </w:r>
      <w:bookmarkEnd w:id="123"/>
    </w:p>
    <w:p w14:paraId="0F4A13A3">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研究开始前，必须完成临床研究方案并经研究者审核。作为最低要求，方案必须包含完整的患者入选和排除标准，所需</w:t>
      </w:r>
      <w:r>
        <w:rPr>
          <w:rFonts w:hint="eastAsia" w:ascii="Arial" w:hAnsi="Arial" w:eastAsia="宋体" w:cs="Arial"/>
          <w:lang w:eastAsia="zh-CN"/>
        </w:rPr>
        <w:t>样本</w:t>
      </w:r>
      <w:r>
        <w:rPr>
          <w:rFonts w:ascii="Arial" w:hAnsi="Arial" w:eastAsia="宋体" w:cs="Arial"/>
          <w:lang w:eastAsia="zh-CN"/>
        </w:rPr>
        <w:t>类型及数量</w:t>
      </w:r>
      <w:r>
        <w:rPr>
          <w:rFonts w:hint="eastAsia" w:ascii="Arial" w:hAnsi="Arial" w:eastAsia="宋体" w:cs="Arial"/>
          <w:lang w:eastAsia="zh-CN"/>
        </w:rPr>
        <w:t>、</w:t>
      </w:r>
      <w:r>
        <w:rPr>
          <w:rFonts w:ascii="Arial" w:hAnsi="Arial" w:eastAsia="宋体" w:cs="Arial"/>
          <w:lang w:eastAsia="zh-CN"/>
        </w:rPr>
        <w:t>研究步骤和详细的统计分析计划。贵公司的510（k）提交资料必须含有原始研究方案</w:t>
      </w:r>
      <w:r>
        <w:rPr>
          <w:rFonts w:hint="eastAsia" w:ascii="Arial" w:hAnsi="Arial" w:eastAsia="宋体" w:cs="Arial"/>
          <w:lang w:eastAsia="zh-CN"/>
        </w:rPr>
        <w:t>、</w:t>
      </w:r>
      <w:r>
        <w:rPr>
          <w:rFonts w:ascii="Arial" w:hAnsi="Arial" w:eastAsia="宋体" w:cs="Arial"/>
          <w:lang w:eastAsia="zh-CN"/>
        </w:rPr>
        <w:t>方案修改和任何其它相关研究信息的复印件。</w:t>
      </w:r>
    </w:p>
    <w:p w14:paraId="46924C3A">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我们鼓励贵公司通过提交前审核程序，请求微生物学器械部审核提议的研究。贵公司必须实施前瞻性临床研究，确定器械用于特定预期用途的性能。必须制定详细的研究方案，内容包含具体的患者入选和排除标准</w:t>
      </w:r>
      <w:r>
        <w:rPr>
          <w:rFonts w:hint="eastAsia" w:ascii="Arial" w:hAnsi="Arial" w:eastAsia="宋体" w:cs="Arial"/>
          <w:lang w:eastAsia="zh-CN"/>
        </w:rPr>
        <w:t>、</w:t>
      </w:r>
      <w:r>
        <w:rPr>
          <w:rFonts w:ascii="Arial" w:hAnsi="Arial" w:eastAsia="宋体" w:cs="Arial"/>
          <w:lang w:eastAsia="zh-CN"/>
        </w:rPr>
        <w:t>所需标本类型及数量</w:t>
      </w:r>
      <w:r>
        <w:rPr>
          <w:rFonts w:hint="eastAsia" w:ascii="Arial" w:hAnsi="Arial" w:eastAsia="宋体" w:cs="Arial"/>
          <w:lang w:eastAsia="zh-CN"/>
        </w:rPr>
        <w:t>、</w:t>
      </w:r>
      <w:r>
        <w:rPr>
          <w:rFonts w:ascii="Arial" w:hAnsi="Arial" w:eastAsia="宋体" w:cs="Arial"/>
          <w:lang w:eastAsia="zh-CN"/>
        </w:rPr>
        <w:t>使用说明书和统计分析计划（用于说明方差，预防数据</w:t>
      </w:r>
      <w:r>
        <w:rPr>
          <w:rFonts w:hint="eastAsia" w:ascii="Arial" w:hAnsi="Arial" w:eastAsia="宋体" w:cs="Arial"/>
          <w:lang w:eastAsia="zh-CN"/>
        </w:rPr>
        <w:t>偏差</w:t>
      </w:r>
      <w:r>
        <w:rPr>
          <w:rFonts w:ascii="Arial" w:hAnsi="Arial" w:eastAsia="宋体" w:cs="Arial"/>
          <w:lang w:eastAsia="zh-CN"/>
        </w:rPr>
        <w:t>）。必须</w:t>
      </w:r>
      <w:r>
        <w:rPr>
          <w:rFonts w:hint="eastAsia" w:ascii="Arial" w:hAnsi="Arial" w:eastAsia="宋体" w:cs="Arial"/>
          <w:lang w:eastAsia="zh-CN"/>
        </w:rPr>
        <w:t>包括</w:t>
      </w:r>
      <w:r>
        <w:rPr>
          <w:rFonts w:ascii="Arial" w:hAnsi="Arial" w:eastAsia="宋体" w:cs="Arial"/>
          <w:lang w:eastAsia="zh-CN"/>
        </w:rPr>
        <w:t>说明研究如何支持提议的预期用途。510（k） 提交资料必须包含临床研究方案。我们鼓励制造商在研究开始前请求微生物学器械部审核提议的研究。</w:t>
      </w:r>
    </w:p>
    <w:p w14:paraId="01EA5D6D">
      <w:pPr>
        <w:pStyle w:val="8"/>
        <w:overflowPunct w:val="0"/>
        <w:snapToGrid w:val="0"/>
        <w:spacing w:after="120" w:afterLines="50" w:line="300" w:lineRule="auto"/>
        <w:ind w:left="0"/>
        <w:jc w:val="both"/>
        <w:rPr>
          <w:rFonts w:ascii="Arial" w:hAnsi="Arial" w:eastAsia="宋体" w:cs="Arial"/>
          <w:b/>
          <w:lang w:eastAsia="zh-CN"/>
        </w:rPr>
      </w:pPr>
      <w:r>
        <w:rPr>
          <w:rFonts w:ascii="Arial" w:hAnsi="Arial" w:eastAsia="宋体" w:cs="Arial"/>
          <w:lang w:eastAsia="zh-CN"/>
        </w:rPr>
        <w:t>未获批和未通过体外诊断器械的临床调查受联邦食品、药品和化妆品法案（21 U.S.C. 360j）</w:t>
      </w:r>
      <w:r>
        <w:rPr>
          <w:rFonts w:hint="eastAsia" w:ascii="Arial" w:hAnsi="Arial" w:eastAsia="宋体" w:cs="Arial"/>
          <w:lang w:eastAsia="zh-CN"/>
        </w:rPr>
        <w:t>第</w:t>
      </w:r>
      <w:r>
        <w:rPr>
          <w:rFonts w:ascii="Arial" w:hAnsi="Arial" w:eastAsia="宋体" w:cs="Arial"/>
          <w:lang w:eastAsia="zh-CN"/>
        </w:rPr>
        <w:t xml:space="preserve">520（g）节研究器械豁免（IDE）条款和实施条例的管制。贵公司必须考虑21 CFR </w:t>
      </w:r>
      <w:r>
        <w:rPr>
          <w:rFonts w:hint="eastAsia" w:ascii="Arial" w:hAnsi="Arial" w:eastAsia="宋体" w:cs="Arial"/>
          <w:lang w:eastAsia="zh-CN"/>
        </w:rPr>
        <w:t>第</w:t>
      </w:r>
      <w:r>
        <w:rPr>
          <w:rFonts w:ascii="Arial" w:hAnsi="Arial" w:eastAsia="宋体" w:cs="Arial"/>
          <w:lang w:eastAsia="zh-CN"/>
        </w:rPr>
        <w:t>812部分 （IDE）如何适用于贵公司的特定研究，并参考</w:t>
      </w:r>
      <w:bookmarkStart w:id="124" w:name="OLE_LINK119"/>
      <w:bookmarkStart w:id="125" w:name="OLE_LINK118"/>
      <w:r>
        <w:rPr>
          <w:rFonts w:ascii="Arial" w:hAnsi="Arial" w:eastAsia="宋体" w:cs="Arial"/>
          <w:lang w:eastAsia="zh-CN"/>
        </w:rPr>
        <w:t xml:space="preserve">21 CFR </w:t>
      </w:r>
      <w:r>
        <w:rPr>
          <w:rFonts w:hint="eastAsia" w:ascii="Arial" w:hAnsi="Arial" w:eastAsia="宋体" w:cs="Arial"/>
          <w:lang w:eastAsia="zh-CN"/>
        </w:rPr>
        <w:t>第</w:t>
      </w:r>
      <w:r>
        <w:rPr>
          <w:rFonts w:ascii="Arial" w:hAnsi="Arial" w:eastAsia="宋体" w:cs="Arial"/>
          <w:lang w:eastAsia="zh-CN"/>
        </w:rPr>
        <w:t>50部分</w:t>
      </w:r>
      <w:bookmarkEnd w:id="124"/>
      <w:bookmarkEnd w:id="125"/>
      <w:r>
        <w:rPr>
          <w:rFonts w:ascii="Arial" w:hAnsi="Arial" w:eastAsia="宋体" w:cs="Arial"/>
          <w:lang w:eastAsia="zh-CN"/>
        </w:rPr>
        <w:t xml:space="preserve">（人类受试者的保护）和21 CFR </w:t>
      </w:r>
      <w:r>
        <w:rPr>
          <w:rFonts w:hint="eastAsia" w:ascii="Arial" w:hAnsi="Arial" w:eastAsia="宋体" w:cs="Arial"/>
          <w:lang w:eastAsia="zh-CN"/>
        </w:rPr>
        <w:t>第</w:t>
      </w:r>
      <w:r>
        <w:rPr>
          <w:rFonts w:ascii="Arial" w:hAnsi="Arial" w:eastAsia="宋体" w:cs="Arial"/>
          <w:lang w:eastAsia="zh-CN"/>
        </w:rPr>
        <w:t>56部分（机构审查委员会）</w:t>
      </w:r>
      <w:r>
        <w:rPr>
          <w:rFonts w:hint="eastAsia" w:ascii="Arial" w:hAnsi="Arial" w:eastAsia="宋体" w:cs="Arial"/>
          <w:lang w:eastAsia="zh-CN"/>
        </w:rPr>
        <w:t>的</w:t>
      </w:r>
      <w:r>
        <w:rPr>
          <w:rFonts w:ascii="Arial" w:hAnsi="Arial" w:eastAsia="宋体" w:cs="Arial"/>
          <w:lang w:eastAsia="zh-CN"/>
        </w:rPr>
        <w:t>其它适用要求。</w:t>
      </w:r>
    </w:p>
    <w:p w14:paraId="2814B17E">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贵公司设计临床试验时必须解决以下问题：</w:t>
      </w:r>
    </w:p>
    <w:p w14:paraId="0DC0154C">
      <w:pPr>
        <w:pStyle w:val="37"/>
        <w:numPr>
          <w:ilvl w:val="0"/>
          <w:numId w:val="10"/>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126" w:name="_bookmark34"/>
      <w:bookmarkEnd w:id="126"/>
      <w:bookmarkStart w:id="127" w:name="_Toc495603779"/>
      <w:r>
        <w:rPr>
          <w:rFonts w:ascii="Arial" w:hAnsi="Arial" w:eastAsia="宋体" w:cs="Arial"/>
          <w:lang w:eastAsia="zh-CN"/>
        </w:rPr>
        <w:t>参考</w:t>
      </w:r>
      <w:bookmarkEnd w:id="127"/>
      <w:r>
        <w:rPr>
          <w:rFonts w:ascii="Arial" w:hAnsi="Arial" w:eastAsia="宋体" w:cs="Arial"/>
          <w:lang w:eastAsia="zh-CN"/>
        </w:rPr>
        <w:t>检测试剂盒</w:t>
      </w:r>
    </w:p>
    <w:p w14:paraId="5929AC5D">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必须将贵公司器械的性能与参考方法即已确定的培养和微生物鉴定方法，及抗性确定测试进行比较。必须将阳性血培养瓶放在合适培养基中作再次培养并促使微生物生长。</w:t>
      </w:r>
    </w:p>
    <w:p w14:paraId="49DBA3BB">
      <w:pPr>
        <w:pStyle w:val="8"/>
        <w:numPr>
          <w:ilvl w:val="1"/>
          <w:numId w:val="8"/>
        </w:numPr>
        <w:tabs>
          <w:tab w:val="left" w:pos="820"/>
        </w:tabs>
        <w:overflowPunct w:val="0"/>
        <w:snapToGrid w:val="0"/>
        <w:spacing w:after="120" w:afterLines="50" w:line="300" w:lineRule="auto"/>
        <w:ind w:left="824" w:leftChars="222" w:hanging="336"/>
        <w:jc w:val="both"/>
        <w:rPr>
          <w:rFonts w:ascii="Arial" w:hAnsi="Arial" w:eastAsia="宋体" w:cs="Arial"/>
          <w:lang w:eastAsia="zh-CN"/>
        </w:rPr>
      </w:pPr>
      <w:r>
        <w:rPr>
          <w:rFonts w:ascii="Arial" w:hAnsi="Arial" w:eastAsia="宋体" w:cs="Arial"/>
          <w:lang w:eastAsia="zh-CN"/>
        </w:rPr>
        <w:t>对于微生物识别，可使用自动和手动常规生化方法（FDA批准的或CLSI标准方法）鉴定培养的</w:t>
      </w:r>
      <w:r>
        <w:rPr>
          <w:rFonts w:hint="eastAsia" w:ascii="Arial" w:hAnsi="Arial" w:eastAsia="宋体" w:cs="Arial"/>
          <w:lang w:eastAsia="zh-CN"/>
        </w:rPr>
        <w:t>分离物</w:t>
      </w:r>
      <w:r>
        <w:rPr>
          <w:rFonts w:ascii="Arial" w:hAnsi="Arial" w:eastAsia="宋体" w:cs="Arial"/>
          <w:lang w:eastAsia="zh-CN"/>
        </w:rPr>
        <w:t>。使用诸如PCR，然后进行双向测序等的替代参考鉴定方法可接受。贵公司可联系微生物学器械部</w:t>
      </w:r>
      <w:r>
        <w:rPr>
          <w:rFonts w:hint="eastAsia" w:ascii="Arial" w:hAnsi="Arial" w:eastAsia="宋体" w:cs="Arial"/>
          <w:lang w:eastAsia="zh-CN"/>
        </w:rPr>
        <w:t>获得</w:t>
      </w:r>
      <w:r>
        <w:rPr>
          <w:rFonts w:ascii="Arial" w:hAnsi="Arial" w:eastAsia="宋体" w:cs="Arial"/>
          <w:lang w:eastAsia="zh-CN"/>
        </w:rPr>
        <w:t>有关替代参考方法使用的进一步信息。</w:t>
      </w:r>
    </w:p>
    <w:p w14:paraId="03D2AA05">
      <w:pPr>
        <w:pStyle w:val="8"/>
        <w:numPr>
          <w:ilvl w:val="1"/>
          <w:numId w:val="8"/>
        </w:numPr>
        <w:tabs>
          <w:tab w:val="left" w:pos="820"/>
        </w:tabs>
        <w:overflowPunct w:val="0"/>
        <w:snapToGrid w:val="0"/>
        <w:spacing w:after="120" w:afterLines="50" w:line="300" w:lineRule="auto"/>
        <w:ind w:left="824" w:leftChars="222" w:hanging="336"/>
        <w:jc w:val="both"/>
        <w:rPr>
          <w:rFonts w:ascii="Arial" w:hAnsi="Arial" w:eastAsia="宋体" w:cs="Arial"/>
          <w:lang w:eastAsia="zh-CN"/>
        </w:rPr>
      </w:pPr>
      <w:r>
        <w:rPr>
          <w:rFonts w:ascii="Arial" w:hAnsi="Arial" w:eastAsia="宋体" w:cs="Arial"/>
          <w:lang w:eastAsia="zh-CN"/>
        </w:rPr>
        <w:t>对于抗性标记</w:t>
      </w:r>
      <w:r>
        <w:rPr>
          <w:rFonts w:hint="eastAsia" w:ascii="Arial" w:hAnsi="Arial" w:eastAsia="宋体" w:cs="Arial"/>
          <w:lang w:eastAsia="zh-CN"/>
        </w:rPr>
        <w:t>物</w:t>
      </w:r>
      <w:r>
        <w:rPr>
          <w:rFonts w:ascii="Arial" w:hAnsi="Arial" w:eastAsia="宋体" w:cs="Arial"/>
          <w:lang w:eastAsia="zh-CN"/>
        </w:rPr>
        <w:t>，除评估特定抗性基因存在的基因型方法外，贵公司还必须</w:t>
      </w:r>
      <w:bookmarkStart w:id="128" w:name="OLE_LINK122"/>
      <w:bookmarkStart w:id="129" w:name="OLE_LINK123"/>
      <w:r>
        <w:rPr>
          <w:rFonts w:ascii="Arial" w:hAnsi="Arial" w:eastAsia="宋体" w:cs="Arial"/>
          <w:lang w:eastAsia="zh-CN"/>
        </w:rPr>
        <w:t>提供评估微生物抗性的表型药物敏感性试验方法</w:t>
      </w:r>
      <w:bookmarkEnd w:id="128"/>
      <w:bookmarkEnd w:id="129"/>
      <w:r>
        <w:rPr>
          <w:rFonts w:ascii="Arial" w:hAnsi="Arial" w:eastAsia="宋体" w:cs="Arial"/>
          <w:lang w:eastAsia="zh-CN"/>
        </w:rPr>
        <w:t>。例如：</w:t>
      </w:r>
    </w:p>
    <w:p w14:paraId="4C97109F">
      <w:pPr>
        <w:pStyle w:val="8"/>
        <w:numPr>
          <w:ilvl w:val="2"/>
          <w:numId w:val="10"/>
        </w:numPr>
        <w:tabs>
          <w:tab w:val="left" w:pos="1582"/>
        </w:tabs>
        <w:overflowPunct w:val="0"/>
        <w:snapToGrid w:val="0"/>
        <w:spacing w:after="120" w:afterLines="50" w:line="300" w:lineRule="auto"/>
        <w:ind w:left="1553" w:leftChars="496" w:hanging="462"/>
        <w:jc w:val="both"/>
        <w:rPr>
          <w:rFonts w:ascii="Arial" w:hAnsi="Arial" w:eastAsia="宋体" w:cs="Arial"/>
          <w:lang w:eastAsia="zh-CN"/>
        </w:rPr>
      </w:pPr>
      <w:r>
        <w:rPr>
          <w:rFonts w:ascii="Arial" w:hAnsi="Arial" w:eastAsia="宋体" w:cs="Arial"/>
          <w:lang w:eastAsia="zh-CN"/>
        </w:rPr>
        <w:t>对于</w:t>
      </w:r>
      <w:r>
        <w:rPr>
          <w:rFonts w:ascii="Arial" w:hAnsi="Arial" w:eastAsia="宋体" w:cs="Arial"/>
          <w:i/>
          <w:lang w:eastAsia="zh-CN"/>
        </w:rPr>
        <w:t>mec</w:t>
      </w:r>
      <w:r>
        <w:rPr>
          <w:rFonts w:ascii="Arial" w:hAnsi="Arial" w:eastAsia="宋体" w:cs="Arial"/>
          <w:lang w:eastAsia="zh-CN"/>
        </w:rPr>
        <w:t>A基因，贵公司必须遵守公认的</w:t>
      </w:r>
      <w:bookmarkStart w:id="130" w:name="OLE_LINK128"/>
      <w:bookmarkStart w:id="131" w:name="OLE_LINK129"/>
      <w:r>
        <w:rPr>
          <w:rFonts w:ascii="Arial" w:hAnsi="Arial" w:eastAsia="宋体" w:cs="Arial"/>
          <w:lang w:eastAsia="zh-CN"/>
        </w:rPr>
        <w:t>头孢西丁表型</w:t>
      </w:r>
      <w:bookmarkEnd w:id="130"/>
      <w:bookmarkEnd w:id="131"/>
      <w:r>
        <w:rPr>
          <w:rFonts w:ascii="Arial" w:hAnsi="Arial" w:eastAsia="宋体" w:cs="Arial"/>
          <w:lang w:eastAsia="zh-CN"/>
        </w:rPr>
        <w:t>参考检测方法（纸片扩散或微量肉汤稀释法），具体描述见当前版本CLSI M100，</w:t>
      </w:r>
      <w:r>
        <w:rPr>
          <w:rFonts w:ascii="Arial" w:hAnsi="Arial" w:eastAsia="宋体" w:cs="Arial"/>
          <w:i/>
          <w:lang w:eastAsia="zh-CN"/>
        </w:rPr>
        <w:t>抗菌药物敏感性试验执行标准</w:t>
      </w:r>
      <w:r>
        <w:rPr>
          <w:rFonts w:ascii="Arial" w:hAnsi="Arial" w:eastAsia="宋体" w:cs="Arial"/>
          <w:lang w:eastAsia="zh-CN"/>
        </w:rPr>
        <w:t>【参考文件 12】。如果微生物未恢复，可利用</w:t>
      </w:r>
      <w:r>
        <w:rPr>
          <w:rFonts w:hint="eastAsia" w:ascii="Arial" w:hAnsi="Arial" w:eastAsia="宋体" w:cs="Arial"/>
          <w:lang w:eastAsia="zh-CN"/>
        </w:rPr>
        <w:t>以下</w:t>
      </w:r>
      <w:r>
        <w:rPr>
          <w:rFonts w:ascii="Arial" w:hAnsi="Arial" w:eastAsia="宋体" w:cs="Arial"/>
          <w:lang w:eastAsia="zh-CN"/>
        </w:rPr>
        <w:t>描述的基因型方法实施不一致评价。</w:t>
      </w:r>
    </w:p>
    <w:p w14:paraId="45D9B57E">
      <w:pPr>
        <w:pStyle w:val="8"/>
        <w:numPr>
          <w:ilvl w:val="2"/>
          <w:numId w:val="10"/>
        </w:numPr>
        <w:tabs>
          <w:tab w:val="left" w:pos="1582"/>
        </w:tabs>
        <w:overflowPunct w:val="0"/>
        <w:snapToGrid w:val="0"/>
        <w:spacing w:after="120" w:afterLines="50" w:line="300" w:lineRule="auto"/>
        <w:ind w:left="1553" w:leftChars="496" w:hanging="462"/>
        <w:jc w:val="both"/>
        <w:rPr>
          <w:rFonts w:ascii="Arial" w:hAnsi="Arial" w:eastAsia="宋体" w:cs="Arial"/>
          <w:b/>
          <w:bCs/>
          <w:lang w:eastAsia="zh-CN"/>
        </w:rPr>
      </w:pPr>
      <w:r>
        <w:rPr>
          <w:rFonts w:ascii="Arial" w:hAnsi="Arial" w:eastAsia="宋体" w:cs="Arial"/>
          <w:lang w:eastAsia="zh-CN"/>
        </w:rPr>
        <w:t>对于诸如</w:t>
      </w:r>
      <w:bookmarkStart w:id="132" w:name="OLE_LINK145"/>
      <w:bookmarkStart w:id="133" w:name="OLE_LINK144"/>
      <w:r>
        <w:rPr>
          <w:rFonts w:ascii="Arial" w:hAnsi="Arial" w:eastAsia="宋体" w:cs="Arial"/>
          <w:i/>
          <w:lang w:eastAsia="zh-CN"/>
        </w:rPr>
        <w:t>van</w:t>
      </w:r>
      <w:r>
        <w:rPr>
          <w:rFonts w:ascii="Arial" w:hAnsi="Arial" w:eastAsia="宋体" w:cs="Arial"/>
          <w:lang w:eastAsia="zh-CN"/>
        </w:rPr>
        <w:t>A</w:t>
      </w:r>
      <w:bookmarkEnd w:id="132"/>
      <w:bookmarkEnd w:id="133"/>
      <w:r>
        <w:rPr>
          <w:rFonts w:ascii="Arial" w:hAnsi="Arial" w:eastAsia="宋体" w:cs="Arial"/>
          <w:lang w:eastAsia="zh-CN"/>
        </w:rPr>
        <w:t xml:space="preserve"> 和 </w:t>
      </w:r>
      <w:bookmarkStart w:id="134" w:name="OLE_LINK138"/>
      <w:bookmarkStart w:id="135" w:name="OLE_LINK139"/>
      <w:r>
        <w:rPr>
          <w:rFonts w:ascii="Arial" w:hAnsi="Arial" w:eastAsia="宋体" w:cs="Arial"/>
          <w:i/>
          <w:lang w:eastAsia="zh-CN"/>
        </w:rPr>
        <w:t>van</w:t>
      </w:r>
      <w:r>
        <w:rPr>
          <w:rFonts w:ascii="Arial" w:hAnsi="Arial" w:eastAsia="宋体" w:cs="Arial"/>
          <w:lang w:eastAsia="zh-CN"/>
        </w:rPr>
        <w:t>B</w:t>
      </w:r>
      <w:bookmarkEnd w:id="134"/>
      <w:bookmarkEnd w:id="135"/>
      <w:r>
        <w:rPr>
          <w:rFonts w:ascii="Arial" w:hAnsi="Arial" w:eastAsia="宋体" w:cs="Arial"/>
          <w:lang w:eastAsia="zh-CN"/>
        </w:rPr>
        <w:t>等的</w:t>
      </w:r>
      <w:bookmarkStart w:id="136" w:name="OLE_LINK140"/>
      <w:bookmarkStart w:id="137" w:name="OLE_LINK141"/>
      <w:r>
        <w:rPr>
          <w:rFonts w:ascii="Arial" w:hAnsi="Arial" w:eastAsia="宋体" w:cs="Arial"/>
          <w:lang w:eastAsia="zh-CN"/>
        </w:rPr>
        <w:t>特异</w:t>
      </w:r>
      <w:bookmarkStart w:id="138" w:name="OLE_LINK143"/>
      <w:bookmarkStart w:id="139" w:name="OLE_LINK142"/>
      <w:r>
        <w:rPr>
          <w:rFonts w:ascii="Arial" w:hAnsi="Arial" w:eastAsia="宋体" w:cs="Arial"/>
          <w:lang w:eastAsia="zh-CN"/>
        </w:rPr>
        <w:t>耐万古霉素</w:t>
      </w:r>
      <w:bookmarkEnd w:id="138"/>
      <w:bookmarkEnd w:id="139"/>
      <w:r>
        <w:rPr>
          <w:rFonts w:ascii="Arial" w:hAnsi="Arial" w:eastAsia="宋体" w:cs="Arial"/>
          <w:lang w:eastAsia="zh-CN"/>
        </w:rPr>
        <w:t>基因</w:t>
      </w:r>
      <w:bookmarkEnd w:id="136"/>
      <w:bookmarkEnd w:id="137"/>
      <w:r>
        <w:rPr>
          <w:rFonts w:ascii="Arial" w:hAnsi="Arial" w:eastAsia="宋体" w:cs="Arial"/>
          <w:lang w:eastAsia="zh-CN"/>
        </w:rPr>
        <w:t>标记，必须对每个</w:t>
      </w:r>
      <w:r>
        <w:rPr>
          <w:rFonts w:ascii="Arial" w:hAnsi="Arial" w:eastAsia="宋体" w:cs="Arial"/>
          <w:bCs/>
          <w:i/>
          <w:lang w:eastAsia="zh-CN"/>
        </w:rPr>
        <w:t>粪肠球菌</w:t>
      </w:r>
      <w:r>
        <w:rPr>
          <w:rFonts w:ascii="Arial" w:hAnsi="Arial" w:eastAsia="宋体" w:cs="Arial"/>
          <w:bCs/>
          <w:lang w:eastAsia="zh-CN"/>
        </w:rPr>
        <w:t>或</w:t>
      </w:r>
      <w:r>
        <w:rPr>
          <w:rFonts w:ascii="Arial" w:hAnsi="Arial" w:eastAsia="宋体" w:cs="Arial"/>
          <w:bCs/>
          <w:i/>
          <w:lang w:eastAsia="zh-CN"/>
        </w:rPr>
        <w:t>屎肠球菌</w:t>
      </w:r>
      <w:r>
        <w:rPr>
          <w:rFonts w:ascii="Arial" w:hAnsi="Arial" w:eastAsia="宋体" w:cs="Arial"/>
          <w:bCs/>
          <w:lang w:eastAsia="zh-CN"/>
        </w:rPr>
        <w:t>隔离群</w:t>
      </w:r>
      <w:r>
        <w:rPr>
          <w:rFonts w:ascii="Arial" w:hAnsi="Arial" w:eastAsia="宋体" w:cs="Arial"/>
          <w:lang w:eastAsia="zh-CN"/>
        </w:rPr>
        <w:t>实施表型药物敏感性试验</w:t>
      </w:r>
      <w:r>
        <w:rPr>
          <w:rFonts w:ascii="Arial" w:hAnsi="Arial" w:eastAsia="宋体" w:cs="Arial"/>
          <w:bCs/>
          <w:lang w:eastAsia="zh-CN"/>
        </w:rPr>
        <w:t>。所有耐万古霉素</w:t>
      </w:r>
      <w:r>
        <w:rPr>
          <w:rFonts w:hint="eastAsia" w:ascii="Arial" w:hAnsi="Arial" w:eastAsia="宋体" w:cs="Arial"/>
          <w:bCs/>
          <w:lang w:eastAsia="zh-CN"/>
        </w:rPr>
        <w:t>分离物</w:t>
      </w:r>
      <w:r>
        <w:rPr>
          <w:rFonts w:ascii="Arial" w:hAnsi="Arial" w:eastAsia="宋体" w:cs="Arial"/>
          <w:bCs/>
          <w:lang w:eastAsia="zh-CN"/>
        </w:rPr>
        <w:t>必须通过PCR确认含有特异耐万古霉素基因靶标（例如</w:t>
      </w:r>
      <w:r>
        <w:rPr>
          <w:rFonts w:ascii="Arial" w:hAnsi="Arial" w:eastAsia="宋体" w:cs="Arial"/>
          <w:i/>
          <w:lang w:eastAsia="zh-CN"/>
        </w:rPr>
        <w:t>van</w:t>
      </w:r>
      <w:r>
        <w:rPr>
          <w:rFonts w:ascii="Arial" w:hAnsi="Arial" w:eastAsia="宋体" w:cs="Arial"/>
          <w:lang w:eastAsia="zh-CN"/>
        </w:rPr>
        <w:t xml:space="preserve">A 或 </w:t>
      </w:r>
      <w:r>
        <w:rPr>
          <w:rFonts w:ascii="Arial" w:hAnsi="Arial" w:eastAsia="宋体" w:cs="Arial"/>
          <w:i/>
          <w:lang w:eastAsia="zh-CN"/>
        </w:rPr>
        <w:t>van</w:t>
      </w:r>
      <w:r>
        <w:rPr>
          <w:rFonts w:ascii="Arial" w:hAnsi="Arial" w:eastAsia="宋体" w:cs="Arial"/>
          <w:lang w:eastAsia="zh-CN"/>
        </w:rPr>
        <w:t>B</w:t>
      </w:r>
      <w:r>
        <w:rPr>
          <w:rFonts w:ascii="Arial" w:hAnsi="Arial" w:eastAsia="宋体" w:cs="Arial"/>
          <w:bCs/>
          <w:lang w:eastAsia="zh-CN"/>
        </w:rPr>
        <w:t>）</w:t>
      </w:r>
      <w:r>
        <w:rPr>
          <w:rFonts w:hint="eastAsia" w:ascii="Arial" w:hAnsi="Arial" w:eastAsia="宋体" w:cs="Arial"/>
          <w:bCs/>
          <w:lang w:eastAsia="zh-CN"/>
        </w:rPr>
        <w:t>随后进行双向测序</w:t>
      </w:r>
      <w:r>
        <w:rPr>
          <w:rFonts w:ascii="Arial" w:hAnsi="Arial" w:eastAsia="宋体" w:cs="Arial"/>
          <w:bCs/>
          <w:lang w:eastAsia="zh-CN"/>
        </w:rPr>
        <w:t>。</w:t>
      </w:r>
    </w:p>
    <w:p w14:paraId="2C04873B">
      <w:pPr>
        <w:pStyle w:val="8"/>
        <w:numPr>
          <w:ilvl w:val="2"/>
          <w:numId w:val="10"/>
        </w:numPr>
        <w:tabs>
          <w:tab w:val="left" w:pos="1582"/>
        </w:tabs>
        <w:overflowPunct w:val="0"/>
        <w:snapToGrid w:val="0"/>
        <w:spacing w:after="120" w:afterLines="50" w:line="300" w:lineRule="auto"/>
        <w:ind w:left="1553" w:leftChars="496" w:hanging="462"/>
        <w:jc w:val="both"/>
        <w:rPr>
          <w:rFonts w:ascii="Arial" w:hAnsi="Arial" w:eastAsia="宋体" w:cs="Arial"/>
          <w:lang w:eastAsia="zh-CN"/>
        </w:rPr>
      </w:pPr>
      <w:r>
        <w:rPr>
          <w:rFonts w:ascii="Arial" w:hAnsi="Arial" w:eastAsia="宋体" w:cs="Arial"/>
          <w:lang w:eastAsia="zh-CN"/>
        </w:rPr>
        <w:t>对于其它抗性标记</w:t>
      </w:r>
      <w:r>
        <w:rPr>
          <w:rFonts w:hint="eastAsia" w:ascii="Arial" w:hAnsi="Arial" w:eastAsia="宋体" w:cs="Arial"/>
          <w:lang w:eastAsia="zh-CN"/>
        </w:rPr>
        <w:t>物</w:t>
      </w:r>
      <w:r>
        <w:rPr>
          <w:rFonts w:ascii="Arial" w:hAnsi="Arial" w:eastAsia="宋体" w:cs="Arial"/>
          <w:lang w:eastAsia="zh-CN"/>
        </w:rPr>
        <w:t>，请联系微生物学器械部</w:t>
      </w:r>
      <w:r>
        <w:rPr>
          <w:rFonts w:hint="eastAsia" w:ascii="Arial" w:hAnsi="Arial" w:eastAsia="宋体" w:cs="Arial"/>
          <w:lang w:eastAsia="zh-CN"/>
        </w:rPr>
        <w:t>获得</w:t>
      </w:r>
      <w:r>
        <w:rPr>
          <w:rFonts w:ascii="Arial" w:hAnsi="Arial" w:eastAsia="宋体" w:cs="Arial"/>
          <w:lang w:eastAsia="zh-CN"/>
        </w:rPr>
        <w:t>有关表型参考试验的信息。</w:t>
      </w:r>
    </w:p>
    <w:p w14:paraId="53B56448">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br w:type="page"/>
      </w:r>
      <w:r>
        <w:rPr>
          <w:rFonts w:ascii="Arial" w:hAnsi="Arial" w:eastAsia="宋体" w:cs="Arial"/>
          <w:lang w:eastAsia="zh-CN"/>
        </w:rPr>
        <w:t>基因型参考方法包括PCR及随后进行双向测序或另一种FDA批准的直接从阳性血培养标本和直接从血培养</w:t>
      </w:r>
      <w:r>
        <w:rPr>
          <w:rFonts w:hint="eastAsia" w:ascii="Arial" w:hAnsi="Arial" w:eastAsia="宋体" w:cs="Arial"/>
          <w:lang w:eastAsia="zh-CN"/>
        </w:rPr>
        <w:t>分离物</w:t>
      </w:r>
      <w:r>
        <w:rPr>
          <w:rFonts w:ascii="Arial" w:hAnsi="Arial" w:eastAsia="宋体" w:cs="Arial"/>
          <w:lang w:eastAsia="zh-CN"/>
        </w:rPr>
        <w:t>检测特异抗性基因的检测试剂盒。理想地，参考检测试剂盒将瞄准不同于贵公司器械靶标区域的基因组区域。如果需要参考检测试剂盒</w:t>
      </w:r>
      <w:r>
        <w:rPr>
          <w:rFonts w:hint="eastAsia" w:ascii="Arial" w:hAnsi="Arial" w:eastAsia="宋体" w:cs="Arial"/>
          <w:lang w:eastAsia="zh-CN"/>
        </w:rPr>
        <w:t>靶向</w:t>
      </w:r>
      <w:r>
        <w:rPr>
          <w:rFonts w:ascii="Arial" w:hAnsi="Arial" w:eastAsia="宋体" w:cs="Arial"/>
          <w:lang w:eastAsia="zh-CN"/>
        </w:rPr>
        <w:t>相同的基因组区域，参考检测试剂盒的引物对必须不同于贵公司器械引物对且不与其重叠或</w:t>
      </w:r>
      <w:r>
        <w:rPr>
          <w:rFonts w:hint="eastAsia" w:ascii="Arial" w:hAnsi="Arial" w:eastAsia="宋体" w:cs="Arial"/>
          <w:lang w:eastAsia="zh-CN"/>
        </w:rPr>
        <w:t>匹配</w:t>
      </w:r>
      <w:r>
        <w:rPr>
          <w:rFonts w:ascii="Arial" w:hAnsi="Arial" w:eastAsia="宋体" w:cs="Arial"/>
          <w:lang w:eastAsia="zh-CN"/>
        </w:rPr>
        <w:t>。必须对扩增子的双链实施双向测序并证明产生的序列有至少200个可接受质量的碱基对（例如用PHRED或类似软件包得出的质量评分为20或更高）。</w:t>
      </w:r>
    </w:p>
    <w:p w14:paraId="061C0D0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测序分析必须证明结果匹配参考序列或共有序列。贵公司上市前提交资料中必须提供支持贵公司用PCR/测序参考检测试剂盒确认特异抗性决定序列检测的已发表文献或实验室数据。</w:t>
      </w:r>
    </w:p>
    <w:p w14:paraId="13EA2B90">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lang w:eastAsia="zh-CN"/>
        </w:rPr>
        <w:t>我们推荐贵公司参考CLSI文件</w:t>
      </w:r>
      <w:bookmarkStart w:id="140" w:name="OLE_LINK148"/>
      <w:bookmarkStart w:id="141" w:name="OLE_LINK149"/>
      <w:r>
        <w:rPr>
          <w:rFonts w:ascii="Arial" w:hAnsi="Arial" w:eastAsia="宋体" w:cs="Arial"/>
          <w:sz w:val="24"/>
          <w:lang w:eastAsia="zh-CN"/>
        </w:rPr>
        <w:t>MM18-A</w:t>
      </w:r>
      <w:bookmarkEnd w:id="140"/>
      <w:bookmarkEnd w:id="141"/>
      <w:r>
        <w:rPr>
          <w:rFonts w:ascii="Arial" w:hAnsi="Arial" w:eastAsia="宋体" w:cs="Arial"/>
          <w:i/>
          <w:sz w:val="24"/>
          <w:lang w:eastAsia="zh-CN"/>
        </w:rPr>
        <w:t xml:space="preserve"> DNA 靶基因序列鉴定细菌和真菌的解释标准 </w:t>
      </w:r>
      <w:r>
        <w:rPr>
          <w:rFonts w:ascii="Arial" w:hAnsi="Arial" w:eastAsia="宋体" w:cs="Arial"/>
          <w:sz w:val="24"/>
          <w:lang w:eastAsia="zh-CN"/>
        </w:rPr>
        <w:t xml:space="preserve">【参考文件 13】 和 </w:t>
      </w:r>
      <w:bookmarkStart w:id="142" w:name="OLE_LINK152"/>
      <w:bookmarkStart w:id="143" w:name="OLE_LINK153"/>
      <w:r>
        <w:rPr>
          <w:rFonts w:ascii="Arial" w:hAnsi="Arial" w:eastAsia="宋体" w:cs="Arial"/>
          <w:sz w:val="24"/>
          <w:lang w:eastAsia="zh-CN"/>
        </w:rPr>
        <w:t xml:space="preserve">CLSI 文件 </w:t>
      </w:r>
      <w:bookmarkStart w:id="144" w:name="OLE_LINK150"/>
      <w:bookmarkStart w:id="145" w:name="OLE_LINK151"/>
      <w:r>
        <w:rPr>
          <w:rFonts w:ascii="Arial" w:hAnsi="Arial" w:eastAsia="宋体" w:cs="Arial"/>
          <w:sz w:val="24"/>
          <w:lang w:eastAsia="zh-CN"/>
        </w:rPr>
        <w:t>MM-9</w:t>
      </w:r>
      <w:bookmarkEnd w:id="142"/>
      <w:bookmarkEnd w:id="143"/>
      <w:bookmarkEnd w:id="144"/>
      <w:bookmarkEnd w:id="145"/>
      <w:r>
        <w:rPr>
          <w:rFonts w:ascii="Arial" w:hAnsi="Arial" w:eastAsia="宋体" w:cs="Arial"/>
          <w:sz w:val="24"/>
          <w:lang w:eastAsia="zh-CN"/>
        </w:rPr>
        <w:t>，</w:t>
      </w:r>
      <w:r>
        <w:rPr>
          <w:rFonts w:ascii="Arial" w:hAnsi="Arial" w:eastAsia="宋体" w:cs="Arial"/>
          <w:i/>
          <w:sz w:val="24"/>
          <w:lang w:eastAsia="zh-CN"/>
        </w:rPr>
        <w:t xml:space="preserve">检验诊断学中的核酸测序方法 </w:t>
      </w:r>
      <w:r>
        <w:rPr>
          <w:rFonts w:ascii="Arial" w:hAnsi="Arial" w:eastAsia="宋体" w:cs="Arial"/>
          <w:sz w:val="24"/>
          <w:lang w:eastAsia="zh-CN"/>
        </w:rPr>
        <w:t>【参考文件 14】。</w:t>
      </w:r>
    </w:p>
    <w:p w14:paraId="02C119D7">
      <w:pPr>
        <w:pStyle w:val="37"/>
        <w:numPr>
          <w:ilvl w:val="0"/>
          <w:numId w:val="10"/>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146" w:name="_bookmark35"/>
      <w:bookmarkEnd w:id="146"/>
      <w:bookmarkStart w:id="147" w:name="_Toc495603780"/>
      <w:r>
        <w:rPr>
          <w:rFonts w:ascii="Arial" w:hAnsi="Arial" w:eastAsia="宋体" w:cs="Arial"/>
          <w:lang w:eastAsia="zh-CN"/>
        </w:rPr>
        <w:t>研究中心</w:t>
      </w:r>
      <w:bookmarkEnd w:id="147"/>
    </w:p>
    <w:p w14:paraId="5B85574A">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在至少三个代表器械最终使用环境（例如检验科）的不同地区的研究中心实施临床研究并由临床实践中可能执行测试的检验人员操作。至少两个研究中心必须在美国。测试中心可不同于标本采集中心。然而，贵公司的研究必须包含至少3个不同地区的采集中心。</w:t>
      </w:r>
    </w:p>
    <w:p w14:paraId="386C9091">
      <w:pPr>
        <w:pStyle w:val="37"/>
        <w:numPr>
          <w:ilvl w:val="0"/>
          <w:numId w:val="10"/>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148" w:name="_bookmark36"/>
      <w:bookmarkEnd w:id="148"/>
      <w:bookmarkStart w:id="149" w:name="_Toc495603781"/>
      <w:r>
        <w:rPr>
          <w:rFonts w:ascii="Arial" w:hAnsi="Arial" w:eastAsia="宋体" w:cs="Arial"/>
          <w:lang w:eastAsia="zh-CN"/>
        </w:rPr>
        <w:t>研究人群</w:t>
      </w:r>
      <w:bookmarkEnd w:id="149"/>
    </w:p>
    <w:p w14:paraId="7278502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使用来自提议目标人群的样本实施研究。为确保目标分析物在贵公司临床研究患者人群的真实患病率，之前参与过临床研究的患者不得重新参与相同的临床研究。必须收集并记录患者抗生素使用史（如果可得且可靠）。必须收集适当的患者统计资料（例如，年龄）。</w:t>
      </w:r>
    </w:p>
    <w:p w14:paraId="35C08E33">
      <w:pPr>
        <w:pStyle w:val="37"/>
        <w:numPr>
          <w:ilvl w:val="0"/>
          <w:numId w:val="10"/>
        </w:numPr>
        <w:tabs>
          <w:tab w:val="left" w:pos="559"/>
        </w:tabs>
        <w:overflowPunct w:val="0"/>
        <w:snapToGrid w:val="0"/>
        <w:spacing w:after="120" w:afterLines="50" w:line="300" w:lineRule="auto"/>
        <w:ind w:left="459"/>
        <w:jc w:val="both"/>
        <w:outlineLvl w:val="2"/>
        <w:rPr>
          <w:rFonts w:ascii="Arial" w:hAnsi="Arial" w:eastAsia="宋体" w:cs="Arial"/>
          <w:b w:val="0"/>
          <w:bCs w:val="0"/>
        </w:rPr>
      </w:pPr>
      <w:bookmarkStart w:id="150" w:name="_bookmark37"/>
      <w:bookmarkEnd w:id="150"/>
      <w:bookmarkStart w:id="151" w:name="_Toc495603782"/>
      <w:r>
        <w:rPr>
          <w:rFonts w:ascii="Arial" w:hAnsi="Arial" w:eastAsia="宋体" w:cs="Arial"/>
          <w:lang w:eastAsia="zh-CN"/>
        </w:rPr>
        <w:t>研究设计</w:t>
      </w:r>
      <w:bookmarkEnd w:id="151"/>
    </w:p>
    <w:p w14:paraId="27175C36">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估计敏感性的前瞻性研究样本量由临床疾病的估计患病率和每种分析物的预期患病率决定。我们认为患病率≤ 2%的分析物为罕见分析物。贵公司必须</w:t>
      </w:r>
      <w:r>
        <w:rPr>
          <w:rFonts w:hint="eastAsia" w:ascii="Arial" w:hAnsi="Arial" w:eastAsia="宋体" w:cs="Arial"/>
          <w:lang w:eastAsia="zh-CN"/>
        </w:rPr>
        <w:t>提供</w:t>
      </w:r>
      <w:r>
        <w:rPr>
          <w:rFonts w:ascii="Arial" w:hAnsi="Arial" w:eastAsia="宋体" w:cs="Arial"/>
          <w:lang w:eastAsia="zh-CN"/>
        </w:rPr>
        <w:t>详细总结，总结中应</w:t>
      </w:r>
      <w:r>
        <w:rPr>
          <w:rFonts w:hint="eastAsia" w:ascii="Arial" w:hAnsi="Arial" w:eastAsia="宋体" w:cs="Arial"/>
          <w:lang w:eastAsia="zh-CN"/>
        </w:rPr>
        <w:t>包</w:t>
      </w:r>
      <w:r>
        <w:rPr>
          <w:rFonts w:ascii="Arial" w:hAnsi="Arial" w:eastAsia="宋体" w:cs="Arial"/>
          <w:lang w:eastAsia="zh-CN"/>
        </w:rPr>
        <w:t>含确定贵公司研究中每种分析物预期患病率的参考文件。</w:t>
      </w:r>
    </w:p>
    <w:p w14:paraId="3DA72C4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临床研究必须主要包含对前瞻性收集的新鲜阳性血培养样本的检测，每个样本均来自不同患者。此外所有受试</w:t>
      </w:r>
      <w:r>
        <w:rPr>
          <w:rFonts w:hint="eastAsia" w:ascii="Arial" w:hAnsi="Arial" w:eastAsia="宋体" w:cs="Arial"/>
          <w:lang w:eastAsia="zh-CN"/>
        </w:rPr>
        <w:t>样本</w:t>
      </w:r>
      <w:r>
        <w:rPr>
          <w:rFonts w:ascii="Arial" w:hAnsi="Arial" w:eastAsia="宋体" w:cs="Arial"/>
          <w:lang w:eastAsia="zh-CN"/>
        </w:rPr>
        <w:t>中的一部分可以是前瞻性收集并归档的冻存血培养样本。前瞻性收集归档</w:t>
      </w:r>
      <w:r>
        <w:rPr>
          <w:rFonts w:hint="eastAsia" w:ascii="Arial" w:hAnsi="Arial" w:eastAsia="宋体" w:cs="Arial"/>
          <w:lang w:eastAsia="zh-CN"/>
        </w:rPr>
        <w:t>样本</w:t>
      </w:r>
      <w:r>
        <w:rPr>
          <w:rFonts w:ascii="Arial" w:hAnsi="Arial" w:eastAsia="宋体" w:cs="Arial"/>
          <w:lang w:eastAsia="zh-CN"/>
        </w:rPr>
        <w:t>必须按序从所有满足研究入选标准并代表检测试剂盒预期使用人群的患者收集且收集时间必须在两个预定日期之间，</w:t>
      </w:r>
      <w:r>
        <w:rPr>
          <w:rFonts w:hint="eastAsia" w:ascii="Arial" w:hAnsi="Arial" w:eastAsia="宋体" w:cs="Arial"/>
          <w:lang w:eastAsia="zh-CN"/>
        </w:rPr>
        <w:t>因此</w:t>
      </w:r>
      <w:r>
        <w:rPr>
          <w:rFonts w:ascii="Arial" w:hAnsi="Arial" w:eastAsia="宋体" w:cs="Arial"/>
          <w:lang w:eastAsia="zh-CN"/>
        </w:rPr>
        <w:t>无偏差并确保分析物的真实患病率。如果一些目标分析物属</w:t>
      </w:r>
      <w:r>
        <w:rPr>
          <w:rFonts w:ascii="宋体" w:hAnsi="宋体" w:eastAsia="宋体" w:cs="Arial"/>
          <w:lang w:eastAsia="zh-CN"/>
        </w:rPr>
        <w:t>“</w:t>
      </w:r>
      <w:r>
        <w:rPr>
          <w:rFonts w:ascii="Arial" w:hAnsi="Arial" w:eastAsia="宋体" w:cs="Arial"/>
          <w:lang w:eastAsia="zh-CN"/>
        </w:rPr>
        <w:t>罕见</w:t>
      </w:r>
      <w:r>
        <w:rPr>
          <w:rFonts w:ascii="宋体" w:hAnsi="宋体" w:eastAsia="宋体" w:cs="Arial"/>
          <w:lang w:eastAsia="zh-CN"/>
        </w:rPr>
        <w:t>”</w:t>
      </w:r>
      <w:r>
        <w:rPr>
          <w:rFonts w:ascii="Arial" w:hAnsi="Arial" w:eastAsia="宋体" w:cs="Arial"/>
          <w:lang w:eastAsia="zh-CN"/>
        </w:rPr>
        <w:t>（患病率≤ 2%），用已知对于特定分析物呈阳性的回顾性受试血培养标本进行补充可接受。</w:t>
      </w:r>
    </w:p>
    <w:p w14:paraId="5B8C00F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如果实施的研究是为证明冻存标本不改变器械性能（与新鲜样本检测相比），则检测冻存归档标本的结果用于支持检测性能可接受。</w:t>
      </w:r>
    </w:p>
    <w:p w14:paraId="70EA835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此外，包含归档</w:t>
      </w:r>
      <w:r>
        <w:rPr>
          <w:rFonts w:hint="eastAsia" w:ascii="Arial" w:hAnsi="Arial" w:eastAsia="宋体" w:cs="Arial"/>
          <w:lang w:eastAsia="zh-CN"/>
        </w:rPr>
        <w:t>样本</w:t>
      </w:r>
      <w:r>
        <w:rPr>
          <w:rFonts w:ascii="Arial" w:hAnsi="Arial" w:eastAsia="宋体" w:cs="Arial"/>
          <w:lang w:eastAsia="zh-CN"/>
        </w:rPr>
        <w:t>也可能是一种可接受的丰富检测的方法。归档样本中的微生物必须代表不同临床</w:t>
      </w:r>
      <w:r>
        <w:rPr>
          <w:rFonts w:hint="eastAsia" w:ascii="Arial" w:hAnsi="Arial" w:eastAsia="宋体" w:cs="Arial"/>
          <w:lang w:eastAsia="zh-CN"/>
        </w:rPr>
        <w:t>分离物</w:t>
      </w:r>
      <w:r>
        <w:rPr>
          <w:rFonts w:ascii="Arial" w:hAnsi="Arial" w:eastAsia="宋体" w:cs="Arial"/>
          <w:lang w:eastAsia="zh-CN"/>
        </w:rPr>
        <w:t>且不是来自同一患者的同一微生物的多个</w:t>
      </w:r>
      <w:r>
        <w:rPr>
          <w:rFonts w:hint="eastAsia" w:ascii="Arial" w:hAnsi="Arial" w:eastAsia="宋体" w:cs="Arial"/>
          <w:lang w:eastAsia="zh-CN"/>
        </w:rPr>
        <w:t>分离物</w:t>
      </w:r>
      <w:r>
        <w:rPr>
          <w:rFonts w:ascii="Arial" w:hAnsi="Arial" w:eastAsia="宋体" w:cs="Arial"/>
          <w:lang w:eastAsia="zh-CN"/>
        </w:rPr>
        <w:t>。必须通过向含无菌人类血液的血培养瓶掺加少量微生物制备归档</w:t>
      </w:r>
      <w:r>
        <w:rPr>
          <w:rFonts w:hint="eastAsia" w:ascii="Arial" w:hAnsi="Arial" w:eastAsia="宋体" w:cs="Arial"/>
          <w:lang w:eastAsia="zh-CN"/>
        </w:rPr>
        <w:t>样本</w:t>
      </w:r>
      <w:r>
        <w:rPr>
          <w:rFonts w:ascii="Arial" w:hAnsi="Arial" w:eastAsia="宋体" w:cs="Arial"/>
          <w:lang w:eastAsia="zh-CN"/>
        </w:rPr>
        <w:t>。然后可将瓶放在合适血培养仪中培养直到信号</w:t>
      </w:r>
      <w:r>
        <w:rPr>
          <w:rFonts w:hint="eastAsia" w:ascii="Arial" w:hAnsi="Arial" w:eastAsia="宋体" w:cs="Arial"/>
          <w:lang w:eastAsia="zh-CN"/>
        </w:rPr>
        <w:t>呈</w:t>
      </w:r>
      <w:r>
        <w:rPr>
          <w:rFonts w:ascii="Arial" w:hAnsi="Arial" w:eastAsia="宋体" w:cs="Arial"/>
          <w:lang w:eastAsia="zh-CN"/>
        </w:rPr>
        <w:t>阳性。</w:t>
      </w:r>
    </w:p>
    <w:p w14:paraId="5F2D03C8">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必须将回顾性已知阳性归档血培养</w:t>
      </w:r>
      <w:r>
        <w:rPr>
          <w:rFonts w:hint="eastAsia" w:ascii="Arial" w:hAnsi="Arial" w:eastAsia="宋体" w:cs="Arial"/>
          <w:lang w:eastAsia="zh-CN"/>
        </w:rPr>
        <w:t>样本</w:t>
      </w:r>
      <w:r>
        <w:rPr>
          <w:rFonts w:ascii="Arial" w:hAnsi="Arial" w:eastAsia="宋体" w:cs="Arial"/>
          <w:lang w:eastAsia="zh-CN"/>
        </w:rPr>
        <w:t>随机分配给至少三个临床检测中心并用盲法检测。</w:t>
      </w:r>
    </w:p>
    <w:p w14:paraId="05633710">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如果贵公司的临床研究采用多个血培养系统，必须评价声称的血培养仪和</w:t>
      </w:r>
      <w:r>
        <w:rPr>
          <w:rFonts w:hint="eastAsia" w:ascii="Arial" w:hAnsi="Arial" w:eastAsia="宋体" w:cs="Arial"/>
          <w:lang w:eastAsia="zh-CN"/>
        </w:rPr>
        <w:t>其</w:t>
      </w:r>
      <w:r>
        <w:rPr>
          <w:rFonts w:ascii="Arial" w:hAnsi="Arial" w:eastAsia="宋体" w:cs="Arial"/>
          <w:lang w:eastAsia="zh-CN"/>
        </w:rPr>
        <w:t>各自声称的血培养瓶类型所得数据的可混合性（例如系统等同性）。</w:t>
      </w:r>
    </w:p>
    <w:p w14:paraId="71CC4F3F">
      <w:pPr>
        <w:pStyle w:val="37"/>
        <w:numPr>
          <w:ilvl w:val="0"/>
          <w:numId w:val="10"/>
        </w:numPr>
        <w:tabs>
          <w:tab w:val="left" w:pos="561"/>
        </w:tabs>
        <w:overflowPunct w:val="0"/>
        <w:snapToGrid w:val="0"/>
        <w:spacing w:after="120" w:afterLines="50" w:line="300" w:lineRule="auto"/>
        <w:ind w:left="459"/>
        <w:jc w:val="both"/>
        <w:outlineLvl w:val="2"/>
        <w:rPr>
          <w:rFonts w:ascii="Arial" w:hAnsi="Arial" w:eastAsia="宋体" w:cs="Arial"/>
          <w:b w:val="0"/>
          <w:bCs w:val="0"/>
        </w:rPr>
      </w:pPr>
      <w:bookmarkStart w:id="152" w:name="_bookmark38"/>
      <w:bookmarkEnd w:id="152"/>
      <w:bookmarkStart w:id="153" w:name="_Toc495603783"/>
      <w:r>
        <w:rPr>
          <w:rFonts w:ascii="Arial" w:hAnsi="Arial" w:eastAsia="宋体" w:cs="Arial"/>
          <w:lang w:eastAsia="zh-CN"/>
        </w:rPr>
        <w:t>临床研究结果的呈现</w:t>
      </w:r>
      <w:bookmarkEnd w:id="153"/>
    </w:p>
    <w:p w14:paraId="23819BB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分别呈现贵公司器械可鉴定的每种靶标微生物和抗性基因敏感性与特异性（或阳性和阴性符合率）的95%置信区间。此外，贵公司必须呈现（1）用贵公司器械检测含多于一种由参考方法决定分析物标本的结果，和（2）用参考方法检测含多于一种由贵公司器械决定微生物标本的结果。</w:t>
      </w:r>
    </w:p>
    <w:p w14:paraId="37E4C37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必须按照器械使用说明书检测贵公司临床研究中所有受试血培养样本。例如，如果按照检测试剂盒说明书，必须重新测试初始结果无效的样本，</w:t>
      </w:r>
      <w:r>
        <w:rPr>
          <w:rFonts w:hint="eastAsia" w:ascii="Arial" w:hAnsi="Arial" w:eastAsia="宋体" w:cs="Arial"/>
          <w:lang w:eastAsia="zh-CN"/>
        </w:rPr>
        <w:t>则</w:t>
      </w:r>
      <w:r>
        <w:rPr>
          <w:rFonts w:ascii="Arial" w:hAnsi="Arial" w:eastAsia="宋体" w:cs="Arial"/>
          <w:lang w:eastAsia="zh-CN"/>
        </w:rPr>
        <w:t>在临床研究中也必须重新测试这些样本且统计分析时必须使用这些样本的最后结果。必须提供每种分析物及所有分析物合计的因模棱两可结果（如果适用）和无效结果导致重新测试的样本所占百分比。</w:t>
      </w:r>
    </w:p>
    <w:p w14:paraId="50E0B52B">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510（k）提交资料必须单独</w:t>
      </w:r>
      <w:r>
        <w:rPr>
          <w:rFonts w:hint="eastAsia" w:ascii="Arial" w:hAnsi="Arial" w:eastAsia="宋体" w:cs="Arial"/>
          <w:lang w:eastAsia="zh-CN"/>
        </w:rPr>
        <w:t>提供</w:t>
      </w:r>
      <w:r>
        <w:rPr>
          <w:rFonts w:ascii="Arial" w:hAnsi="Arial" w:eastAsia="宋体" w:cs="Arial"/>
          <w:lang w:eastAsia="zh-CN"/>
        </w:rPr>
        <w:t>对前瞻性收集新鲜样本的性能。此外，必须</w:t>
      </w:r>
      <w:r>
        <w:rPr>
          <w:rFonts w:hint="eastAsia" w:ascii="Arial" w:hAnsi="Arial" w:eastAsia="宋体" w:cs="Arial"/>
          <w:lang w:eastAsia="zh-CN"/>
        </w:rPr>
        <w:t>提供</w:t>
      </w:r>
      <w:r>
        <w:rPr>
          <w:rFonts w:ascii="Arial" w:hAnsi="Arial" w:eastAsia="宋体" w:cs="Arial"/>
          <w:lang w:eastAsia="zh-CN"/>
        </w:rPr>
        <w:t>对回顾性和归档血培养</w:t>
      </w:r>
      <w:r>
        <w:rPr>
          <w:rFonts w:hint="eastAsia" w:ascii="Arial" w:hAnsi="Arial" w:eastAsia="宋体" w:cs="Arial"/>
          <w:lang w:eastAsia="zh-CN"/>
        </w:rPr>
        <w:t>样本</w:t>
      </w:r>
      <w:r>
        <w:rPr>
          <w:rFonts w:ascii="Arial" w:hAnsi="Arial" w:eastAsia="宋体" w:cs="Arial"/>
          <w:lang w:eastAsia="zh-CN"/>
        </w:rPr>
        <w:t>的单独分析。</w:t>
      </w:r>
    </w:p>
    <w:p w14:paraId="627DA7FF">
      <w:pPr>
        <w:pStyle w:val="36"/>
        <w:numPr>
          <w:ilvl w:val="0"/>
          <w:numId w:val="6"/>
        </w:numPr>
        <w:tabs>
          <w:tab w:val="left" w:pos="460"/>
        </w:tabs>
        <w:overflowPunct w:val="0"/>
        <w:snapToGrid w:val="0"/>
        <w:spacing w:after="120" w:afterLines="50" w:line="300" w:lineRule="auto"/>
        <w:ind w:left="357" w:hanging="357"/>
        <w:jc w:val="both"/>
        <w:outlineLvl w:val="1"/>
        <w:rPr>
          <w:rFonts w:ascii="Arial" w:hAnsi="Arial" w:eastAsia="宋体" w:cs="Arial"/>
          <w:lang w:eastAsia="zh-CN"/>
        </w:rPr>
      </w:pPr>
      <w:r>
        <w:rPr>
          <w:rFonts w:ascii="Arial" w:hAnsi="Arial" w:eastAsia="宋体" w:cs="Arial"/>
          <w:lang w:eastAsia="zh-CN"/>
        </w:rPr>
        <w:br w:type="page"/>
      </w:r>
      <w:bookmarkStart w:id="154" w:name="_bookmark39"/>
      <w:bookmarkEnd w:id="154"/>
      <w:bookmarkStart w:id="155" w:name="8._Labeling"/>
      <w:bookmarkEnd w:id="155"/>
      <w:bookmarkStart w:id="156" w:name="_Toc495603784"/>
      <w:bookmarkStart w:id="157" w:name="OLE_LINK18"/>
      <w:bookmarkStart w:id="158" w:name="OLE_LINK19"/>
      <w:r>
        <w:rPr>
          <w:rFonts w:ascii="Arial" w:hAnsi="Arial" w:eastAsia="宋体" w:cs="Arial"/>
          <w:lang w:eastAsia="zh-CN"/>
        </w:rPr>
        <w:t>工具与软件</w:t>
      </w:r>
      <w:bookmarkEnd w:id="156"/>
    </w:p>
    <w:bookmarkEnd w:id="157"/>
    <w:bookmarkEnd w:id="158"/>
    <w:p w14:paraId="565FE319">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对于未通过的测量和归类多重信号的工具和系统及其它复杂实验室工具，</w:t>
      </w:r>
      <w:r>
        <w:rPr>
          <w:rFonts w:hint="eastAsia" w:ascii="Arial" w:hAnsi="Arial" w:eastAsia="宋体" w:cs="Arial"/>
          <w:lang w:eastAsia="zh-CN"/>
        </w:rPr>
        <w:t>请</w:t>
      </w:r>
      <w:r>
        <w:rPr>
          <w:rFonts w:ascii="Arial" w:hAnsi="Arial" w:eastAsia="宋体" w:cs="Arial"/>
          <w:lang w:eastAsia="zh-CN"/>
        </w:rPr>
        <w:t>参考文件</w:t>
      </w:r>
      <w:r>
        <w:rPr>
          <w:rFonts w:ascii="宋体" w:hAnsi="宋体" w:eastAsia="宋体" w:cs="Arial"/>
          <w:lang w:eastAsia="zh-CN"/>
        </w:rPr>
        <w:t>“</w:t>
      </w:r>
      <w:r>
        <w:rPr>
          <w:rFonts w:ascii="Arial" w:hAnsi="Arial" w:eastAsia="宋体" w:cs="Arial"/>
          <w:lang w:eastAsia="zh-CN"/>
        </w:rPr>
        <w:t>II类特殊控制指导性文件：临床多重检测系统的工具</w:t>
      </w:r>
      <w:r>
        <w:rPr>
          <w:rFonts w:ascii="宋体" w:hAnsi="宋体" w:eastAsia="宋体" w:cs="Arial"/>
          <w:lang w:eastAsia="zh-CN"/>
        </w:rPr>
        <w:t>”</w:t>
      </w:r>
      <w:r>
        <w:rPr>
          <w:rFonts w:ascii="Arial" w:hAnsi="Arial" w:eastAsia="宋体" w:cs="Arial"/>
          <w:lang w:eastAsia="zh-CN"/>
        </w:rPr>
        <w:t>，查看必须提供哪些类型的数据以支持工具通过的细节信息。</w:t>
      </w:r>
    </w:p>
    <w:p w14:paraId="78B6BE18">
      <w:pPr>
        <w:pStyle w:val="8"/>
        <w:overflowPunct w:val="0"/>
        <w:snapToGrid w:val="0"/>
        <w:spacing w:after="120" w:afterLines="50" w:line="300" w:lineRule="auto"/>
        <w:ind w:left="0"/>
        <w:rPr>
          <w:rFonts w:ascii="Arial" w:hAnsi="Arial" w:eastAsia="宋体" w:cs="Arial"/>
          <w:lang w:eastAsia="zh-CN"/>
        </w:rPr>
      </w:pPr>
      <w:r>
        <w:rPr>
          <w:rFonts w:ascii="Arial" w:hAnsi="Arial" w:eastAsia="宋体" w:cs="Arial"/>
          <w:lang w:eastAsia="zh-CN"/>
        </w:rPr>
        <w:t>如果贵公司系统含软件，必须根据与软件相关的关注水平提交详细的软件信息。（关于FDA认为应如何确定关注水平的信息，请见指南</w:t>
      </w:r>
      <w:r>
        <w:rPr>
          <w:rFonts w:ascii="宋体" w:hAnsi="宋体" w:eastAsia="宋体" w:cs="Arial"/>
          <w:lang w:eastAsia="zh-CN"/>
        </w:rPr>
        <w:t>“</w:t>
      </w:r>
      <w:r>
        <w:rPr>
          <w:rFonts w:ascii="Arial" w:hAnsi="Arial" w:eastAsia="宋体" w:cs="Arial"/>
          <w:lang w:eastAsia="zh-CN"/>
        </w:rPr>
        <w:t>医疗器械包含软件的</w:t>
      </w:r>
      <w:bookmarkStart w:id="159" w:name="OLE_LINK169"/>
      <w:bookmarkStart w:id="160" w:name="OLE_LINK170"/>
      <w:r>
        <w:rPr>
          <w:rFonts w:ascii="Arial" w:hAnsi="Arial" w:eastAsia="宋体" w:cs="Arial"/>
          <w:lang w:eastAsia="zh-CN"/>
        </w:rPr>
        <w:t>上市前提交资料内容指南</w:t>
      </w:r>
      <w:bookmarkEnd w:id="159"/>
      <w:bookmarkEnd w:id="160"/>
      <w:r>
        <w:rPr>
          <w:rFonts w:ascii="宋体" w:hAnsi="宋体" w:eastAsia="宋体" w:cs="Arial"/>
          <w:lang w:eastAsia="zh-CN"/>
        </w:rPr>
        <w:t>”</w:t>
      </w:r>
      <w:r>
        <w:rPr>
          <w:rFonts w:ascii="Arial" w:hAnsi="Arial" w:eastAsia="宋体" w:cs="Arial"/>
          <w:lang w:eastAsia="zh-CN"/>
        </w:rPr>
        <w:t>，网址</w:t>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u w:val="single" w:color="000000"/>
          <w:lang w:eastAsia="zh-CN"/>
        </w:rPr>
        <w:t>http://www.fda.gov/MedicalDevices/DeviceRegulationandGuidance/GuidanceDocuments/ucm0</w:t>
      </w:r>
      <w:r>
        <w:rPr>
          <w:rFonts w:ascii="Arial" w:hAnsi="Arial" w:eastAsia="宋体" w:cs="Arial"/>
          <w:u w:val="single" w:color="000000"/>
          <w:lang w:eastAsia="zh-CN"/>
        </w:rPr>
        <w:fldChar w:fldCharType="end"/>
      </w:r>
      <w:r>
        <w:fldChar w:fldCharType="begin"/>
      </w:r>
      <w:r>
        <w:instrText xml:space="preserve"> HYPERLINK "http://www.fda.gov/MedicalDevices/DeviceRegulationandGuidance/GuidanceDocuments/ucm089543.htm" \h </w:instrText>
      </w:r>
      <w:r>
        <w:fldChar w:fldCharType="separate"/>
      </w:r>
      <w:r>
        <w:rPr>
          <w:rFonts w:ascii="Arial" w:hAnsi="Arial" w:eastAsia="宋体" w:cs="Arial"/>
          <w:u w:val="single" w:color="000000"/>
          <w:lang w:eastAsia="zh-CN"/>
        </w:rPr>
        <w:t>89543.htm</w:t>
      </w:r>
      <w:r>
        <w:rPr>
          <w:rFonts w:ascii="Arial" w:hAnsi="Arial" w:eastAsia="宋体" w:cs="Arial"/>
          <w:lang w:eastAsia="zh-CN"/>
        </w:rPr>
        <w:t>。）</w:t>
      </w:r>
      <w:r>
        <w:rPr>
          <w:rFonts w:ascii="Arial" w:hAnsi="Arial" w:eastAsia="宋体" w:cs="Arial"/>
          <w:lang w:eastAsia="zh-CN"/>
        </w:rPr>
        <w:fldChar w:fldCharType="end"/>
      </w:r>
      <w:r>
        <w:rPr>
          <w:rFonts w:ascii="Arial" w:hAnsi="Arial" w:eastAsia="宋体" w:cs="Arial"/>
          <w:lang w:eastAsia="zh-CN"/>
        </w:rPr>
        <w:t xml:space="preserve"> 确定如何</w:t>
      </w:r>
      <w:r>
        <w:rPr>
          <w:rFonts w:hint="eastAsia" w:ascii="Arial" w:hAnsi="Arial" w:eastAsia="宋体" w:cs="Arial"/>
          <w:lang w:eastAsia="zh-CN"/>
        </w:rPr>
        <w:t>缓解</w:t>
      </w:r>
      <w:r>
        <w:rPr>
          <w:rFonts w:ascii="Arial" w:hAnsi="Arial" w:eastAsia="宋体" w:cs="Arial"/>
          <w:lang w:eastAsia="zh-CN"/>
        </w:rPr>
        <w:t>与软件相关危险前，贵公司必须确定关注水平。由于软件缺陷可间接影响患者且当医疗保健提供者和患者</w:t>
      </w:r>
      <w:r>
        <w:rPr>
          <w:rFonts w:hint="eastAsia" w:ascii="Arial" w:hAnsi="Arial" w:eastAsia="宋体" w:cs="Arial"/>
          <w:lang w:eastAsia="zh-CN"/>
        </w:rPr>
        <w:t>无法获取</w:t>
      </w:r>
      <w:r>
        <w:rPr>
          <w:rFonts w:ascii="Arial" w:hAnsi="Arial" w:eastAsia="宋体" w:cs="Arial"/>
          <w:lang w:eastAsia="zh-CN"/>
        </w:rPr>
        <w:t>准确信息时可能导致伤害，因此通常认为这类体外诊断器械具有中等关注水平。</w:t>
      </w:r>
    </w:p>
    <w:p w14:paraId="2F1462C1">
      <w:pPr>
        <w:pStyle w:val="8"/>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以下</w:t>
      </w:r>
      <w:r>
        <w:rPr>
          <w:rFonts w:ascii="Arial" w:hAnsi="Arial" w:eastAsia="宋体" w:cs="Arial"/>
          <w:lang w:eastAsia="zh-CN"/>
        </w:rPr>
        <w:t>是依照与FDA法规一致的良好软件生命周期</w:t>
      </w:r>
      <w:r>
        <w:rPr>
          <w:rFonts w:hint="eastAsia" w:ascii="Arial" w:hAnsi="Arial" w:eastAsia="宋体" w:cs="Arial"/>
          <w:lang w:eastAsia="zh-CN"/>
        </w:rPr>
        <w:t>实践</w:t>
      </w:r>
      <w:r>
        <w:rPr>
          <w:rFonts w:ascii="Arial" w:hAnsi="Arial" w:eastAsia="宋体" w:cs="Arial"/>
          <w:lang w:eastAsia="zh-CN"/>
        </w:rPr>
        <w:t>，开发和维护器械时需考虑的其它参考文件。</w:t>
      </w:r>
    </w:p>
    <w:p w14:paraId="246D010F">
      <w:pPr>
        <w:pStyle w:val="8"/>
        <w:numPr>
          <w:ilvl w:val="1"/>
          <w:numId w:val="6"/>
        </w:numPr>
        <w:tabs>
          <w:tab w:val="left" w:pos="820"/>
        </w:tabs>
        <w:overflowPunct w:val="0"/>
        <w:snapToGrid w:val="0"/>
        <w:spacing w:line="300" w:lineRule="auto"/>
        <w:ind w:left="814" w:leftChars="210" w:hanging="352"/>
        <w:rPr>
          <w:rFonts w:ascii="Arial" w:hAnsi="Arial" w:eastAsia="宋体" w:cs="Arial"/>
          <w:color w:val="000000" w:themeColor="text1"/>
          <w:lang w:eastAsia="zh-CN"/>
          <w14:textFill>
            <w14:solidFill>
              <w14:schemeClr w14:val="tx1"/>
            </w14:solidFill>
          </w14:textFill>
        </w:rPr>
      </w:pPr>
      <w:r>
        <w:rPr>
          <w:rFonts w:ascii="宋体" w:hAnsi="宋体" w:eastAsia="宋体" w:cs="Arial"/>
          <w:color w:val="000000" w:themeColor="text1"/>
          <w:lang w:eastAsia="zh-CN"/>
          <w14:textFill>
            <w14:solidFill>
              <w14:schemeClr w14:val="tx1"/>
            </w14:solidFill>
          </w14:textFill>
        </w:rPr>
        <w:t>“</w:t>
      </w:r>
      <w:r>
        <w:rPr>
          <w:rFonts w:ascii="Arial" w:hAnsi="Arial" w:eastAsia="宋体" w:cs="Arial"/>
          <w:color w:val="000000" w:themeColor="text1"/>
          <w:lang w:eastAsia="zh-CN"/>
          <w14:textFill>
            <w14:solidFill>
              <w14:schemeClr w14:val="tx1"/>
            </w14:solidFill>
          </w14:textFill>
        </w:rPr>
        <w:t>软件确认的通用原则</w:t>
      </w:r>
      <w:r>
        <w:rPr>
          <w:rFonts w:ascii="宋体" w:hAnsi="宋体" w:eastAsia="宋体" w:cs="Arial"/>
          <w:color w:val="000000" w:themeColor="text1"/>
          <w:lang w:eastAsia="zh-CN"/>
          <w14:textFill>
            <w14:solidFill>
              <w14:schemeClr w14:val="tx1"/>
            </w14:solidFill>
          </w14:textFill>
        </w:rPr>
        <w:t>”</w:t>
      </w:r>
      <w:r>
        <w:rPr>
          <w:rFonts w:ascii="Arial" w:hAnsi="Arial" w:eastAsia="宋体" w:cs="Arial"/>
          <w:color w:val="000000" w:themeColor="text1"/>
          <w:lang w:eastAsia="zh-CN"/>
          <w14:textFill>
            <w14:solidFill>
              <w14:schemeClr w14:val="tx1"/>
            </w14:solidFill>
          </w14:textFill>
        </w:rPr>
        <w:t xml:space="preserve">指南， 网址 </w:t>
      </w:r>
      <w:r>
        <w:fldChar w:fldCharType="begin"/>
      </w:r>
      <w:r>
        <w:instrText xml:space="preserve"> HYPERLINK "http://www.fda.gov/downloads/MedicalDevices/DeviceRegulationandGuidance/%20GuidanceDocuments/UCM085371.pdf" \h </w:instrText>
      </w:r>
      <w:r>
        <w:fldChar w:fldCharType="separate"/>
      </w:r>
      <w:r>
        <w:rPr>
          <w:rFonts w:ascii="Arial" w:hAnsi="Arial" w:eastAsia="宋体" w:cs="Arial"/>
          <w:color w:val="000000" w:themeColor="text1"/>
          <w:u w:val="single" w:color="000000"/>
          <w:lang w:eastAsia="zh-CN"/>
          <w14:textFill>
            <w14:solidFill>
              <w14:schemeClr w14:val="tx1"/>
            </w14:solidFill>
          </w14:textFill>
        </w:rPr>
        <w:t>http://www.fda.gov/downloads/MedicalDevices/DeviceRegulationandGuidance/</w:t>
      </w:r>
      <w:r>
        <w:rPr>
          <w:rFonts w:ascii="Arial" w:hAnsi="Arial" w:eastAsia="宋体" w:cs="Arial"/>
          <w:color w:val="000000" w:themeColor="text1"/>
          <w:u w:val="single" w:color="000000"/>
          <w:lang w:eastAsia="zh-CN"/>
          <w14:textFill>
            <w14:solidFill>
              <w14:schemeClr w14:val="tx1"/>
            </w14:solidFill>
          </w14:textFill>
        </w:rPr>
        <w:fldChar w:fldCharType="end"/>
      </w:r>
      <w:r>
        <w:fldChar w:fldCharType="begin"/>
      </w:r>
      <w:r>
        <w:instrText xml:space="preserve"> HYPERLINK "http://www.fda.gov/downloads/MedicalDevices/DeviceRegulationandGuidance/%20GuidanceDocuments/UCM085371.pdf" \h </w:instrText>
      </w:r>
      <w:r>
        <w:fldChar w:fldCharType="separate"/>
      </w:r>
      <w:r>
        <w:rPr>
          <w:rFonts w:ascii="Arial" w:hAnsi="Arial" w:eastAsia="宋体" w:cs="Arial"/>
          <w:color w:val="000000" w:themeColor="text1"/>
          <w:u w:val="single" w:color="000000"/>
          <w:lang w:eastAsia="zh-CN"/>
          <w14:textFill>
            <w14:solidFill>
              <w14:schemeClr w14:val="tx1"/>
            </w14:solidFill>
          </w14:textFill>
        </w:rPr>
        <w:t>GuidanceDocuments/UCM085371.pdf</w:t>
      </w:r>
      <w:r>
        <w:rPr>
          <w:rFonts w:ascii="Arial" w:hAnsi="Arial" w:eastAsia="宋体" w:cs="Arial"/>
          <w:color w:val="000000" w:themeColor="text1"/>
          <w:lang w:eastAsia="zh-CN"/>
          <w14:textFill>
            <w14:solidFill>
              <w14:schemeClr w14:val="tx1"/>
            </w14:solidFill>
          </w14:textFill>
        </w:rPr>
        <w:t>.</w:t>
      </w:r>
      <w:r>
        <w:rPr>
          <w:rFonts w:ascii="Arial" w:hAnsi="Arial" w:eastAsia="宋体" w:cs="Arial"/>
          <w:color w:val="000000" w:themeColor="text1"/>
          <w:lang w:eastAsia="zh-CN"/>
          <w14:textFill>
            <w14:solidFill>
              <w14:schemeClr w14:val="tx1"/>
            </w14:solidFill>
          </w14:textFill>
        </w:rPr>
        <w:fldChar w:fldCharType="end"/>
      </w:r>
    </w:p>
    <w:p w14:paraId="2E51B7FF">
      <w:pPr>
        <w:pStyle w:val="8"/>
        <w:numPr>
          <w:ilvl w:val="1"/>
          <w:numId w:val="6"/>
        </w:numPr>
        <w:tabs>
          <w:tab w:val="left" w:pos="820"/>
        </w:tabs>
        <w:overflowPunct w:val="0"/>
        <w:snapToGrid w:val="0"/>
        <w:spacing w:line="300" w:lineRule="auto"/>
        <w:ind w:left="814" w:leftChars="210" w:hanging="352"/>
        <w:rPr>
          <w:rFonts w:ascii="Arial" w:hAnsi="Arial" w:eastAsia="宋体" w:cs="Arial"/>
          <w:color w:val="000000" w:themeColor="text1"/>
          <w14:textFill>
            <w14:solidFill>
              <w14:schemeClr w14:val="tx1"/>
            </w14:solidFill>
          </w14:textFill>
        </w:rPr>
      </w:pPr>
      <w:r>
        <w:rPr>
          <w:rFonts w:ascii="宋体" w:hAnsi="宋体" w:eastAsia="宋体" w:cs="Arial"/>
          <w:color w:val="000000" w:themeColor="text1"/>
          <w:lang w:eastAsia="zh-CN"/>
          <w14:textFill>
            <w14:solidFill>
              <w14:schemeClr w14:val="tx1"/>
            </w14:solidFill>
          </w14:textFill>
        </w:rPr>
        <w:t>“</w:t>
      </w:r>
      <w:r>
        <w:rPr>
          <w:rFonts w:ascii="Arial" w:hAnsi="Arial" w:eastAsia="宋体" w:cs="Arial"/>
          <w:color w:val="000000" w:themeColor="text1"/>
          <w:lang w:eastAsia="zh-CN"/>
          <w14:textFill>
            <w14:solidFill>
              <w14:schemeClr w14:val="tx1"/>
            </w14:solidFill>
          </w14:textFill>
        </w:rPr>
        <w:t>医疗器械使用</w:t>
      </w:r>
      <w:r>
        <w:rPr>
          <w:rFonts w:hint="eastAsia" w:ascii="Arial" w:hAnsi="Arial" w:eastAsia="宋体" w:cs="Arial"/>
          <w:color w:val="000000" w:themeColor="text1"/>
          <w:lang w:eastAsia="zh-CN"/>
          <w14:textFill>
            <w14:solidFill>
              <w14:schemeClr w14:val="tx1"/>
            </w14:solidFill>
          </w14:textFill>
        </w:rPr>
        <w:t>现有</w:t>
      </w:r>
      <w:r>
        <w:rPr>
          <w:rFonts w:ascii="Arial" w:hAnsi="Arial" w:eastAsia="宋体" w:cs="Arial"/>
          <w:color w:val="000000" w:themeColor="text1"/>
          <w:lang w:eastAsia="zh-CN"/>
          <w14:textFill>
            <w14:solidFill>
              <w14:schemeClr w14:val="tx1"/>
            </w14:solidFill>
          </w14:textFill>
        </w:rPr>
        <w:t>软件</w:t>
      </w:r>
      <w:r>
        <w:rPr>
          <w:rFonts w:ascii="宋体" w:hAnsi="宋体" w:eastAsia="宋体" w:cs="Arial"/>
          <w:color w:val="000000" w:themeColor="text1"/>
          <w:lang w:eastAsia="zh-CN"/>
          <w14:textFill>
            <w14:solidFill>
              <w14:schemeClr w14:val="tx1"/>
            </w14:solidFill>
          </w14:textFill>
        </w:rPr>
        <w:t>”</w:t>
      </w:r>
      <w:r>
        <w:rPr>
          <w:rFonts w:ascii="Arial" w:hAnsi="Arial" w:eastAsia="宋体" w:cs="Arial"/>
          <w:color w:val="000000" w:themeColor="text1"/>
          <w:lang w:eastAsia="zh-CN"/>
          <w14:textFill>
            <w14:solidFill>
              <w14:schemeClr w14:val="tx1"/>
            </w14:solidFill>
          </w14:textFill>
        </w:rPr>
        <w:t>指南，网址</w:t>
      </w:r>
      <w:r>
        <w:fldChar w:fldCharType="begin"/>
      </w:r>
      <w:r>
        <w:instrText xml:space="preserve"> HYPERLINK "http://www.fda.gov/MedicalDevices/DeviceRegulationandGuidance/" </w:instrText>
      </w:r>
      <w:r>
        <w:fldChar w:fldCharType="separate"/>
      </w:r>
      <w:r>
        <w:rPr>
          <w:rStyle w:val="21"/>
          <w:rFonts w:ascii="Arial" w:hAnsi="Arial" w:eastAsia="宋体" w:cs="Arial"/>
          <w:color w:val="000000" w:themeColor="text1"/>
          <w:u w:color="000000"/>
          <w14:textFill>
            <w14:solidFill>
              <w14:schemeClr w14:val="tx1"/>
            </w14:solidFill>
          </w14:textFill>
        </w:rPr>
        <w:t>http://www.fda.gov/MedicalDevices/DeviceRegulationandGuidance/</w:t>
      </w:r>
      <w:r>
        <w:rPr>
          <w:rStyle w:val="21"/>
          <w:rFonts w:ascii="Arial" w:hAnsi="Arial" w:eastAsia="宋体" w:cs="Arial"/>
          <w:color w:val="000000" w:themeColor="text1"/>
          <w:u w:color="000000"/>
          <w14:textFill>
            <w14:solidFill>
              <w14:schemeClr w14:val="tx1"/>
            </w14:solidFill>
          </w14:textFill>
        </w:rPr>
        <w:fldChar w:fldCharType="end"/>
      </w:r>
      <w:r>
        <w:fldChar w:fldCharType="begin"/>
      </w:r>
      <w:r>
        <w:instrText xml:space="preserve"> HYPERLINK "http://www.fda.gov/MedicalDevices/DeviceRegulationandGuidance/GuidanceDocuments/ucm073778.htm" \h </w:instrText>
      </w:r>
      <w:r>
        <w:fldChar w:fldCharType="separate"/>
      </w:r>
      <w:r>
        <w:rPr>
          <w:rFonts w:ascii="Arial" w:hAnsi="Arial" w:eastAsia="宋体" w:cs="Arial"/>
          <w:color w:val="000000" w:themeColor="text1"/>
          <w:u w:val="single" w:color="000000"/>
          <w14:textFill>
            <w14:solidFill>
              <w14:schemeClr w14:val="tx1"/>
            </w14:solidFill>
          </w14:textFill>
        </w:rPr>
        <w:t>GuidanceDocuments/ucm073778.htm</w:t>
      </w:r>
      <w:r>
        <w:rPr>
          <w:rFonts w:ascii="Arial" w:hAnsi="Arial" w:eastAsia="宋体" w:cs="Arial"/>
          <w:color w:val="000000" w:themeColor="text1"/>
          <w14:textFill>
            <w14:solidFill>
              <w14:schemeClr w14:val="tx1"/>
            </w14:solidFill>
          </w14:textFill>
        </w:rPr>
        <w:t>.</w:t>
      </w:r>
      <w:r>
        <w:rPr>
          <w:rFonts w:ascii="Arial" w:hAnsi="Arial" w:eastAsia="宋体" w:cs="Arial"/>
          <w:color w:val="000000" w:themeColor="text1"/>
          <w14:textFill>
            <w14:solidFill>
              <w14:schemeClr w14:val="tx1"/>
            </w14:solidFill>
          </w14:textFill>
        </w:rPr>
        <w:fldChar w:fldCharType="end"/>
      </w:r>
    </w:p>
    <w:p w14:paraId="0D7AEDF0">
      <w:pPr>
        <w:pStyle w:val="8"/>
        <w:numPr>
          <w:ilvl w:val="1"/>
          <w:numId w:val="6"/>
        </w:numPr>
        <w:tabs>
          <w:tab w:val="left" w:pos="820"/>
        </w:tabs>
        <w:overflowPunct w:val="0"/>
        <w:snapToGrid w:val="0"/>
        <w:spacing w:line="300" w:lineRule="auto"/>
        <w:ind w:left="814" w:leftChars="210" w:hanging="352"/>
        <w:rPr>
          <w:rFonts w:ascii="Arial" w:hAnsi="Arial" w:eastAsia="宋体" w:cs="Arial"/>
          <w:color w:val="000000" w:themeColor="text1"/>
          <w:lang w:eastAsia="zh-CN"/>
          <w14:textFill>
            <w14:solidFill>
              <w14:schemeClr w14:val="tx1"/>
            </w14:solidFill>
          </w14:textFill>
        </w:rPr>
      </w:pPr>
      <w:r>
        <w:fldChar w:fldCharType="begin"/>
      </w:r>
      <w:r>
        <w:instrText xml:space="preserve"> HYPERLINK "http://www.accessdata.fda.gov/scripts/cdrh/cfdocs/cfcfr/CFRSearch.cfm?fr=820.30" \h </w:instrText>
      </w:r>
      <w:r>
        <w:fldChar w:fldCharType="separate"/>
      </w:r>
      <w:bookmarkStart w:id="161" w:name="OLE_LINK179"/>
      <w:bookmarkStart w:id="162" w:name="OLE_LINK180"/>
      <w:r>
        <w:rPr>
          <w:rFonts w:ascii="Arial" w:hAnsi="Arial" w:eastAsia="宋体" w:cs="Arial"/>
          <w:color w:val="000000" w:themeColor="text1"/>
          <w:lang w:eastAsia="zh-CN"/>
          <w14:textFill>
            <w14:solidFill>
              <w14:schemeClr w14:val="tx1"/>
            </w14:solidFill>
          </w14:textFill>
        </w:rPr>
        <w:t>21 CFR 820.309 子部分 C</w:t>
      </w:r>
      <w:bookmarkEnd w:id="161"/>
      <w:bookmarkEnd w:id="162"/>
      <w:r>
        <w:rPr>
          <w:rFonts w:ascii="Arial" w:hAnsi="Arial" w:eastAsia="宋体" w:cs="Arial"/>
          <w:color w:val="000000" w:themeColor="text1"/>
          <w:lang w:eastAsia="zh-CN"/>
          <w14:textFill>
            <w14:solidFill>
              <w14:schemeClr w14:val="tx1"/>
            </w14:solidFill>
          </w14:textFill>
        </w:rPr>
        <w:t xml:space="preserve"> –质量体系法规设计控制</w:t>
      </w:r>
      <w:r>
        <w:rPr>
          <w:rFonts w:ascii="Arial" w:hAnsi="Arial" w:eastAsia="宋体" w:cs="Arial"/>
          <w:color w:val="000000" w:themeColor="text1"/>
          <w:lang w:eastAsia="zh-CN"/>
          <w14:textFill>
            <w14:solidFill>
              <w14:schemeClr w14:val="tx1"/>
            </w14:solidFill>
          </w14:textFill>
        </w:rPr>
        <w:fldChar w:fldCharType="end"/>
      </w:r>
      <w:r>
        <w:rPr>
          <w:rFonts w:ascii="Arial" w:hAnsi="Arial" w:eastAsia="宋体" w:cs="Arial"/>
          <w:color w:val="000000" w:themeColor="text1"/>
          <w:lang w:eastAsia="zh-CN"/>
          <w14:textFill>
            <w14:solidFill>
              <w14:schemeClr w14:val="tx1"/>
            </w14:solidFill>
          </w14:textFill>
        </w:rPr>
        <w:t>。</w:t>
      </w:r>
    </w:p>
    <w:p w14:paraId="602947CD">
      <w:pPr>
        <w:pStyle w:val="8"/>
        <w:numPr>
          <w:ilvl w:val="1"/>
          <w:numId w:val="6"/>
        </w:numPr>
        <w:tabs>
          <w:tab w:val="left" w:pos="820"/>
        </w:tabs>
        <w:overflowPunct w:val="0"/>
        <w:snapToGrid w:val="0"/>
        <w:spacing w:line="300" w:lineRule="auto"/>
        <w:ind w:left="814" w:leftChars="210" w:hanging="352"/>
        <w:rPr>
          <w:rFonts w:ascii="Arial" w:hAnsi="Arial" w:eastAsia="宋体" w:cs="Arial"/>
          <w:color w:val="000000" w:themeColor="text1"/>
          <w:lang w:eastAsia="zh-CN"/>
          <w14:textFill>
            <w14:solidFill>
              <w14:schemeClr w14:val="tx1"/>
            </w14:solidFill>
          </w14:textFill>
        </w:rPr>
      </w:pPr>
      <w:bookmarkStart w:id="163" w:name="OLE_LINK182"/>
      <w:bookmarkStart w:id="164" w:name="OLE_LINK181"/>
      <w:r>
        <w:rPr>
          <w:rFonts w:ascii="Arial" w:hAnsi="Arial" w:eastAsia="宋体" w:cs="Arial"/>
          <w:color w:val="000000" w:themeColor="text1"/>
          <w:lang w:eastAsia="zh-CN"/>
          <w14:textFill>
            <w14:solidFill>
              <w14:schemeClr w14:val="tx1"/>
            </w14:solidFill>
          </w14:textFill>
        </w:rPr>
        <w:t>ISO 14971-1</w:t>
      </w:r>
      <w:bookmarkEnd w:id="163"/>
      <w:bookmarkEnd w:id="164"/>
      <w:r>
        <w:rPr>
          <w:rFonts w:ascii="Arial" w:hAnsi="Arial" w:eastAsia="宋体" w:cs="Arial"/>
          <w:color w:val="000000" w:themeColor="text1"/>
          <w:lang w:eastAsia="zh-CN"/>
          <w14:textFill>
            <w14:solidFill>
              <w14:schemeClr w14:val="tx1"/>
            </w14:solidFill>
          </w14:textFill>
        </w:rPr>
        <w:t>；医疗器械 – 风险管理 – 第 1部分：风险分析应用。</w:t>
      </w:r>
    </w:p>
    <w:p w14:paraId="2841E04A">
      <w:pPr>
        <w:pStyle w:val="8"/>
        <w:numPr>
          <w:ilvl w:val="1"/>
          <w:numId w:val="6"/>
        </w:numPr>
        <w:tabs>
          <w:tab w:val="left" w:pos="820"/>
        </w:tabs>
        <w:overflowPunct w:val="0"/>
        <w:snapToGrid w:val="0"/>
        <w:spacing w:after="120" w:afterLines="50" w:line="300" w:lineRule="auto"/>
        <w:ind w:left="812" w:leftChars="210" w:hanging="35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AAMI SW68:2001；医疗器械用软件-软件生命周期过程。</w:t>
      </w:r>
    </w:p>
    <w:p w14:paraId="3A424805">
      <w:pPr>
        <w:pStyle w:val="35"/>
        <w:numPr>
          <w:ilvl w:val="0"/>
          <w:numId w:val="1"/>
        </w:numPr>
        <w:tabs>
          <w:tab w:val="left" w:pos="659"/>
        </w:tabs>
        <w:overflowPunct w:val="0"/>
        <w:snapToGrid w:val="0"/>
        <w:spacing w:after="120" w:afterLines="50" w:line="300" w:lineRule="auto"/>
        <w:ind w:left="539" w:hanging="539"/>
        <w:jc w:val="both"/>
        <w:outlineLvl w:val="0"/>
        <w:rPr>
          <w:rFonts w:ascii="Arial" w:hAnsi="Arial" w:eastAsia="宋体" w:cs="Arial"/>
          <w:lang w:eastAsia="zh-CN"/>
        </w:rPr>
      </w:pPr>
      <w:bookmarkStart w:id="165" w:name="_bookmark40"/>
      <w:bookmarkEnd w:id="165"/>
      <w:bookmarkStart w:id="166" w:name="_Toc495603785"/>
      <w:r>
        <w:rPr>
          <w:rFonts w:ascii="Arial" w:hAnsi="Arial" w:eastAsia="宋体" w:cs="Arial"/>
          <w:lang w:eastAsia="zh-CN"/>
        </w:rPr>
        <w:t>标签</w:t>
      </w:r>
      <w:bookmarkEnd w:id="166"/>
    </w:p>
    <w:p w14:paraId="34812956">
      <w:pPr>
        <w:overflowPunct w:val="0"/>
        <w:snapToGrid w:val="0"/>
        <w:spacing w:after="120" w:afterLines="50" w:line="300" w:lineRule="auto"/>
        <w:jc w:val="both"/>
        <w:rPr>
          <w:rFonts w:ascii="Arial" w:hAnsi="Arial" w:eastAsia="宋体" w:cs="Arial"/>
          <w:sz w:val="24"/>
          <w:szCs w:val="24"/>
          <w:lang w:eastAsia="zh-CN"/>
        </w:rPr>
      </w:pPr>
      <w:r>
        <w:rPr>
          <w:rFonts w:hint="eastAsia" w:ascii="Arial" w:hAnsi="Arial" w:eastAsia="宋体" w:cs="Arial"/>
          <w:sz w:val="24"/>
          <w:szCs w:val="24"/>
          <w:lang w:eastAsia="zh-CN"/>
        </w:rPr>
        <w:t>用于</w:t>
      </w:r>
      <w:r>
        <w:rPr>
          <w:rFonts w:ascii="Arial" w:hAnsi="Arial" w:eastAsia="宋体" w:cs="Arial"/>
          <w:sz w:val="24"/>
          <w:szCs w:val="24"/>
          <w:lang w:eastAsia="zh-CN"/>
        </w:rPr>
        <w:t>鉴定阳性血培养中微生物和抗性标记</w:t>
      </w:r>
      <w:r>
        <w:rPr>
          <w:rFonts w:hint="eastAsia" w:ascii="Arial" w:hAnsi="Arial" w:eastAsia="宋体" w:cs="Arial"/>
          <w:sz w:val="24"/>
          <w:szCs w:val="24"/>
          <w:lang w:eastAsia="zh-CN"/>
        </w:rPr>
        <w:t>物</w:t>
      </w:r>
      <w:r>
        <w:rPr>
          <w:rFonts w:ascii="Arial" w:hAnsi="Arial" w:eastAsia="宋体" w:cs="Arial"/>
          <w:sz w:val="24"/>
          <w:szCs w:val="24"/>
          <w:lang w:eastAsia="zh-CN"/>
        </w:rPr>
        <w:t>的多重核酸检测试剂盒</w:t>
      </w:r>
      <w:r>
        <w:rPr>
          <w:rFonts w:hint="eastAsia" w:ascii="Arial" w:hAnsi="Arial" w:eastAsia="宋体" w:cs="Arial"/>
          <w:sz w:val="24"/>
          <w:szCs w:val="24"/>
          <w:lang w:eastAsia="zh-CN"/>
        </w:rPr>
        <w:t>与</w:t>
      </w:r>
      <w:r>
        <w:rPr>
          <w:rFonts w:ascii="Arial" w:hAnsi="Arial" w:eastAsia="宋体" w:cs="Arial"/>
          <w:sz w:val="24"/>
          <w:szCs w:val="24"/>
          <w:lang w:eastAsia="zh-CN"/>
        </w:rPr>
        <w:t>其它器械一样，</w:t>
      </w:r>
      <w:r>
        <w:rPr>
          <w:rFonts w:hint="eastAsia" w:ascii="Arial" w:hAnsi="Arial" w:eastAsia="宋体" w:cs="Arial"/>
          <w:sz w:val="24"/>
          <w:szCs w:val="24"/>
          <w:lang w:eastAsia="zh-CN"/>
        </w:rPr>
        <w:t>需要符合法定的</w:t>
      </w:r>
      <w:r>
        <w:rPr>
          <w:rFonts w:ascii="Arial" w:hAnsi="Arial" w:eastAsia="宋体" w:cs="Arial"/>
          <w:sz w:val="24"/>
          <w:szCs w:val="24"/>
          <w:lang w:eastAsia="zh-CN"/>
        </w:rPr>
        <w:t>标签要求（包括FD&amp;C 法案</w:t>
      </w:r>
      <w:r>
        <w:rPr>
          <w:rFonts w:hint="eastAsia" w:ascii="Arial" w:hAnsi="Arial" w:eastAsia="宋体" w:cs="Arial"/>
          <w:sz w:val="24"/>
          <w:szCs w:val="24"/>
          <w:lang w:eastAsia="zh-CN"/>
        </w:rPr>
        <w:t>第</w:t>
      </w:r>
      <w:r>
        <w:rPr>
          <w:rFonts w:ascii="Arial" w:hAnsi="Arial" w:eastAsia="宋体" w:cs="Arial"/>
          <w:sz w:val="24"/>
          <w:szCs w:val="24"/>
          <w:lang w:eastAsia="zh-CN"/>
        </w:rPr>
        <w:t>201（n） 和 502（a）节；21 U.S.C. 321（n） 和 352（a））。这些体外诊断（IVD）器械必须提供充分的使用说明和充分的警告信息和预防措施（FD&amp;C 法案的（</w:t>
      </w:r>
      <w:r>
        <w:rPr>
          <w:rFonts w:hint="eastAsia" w:ascii="Arial" w:hAnsi="Arial" w:eastAsia="宋体" w:cs="Arial"/>
          <w:sz w:val="24"/>
          <w:szCs w:val="24"/>
          <w:lang w:eastAsia="zh-CN"/>
        </w:rPr>
        <w:t>第</w:t>
      </w:r>
      <w:r>
        <w:rPr>
          <w:rFonts w:ascii="Arial" w:hAnsi="Arial" w:eastAsia="宋体" w:cs="Arial"/>
          <w:sz w:val="24"/>
          <w:szCs w:val="24"/>
          <w:lang w:eastAsia="zh-CN"/>
        </w:rPr>
        <w:t>502（f）节；21 USC § 352（f））。对所有IVD器械的具体标签要求</w:t>
      </w:r>
      <w:r>
        <w:rPr>
          <w:rFonts w:hint="eastAsia" w:ascii="Arial" w:hAnsi="Arial" w:eastAsia="宋体" w:cs="Arial"/>
          <w:sz w:val="24"/>
          <w:szCs w:val="24"/>
          <w:lang w:eastAsia="zh-CN"/>
        </w:rPr>
        <w:t>参</w:t>
      </w:r>
      <w:r>
        <w:rPr>
          <w:rFonts w:ascii="Arial" w:hAnsi="Arial" w:eastAsia="宋体" w:cs="Arial"/>
          <w:sz w:val="24"/>
          <w:szCs w:val="24"/>
          <w:lang w:eastAsia="zh-CN"/>
        </w:rPr>
        <w:t xml:space="preserve">见21 CFR </w:t>
      </w:r>
      <w:r>
        <w:rPr>
          <w:rFonts w:hint="eastAsia" w:ascii="Arial" w:hAnsi="Arial" w:eastAsia="宋体" w:cs="Arial"/>
          <w:sz w:val="24"/>
          <w:szCs w:val="24"/>
          <w:lang w:eastAsia="zh-CN"/>
        </w:rPr>
        <w:t>第</w:t>
      </w:r>
      <w:r>
        <w:rPr>
          <w:rFonts w:ascii="Arial" w:hAnsi="Arial" w:eastAsia="宋体" w:cs="Arial"/>
          <w:sz w:val="24"/>
          <w:szCs w:val="24"/>
          <w:lang w:eastAsia="zh-CN"/>
        </w:rPr>
        <w:t>801 和 809部分。</w:t>
      </w:r>
    </w:p>
    <w:p w14:paraId="4C63ACE0">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贵公司</w:t>
      </w:r>
      <w:r>
        <w:rPr>
          <w:rFonts w:hint="eastAsia" w:ascii="Arial" w:hAnsi="Arial" w:eastAsia="宋体" w:cs="Arial"/>
          <w:sz w:val="24"/>
          <w:szCs w:val="24"/>
          <w:lang w:eastAsia="zh-CN"/>
        </w:rPr>
        <w:t>用于</w:t>
      </w:r>
      <w:r>
        <w:rPr>
          <w:rFonts w:ascii="Arial" w:hAnsi="Arial" w:eastAsia="宋体" w:cs="Arial"/>
          <w:sz w:val="24"/>
          <w:szCs w:val="24"/>
          <w:lang w:eastAsia="zh-CN"/>
        </w:rPr>
        <w:t>鉴定阳性血培养中微生物和抗性标记</w:t>
      </w:r>
      <w:r>
        <w:rPr>
          <w:rFonts w:hint="eastAsia" w:ascii="Arial" w:hAnsi="Arial" w:eastAsia="宋体" w:cs="Arial"/>
          <w:sz w:val="24"/>
          <w:szCs w:val="24"/>
          <w:lang w:eastAsia="zh-CN"/>
        </w:rPr>
        <w:t>物</w:t>
      </w:r>
      <w:r>
        <w:rPr>
          <w:rFonts w:ascii="Arial" w:hAnsi="Arial" w:eastAsia="宋体" w:cs="Arial"/>
          <w:sz w:val="24"/>
          <w:szCs w:val="24"/>
          <w:lang w:eastAsia="zh-CN"/>
        </w:rPr>
        <w:t>的多重核酸检测试剂盒的符合21 CFR 809.10（b）的标签也必须</w:t>
      </w:r>
      <w:r>
        <w:rPr>
          <w:rFonts w:hint="eastAsia" w:ascii="Arial" w:hAnsi="Arial" w:eastAsia="宋体" w:cs="Arial"/>
          <w:sz w:val="24"/>
          <w:szCs w:val="24"/>
          <w:lang w:eastAsia="zh-CN"/>
        </w:rPr>
        <w:t>包含以下</w:t>
      </w:r>
      <w:r>
        <w:rPr>
          <w:rFonts w:ascii="Arial" w:hAnsi="Arial" w:eastAsia="宋体" w:cs="Arial"/>
          <w:sz w:val="24"/>
          <w:szCs w:val="24"/>
          <w:lang w:eastAsia="zh-CN"/>
        </w:rPr>
        <w:t>描述的信息。这些标签信息帮助</w:t>
      </w:r>
      <w:r>
        <w:rPr>
          <w:rFonts w:hint="eastAsia" w:ascii="Arial" w:hAnsi="Arial" w:eastAsia="宋体" w:cs="Arial"/>
          <w:sz w:val="24"/>
          <w:szCs w:val="24"/>
          <w:lang w:eastAsia="zh-CN"/>
        </w:rPr>
        <w:t>缓解</w:t>
      </w:r>
      <w:r>
        <w:rPr>
          <w:rFonts w:ascii="Arial" w:hAnsi="Arial" w:eastAsia="宋体" w:cs="Arial"/>
          <w:sz w:val="24"/>
          <w:szCs w:val="24"/>
          <w:lang w:eastAsia="zh-CN"/>
        </w:rPr>
        <w:t>本指南中</w:t>
      </w:r>
      <w:r>
        <w:rPr>
          <w:rFonts w:hint="eastAsia" w:ascii="Arial" w:hAnsi="Arial" w:eastAsia="宋体" w:cs="Arial"/>
          <w:sz w:val="24"/>
          <w:szCs w:val="24"/>
          <w:lang w:eastAsia="zh-CN"/>
        </w:rPr>
        <w:t>确定</w:t>
      </w:r>
      <w:r>
        <w:rPr>
          <w:rFonts w:ascii="Arial" w:hAnsi="Arial" w:eastAsia="宋体" w:cs="Arial"/>
          <w:sz w:val="24"/>
          <w:szCs w:val="24"/>
          <w:lang w:eastAsia="zh-CN"/>
        </w:rPr>
        <w:t>的风险以确保这些器械的安全和有效使用。即使</w:t>
      </w:r>
      <w:r>
        <w:rPr>
          <w:rFonts w:hint="eastAsia" w:ascii="Arial" w:hAnsi="Arial" w:eastAsia="宋体" w:cs="Arial"/>
          <w:sz w:val="24"/>
          <w:szCs w:val="24"/>
          <w:lang w:eastAsia="zh-CN"/>
        </w:rPr>
        <w:t>以下</w:t>
      </w:r>
      <w:r>
        <w:rPr>
          <w:rFonts w:ascii="Arial" w:hAnsi="Arial" w:eastAsia="宋体" w:cs="Arial"/>
          <w:sz w:val="24"/>
          <w:szCs w:val="24"/>
          <w:lang w:eastAsia="zh-CN"/>
        </w:rPr>
        <w:t>未提到，器械标签也必须解决21 CFR 809.10中的所有要求。</w:t>
      </w:r>
    </w:p>
    <w:p w14:paraId="49ACC96B">
      <w:pPr>
        <w:pStyle w:val="36"/>
        <w:numPr>
          <w:ilvl w:val="0"/>
          <w:numId w:val="11"/>
        </w:numPr>
        <w:tabs>
          <w:tab w:val="left" w:pos="521"/>
        </w:tabs>
        <w:overflowPunct w:val="0"/>
        <w:snapToGrid w:val="0"/>
        <w:spacing w:after="120" w:afterLines="50" w:line="300" w:lineRule="auto"/>
        <w:ind w:left="437" w:hanging="437"/>
        <w:jc w:val="both"/>
        <w:outlineLvl w:val="1"/>
        <w:rPr>
          <w:rFonts w:ascii="Arial" w:hAnsi="Arial" w:eastAsia="宋体" w:cs="Arial"/>
          <w:b w:val="0"/>
          <w:bCs w:val="0"/>
        </w:rPr>
      </w:pPr>
      <w:bookmarkStart w:id="167" w:name="a.___Intended_Use"/>
      <w:bookmarkEnd w:id="167"/>
      <w:bookmarkStart w:id="168" w:name="d.___Directions_for_Use"/>
      <w:bookmarkEnd w:id="168"/>
      <w:bookmarkStart w:id="169" w:name="b.___Device_Description"/>
      <w:bookmarkEnd w:id="169"/>
      <w:bookmarkStart w:id="170" w:name="e.___Quality_Control"/>
      <w:bookmarkEnd w:id="170"/>
      <w:bookmarkStart w:id="171" w:name="f.___Warnings,_Contraindications,_Precau"/>
      <w:bookmarkEnd w:id="171"/>
      <w:bookmarkStart w:id="172" w:name="_bookmark41"/>
      <w:bookmarkEnd w:id="172"/>
      <w:bookmarkStart w:id="173" w:name="c.___Procedure"/>
      <w:bookmarkEnd w:id="173"/>
      <w:bookmarkStart w:id="174" w:name="_Toc495603786"/>
      <w:r>
        <w:rPr>
          <w:rFonts w:ascii="Arial" w:hAnsi="Arial" w:eastAsia="宋体" w:cs="Arial"/>
          <w:lang w:eastAsia="zh-CN"/>
        </w:rPr>
        <w:t>预期用途</w:t>
      </w:r>
      <w:bookmarkEnd w:id="174"/>
    </w:p>
    <w:p w14:paraId="3CC41987">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预期用途声明必须清晰详细地说明器械的预期用途，预期检测的具体人群和</w:t>
      </w:r>
      <w:r>
        <w:rPr>
          <w:rFonts w:hint="eastAsia" w:ascii="Arial" w:hAnsi="Arial" w:eastAsia="宋体" w:cs="Arial"/>
          <w:lang w:eastAsia="zh-CN"/>
        </w:rPr>
        <w:t>样本</w:t>
      </w:r>
      <w:r>
        <w:rPr>
          <w:rFonts w:ascii="Arial" w:hAnsi="Arial" w:eastAsia="宋体" w:cs="Arial"/>
          <w:lang w:eastAsia="zh-CN"/>
        </w:rPr>
        <w:t>类型（例如阳性血培养）和适当的器械使用的其它重要方面（例如器械是否必须与培养和/或革兰氏染色结合使用）。预期用途必须清晰</w:t>
      </w:r>
      <w:r>
        <w:rPr>
          <w:rFonts w:hint="eastAsia" w:ascii="Arial" w:hAnsi="Arial" w:eastAsia="宋体" w:cs="Arial"/>
          <w:lang w:eastAsia="zh-CN"/>
        </w:rPr>
        <w:t>描述</w:t>
      </w:r>
      <w:r>
        <w:rPr>
          <w:rFonts w:ascii="Arial" w:hAnsi="Arial" w:eastAsia="宋体" w:cs="Arial"/>
          <w:lang w:eastAsia="zh-CN"/>
        </w:rPr>
        <w:t>器械仅用于辅助诊断血流感染。基于临床研究结果得到的其它资格也可能适当。</w:t>
      </w:r>
    </w:p>
    <w:p w14:paraId="0505953C">
      <w:pPr>
        <w:pStyle w:val="36"/>
        <w:numPr>
          <w:ilvl w:val="0"/>
          <w:numId w:val="11"/>
        </w:numPr>
        <w:tabs>
          <w:tab w:val="left" w:pos="535"/>
        </w:tabs>
        <w:overflowPunct w:val="0"/>
        <w:snapToGrid w:val="0"/>
        <w:spacing w:after="120" w:afterLines="50" w:line="300" w:lineRule="auto"/>
        <w:ind w:left="437" w:hanging="437"/>
        <w:jc w:val="both"/>
        <w:outlineLvl w:val="1"/>
        <w:rPr>
          <w:rFonts w:ascii="Arial" w:hAnsi="Arial" w:eastAsia="宋体" w:cs="Arial"/>
          <w:lang w:eastAsia="zh-CN"/>
        </w:rPr>
      </w:pPr>
      <w:bookmarkStart w:id="175" w:name="_bookmark42"/>
      <w:bookmarkEnd w:id="175"/>
      <w:bookmarkStart w:id="176" w:name="_Toc495603787"/>
      <w:r>
        <w:rPr>
          <w:rFonts w:ascii="Arial" w:hAnsi="Arial" w:eastAsia="宋体" w:cs="Arial"/>
          <w:lang w:eastAsia="zh-CN"/>
        </w:rPr>
        <w:t>器械说明</w:t>
      </w:r>
      <w:bookmarkEnd w:id="176"/>
    </w:p>
    <w:p w14:paraId="304B451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器械说明部分必须简要描述器械所用测试方法学。</w:t>
      </w:r>
    </w:p>
    <w:p w14:paraId="0D67E26A">
      <w:pPr>
        <w:pStyle w:val="36"/>
        <w:numPr>
          <w:ilvl w:val="0"/>
          <w:numId w:val="11"/>
        </w:numPr>
        <w:tabs>
          <w:tab w:val="left" w:pos="504"/>
        </w:tabs>
        <w:overflowPunct w:val="0"/>
        <w:snapToGrid w:val="0"/>
        <w:spacing w:after="120" w:afterLines="50" w:line="300" w:lineRule="auto"/>
        <w:ind w:left="437" w:hanging="437"/>
        <w:jc w:val="both"/>
        <w:outlineLvl w:val="1"/>
        <w:rPr>
          <w:rFonts w:ascii="Arial" w:hAnsi="Arial" w:eastAsia="宋体" w:cs="Arial"/>
          <w:b w:val="0"/>
          <w:bCs w:val="0"/>
        </w:rPr>
      </w:pPr>
      <w:bookmarkStart w:id="177" w:name="_bookmark43"/>
      <w:bookmarkEnd w:id="177"/>
      <w:bookmarkStart w:id="178" w:name="_Toc495603788"/>
      <w:r>
        <w:rPr>
          <w:rFonts w:ascii="Arial" w:hAnsi="Arial" w:eastAsia="宋体" w:cs="Arial"/>
          <w:lang w:eastAsia="zh-CN"/>
        </w:rPr>
        <w:t>检测程序</w:t>
      </w:r>
      <w:bookmarkEnd w:id="178"/>
    </w:p>
    <w:p w14:paraId="405D27CC">
      <w:pPr>
        <w:pStyle w:val="8"/>
        <w:overflowPunct w:val="0"/>
        <w:snapToGrid w:val="0"/>
        <w:spacing w:after="120" w:afterLines="50" w:line="300" w:lineRule="auto"/>
        <w:ind w:left="0"/>
        <w:jc w:val="both"/>
        <w:rPr>
          <w:rFonts w:ascii="Arial" w:hAnsi="Arial" w:eastAsia="宋体" w:cs="Arial"/>
          <w:lang w:eastAsia="zh-CN"/>
        </w:rPr>
      </w:pPr>
      <w:r>
        <w:rPr>
          <w:rFonts w:hint="eastAsia" w:ascii="Arial" w:hAnsi="Arial" w:eastAsia="宋体" w:cs="Arial"/>
          <w:lang w:eastAsia="zh-CN"/>
        </w:rPr>
        <w:t>该</w:t>
      </w:r>
      <w:r>
        <w:rPr>
          <w:rFonts w:ascii="Arial" w:hAnsi="Arial" w:eastAsia="宋体" w:cs="Arial"/>
          <w:lang w:eastAsia="zh-CN"/>
        </w:rPr>
        <w:t>部分必须描述从患者取样至报告结果的整个检测过程。</w:t>
      </w:r>
    </w:p>
    <w:p w14:paraId="341642A9">
      <w:pPr>
        <w:pStyle w:val="36"/>
        <w:numPr>
          <w:ilvl w:val="0"/>
          <w:numId w:val="11"/>
        </w:numPr>
        <w:tabs>
          <w:tab w:val="left" w:pos="535"/>
        </w:tabs>
        <w:overflowPunct w:val="0"/>
        <w:snapToGrid w:val="0"/>
        <w:spacing w:after="120" w:afterLines="50" w:line="300" w:lineRule="auto"/>
        <w:ind w:left="437" w:hanging="437"/>
        <w:jc w:val="both"/>
        <w:outlineLvl w:val="1"/>
        <w:rPr>
          <w:rFonts w:ascii="Arial" w:hAnsi="Arial" w:eastAsia="宋体" w:cs="Arial"/>
          <w:b w:val="0"/>
          <w:bCs w:val="0"/>
        </w:rPr>
      </w:pPr>
      <w:bookmarkStart w:id="179" w:name="_bookmark44"/>
      <w:bookmarkEnd w:id="179"/>
      <w:bookmarkStart w:id="180" w:name="_Toc495603789"/>
      <w:r>
        <w:rPr>
          <w:rFonts w:ascii="Arial" w:hAnsi="Arial" w:eastAsia="宋体" w:cs="Arial"/>
          <w:lang w:eastAsia="zh-CN"/>
        </w:rPr>
        <w:t>使用说明</w:t>
      </w:r>
      <w:bookmarkEnd w:id="180"/>
    </w:p>
    <w:p w14:paraId="3F96D1A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使用说明必须清晰地系统性地描述器械使用步骤和使不准确结果风险降至最低的控制措施。说明书必须鼓励采用其它控制措施和质控品检测以确保安全有效使用。</w:t>
      </w:r>
    </w:p>
    <w:p w14:paraId="1F93D163">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必须包含器械处理和储存说明及器械和任何试剂或其它组分在开放和密闭两种储存条件下的到期日。</w:t>
      </w:r>
    </w:p>
    <w:p w14:paraId="79BD6C88">
      <w:pPr>
        <w:pStyle w:val="36"/>
        <w:numPr>
          <w:ilvl w:val="0"/>
          <w:numId w:val="11"/>
        </w:numPr>
        <w:tabs>
          <w:tab w:val="left" w:pos="504"/>
        </w:tabs>
        <w:overflowPunct w:val="0"/>
        <w:snapToGrid w:val="0"/>
        <w:spacing w:after="120" w:afterLines="50" w:line="300" w:lineRule="auto"/>
        <w:ind w:left="437" w:hanging="437"/>
        <w:jc w:val="both"/>
        <w:outlineLvl w:val="1"/>
        <w:rPr>
          <w:rFonts w:ascii="Arial" w:hAnsi="Arial" w:eastAsia="宋体" w:cs="Arial"/>
          <w:b w:val="0"/>
          <w:bCs w:val="0"/>
        </w:rPr>
      </w:pPr>
      <w:bookmarkStart w:id="181" w:name="_bookmark45"/>
      <w:bookmarkEnd w:id="181"/>
      <w:bookmarkStart w:id="182" w:name="_Toc495603790"/>
      <w:r>
        <w:rPr>
          <w:rFonts w:ascii="Arial" w:hAnsi="Arial" w:eastAsia="宋体" w:cs="Arial"/>
          <w:lang w:eastAsia="zh-CN"/>
        </w:rPr>
        <w:t>质量控制</w:t>
      </w:r>
      <w:bookmarkEnd w:id="182"/>
    </w:p>
    <w:p w14:paraId="5283E933">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包装说明书内的质量控制建议必须清晰说明哪些质控品必须与检测试剂盒一同使用和质控品的预期结果。</w:t>
      </w:r>
    </w:p>
    <w:p w14:paraId="16680D58">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如果器械内包含质控品，510（k）提交资料中必须包含质控品</w:t>
      </w:r>
      <w:r>
        <w:rPr>
          <w:rFonts w:hint="eastAsia" w:ascii="Arial" w:hAnsi="Arial" w:eastAsia="宋体" w:cs="Arial"/>
          <w:lang w:eastAsia="zh-CN"/>
        </w:rPr>
        <w:t>质量标准</w:t>
      </w:r>
      <w:r>
        <w:rPr>
          <w:rFonts w:ascii="Arial" w:hAnsi="Arial" w:eastAsia="宋体" w:cs="Arial"/>
          <w:lang w:eastAsia="zh-CN"/>
        </w:rPr>
        <w:t>。</w:t>
      </w:r>
    </w:p>
    <w:p w14:paraId="194BA2BD">
      <w:pPr>
        <w:pStyle w:val="36"/>
        <w:numPr>
          <w:ilvl w:val="0"/>
          <w:numId w:val="11"/>
        </w:numPr>
        <w:tabs>
          <w:tab w:val="left" w:pos="521"/>
        </w:tabs>
        <w:overflowPunct w:val="0"/>
        <w:snapToGrid w:val="0"/>
        <w:spacing w:after="120" w:afterLines="50" w:line="300" w:lineRule="auto"/>
        <w:ind w:left="437" w:hanging="437"/>
        <w:jc w:val="both"/>
        <w:outlineLvl w:val="1"/>
        <w:rPr>
          <w:rFonts w:ascii="Arial" w:hAnsi="Arial" w:eastAsia="宋体" w:cs="Arial"/>
          <w:b w:val="0"/>
          <w:bCs w:val="0"/>
          <w:lang w:eastAsia="zh-CN"/>
        </w:rPr>
      </w:pPr>
      <w:bookmarkStart w:id="183" w:name="_bookmark46"/>
      <w:bookmarkEnd w:id="183"/>
      <w:bookmarkStart w:id="184" w:name="_Toc495603791"/>
      <w:r>
        <w:rPr>
          <w:rFonts w:ascii="Arial" w:hAnsi="Arial" w:eastAsia="宋体" w:cs="Arial"/>
          <w:lang w:eastAsia="zh-CN"/>
        </w:rPr>
        <w:t>警告、禁忌症、预防措施和局限性</w:t>
      </w:r>
      <w:bookmarkEnd w:id="184"/>
    </w:p>
    <w:p w14:paraId="548273E1">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器械标签内必须含与具体器械相关的所有警告</w:t>
      </w:r>
      <w:r>
        <w:rPr>
          <w:rFonts w:hint="eastAsia" w:ascii="Arial" w:hAnsi="Arial" w:eastAsia="宋体" w:cs="Arial"/>
          <w:lang w:eastAsia="zh-CN"/>
        </w:rPr>
        <w:t>、</w:t>
      </w:r>
      <w:r>
        <w:rPr>
          <w:rFonts w:ascii="Arial" w:hAnsi="Arial" w:eastAsia="宋体" w:cs="Arial"/>
          <w:lang w:eastAsia="zh-CN"/>
        </w:rPr>
        <w:t>禁忌症</w:t>
      </w:r>
      <w:r>
        <w:rPr>
          <w:rFonts w:hint="eastAsia" w:ascii="Arial" w:hAnsi="Arial" w:eastAsia="宋体" w:cs="Arial"/>
          <w:lang w:eastAsia="zh-CN"/>
        </w:rPr>
        <w:t>、</w:t>
      </w:r>
      <w:r>
        <w:rPr>
          <w:rFonts w:ascii="Arial" w:hAnsi="Arial" w:eastAsia="宋体" w:cs="Arial"/>
          <w:lang w:eastAsia="zh-CN"/>
        </w:rPr>
        <w:t>预防措施和局限性。作为最低要求，标签中必须讨论用于哪些人群时器械性能可能不同或未研究器械对于哪些人群的作用（例如儿科）。此外，局限性必须包含以下声明：</w:t>
      </w:r>
    </w:p>
    <w:p w14:paraId="5AC7450F">
      <w:pPr>
        <w:pStyle w:val="8"/>
        <w:numPr>
          <w:ilvl w:val="1"/>
          <w:numId w:val="11"/>
        </w:numPr>
        <w:tabs>
          <w:tab w:val="left" w:pos="840"/>
        </w:tabs>
        <w:overflowPunct w:val="0"/>
        <w:snapToGrid w:val="0"/>
        <w:spacing w:line="300" w:lineRule="auto"/>
        <w:ind w:left="842" w:leftChars="210" w:hanging="380"/>
        <w:jc w:val="both"/>
        <w:rPr>
          <w:rFonts w:ascii="Arial" w:hAnsi="Arial" w:eastAsia="宋体" w:cs="Arial"/>
          <w:lang w:eastAsia="zh-CN"/>
        </w:rPr>
      </w:pPr>
      <w:r>
        <w:rPr>
          <w:rFonts w:ascii="Arial" w:hAnsi="Arial" w:eastAsia="宋体" w:cs="Arial"/>
          <w:lang w:eastAsia="zh-CN"/>
        </w:rPr>
        <w:br w:type="page"/>
      </w:r>
      <w:bookmarkStart w:id="185" w:name="h.___Interpretation_and_Reporting_of_Ass"/>
      <w:bookmarkEnd w:id="185"/>
      <w:r>
        <w:rPr>
          <w:rFonts w:ascii="Arial" w:hAnsi="Arial" w:eastAsia="宋体" w:cs="Arial"/>
          <w:lang w:eastAsia="zh-CN"/>
        </w:rPr>
        <w:t>经培训的医疗保健专业人员应结合患者病史</w:t>
      </w:r>
      <w:r>
        <w:rPr>
          <w:rFonts w:hint="eastAsia" w:ascii="Arial" w:hAnsi="Arial" w:eastAsia="宋体" w:cs="Arial"/>
          <w:lang w:eastAsia="zh-CN"/>
        </w:rPr>
        <w:t>、</w:t>
      </w:r>
      <w:r>
        <w:rPr>
          <w:rFonts w:ascii="Arial" w:hAnsi="Arial" w:eastAsia="宋体" w:cs="Arial"/>
          <w:lang w:eastAsia="zh-CN"/>
        </w:rPr>
        <w:t>临床体征和症状和其它诊断试验结果解释检测结果。</w:t>
      </w:r>
    </w:p>
    <w:p w14:paraId="09DD86B1">
      <w:pPr>
        <w:pStyle w:val="8"/>
        <w:numPr>
          <w:ilvl w:val="1"/>
          <w:numId w:val="11"/>
        </w:numPr>
        <w:tabs>
          <w:tab w:val="left" w:pos="840"/>
        </w:tabs>
        <w:overflowPunct w:val="0"/>
        <w:snapToGrid w:val="0"/>
        <w:spacing w:line="300" w:lineRule="auto"/>
        <w:ind w:left="842" w:leftChars="210" w:hanging="380"/>
        <w:jc w:val="both"/>
        <w:rPr>
          <w:rFonts w:ascii="Arial" w:hAnsi="Arial" w:eastAsia="宋体" w:cs="Arial"/>
          <w:lang w:eastAsia="zh-CN"/>
        </w:rPr>
      </w:pPr>
      <w:r>
        <w:rPr>
          <w:rFonts w:ascii="Arial" w:hAnsi="Arial" w:eastAsia="宋体" w:cs="Arial"/>
          <w:lang w:eastAsia="zh-CN"/>
        </w:rPr>
        <w:t>细菌核酸的检测取决于适当的标本采集</w:t>
      </w:r>
      <w:r>
        <w:rPr>
          <w:rFonts w:hint="eastAsia" w:ascii="Arial" w:hAnsi="Arial" w:eastAsia="宋体" w:cs="Arial"/>
          <w:lang w:eastAsia="zh-CN"/>
        </w:rPr>
        <w:t>、</w:t>
      </w:r>
      <w:r>
        <w:rPr>
          <w:rFonts w:ascii="Arial" w:hAnsi="Arial" w:eastAsia="宋体" w:cs="Arial"/>
          <w:lang w:eastAsia="zh-CN"/>
        </w:rPr>
        <w:t>处理</w:t>
      </w:r>
      <w:r>
        <w:rPr>
          <w:rFonts w:hint="eastAsia" w:ascii="Arial" w:hAnsi="Arial" w:eastAsia="宋体" w:cs="Arial"/>
          <w:lang w:eastAsia="zh-CN"/>
        </w:rPr>
        <w:t>、</w:t>
      </w:r>
      <w:r>
        <w:rPr>
          <w:rFonts w:ascii="Arial" w:hAnsi="Arial" w:eastAsia="宋体" w:cs="Arial"/>
          <w:lang w:eastAsia="zh-CN"/>
        </w:rPr>
        <w:t>运输</w:t>
      </w:r>
      <w:r>
        <w:rPr>
          <w:rFonts w:hint="eastAsia" w:ascii="Arial" w:hAnsi="Arial" w:eastAsia="宋体" w:cs="Arial"/>
          <w:lang w:eastAsia="zh-CN"/>
        </w:rPr>
        <w:t>、</w:t>
      </w:r>
      <w:r>
        <w:rPr>
          <w:rFonts w:ascii="Arial" w:hAnsi="Arial" w:eastAsia="宋体" w:cs="Arial"/>
          <w:lang w:eastAsia="zh-CN"/>
        </w:rPr>
        <w:t>储存和制备，包括提取。不遵守这些步骤中的任何正确程序</w:t>
      </w:r>
      <w:r>
        <w:rPr>
          <w:rFonts w:hint="eastAsia" w:ascii="Arial" w:hAnsi="Arial" w:eastAsia="宋体" w:cs="Arial"/>
          <w:lang w:eastAsia="zh-CN"/>
        </w:rPr>
        <w:t>均</w:t>
      </w:r>
      <w:r>
        <w:rPr>
          <w:rFonts w:ascii="Arial" w:hAnsi="Arial" w:eastAsia="宋体" w:cs="Arial"/>
          <w:lang w:eastAsia="zh-CN"/>
        </w:rPr>
        <w:t>会导致错误结果。</w:t>
      </w:r>
    </w:p>
    <w:p w14:paraId="559073E8">
      <w:pPr>
        <w:pStyle w:val="8"/>
        <w:numPr>
          <w:ilvl w:val="1"/>
          <w:numId w:val="11"/>
        </w:numPr>
        <w:tabs>
          <w:tab w:val="left" w:pos="840"/>
        </w:tabs>
        <w:overflowPunct w:val="0"/>
        <w:snapToGrid w:val="0"/>
        <w:spacing w:line="300" w:lineRule="auto"/>
        <w:ind w:left="842" w:leftChars="210" w:hanging="380"/>
        <w:jc w:val="both"/>
        <w:rPr>
          <w:rFonts w:ascii="Arial" w:hAnsi="Arial" w:eastAsia="宋体" w:cs="Arial"/>
          <w:lang w:eastAsia="zh-CN"/>
        </w:rPr>
      </w:pPr>
      <w:bookmarkStart w:id="186" w:name="OLE_LINK187"/>
      <w:r>
        <w:rPr>
          <w:rFonts w:ascii="Arial" w:hAnsi="Arial" w:eastAsia="宋体" w:cs="Arial"/>
          <w:lang w:eastAsia="zh-CN"/>
        </w:rPr>
        <w:t>需要在固体培养基</w:t>
      </w:r>
      <w:bookmarkEnd w:id="186"/>
      <w:r>
        <w:rPr>
          <w:rFonts w:ascii="Arial" w:hAnsi="Arial" w:eastAsia="宋体" w:cs="Arial"/>
          <w:lang w:eastAsia="zh-CN"/>
        </w:rPr>
        <w:t>上进行</w:t>
      </w:r>
      <w:r>
        <w:rPr>
          <w:rFonts w:hint="eastAsia" w:ascii="Arial" w:hAnsi="Arial" w:eastAsia="宋体" w:cs="Arial"/>
          <w:lang w:eastAsia="zh-CN"/>
        </w:rPr>
        <w:t>分离</w:t>
      </w:r>
      <w:r>
        <w:rPr>
          <w:rFonts w:ascii="Arial" w:hAnsi="Arial" w:eastAsia="宋体" w:cs="Arial"/>
          <w:lang w:eastAsia="zh-CN"/>
        </w:rPr>
        <w:t>，以区分与其它微生物的混合生长和鉴定器械检测为阴性结果的阳性血培养。</w:t>
      </w:r>
    </w:p>
    <w:p w14:paraId="6EED0B0D">
      <w:pPr>
        <w:pStyle w:val="8"/>
        <w:numPr>
          <w:ilvl w:val="1"/>
          <w:numId w:val="11"/>
        </w:numPr>
        <w:tabs>
          <w:tab w:val="left" w:pos="840"/>
        </w:tabs>
        <w:overflowPunct w:val="0"/>
        <w:snapToGrid w:val="0"/>
        <w:spacing w:line="300" w:lineRule="auto"/>
        <w:ind w:left="842" w:leftChars="210" w:hanging="380"/>
        <w:jc w:val="both"/>
        <w:rPr>
          <w:rFonts w:ascii="Arial" w:hAnsi="Arial" w:eastAsia="宋体" w:cs="Arial"/>
          <w:lang w:eastAsia="zh-CN"/>
        </w:rPr>
      </w:pPr>
      <w:r>
        <w:rPr>
          <w:rFonts w:ascii="Arial" w:hAnsi="Arial" w:eastAsia="宋体" w:cs="Arial"/>
          <w:lang w:eastAsia="zh-CN"/>
        </w:rPr>
        <w:t>不恰当的标本采集</w:t>
      </w:r>
      <w:r>
        <w:rPr>
          <w:rFonts w:hint="eastAsia" w:ascii="Arial" w:hAnsi="Arial" w:eastAsia="宋体" w:cs="Arial"/>
          <w:lang w:eastAsia="zh-CN"/>
        </w:rPr>
        <w:t>、</w:t>
      </w:r>
      <w:r>
        <w:rPr>
          <w:rFonts w:ascii="Arial" w:hAnsi="Arial" w:eastAsia="宋体" w:cs="Arial"/>
          <w:lang w:eastAsia="zh-CN"/>
        </w:rPr>
        <w:t>处理或储存</w:t>
      </w:r>
      <w:r>
        <w:rPr>
          <w:rFonts w:hint="eastAsia" w:ascii="Arial" w:hAnsi="Arial" w:eastAsia="宋体" w:cs="Arial"/>
          <w:lang w:eastAsia="zh-CN"/>
        </w:rPr>
        <w:t>、</w:t>
      </w:r>
      <w:r>
        <w:rPr>
          <w:rFonts w:ascii="Arial" w:hAnsi="Arial" w:eastAsia="宋体" w:cs="Arial"/>
          <w:lang w:eastAsia="zh-CN"/>
        </w:rPr>
        <w:t>技术错误</w:t>
      </w:r>
      <w:r>
        <w:rPr>
          <w:rFonts w:hint="eastAsia" w:ascii="Arial" w:hAnsi="Arial" w:eastAsia="宋体" w:cs="Arial"/>
          <w:lang w:eastAsia="zh-CN"/>
        </w:rPr>
        <w:t>、</w:t>
      </w:r>
      <w:r>
        <w:rPr>
          <w:rFonts w:ascii="Arial" w:hAnsi="Arial" w:eastAsia="宋体" w:cs="Arial"/>
          <w:lang w:eastAsia="zh-CN"/>
        </w:rPr>
        <w:t>样本混合</w:t>
      </w:r>
      <w:r>
        <w:rPr>
          <w:rFonts w:hint="eastAsia" w:ascii="Arial" w:hAnsi="Arial" w:eastAsia="宋体" w:cs="Arial"/>
          <w:lang w:eastAsia="zh-CN"/>
        </w:rPr>
        <w:t>、</w:t>
      </w:r>
      <w:r>
        <w:rPr>
          <w:rFonts w:ascii="Arial" w:hAnsi="Arial" w:eastAsia="宋体" w:cs="Arial"/>
          <w:lang w:eastAsia="zh-CN"/>
        </w:rPr>
        <w:t>目标浓度低于试验的分析敏感性或低于培养瓶的报阳浓度（可能由其它微生物生长导致）</w:t>
      </w:r>
      <w:r>
        <w:rPr>
          <w:rFonts w:hint="eastAsia" w:ascii="Arial" w:hAnsi="Arial" w:eastAsia="宋体" w:cs="Arial"/>
          <w:lang w:eastAsia="zh-CN"/>
        </w:rPr>
        <w:t>均</w:t>
      </w:r>
      <w:r>
        <w:rPr>
          <w:rFonts w:ascii="Arial" w:hAnsi="Arial" w:eastAsia="宋体" w:cs="Arial"/>
          <w:lang w:eastAsia="zh-CN"/>
        </w:rPr>
        <w:t>可能导致出现假阴性结果。</w:t>
      </w:r>
    </w:p>
    <w:p w14:paraId="4EAF5243">
      <w:pPr>
        <w:pStyle w:val="8"/>
        <w:numPr>
          <w:ilvl w:val="1"/>
          <w:numId w:val="11"/>
        </w:numPr>
        <w:tabs>
          <w:tab w:val="left" w:pos="840"/>
        </w:tabs>
        <w:overflowPunct w:val="0"/>
        <w:snapToGrid w:val="0"/>
        <w:spacing w:line="300" w:lineRule="auto"/>
        <w:ind w:left="842" w:leftChars="210" w:hanging="380"/>
        <w:jc w:val="both"/>
        <w:rPr>
          <w:rFonts w:ascii="Arial" w:hAnsi="Arial" w:eastAsia="宋体" w:cs="Arial"/>
          <w:lang w:eastAsia="zh-CN"/>
        </w:rPr>
      </w:pPr>
      <w:r>
        <w:rPr>
          <w:rFonts w:ascii="Arial" w:hAnsi="Arial" w:eastAsia="宋体" w:cs="Arial"/>
          <w:lang w:eastAsia="zh-CN"/>
        </w:rPr>
        <w:t>不应将靶标微生物或抗性基因阴性结果作为诊断</w:t>
      </w:r>
      <w:r>
        <w:rPr>
          <w:rFonts w:hint="eastAsia" w:ascii="Arial" w:hAnsi="Arial" w:eastAsia="宋体" w:cs="Arial"/>
          <w:lang w:eastAsia="zh-CN"/>
        </w:rPr>
        <w:t>、</w:t>
      </w:r>
      <w:r>
        <w:rPr>
          <w:rFonts w:ascii="Arial" w:hAnsi="Arial" w:eastAsia="宋体" w:cs="Arial"/>
          <w:lang w:eastAsia="zh-CN"/>
        </w:rPr>
        <w:t>治疗或患者管理决策的唯一基础。</w:t>
      </w:r>
    </w:p>
    <w:p w14:paraId="4120F08A">
      <w:pPr>
        <w:pStyle w:val="8"/>
        <w:numPr>
          <w:ilvl w:val="1"/>
          <w:numId w:val="11"/>
        </w:numPr>
        <w:tabs>
          <w:tab w:val="left" w:pos="840"/>
        </w:tabs>
        <w:overflowPunct w:val="0"/>
        <w:snapToGrid w:val="0"/>
        <w:spacing w:after="120" w:afterLines="50" w:line="300" w:lineRule="auto"/>
        <w:ind w:leftChars="210" w:hanging="378"/>
        <w:jc w:val="both"/>
        <w:rPr>
          <w:rFonts w:ascii="Arial" w:hAnsi="Arial" w:eastAsia="宋体" w:cs="Arial"/>
          <w:lang w:eastAsia="zh-CN"/>
        </w:rPr>
      </w:pPr>
      <w:r>
        <w:rPr>
          <w:rFonts w:ascii="Arial" w:hAnsi="Arial" w:eastAsia="宋体" w:cs="Arial"/>
          <w:lang w:eastAsia="zh-CN"/>
        </w:rPr>
        <w:t>分析和临床研究中检测的具体血培养瓶类型清单。</w:t>
      </w:r>
    </w:p>
    <w:p w14:paraId="5530BE79">
      <w:pPr>
        <w:pStyle w:val="8"/>
        <w:overflowPunct w:val="0"/>
        <w:snapToGrid w:val="0"/>
        <w:spacing w:after="120" w:afterLines="50" w:line="300" w:lineRule="auto"/>
        <w:ind w:left="0"/>
        <w:jc w:val="both"/>
        <w:rPr>
          <w:rFonts w:ascii="Arial" w:hAnsi="Arial" w:eastAsia="宋体" w:cs="Arial"/>
          <w:sz w:val="16"/>
          <w:szCs w:val="16"/>
          <w:lang w:eastAsia="zh-CN"/>
        </w:rPr>
      </w:pPr>
      <w:r>
        <w:rPr>
          <w:rFonts w:ascii="Arial" w:hAnsi="Arial" w:eastAsia="宋体" w:cs="Arial"/>
          <w:lang w:eastAsia="zh-CN"/>
        </w:rPr>
        <w:t>临床研究中未检测儿科血培养瓶的声明</w:t>
      </w:r>
      <w:r>
        <w:rPr>
          <w:rStyle w:val="22"/>
          <w:rFonts w:ascii="Arial" w:hAnsi="Arial" w:eastAsia="宋体" w:cs="Arial"/>
          <w:lang w:eastAsia="zh-CN"/>
        </w:rPr>
        <w:footnoteReference w:id="1"/>
      </w:r>
      <w:r>
        <w:rPr>
          <w:rFonts w:ascii="Arial" w:hAnsi="Arial" w:eastAsia="宋体" w:cs="Arial"/>
          <w:lang w:eastAsia="zh-CN"/>
        </w:rPr>
        <w:t>。</w:t>
      </w:r>
    </w:p>
    <w:p w14:paraId="16F5BBE9">
      <w:pPr>
        <w:pStyle w:val="36"/>
        <w:numPr>
          <w:ilvl w:val="0"/>
          <w:numId w:val="11"/>
        </w:numPr>
        <w:tabs>
          <w:tab w:val="left" w:pos="541"/>
        </w:tabs>
        <w:overflowPunct w:val="0"/>
        <w:snapToGrid w:val="0"/>
        <w:spacing w:after="120" w:afterLines="50" w:line="300" w:lineRule="auto"/>
        <w:ind w:left="437" w:hanging="437"/>
        <w:jc w:val="both"/>
        <w:outlineLvl w:val="1"/>
        <w:rPr>
          <w:rFonts w:ascii="Arial" w:hAnsi="Arial" w:eastAsia="宋体" w:cs="Arial"/>
          <w:b w:val="0"/>
          <w:bCs w:val="0"/>
        </w:rPr>
      </w:pPr>
      <w:bookmarkStart w:id="187" w:name="_bookmark47"/>
      <w:bookmarkEnd w:id="187"/>
      <w:bookmarkStart w:id="188" w:name="_Toc495603792"/>
      <w:r>
        <w:rPr>
          <w:rFonts w:ascii="Arial" w:hAnsi="Arial" w:eastAsia="宋体" w:cs="Arial"/>
          <w:lang w:eastAsia="zh-CN"/>
        </w:rPr>
        <w:t>标本采集</w:t>
      </w:r>
      <w:bookmarkEnd w:id="188"/>
    </w:p>
    <w:p w14:paraId="1A2336D8">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贵公司必须提供标本采集指导。如果建议储存阳性血培养</w:t>
      </w:r>
      <w:r>
        <w:rPr>
          <w:rFonts w:hint="eastAsia" w:ascii="Arial" w:hAnsi="Arial" w:eastAsia="宋体" w:cs="Arial"/>
          <w:lang w:eastAsia="zh-CN"/>
        </w:rPr>
        <w:t>样本</w:t>
      </w:r>
      <w:r>
        <w:rPr>
          <w:rFonts w:ascii="Arial" w:hAnsi="Arial" w:eastAsia="宋体" w:cs="Arial"/>
          <w:lang w:eastAsia="zh-CN"/>
        </w:rPr>
        <w:t>供以后测试用，必须提供经确认的储存条件信息。</w:t>
      </w:r>
    </w:p>
    <w:p w14:paraId="01BED7A7">
      <w:pPr>
        <w:pStyle w:val="36"/>
        <w:numPr>
          <w:ilvl w:val="0"/>
          <w:numId w:val="11"/>
        </w:numPr>
        <w:tabs>
          <w:tab w:val="left" w:pos="521"/>
        </w:tabs>
        <w:overflowPunct w:val="0"/>
        <w:snapToGrid w:val="0"/>
        <w:spacing w:after="120" w:afterLines="50" w:line="300" w:lineRule="auto"/>
        <w:ind w:left="437" w:hanging="437"/>
        <w:jc w:val="both"/>
        <w:outlineLvl w:val="1"/>
        <w:rPr>
          <w:rFonts w:ascii="Arial" w:hAnsi="Arial" w:eastAsia="宋体" w:cs="Arial"/>
          <w:b w:val="0"/>
          <w:bCs w:val="0"/>
        </w:rPr>
      </w:pPr>
      <w:bookmarkStart w:id="189" w:name="_bookmark48"/>
      <w:bookmarkEnd w:id="189"/>
      <w:bookmarkStart w:id="190" w:name="_Toc495603793"/>
      <w:r>
        <w:rPr>
          <w:rFonts w:ascii="Arial" w:hAnsi="Arial" w:eastAsia="宋体" w:cs="Arial"/>
          <w:lang w:eastAsia="zh-CN"/>
        </w:rPr>
        <w:t>解释并报告检测结果</w:t>
      </w:r>
      <w:bookmarkEnd w:id="190"/>
    </w:p>
    <w:p w14:paraId="70C05953">
      <w:pPr>
        <w:pStyle w:val="8"/>
        <w:overflowPunct w:val="0"/>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贵公司必须描述操作者如何解释每种可能的器械结果，例如，阳性</w:t>
      </w:r>
      <w:r>
        <w:rPr>
          <w:rFonts w:hint="eastAsia" w:ascii="Arial" w:hAnsi="Arial" w:eastAsia="宋体" w:cs="Arial"/>
          <w:lang w:eastAsia="zh-CN"/>
        </w:rPr>
        <w:t>、</w:t>
      </w:r>
      <w:r>
        <w:rPr>
          <w:rFonts w:ascii="Arial" w:hAnsi="Arial" w:eastAsia="宋体" w:cs="Arial"/>
          <w:lang w:eastAsia="zh-CN"/>
        </w:rPr>
        <w:t>模棱两可和阴性。也必须描述对模棱两可</w:t>
      </w:r>
      <w:r>
        <w:rPr>
          <w:rFonts w:hint="eastAsia" w:ascii="Arial" w:hAnsi="Arial" w:eastAsia="宋体" w:cs="Arial"/>
          <w:lang w:eastAsia="zh-CN"/>
        </w:rPr>
        <w:t>样本</w:t>
      </w:r>
      <w:r>
        <w:rPr>
          <w:rFonts w:ascii="Arial" w:hAnsi="Arial" w:eastAsia="宋体" w:cs="Arial"/>
          <w:lang w:eastAsia="zh-CN"/>
        </w:rPr>
        <w:t>（如果这是一种可能的器械输出）的重新测试或报告建议或对</w:t>
      </w:r>
      <w:r>
        <w:rPr>
          <w:rFonts w:hint="eastAsia" w:ascii="Arial" w:hAnsi="Arial" w:eastAsia="宋体" w:cs="Arial"/>
          <w:lang w:eastAsia="zh-CN"/>
        </w:rPr>
        <w:t>样本</w:t>
      </w:r>
      <w:r>
        <w:rPr>
          <w:rFonts w:ascii="Arial" w:hAnsi="Arial" w:eastAsia="宋体" w:cs="Arial"/>
          <w:lang w:eastAsia="zh-CN"/>
        </w:rPr>
        <w:t>处理失败的建议（例如是否需要准备一份相同</w:t>
      </w:r>
      <w:r>
        <w:rPr>
          <w:rFonts w:hint="eastAsia" w:ascii="Arial" w:hAnsi="Arial" w:eastAsia="宋体" w:cs="Arial"/>
          <w:lang w:eastAsia="zh-CN"/>
        </w:rPr>
        <w:t>样本</w:t>
      </w:r>
      <w:r>
        <w:rPr>
          <w:rFonts w:ascii="Arial" w:hAnsi="Arial" w:eastAsia="宋体" w:cs="Arial"/>
          <w:lang w:eastAsia="zh-CN"/>
        </w:rPr>
        <w:t>或新鲜</w:t>
      </w:r>
      <w:r>
        <w:rPr>
          <w:rFonts w:hint="eastAsia" w:ascii="Arial" w:hAnsi="Arial" w:eastAsia="宋体" w:cs="Arial"/>
          <w:lang w:eastAsia="zh-CN"/>
        </w:rPr>
        <w:t>样本</w:t>
      </w:r>
      <w:r>
        <w:rPr>
          <w:rFonts w:ascii="Arial" w:hAnsi="Arial" w:eastAsia="宋体" w:cs="Arial"/>
          <w:lang w:eastAsia="zh-CN"/>
        </w:rPr>
        <w:t>）。也</w:t>
      </w:r>
      <w:r>
        <w:rPr>
          <w:rFonts w:hint="eastAsia" w:ascii="Arial" w:hAnsi="Arial" w:eastAsia="宋体" w:cs="Arial"/>
          <w:lang w:eastAsia="zh-CN"/>
        </w:rPr>
        <w:t>参</w:t>
      </w:r>
      <w:r>
        <w:rPr>
          <w:rFonts w:ascii="Arial" w:hAnsi="Arial" w:eastAsia="宋体" w:cs="Arial"/>
          <w:lang w:eastAsia="zh-CN"/>
        </w:rPr>
        <w:t>见本文件的</w:t>
      </w:r>
      <w:r>
        <w:rPr>
          <w:rFonts w:hint="eastAsia" w:ascii="Arial" w:hAnsi="Arial" w:eastAsia="宋体" w:cs="Arial"/>
          <w:lang w:eastAsia="zh-CN"/>
        </w:rPr>
        <w:t>第</w:t>
      </w:r>
      <w:r>
        <w:rPr>
          <w:rFonts w:ascii="Arial" w:hAnsi="Arial" w:eastAsia="宋体" w:cs="Arial"/>
          <w:lang w:eastAsia="zh-CN"/>
        </w:rPr>
        <w:t xml:space="preserve">6（f）节 </w:t>
      </w:r>
      <w:r>
        <w:rPr>
          <w:rFonts w:ascii="宋体" w:hAnsi="宋体" w:eastAsia="宋体" w:cs="Arial"/>
          <w:lang w:eastAsia="zh-CN"/>
        </w:rPr>
        <w:t>“</w:t>
      </w:r>
      <w:r>
        <w:rPr>
          <w:rFonts w:ascii="Arial" w:hAnsi="Arial" w:eastAsia="宋体" w:cs="Arial"/>
          <w:lang w:eastAsia="zh-CN"/>
        </w:rPr>
        <w:t>解释试验结果/报告</w:t>
      </w:r>
      <w:r>
        <w:rPr>
          <w:rFonts w:ascii="宋体" w:hAnsi="宋体" w:eastAsia="宋体" w:cs="Arial"/>
          <w:lang w:eastAsia="zh-CN"/>
        </w:rPr>
        <w:t>”</w:t>
      </w:r>
      <w:r>
        <w:rPr>
          <w:rFonts w:ascii="Arial" w:hAnsi="Arial" w:eastAsia="宋体" w:cs="Arial"/>
          <w:lang w:eastAsia="zh-CN"/>
        </w:rPr>
        <w:t>。如果适用，贵公司必须提供图片和/或表格说明如何解释定性检测的结果。</w:t>
      </w:r>
    </w:p>
    <w:p w14:paraId="7DD0EAE7">
      <w:pPr>
        <w:pStyle w:val="36"/>
        <w:numPr>
          <w:ilvl w:val="0"/>
          <w:numId w:val="11"/>
        </w:numPr>
        <w:tabs>
          <w:tab w:val="left" w:pos="521"/>
        </w:tabs>
        <w:overflowPunct w:val="0"/>
        <w:snapToGrid w:val="0"/>
        <w:spacing w:after="120" w:afterLines="50" w:line="300" w:lineRule="auto"/>
        <w:ind w:left="437" w:hanging="437"/>
        <w:jc w:val="both"/>
        <w:outlineLvl w:val="1"/>
        <w:rPr>
          <w:rFonts w:ascii="Arial" w:hAnsi="Arial" w:eastAsia="宋体" w:cs="Arial"/>
          <w:b w:val="0"/>
          <w:bCs w:val="0"/>
        </w:rPr>
      </w:pPr>
      <w:bookmarkStart w:id="191" w:name="_bookmark49"/>
      <w:bookmarkEnd w:id="191"/>
      <w:bookmarkStart w:id="192" w:name="_Toc495603794"/>
      <w:r>
        <w:rPr>
          <w:rFonts w:ascii="Arial" w:hAnsi="Arial" w:eastAsia="宋体" w:cs="Arial"/>
          <w:lang w:eastAsia="zh-CN"/>
        </w:rPr>
        <w:t>性能特点</w:t>
      </w:r>
      <w:bookmarkEnd w:id="192"/>
    </w:p>
    <w:p w14:paraId="47AB348E">
      <w:pPr>
        <w:overflowPunct w:val="0"/>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标签必须包含本文件第7节中描述的研究设计和研究结果总结，帮助用户解释试验结果并理解器械性能；这必须包含对临床研究结果和分析研究结果的描述。</w:t>
      </w:r>
    </w:p>
    <w:p w14:paraId="03DDA3CF">
      <w:pPr>
        <w:overflowPunct w:val="0"/>
        <w:snapToGrid w:val="0"/>
        <w:spacing w:after="120" w:afterLines="50" w:line="300" w:lineRule="auto"/>
        <w:jc w:val="both"/>
        <w:rPr>
          <w:rFonts w:ascii="Arial" w:hAnsi="Arial" w:eastAsia="宋体" w:cs="Arial"/>
          <w:sz w:val="20"/>
          <w:szCs w:val="20"/>
          <w:lang w:eastAsia="zh-CN"/>
        </w:rPr>
      </w:pPr>
    </w:p>
    <w:p w14:paraId="29415E71">
      <w:pPr>
        <w:pStyle w:val="35"/>
        <w:numPr>
          <w:ilvl w:val="0"/>
          <w:numId w:val="1"/>
        </w:numPr>
        <w:tabs>
          <w:tab w:val="left" w:pos="659"/>
        </w:tabs>
        <w:overflowPunct w:val="0"/>
        <w:snapToGrid w:val="0"/>
        <w:spacing w:after="120" w:afterLines="50" w:line="300" w:lineRule="auto"/>
        <w:ind w:left="539" w:hanging="539"/>
        <w:jc w:val="both"/>
        <w:outlineLvl w:val="0"/>
        <w:rPr>
          <w:rFonts w:ascii="Arial" w:hAnsi="Arial" w:eastAsia="宋体" w:cs="Arial"/>
          <w:lang w:eastAsia="zh-CN"/>
        </w:rPr>
      </w:pPr>
      <w:r>
        <w:rPr>
          <w:rFonts w:ascii="Arial" w:hAnsi="Arial" w:eastAsia="宋体" w:cs="Arial"/>
          <w:lang w:eastAsia="zh-CN"/>
        </w:rPr>
        <w:br w:type="page"/>
      </w:r>
      <w:bookmarkStart w:id="193" w:name="9._References"/>
      <w:bookmarkEnd w:id="193"/>
      <w:bookmarkStart w:id="194" w:name="_bookmark51"/>
      <w:bookmarkEnd w:id="194"/>
      <w:bookmarkStart w:id="195" w:name="_Toc495603795"/>
      <w:r>
        <w:rPr>
          <w:rFonts w:ascii="Arial" w:hAnsi="Arial" w:eastAsia="宋体" w:cs="Arial"/>
          <w:lang w:eastAsia="zh-CN"/>
        </w:rPr>
        <w:t>参考</w:t>
      </w:r>
      <w:bookmarkEnd w:id="195"/>
      <w:r>
        <w:rPr>
          <w:rFonts w:hint="eastAsia" w:ascii="Arial" w:hAnsi="Arial" w:eastAsia="宋体" w:cs="Arial"/>
          <w:lang w:eastAsia="zh-CN"/>
        </w:rPr>
        <w:t>文件</w:t>
      </w:r>
    </w:p>
    <w:p w14:paraId="180B5051">
      <w:pPr>
        <w:pStyle w:val="8"/>
        <w:numPr>
          <w:ilvl w:val="1"/>
          <w:numId w:val="12"/>
        </w:numPr>
        <w:tabs>
          <w:tab w:val="left" w:pos="840"/>
        </w:tabs>
        <w:overflowPunct w:val="0"/>
        <w:snapToGrid w:val="0"/>
        <w:spacing w:after="120" w:afterLines="50" w:line="300" w:lineRule="auto"/>
        <w:jc w:val="left"/>
        <w:rPr>
          <w:rFonts w:ascii="Arial" w:hAnsi="Arial" w:eastAsia="宋体" w:cs="Arial"/>
          <w:lang w:eastAsia="zh-CN"/>
        </w:rPr>
      </w:pPr>
      <w:r>
        <w:rPr>
          <w:rFonts w:ascii="Arial" w:hAnsi="Arial" w:eastAsia="宋体" w:cs="Arial"/>
          <w:lang w:eastAsia="zh-CN"/>
        </w:rPr>
        <w:t>临床和实验室标准协会。2006。</w:t>
      </w:r>
      <w:bookmarkStart w:id="196" w:name="OLE_LINK196"/>
      <w:bookmarkStart w:id="197" w:name="OLE_LINK197"/>
      <w:r>
        <w:rPr>
          <w:rFonts w:ascii="Arial" w:hAnsi="Arial" w:eastAsia="宋体" w:cs="Arial"/>
          <w:lang w:eastAsia="zh-CN"/>
        </w:rPr>
        <w:t>传染病分子诊断方法；</w:t>
      </w:r>
      <w:bookmarkEnd w:id="196"/>
      <w:bookmarkEnd w:id="197"/>
      <w:r>
        <w:rPr>
          <w:rFonts w:ascii="Arial" w:hAnsi="Arial" w:eastAsia="宋体" w:cs="Arial"/>
          <w:lang w:eastAsia="zh-CN"/>
        </w:rPr>
        <w:t>提议指南。MM3-A2。临床和实验室标准协会，Wayne PA.。</w:t>
      </w:r>
    </w:p>
    <w:p w14:paraId="437FFE39">
      <w:pPr>
        <w:pStyle w:val="8"/>
        <w:numPr>
          <w:ilvl w:val="1"/>
          <w:numId w:val="12"/>
        </w:numPr>
        <w:tabs>
          <w:tab w:val="left" w:pos="820"/>
        </w:tabs>
        <w:overflowPunct w:val="0"/>
        <w:snapToGrid w:val="0"/>
        <w:spacing w:after="120" w:afterLines="50" w:line="300" w:lineRule="auto"/>
        <w:jc w:val="left"/>
        <w:rPr>
          <w:rFonts w:ascii="Arial" w:hAnsi="Arial" w:eastAsia="宋体" w:cs="Arial"/>
          <w:lang w:eastAsia="zh-CN"/>
        </w:rPr>
      </w:pPr>
      <w:r>
        <w:rPr>
          <w:rFonts w:ascii="Arial" w:hAnsi="Arial" w:eastAsia="宋体" w:cs="Arial"/>
          <w:lang w:eastAsia="zh-CN"/>
        </w:rPr>
        <w:t>临床和实验室标准协会。2005。</w:t>
      </w:r>
      <w:bookmarkStart w:id="198" w:name="OLE_LINK199"/>
      <w:bookmarkStart w:id="199" w:name="OLE_LINK198"/>
      <w:r>
        <w:rPr>
          <w:rFonts w:ascii="Arial" w:hAnsi="Arial" w:eastAsia="宋体" w:cs="Arial"/>
          <w:lang w:eastAsia="zh-CN"/>
        </w:rPr>
        <w:t>分子诊断方法中标本收集，运输，处理和储存</w:t>
      </w:r>
      <w:bookmarkEnd w:id="198"/>
      <w:bookmarkEnd w:id="199"/>
      <w:r>
        <w:rPr>
          <w:rFonts w:ascii="Arial" w:hAnsi="Arial" w:eastAsia="宋体" w:cs="Arial"/>
          <w:lang w:eastAsia="zh-CN"/>
        </w:rPr>
        <w:t>；已获批指南。MM13-A。临床和实验室标准协会，Wayne PA.。</w:t>
      </w:r>
    </w:p>
    <w:p w14:paraId="333189E5">
      <w:pPr>
        <w:pStyle w:val="8"/>
        <w:numPr>
          <w:ilvl w:val="1"/>
          <w:numId w:val="12"/>
        </w:numPr>
        <w:tabs>
          <w:tab w:val="left" w:pos="820"/>
        </w:tabs>
        <w:overflowPunct w:val="0"/>
        <w:snapToGrid w:val="0"/>
        <w:spacing w:after="120" w:afterLines="50" w:line="300" w:lineRule="auto"/>
        <w:jc w:val="left"/>
        <w:rPr>
          <w:rFonts w:ascii="Arial" w:hAnsi="Arial" w:eastAsia="宋体" w:cs="Arial"/>
          <w:lang w:eastAsia="zh-CN"/>
        </w:rPr>
      </w:pPr>
      <w:r>
        <w:rPr>
          <w:rFonts w:ascii="Arial" w:hAnsi="Arial" w:eastAsia="宋体" w:cs="Arial"/>
          <w:lang w:eastAsia="zh-CN"/>
        </w:rPr>
        <w:t>临床和实验室标准协会。2010。血液标本处理和加工程序；已获批指南。H18-A4。临床和实验室标准协会，Wayne, PA。</w:t>
      </w:r>
    </w:p>
    <w:p w14:paraId="18F47BE4">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临床和实验室标准协会。2005。保护实验室工作者免受职业获得性传染；已获批指南。M29-A3。临床和实验室标准协会，Wayne PA。</w:t>
      </w:r>
    </w:p>
    <w:p w14:paraId="7D9CAD97">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临床和实验室标准协会。2011。利用受试者工作特征曲线评估实验室检测的诊断正确性；已获批指南。EP24-A2。临床和实验室标准协会，Wayne PA。</w:t>
      </w:r>
    </w:p>
    <w:p w14:paraId="5AF16F9F">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临床和实验室标准协会。2012。临床实验室测量程序检测能力评价；已获批指南。EP17-A2。临床和实验室标准协会，Wayne PA。</w:t>
      </w:r>
    </w:p>
    <w:p w14:paraId="7A3F7EFF">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临床和实验室标准协会。2005。临床化学中的干扰试验；已获批指南。EP07-A2。临床和实验室标准协会，Wayne PA。</w:t>
      </w:r>
    </w:p>
    <w:p w14:paraId="304A40FB">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rPr>
      </w:pPr>
      <w:bookmarkStart w:id="200" w:name="OLE_LINK201"/>
      <w:bookmarkStart w:id="201" w:name="OLE_LINK200"/>
      <w:r>
        <w:rPr>
          <w:rFonts w:ascii="Arial" w:hAnsi="Arial" w:eastAsia="宋体" w:cs="Arial"/>
        </w:rPr>
        <w:t>Cumitech 31A</w:t>
      </w:r>
      <w:bookmarkEnd w:id="200"/>
      <w:bookmarkEnd w:id="201"/>
      <w:r>
        <w:rPr>
          <w:rFonts w:ascii="Arial" w:hAnsi="Arial" w:eastAsia="宋体" w:cs="Arial"/>
          <w:lang w:eastAsia="zh-CN"/>
        </w:rPr>
        <w:t>：临床微生物实验室中程序的确认和验证，</w:t>
      </w:r>
      <w:r>
        <w:rPr>
          <w:rFonts w:ascii="Arial" w:hAnsi="Arial" w:eastAsia="宋体" w:cs="Arial"/>
        </w:rPr>
        <w:t xml:space="preserve"> </w:t>
      </w:r>
      <w:bookmarkStart w:id="202" w:name="OLE_LINK203"/>
      <w:bookmarkStart w:id="203" w:name="OLE_LINK202"/>
      <w:r>
        <w:rPr>
          <w:rFonts w:ascii="Arial" w:hAnsi="Arial" w:eastAsia="宋体" w:cs="Arial"/>
        </w:rPr>
        <w:t xml:space="preserve">ASM </w:t>
      </w:r>
      <w:bookmarkEnd w:id="202"/>
      <w:bookmarkEnd w:id="203"/>
      <w:r>
        <w:rPr>
          <w:rFonts w:ascii="Arial" w:hAnsi="Arial" w:eastAsia="宋体" w:cs="Arial"/>
          <w:lang w:eastAsia="zh-CN"/>
        </w:rPr>
        <w:t>出版社，</w:t>
      </w:r>
      <w:r>
        <w:rPr>
          <w:rFonts w:ascii="Arial" w:hAnsi="Arial" w:eastAsia="宋体" w:cs="Arial"/>
        </w:rPr>
        <w:t>2009</w:t>
      </w:r>
      <w:r>
        <w:rPr>
          <w:rFonts w:ascii="Arial" w:hAnsi="Arial" w:eastAsia="宋体" w:cs="Arial"/>
          <w:lang w:eastAsia="zh-CN"/>
        </w:rPr>
        <w:t>年9月。</w:t>
      </w:r>
    </w:p>
    <w:p w14:paraId="311F2740">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临床和实验室标准协会。2004。定量测量方法的精密度性能评价；已获批指南。EP05-A2。临床和实验室标准协会，Wayne PA。</w:t>
      </w:r>
    </w:p>
    <w:p w14:paraId="25411752">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临床和实验室标准协会。2008。定性检测性能评价的用户协议；已获批指南。EP12-A2。临床和实验室标准协会，Wayne PA。</w:t>
      </w:r>
    </w:p>
    <w:p w14:paraId="04400D5A">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临床和实验室标准协会。2006。精密度和真实度性能的用户验证；已获批指南。EP15-A2。临床和实验室标准协会，Wayne PA。</w:t>
      </w:r>
    </w:p>
    <w:p w14:paraId="6E341216">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临床和实验室标准协会。2012。抗菌药物敏感性试验执行标准；第二十四版信息增刊，M100-S24。临床和实验室标准协会，Wayne PA。</w:t>
      </w:r>
    </w:p>
    <w:p w14:paraId="3B5FF745">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临床和实验室标准协会。2008。DNA 靶基因序列鉴定细菌和真菌的解释标准；已获批指南。MM18-A。</w:t>
      </w:r>
      <w:bookmarkStart w:id="204" w:name="OLE_LINK206"/>
      <w:bookmarkStart w:id="205" w:name="OLE_LINK207"/>
      <w:r>
        <w:rPr>
          <w:rFonts w:ascii="Arial" w:hAnsi="Arial" w:eastAsia="宋体" w:cs="Arial"/>
          <w:lang w:eastAsia="zh-CN"/>
        </w:rPr>
        <w:t>临床和实验室标准协会</w:t>
      </w:r>
      <w:bookmarkEnd w:id="204"/>
      <w:bookmarkEnd w:id="205"/>
      <w:r>
        <w:rPr>
          <w:rFonts w:ascii="Arial" w:hAnsi="Arial" w:eastAsia="宋体" w:cs="Arial"/>
          <w:lang w:eastAsia="zh-CN"/>
        </w:rPr>
        <w:t>，Wayne PA。</w:t>
      </w:r>
    </w:p>
    <w:p w14:paraId="0EF01A9E">
      <w:pPr>
        <w:pStyle w:val="8"/>
        <w:numPr>
          <w:ilvl w:val="1"/>
          <w:numId w:val="12"/>
        </w:numPr>
        <w:tabs>
          <w:tab w:val="left" w:pos="820"/>
        </w:tabs>
        <w:overflowPunct w:val="0"/>
        <w:snapToGrid w:val="0"/>
        <w:spacing w:after="120" w:afterLines="50" w:line="300" w:lineRule="auto"/>
        <w:ind w:left="838" w:leftChars="190" w:hanging="420"/>
        <w:jc w:val="both"/>
        <w:rPr>
          <w:rFonts w:ascii="Arial" w:hAnsi="Arial" w:eastAsia="宋体" w:cs="Arial"/>
          <w:lang w:eastAsia="zh-CN"/>
        </w:rPr>
      </w:pPr>
      <w:r>
        <w:rPr>
          <w:rFonts w:ascii="Arial" w:hAnsi="Arial" w:eastAsia="宋体" w:cs="Arial"/>
          <w:lang w:eastAsia="zh-CN"/>
        </w:rPr>
        <w:t>临床和实验室标准协会。2004。检验诊断学中的核酸测序方法；已获批指南；CLSI 文件 MM9-A。临床和实验室标准协会，Wayne PA。</w:t>
      </w:r>
    </w:p>
    <w:p w14:paraId="2BD6BD7D">
      <w:pPr>
        <w:overflowPunct w:val="0"/>
        <w:snapToGrid w:val="0"/>
        <w:spacing w:line="300" w:lineRule="auto"/>
        <w:rPr>
          <w:rFonts w:hint="eastAsia" w:eastAsia="宋体"/>
          <w:lang w:eastAsia="zh-CN"/>
        </w:rPr>
      </w:pPr>
    </w:p>
    <w:p w14:paraId="3132FBE1">
      <w:pPr>
        <w:overflowPunct w:val="0"/>
        <w:snapToGrid w:val="0"/>
        <w:spacing w:line="300" w:lineRule="auto"/>
        <w:jc w:val="center"/>
        <w:rPr>
          <w:rFonts w:hint="eastAsia" w:eastAsia="宋体"/>
          <w:lang w:eastAsia="zh-CN"/>
        </w:rPr>
      </w:pPr>
    </w:p>
    <w:p w14:paraId="029BC624">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2240" w:h="15840"/>
      <w:pgMar w:top="1440" w:right="1800" w:bottom="1440" w:left="1800" w:header="0" w:footer="1025"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6772">
    <w:pPr>
      <w:pStyle w:val="12"/>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rPr>
      <w:t>5</w:t>
    </w:r>
    <w:r>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68399AF">
      <w:pPr>
        <w:pStyle w:val="16"/>
        <w:rPr>
          <w:rFonts w:ascii="Arial" w:hAnsi="Arial" w:cs="Arial"/>
          <w:sz w:val="21"/>
          <w:szCs w:val="21"/>
          <w:lang w:eastAsia="zh-CN"/>
        </w:rPr>
      </w:pPr>
      <w:r>
        <w:rPr>
          <w:rStyle w:val="22"/>
          <w:rFonts w:ascii="Arial" w:hAnsi="Arial" w:cs="Arial"/>
          <w:sz w:val="21"/>
          <w:szCs w:val="21"/>
        </w:rPr>
        <w:footnoteRef/>
      </w:r>
      <w:r>
        <w:rPr>
          <w:rFonts w:ascii="Arial" w:hAnsi="Arial" w:cs="Arial"/>
          <w:sz w:val="21"/>
          <w:szCs w:val="21"/>
        </w:rPr>
        <w:t xml:space="preserve"> </w:t>
      </w:r>
      <w:r>
        <w:fldChar w:fldCharType="begin"/>
      </w:r>
      <w:r>
        <w:instrText xml:space="preserve"> HYPERLINK "http://www.fda.gov/MedicalDevices/DeviceRegulationandGuidance/default.htm" \h </w:instrText>
      </w:r>
      <w:r>
        <w:fldChar w:fldCharType="separate"/>
      </w:r>
      <w:r>
        <w:rPr>
          <w:rFonts w:ascii="Arial" w:hAnsi="Arial" w:eastAsia="宋体" w:cs="Arial"/>
          <w:sz w:val="21"/>
          <w:szCs w:val="21"/>
          <w:u w:val="single" w:color="000000"/>
        </w:rPr>
        <w:t>http://www.fda.gov/MedicalDevices/DeviceRegulationandGuidance/default.htm.</w:t>
      </w:r>
      <w:r>
        <w:rPr>
          <w:rFonts w:ascii="Arial" w:hAnsi="Arial" w:eastAsia="宋体" w:cs="Arial"/>
          <w:sz w:val="21"/>
          <w:szCs w:val="21"/>
          <w:u w:val="single" w:color="000000"/>
        </w:rPr>
        <w:fldChar w:fldCharType="end"/>
      </w:r>
    </w:p>
  </w:footnote>
  <w:footnote w:id="1">
    <w:p w14:paraId="6C520014">
      <w:pPr>
        <w:pStyle w:val="16"/>
        <w:rPr>
          <w:sz w:val="21"/>
          <w:szCs w:val="21"/>
          <w:lang w:eastAsia="zh-CN"/>
        </w:rPr>
      </w:pPr>
      <w:r>
        <w:rPr>
          <w:rStyle w:val="22"/>
          <w:rFonts w:ascii="Arial" w:hAnsi="Arial" w:cs="Arial"/>
          <w:sz w:val="21"/>
          <w:szCs w:val="21"/>
        </w:rPr>
        <w:footnoteRef/>
      </w:r>
      <w:r>
        <w:rPr>
          <w:rFonts w:ascii="Arial" w:hAnsi="Arial" w:cs="Arial"/>
          <w:sz w:val="21"/>
          <w:szCs w:val="21"/>
          <w:lang w:eastAsia="zh-CN"/>
        </w:rPr>
        <w:t xml:space="preserve"> </w:t>
      </w:r>
      <w:r>
        <w:rPr>
          <w:rFonts w:hint="eastAsia"/>
          <w:sz w:val="21"/>
          <w:szCs w:val="21"/>
          <w:lang w:eastAsia="zh-CN"/>
        </w:rPr>
        <w:t>当适用于特定器械时，需提供该局限性声明。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F763E"/>
    <w:multiLevelType w:val="multilevel"/>
    <w:tmpl w:val="018F763E"/>
    <w:lvl w:ilvl="0" w:tentative="0">
      <w:start w:val="1"/>
      <w:numFmt w:val="decimal"/>
      <w:lvlText w:val="(%1)"/>
      <w:lvlJc w:val="left"/>
      <w:pPr>
        <w:ind w:left="558" w:hanging="459"/>
      </w:pPr>
      <w:rPr>
        <w:rFonts w:hint="default" w:ascii="Arial" w:hAnsi="Arial" w:eastAsia="Times New Roman" w:cs="Arial"/>
        <w:b/>
        <w:bCs/>
        <w:spacing w:val="-1"/>
        <w:sz w:val="24"/>
        <w:szCs w:val="24"/>
      </w:rPr>
    </w:lvl>
    <w:lvl w:ilvl="1" w:tentative="0">
      <w:start w:val="1"/>
      <w:numFmt w:val="bullet"/>
      <w:lvlText w:val="•"/>
      <w:lvlJc w:val="left"/>
      <w:pPr>
        <w:ind w:left="1460" w:hanging="459"/>
      </w:pPr>
      <w:rPr>
        <w:rFonts w:hint="default"/>
      </w:rPr>
    </w:lvl>
    <w:lvl w:ilvl="2" w:tentative="0">
      <w:start w:val="1"/>
      <w:numFmt w:val="bullet"/>
      <w:lvlText w:val="•"/>
      <w:lvlJc w:val="left"/>
      <w:pPr>
        <w:ind w:left="2362" w:hanging="459"/>
      </w:pPr>
      <w:rPr>
        <w:rFonts w:hint="default"/>
      </w:rPr>
    </w:lvl>
    <w:lvl w:ilvl="3" w:tentative="0">
      <w:start w:val="1"/>
      <w:numFmt w:val="bullet"/>
      <w:lvlText w:val="•"/>
      <w:lvlJc w:val="left"/>
      <w:pPr>
        <w:ind w:left="3264" w:hanging="459"/>
      </w:pPr>
      <w:rPr>
        <w:rFonts w:hint="default"/>
      </w:rPr>
    </w:lvl>
    <w:lvl w:ilvl="4" w:tentative="0">
      <w:start w:val="1"/>
      <w:numFmt w:val="bullet"/>
      <w:lvlText w:val="•"/>
      <w:lvlJc w:val="left"/>
      <w:pPr>
        <w:ind w:left="4167" w:hanging="459"/>
      </w:pPr>
      <w:rPr>
        <w:rFonts w:hint="default"/>
      </w:rPr>
    </w:lvl>
    <w:lvl w:ilvl="5" w:tentative="0">
      <w:start w:val="1"/>
      <w:numFmt w:val="bullet"/>
      <w:lvlText w:val="•"/>
      <w:lvlJc w:val="left"/>
      <w:pPr>
        <w:ind w:left="5069" w:hanging="459"/>
      </w:pPr>
      <w:rPr>
        <w:rFonts w:hint="default"/>
      </w:rPr>
    </w:lvl>
    <w:lvl w:ilvl="6" w:tentative="0">
      <w:start w:val="1"/>
      <w:numFmt w:val="bullet"/>
      <w:lvlText w:val="•"/>
      <w:lvlJc w:val="left"/>
      <w:pPr>
        <w:ind w:left="5971" w:hanging="459"/>
      </w:pPr>
      <w:rPr>
        <w:rFonts w:hint="default"/>
      </w:rPr>
    </w:lvl>
    <w:lvl w:ilvl="7" w:tentative="0">
      <w:start w:val="1"/>
      <w:numFmt w:val="bullet"/>
      <w:lvlText w:val="•"/>
      <w:lvlJc w:val="left"/>
      <w:pPr>
        <w:ind w:left="6873" w:hanging="459"/>
      </w:pPr>
      <w:rPr>
        <w:rFonts w:hint="default"/>
      </w:rPr>
    </w:lvl>
    <w:lvl w:ilvl="8" w:tentative="0">
      <w:start w:val="1"/>
      <w:numFmt w:val="bullet"/>
      <w:lvlText w:val="•"/>
      <w:lvlJc w:val="left"/>
      <w:pPr>
        <w:ind w:left="7775" w:hanging="459"/>
      </w:pPr>
      <w:rPr>
        <w:rFonts w:hint="default"/>
      </w:rPr>
    </w:lvl>
  </w:abstractNum>
  <w:abstractNum w:abstractNumId="1">
    <w:nsid w:val="02385600"/>
    <w:multiLevelType w:val="multilevel"/>
    <w:tmpl w:val="02385600"/>
    <w:lvl w:ilvl="0" w:tentative="0">
      <w:start w:val="1"/>
      <w:numFmt w:val="lowerLetter"/>
      <w:lvlText w:val="%1."/>
      <w:lvlJc w:val="left"/>
      <w:pPr>
        <w:ind w:left="460" w:hanging="360"/>
      </w:pPr>
      <w:rPr>
        <w:rFonts w:hint="default" w:ascii="Arial" w:hAnsi="Arial" w:eastAsia="Times New Roman" w:cs="Arial"/>
        <w:b/>
        <w:bCs/>
        <w:spacing w:val="0"/>
        <w:sz w:val="28"/>
        <w:szCs w:val="28"/>
      </w:rPr>
    </w:lvl>
    <w:lvl w:ilvl="1" w:tentative="0">
      <w:start w:val="1"/>
      <w:numFmt w:val="bullet"/>
      <w:lvlText w:val=""/>
      <w:lvlJc w:val="left"/>
      <w:pPr>
        <w:ind w:left="1007" w:hanging="353"/>
      </w:pPr>
      <w:rPr>
        <w:rFonts w:hint="default" w:ascii="Symbol" w:hAnsi="Symbol" w:eastAsia="Symbol"/>
        <w:w w:val="100"/>
        <w:sz w:val="24"/>
        <w:szCs w:val="24"/>
      </w:rPr>
    </w:lvl>
    <w:lvl w:ilvl="2" w:tentative="0">
      <w:start w:val="1"/>
      <w:numFmt w:val="bullet"/>
      <w:lvlText w:val="•"/>
      <w:lvlJc w:val="left"/>
      <w:pPr>
        <w:ind w:left="1007" w:hanging="353"/>
      </w:pPr>
      <w:rPr>
        <w:rFonts w:hint="default"/>
      </w:rPr>
    </w:lvl>
    <w:lvl w:ilvl="3" w:tentative="0">
      <w:start w:val="1"/>
      <w:numFmt w:val="bullet"/>
      <w:lvlText w:val="•"/>
      <w:lvlJc w:val="left"/>
      <w:pPr>
        <w:ind w:left="2078" w:hanging="353"/>
      </w:pPr>
      <w:rPr>
        <w:rFonts w:hint="default"/>
      </w:rPr>
    </w:lvl>
    <w:lvl w:ilvl="4" w:tentative="0">
      <w:start w:val="1"/>
      <w:numFmt w:val="bullet"/>
      <w:lvlText w:val="•"/>
      <w:lvlJc w:val="left"/>
      <w:pPr>
        <w:ind w:left="3150" w:hanging="353"/>
      </w:pPr>
      <w:rPr>
        <w:rFonts w:hint="default"/>
      </w:rPr>
    </w:lvl>
    <w:lvl w:ilvl="5" w:tentative="0">
      <w:start w:val="1"/>
      <w:numFmt w:val="bullet"/>
      <w:lvlText w:val="•"/>
      <w:lvlJc w:val="left"/>
      <w:pPr>
        <w:ind w:left="4222" w:hanging="353"/>
      </w:pPr>
      <w:rPr>
        <w:rFonts w:hint="default"/>
      </w:rPr>
    </w:lvl>
    <w:lvl w:ilvl="6" w:tentative="0">
      <w:start w:val="1"/>
      <w:numFmt w:val="bullet"/>
      <w:lvlText w:val="•"/>
      <w:lvlJc w:val="left"/>
      <w:pPr>
        <w:ind w:left="5293" w:hanging="353"/>
      </w:pPr>
      <w:rPr>
        <w:rFonts w:hint="default"/>
      </w:rPr>
    </w:lvl>
    <w:lvl w:ilvl="7" w:tentative="0">
      <w:start w:val="1"/>
      <w:numFmt w:val="bullet"/>
      <w:lvlText w:val="•"/>
      <w:lvlJc w:val="left"/>
      <w:pPr>
        <w:ind w:left="6365" w:hanging="353"/>
      </w:pPr>
      <w:rPr>
        <w:rFonts w:hint="default"/>
      </w:rPr>
    </w:lvl>
    <w:lvl w:ilvl="8" w:tentative="0">
      <w:start w:val="1"/>
      <w:numFmt w:val="bullet"/>
      <w:lvlText w:val="•"/>
      <w:lvlJc w:val="left"/>
      <w:pPr>
        <w:ind w:left="7436" w:hanging="353"/>
      </w:pPr>
      <w:rPr>
        <w:rFonts w:hint="default"/>
      </w:rPr>
    </w:lvl>
  </w:abstractNum>
  <w:abstractNum w:abstractNumId="2">
    <w:nsid w:val="07FD1AF0"/>
    <w:multiLevelType w:val="multilevel"/>
    <w:tmpl w:val="07FD1AF0"/>
    <w:lvl w:ilvl="0" w:tentative="0">
      <w:start w:val="1"/>
      <w:numFmt w:val="decimal"/>
      <w:lvlText w:val="(%1)"/>
      <w:lvlJc w:val="left"/>
      <w:pPr>
        <w:ind w:left="551" w:hanging="459"/>
        <w:jc w:val="right"/>
      </w:pPr>
      <w:rPr>
        <w:rFonts w:hint="default" w:ascii="Arial" w:hAnsi="Arial" w:eastAsia="Times New Roman" w:cs="Arial"/>
        <w:b/>
        <w:bCs/>
        <w:spacing w:val="-1"/>
        <w:sz w:val="24"/>
        <w:szCs w:val="24"/>
      </w:rPr>
    </w:lvl>
    <w:lvl w:ilvl="1" w:tentative="0">
      <w:start w:val="1"/>
      <w:numFmt w:val="bullet"/>
      <w:lvlText w:val=""/>
      <w:lvlJc w:val="left"/>
      <w:pPr>
        <w:ind w:left="820" w:hanging="360"/>
      </w:pPr>
      <w:rPr>
        <w:rFonts w:hint="default" w:ascii="Symbol" w:hAnsi="Symbol" w:eastAsia="Symbol"/>
        <w:w w:val="100"/>
        <w:sz w:val="24"/>
        <w:szCs w:val="24"/>
      </w:rPr>
    </w:lvl>
    <w:lvl w:ilvl="2" w:tentative="0">
      <w:start w:val="1"/>
      <w:numFmt w:val="bullet"/>
      <w:lvlText w:val="•"/>
      <w:lvlJc w:val="left"/>
      <w:pPr>
        <w:ind w:left="1793" w:hanging="360"/>
      </w:pPr>
      <w:rPr>
        <w:rFonts w:hint="default"/>
      </w:rPr>
    </w:lvl>
    <w:lvl w:ilvl="3" w:tentative="0">
      <w:start w:val="1"/>
      <w:numFmt w:val="bullet"/>
      <w:lvlText w:val="•"/>
      <w:lvlJc w:val="left"/>
      <w:pPr>
        <w:ind w:left="2766" w:hanging="360"/>
      </w:pPr>
      <w:rPr>
        <w:rFonts w:hint="default"/>
      </w:rPr>
    </w:lvl>
    <w:lvl w:ilvl="4" w:tentative="0">
      <w:start w:val="1"/>
      <w:numFmt w:val="bullet"/>
      <w:lvlText w:val="•"/>
      <w:lvlJc w:val="left"/>
      <w:pPr>
        <w:ind w:left="3740" w:hanging="360"/>
      </w:pPr>
      <w:rPr>
        <w:rFonts w:hint="default"/>
      </w:rPr>
    </w:lvl>
    <w:lvl w:ilvl="5" w:tentative="0">
      <w:start w:val="1"/>
      <w:numFmt w:val="bullet"/>
      <w:lvlText w:val="•"/>
      <w:lvlJc w:val="left"/>
      <w:pPr>
        <w:ind w:left="4713" w:hanging="360"/>
      </w:pPr>
      <w:rPr>
        <w:rFonts w:hint="default"/>
      </w:rPr>
    </w:lvl>
    <w:lvl w:ilvl="6" w:tentative="0">
      <w:start w:val="1"/>
      <w:numFmt w:val="bullet"/>
      <w:lvlText w:val="•"/>
      <w:lvlJc w:val="left"/>
      <w:pPr>
        <w:ind w:left="568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633" w:hanging="360"/>
      </w:pPr>
      <w:rPr>
        <w:rFonts w:hint="default"/>
      </w:rPr>
    </w:lvl>
  </w:abstractNum>
  <w:abstractNum w:abstractNumId="3">
    <w:nsid w:val="1492534A"/>
    <w:multiLevelType w:val="multilevel"/>
    <w:tmpl w:val="1492534A"/>
    <w:lvl w:ilvl="0" w:tentative="0">
      <w:start w:val="1"/>
      <w:numFmt w:val="lowerLetter"/>
      <w:lvlText w:val="(%1)"/>
      <w:lvlJc w:val="left"/>
      <w:pPr>
        <w:ind w:left="120" w:hanging="324"/>
      </w:pPr>
      <w:rPr>
        <w:rFonts w:hint="default" w:ascii="Arial" w:hAnsi="Arial" w:eastAsia="Times New Roman" w:cs="Arial"/>
        <w:spacing w:val="-1"/>
        <w:sz w:val="24"/>
        <w:szCs w:val="24"/>
      </w:rPr>
    </w:lvl>
    <w:lvl w:ilvl="1" w:tentative="0">
      <w:start w:val="1"/>
      <w:numFmt w:val="bullet"/>
      <w:lvlText w:val="•"/>
      <w:lvlJc w:val="left"/>
      <w:pPr>
        <w:ind w:left="1068" w:hanging="324"/>
      </w:pPr>
      <w:rPr>
        <w:rFonts w:hint="default"/>
      </w:rPr>
    </w:lvl>
    <w:lvl w:ilvl="2" w:tentative="0">
      <w:start w:val="1"/>
      <w:numFmt w:val="bullet"/>
      <w:lvlText w:val="•"/>
      <w:lvlJc w:val="left"/>
      <w:pPr>
        <w:ind w:left="2016" w:hanging="324"/>
      </w:pPr>
      <w:rPr>
        <w:rFonts w:hint="default"/>
      </w:rPr>
    </w:lvl>
    <w:lvl w:ilvl="3" w:tentative="0">
      <w:start w:val="1"/>
      <w:numFmt w:val="bullet"/>
      <w:lvlText w:val="•"/>
      <w:lvlJc w:val="left"/>
      <w:pPr>
        <w:ind w:left="2964" w:hanging="324"/>
      </w:pPr>
      <w:rPr>
        <w:rFonts w:hint="default"/>
      </w:rPr>
    </w:lvl>
    <w:lvl w:ilvl="4" w:tentative="0">
      <w:start w:val="1"/>
      <w:numFmt w:val="bullet"/>
      <w:lvlText w:val="•"/>
      <w:lvlJc w:val="left"/>
      <w:pPr>
        <w:ind w:left="3912" w:hanging="324"/>
      </w:pPr>
      <w:rPr>
        <w:rFonts w:hint="default"/>
      </w:rPr>
    </w:lvl>
    <w:lvl w:ilvl="5" w:tentative="0">
      <w:start w:val="1"/>
      <w:numFmt w:val="bullet"/>
      <w:lvlText w:val="•"/>
      <w:lvlJc w:val="left"/>
      <w:pPr>
        <w:ind w:left="4860" w:hanging="324"/>
      </w:pPr>
      <w:rPr>
        <w:rFonts w:hint="default"/>
      </w:rPr>
    </w:lvl>
    <w:lvl w:ilvl="6" w:tentative="0">
      <w:start w:val="1"/>
      <w:numFmt w:val="bullet"/>
      <w:lvlText w:val="•"/>
      <w:lvlJc w:val="left"/>
      <w:pPr>
        <w:ind w:left="5808" w:hanging="324"/>
      </w:pPr>
      <w:rPr>
        <w:rFonts w:hint="default"/>
      </w:rPr>
    </w:lvl>
    <w:lvl w:ilvl="7" w:tentative="0">
      <w:start w:val="1"/>
      <w:numFmt w:val="bullet"/>
      <w:lvlText w:val="•"/>
      <w:lvlJc w:val="left"/>
      <w:pPr>
        <w:ind w:left="6756" w:hanging="324"/>
      </w:pPr>
      <w:rPr>
        <w:rFonts w:hint="default"/>
      </w:rPr>
    </w:lvl>
    <w:lvl w:ilvl="8" w:tentative="0">
      <w:start w:val="1"/>
      <w:numFmt w:val="bullet"/>
      <w:lvlText w:val="•"/>
      <w:lvlJc w:val="left"/>
      <w:pPr>
        <w:ind w:left="7704" w:hanging="324"/>
      </w:pPr>
      <w:rPr>
        <w:rFonts w:hint="default"/>
      </w:rPr>
    </w:lvl>
  </w:abstractNum>
  <w:abstractNum w:abstractNumId="4">
    <w:nsid w:val="27006675"/>
    <w:multiLevelType w:val="multilevel"/>
    <w:tmpl w:val="27006675"/>
    <w:lvl w:ilvl="0" w:tentative="0">
      <w:start w:val="1"/>
      <w:numFmt w:val="decimal"/>
      <w:lvlText w:val="%1."/>
      <w:lvlJc w:val="left"/>
      <w:pPr>
        <w:ind w:left="820" w:hanging="360"/>
      </w:pPr>
      <w:rPr>
        <w:rFonts w:hint="default" w:ascii="Arial" w:hAnsi="Arial" w:eastAsia="Times New Roman" w:cs="Arial"/>
        <w:sz w:val="24"/>
        <w:szCs w:val="24"/>
      </w:rPr>
    </w:lvl>
    <w:lvl w:ilvl="1" w:tentative="0">
      <w:start w:val="1"/>
      <w:numFmt w:val="bullet"/>
      <w:lvlText w:val=""/>
      <w:lvlJc w:val="left"/>
      <w:pPr>
        <w:ind w:left="1540" w:hanging="360"/>
      </w:pPr>
      <w:rPr>
        <w:rFonts w:hint="default" w:ascii="Symbol" w:hAnsi="Symbol" w:eastAsia="Symbol"/>
        <w:w w:val="100"/>
        <w:sz w:val="24"/>
        <w:szCs w:val="24"/>
      </w:rPr>
    </w:lvl>
    <w:lvl w:ilvl="2" w:tentative="0">
      <w:start w:val="1"/>
      <w:numFmt w:val="bullet"/>
      <w:lvlText w:val="•"/>
      <w:lvlJc w:val="left"/>
      <w:pPr>
        <w:ind w:left="2433" w:hanging="360"/>
      </w:pPr>
      <w:rPr>
        <w:rFonts w:hint="default"/>
      </w:rPr>
    </w:lvl>
    <w:lvl w:ilvl="3" w:tentative="0">
      <w:start w:val="1"/>
      <w:numFmt w:val="bullet"/>
      <w:lvlText w:val="•"/>
      <w:lvlJc w:val="left"/>
      <w:pPr>
        <w:ind w:left="3326" w:hanging="360"/>
      </w:pPr>
      <w:rPr>
        <w:rFonts w:hint="default"/>
      </w:rPr>
    </w:lvl>
    <w:lvl w:ilvl="4" w:tentative="0">
      <w:start w:val="1"/>
      <w:numFmt w:val="bullet"/>
      <w:lvlText w:val="•"/>
      <w:lvlJc w:val="left"/>
      <w:pPr>
        <w:ind w:left="4220" w:hanging="360"/>
      </w:pPr>
      <w:rPr>
        <w:rFonts w:hint="default"/>
      </w:rPr>
    </w:lvl>
    <w:lvl w:ilvl="5" w:tentative="0">
      <w:start w:val="1"/>
      <w:numFmt w:val="bullet"/>
      <w:lvlText w:val="•"/>
      <w:lvlJc w:val="left"/>
      <w:pPr>
        <w:ind w:left="5113" w:hanging="360"/>
      </w:pPr>
      <w:rPr>
        <w:rFonts w:hint="default"/>
      </w:rPr>
    </w:lvl>
    <w:lvl w:ilvl="6" w:tentative="0">
      <w:start w:val="1"/>
      <w:numFmt w:val="bullet"/>
      <w:lvlText w:val="•"/>
      <w:lvlJc w:val="left"/>
      <w:pPr>
        <w:ind w:left="6006" w:hanging="360"/>
      </w:pPr>
      <w:rPr>
        <w:rFonts w:hint="default"/>
      </w:rPr>
    </w:lvl>
    <w:lvl w:ilvl="7" w:tentative="0">
      <w:start w:val="1"/>
      <w:numFmt w:val="bullet"/>
      <w:lvlText w:val="•"/>
      <w:lvlJc w:val="left"/>
      <w:pPr>
        <w:ind w:left="6900" w:hanging="360"/>
      </w:pPr>
      <w:rPr>
        <w:rFonts w:hint="default"/>
      </w:rPr>
    </w:lvl>
    <w:lvl w:ilvl="8" w:tentative="0">
      <w:start w:val="1"/>
      <w:numFmt w:val="bullet"/>
      <w:lvlText w:val="•"/>
      <w:lvlJc w:val="left"/>
      <w:pPr>
        <w:ind w:left="7793" w:hanging="360"/>
      </w:pPr>
      <w:rPr>
        <w:rFonts w:hint="default"/>
      </w:rPr>
    </w:lvl>
  </w:abstractNum>
  <w:abstractNum w:abstractNumId="5">
    <w:nsid w:val="3157228E"/>
    <w:multiLevelType w:val="multilevel"/>
    <w:tmpl w:val="3157228E"/>
    <w:lvl w:ilvl="0" w:tentative="0">
      <w:start w:val="1"/>
      <w:numFmt w:val="lowerLetter"/>
      <w:lvlText w:val="%1."/>
      <w:lvlJc w:val="left"/>
      <w:pPr>
        <w:ind w:left="460" w:hanging="360"/>
      </w:pPr>
      <w:rPr>
        <w:rFonts w:hint="default" w:ascii="Arial" w:hAnsi="Arial" w:eastAsia="Times New Roman" w:cs="Arial"/>
        <w:b/>
        <w:bCs/>
        <w:spacing w:val="1"/>
        <w:sz w:val="28"/>
        <w:szCs w:val="28"/>
      </w:rPr>
    </w:lvl>
    <w:lvl w:ilvl="1" w:tentative="0">
      <w:start w:val="1"/>
      <w:numFmt w:val="bullet"/>
      <w:lvlText w:val=""/>
      <w:lvlJc w:val="left"/>
      <w:pPr>
        <w:ind w:left="820" w:hanging="360"/>
      </w:pPr>
      <w:rPr>
        <w:rFonts w:hint="default" w:ascii="Symbol" w:hAnsi="Symbol" w:eastAsia="Symbol"/>
        <w:w w:val="100"/>
        <w:sz w:val="20"/>
        <w:szCs w:val="20"/>
      </w:rPr>
    </w:lvl>
    <w:lvl w:ilvl="2" w:tentative="0">
      <w:start w:val="1"/>
      <w:numFmt w:val="bullet"/>
      <w:lvlText w:val="•"/>
      <w:lvlJc w:val="left"/>
      <w:pPr>
        <w:ind w:left="1793" w:hanging="360"/>
      </w:pPr>
      <w:rPr>
        <w:rFonts w:hint="default"/>
      </w:rPr>
    </w:lvl>
    <w:lvl w:ilvl="3" w:tentative="0">
      <w:start w:val="1"/>
      <w:numFmt w:val="bullet"/>
      <w:lvlText w:val="•"/>
      <w:lvlJc w:val="left"/>
      <w:pPr>
        <w:ind w:left="2766" w:hanging="360"/>
      </w:pPr>
      <w:rPr>
        <w:rFonts w:hint="default"/>
      </w:rPr>
    </w:lvl>
    <w:lvl w:ilvl="4" w:tentative="0">
      <w:start w:val="1"/>
      <w:numFmt w:val="bullet"/>
      <w:lvlText w:val="•"/>
      <w:lvlJc w:val="left"/>
      <w:pPr>
        <w:ind w:left="3740" w:hanging="360"/>
      </w:pPr>
      <w:rPr>
        <w:rFonts w:hint="default"/>
      </w:rPr>
    </w:lvl>
    <w:lvl w:ilvl="5" w:tentative="0">
      <w:start w:val="1"/>
      <w:numFmt w:val="bullet"/>
      <w:lvlText w:val="•"/>
      <w:lvlJc w:val="left"/>
      <w:pPr>
        <w:ind w:left="4713" w:hanging="360"/>
      </w:pPr>
      <w:rPr>
        <w:rFonts w:hint="default"/>
      </w:rPr>
    </w:lvl>
    <w:lvl w:ilvl="6" w:tentative="0">
      <w:start w:val="1"/>
      <w:numFmt w:val="bullet"/>
      <w:lvlText w:val="•"/>
      <w:lvlJc w:val="left"/>
      <w:pPr>
        <w:ind w:left="568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633" w:hanging="360"/>
      </w:pPr>
      <w:rPr>
        <w:rFonts w:hint="default"/>
      </w:rPr>
    </w:lvl>
  </w:abstractNum>
  <w:abstractNum w:abstractNumId="6">
    <w:nsid w:val="49B868AA"/>
    <w:multiLevelType w:val="multilevel"/>
    <w:tmpl w:val="49B868AA"/>
    <w:lvl w:ilvl="0" w:tentative="0">
      <w:start w:val="1"/>
      <w:numFmt w:val="decimal"/>
      <w:lvlText w:val="(%1)"/>
      <w:lvlJc w:val="left"/>
      <w:pPr>
        <w:ind w:left="558" w:hanging="459"/>
      </w:pPr>
      <w:rPr>
        <w:rFonts w:hint="default" w:ascii="Arial" w:hAnsi="Arial" w:eastAsia="Times New Roman" w:cs="Arial"/>
        <w:b/>
        <w:bCs/>
        <w:spacing w:val="-1"/>
        <w:sz w:val="24"/>
        <w:szCs w:val="24"/>
      </w:rPr>
    </w:lvl>
    <w:lvl w:ilvl="1" w:tentative="0">
      <w:start w:val="1"/>
      <w:numFmt w:val="bullet"/>
      <w:lvlText w:val=""/>
      <w:lvlJc w:val="left"/>
      <w:pPr>
        <w:ind w:left="820" w:hanging="360"/>
      </w:pPr>
      <w:rPr>
        <w:rFonts w:hint="default" w:ascii="Symbol" w:hAnsi="Symbol" w:eastAsia="Symbol"/>
        <w:w w:val="100"/>
        <w:sz w:val="24"/>
        <w:szCs w:val="24"/>
      </w:rPr>
    </w:lvl>
    <w:lvl w:ilvl="2" w:tentative="0">
      <w:start w:val="1"/>
      <w:numFmt w:val="bullet"/>
      <w:lvlText w:val="•"/>
      <w:lvlJc w:val="left"/>
      <w:pPr>
        <w:ind w:left="1793" w:hanging="360"/>
      </w:pPr>
      <w:rPr>
        <w:rFonts w:hint="default"/>
      </w:rPr>
    </w:lvl>
    <w:lvl w:ilvl="3" w:tentative="0">
      <w:start w:val="1"/>
      <w:numFmt w:val="bullet"/>
      <w:lvlText w:val="•"/>
      <w:lvlJc w:val="left"/>
      <w:pPr>
        <w:ind w:left="2766" w:hanging="360"/>
      </w:pPr>
      <w:rPr>
        <w:rFonts w:hint="default"/>
      </w:rPr>
    </w:lvl>
    <w:lvl w:ilvl="4" w:tentative="0">
      <w:start w:val="1"/>
      <w:numFmt w:val="bullet"/>
      <w:lvlText w:val="•"/>
      <w:lvlJc w:val="left"/>
      <w:pPr>
        <w:ind w:left="3740" w:hanging="360"/>
      </w:pPr>
      <w:rPr>
        <w:rFonts w:hint="default"/>
      </w:rPr>
    </w:lvl>
    <w:lvl w:ilvl="5" w:tentative="0">
      <w:start w:val="1"/>
      <w:numFmt w:val="bullet"/>
      <w:lvlText w:val="•"/>
      <w:lvlJc w:val="left"/>
      <w:pPr>
        <w:ind w:left="4713" w:hanging="360"/>
      </w:pPr>
      <w:rPr>
        <w:rFonts w:hint="default"/>
      </w:rPr>
    </w:lvl>
    <w:lvl w:ilvl="6" w:tentative="0">
      <w:start w:val="1"/>
      <w:numFmt w:val="bullet"/>
      <w:lvlText w:val="•"/>
      <w:lvlJc w:val="left"/>
      <w:pPr>
        <w:ind w:left="568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633" w:hanging="360"/>
      </w:pPr>
      <w:rPr>
        <w:rFonts w:hint="default"/>
      </w:rPr>
    </w:lvl>
  </w:abstractNum>
  <w:abstractNum w:abstractNumId="7">
    <w:nsid w:val="57D96439"/>
    <w:multiLevelType w:val="multilevel"/>
    <w:tmpl w:val="57D96439"/>
    <w:lvl w:ilvl="0" w:tentative="0">
      <w:start w:val="1"/>
      <w:numFmt w:val="decimal"/>
      <w:lvlText w:val="%1."/>
      <w:lvlJc w:val="left"/>
      <w:pPr>
        <w:ind w:left="680" w:hanging="540"/>
      </w:pPr>
      <w:rPr>
        <w:rFonts w:hint="default" w:ascii="Arial" w:hAnsi="Arial" w:eastAsia="Times New Roman" w:cs="Arial"/>
        <w:b/>
        <w:bCs/>
        <w:sz w:val="32"/>
        <w:szCs w:val="32"/>
      </w:rPr>
    </w:lvl>
    <w:lvl w:ilvl="1" w:tentative="0">
      <w:start w:val="1"/>
      <w:numFmt w:val="bullet"/>
      <w:lvlText w:val="•"/>
      <w:lvlJc w:val="left"/>
      <w:pPr>
        <w:ind w:left="1576" w:hanging="540"/>
      </w:pPr>
      <w:rPr>
        <w:rFonts w:hint="default"/>
      </w:rPr>
    </w:lvl>
    <w:lvl w:ilvl="2" w:tentative="0">
      <w:start w:val="1"/>
      <w:numFmt w:val="bullet"/>
      <w:lvlText w:val="•"/>
      <w:lvlJc w:val="left"/>
      <w:pPr>
        <w:ind w:left="2472" w:hanging="540"/>
      </w:pPr>
      <w:rPr>
        <w:rFonts w:hint="default"/>
      </w:rPr>
    </w:lvl>
    <w:lvl w:ilvl="3" w:tentative="0">
      <w:start w:val="1"/>
      <w:numFmt w:val="bullet"/>
      <w:lvlText w:val="•"/>
      <w:lvlJc w:val="left"/>
      <w:pPr>
        <w:ind w:left="3368" w:hanging="540"/>
      </w:pPr>
      <w:rPr>
        <w:rFonts w:hint="default"/>
      </w:rPr>
    </w:lvl>
    <w:lvl w:ilvl="4" w:tentative="0">
      <w:start w:val="1"/>
      <w:numFmt w:val="bullet"/>
      <w:lvlText w:val="•"/>
      <w:lvlJc w:val="left"/>
      <w:pPr>
        <w:ind w:left="4264" w:hanging="540"/>
      </w:pPr>
      <w:rPr>
        <w:rFonts w:hint="default"/>
      </w:rPr>
    </w:lvl>
    <w:lvl w:ilvl="5" w:tentative="0">
      <w:start w:val="1"/>
      <w:numFmt w:val="bullet"/>
      <w:lvlText w:val="•"/>
      <w:lvlJc w:val="left"/>
      <w:pPr>
        <w:ind w:left="5160" w:hanging="540"/>
      </w:pPr>
      <w:rPr>
        <w:rFonts w:hint="default"/>
      </w:rPr>
    </w:lvl>
    <w:lvl w:ilvl="6" w:tentative="0">
      <w:start w:val="1"/>
      <w:numFmt w:val="bullet"/>
      <w:lvlText w:val="•"/>
      <w:lvlJc w:val="left"/>
      <w:pPr>
        <w:ind w:left="6056" w:hanging="540"/>
      </w:pPr>
      <w:rPr>
        <w:rFonts w:hint="default"/>
      </w:rPr>
    </w:lvl>
    <w:lvl w:ilvl="7" w:tentative="0">
      <w:start w:val="1"/>
      <w:numFmt w:val="bullet"/>
      <w:lvlText w:val="•"/>
      <w:lvlJc w:val="left"/>
      <w:pPr>
        <w:ind w:left="6952" w:hanging="540"/>
      </w:pPr>
      <w:rPr>
        <w:rFonts w:hint="default"/>
      </w:rPr>
    </w:lvl>
    <w:lvl w:ilvl="8" w:tentative="0">
      <w:start w:val="1"/>
      <w:numFmt w:val="bullet"/>
      <w:lvlText w:val="•"/>
      <w:lvlJc w:val="left"/>
      <w:pPr>
        <w:ind w:left="7848" w:hanging="540"/>
      </w:pPr>
      <w:rPr>
        <w:rFonts w:hint="default"/>
      </w:rPr>
    </w:lvl>
  </w:abstractNum>
  <w:abstractNum w:abstractNumId="8">
    <w:nsid w:val="5CDC1B8E"/>
    <w:multiLevelType w:val="multilevel"/>
    <w:tmpl w:val="5CDC1B8E"/>
    <w:lvl w:ilvl="0" w:tentative="0">
      <w:start w:val="1"/>
      <w:numFmt w:val="lowerLetter"/>
      <w:lvlText w:val="(%1)"/>
      <w:lvlJc w:val="left"/>
      <w:pPr>
        <w:ind w:left="486" w:hanging="387"/>
      </w:pPr>
      <w:rPr>
        <w:rFonts w:hint="default" w:ascii="Arial" w:hAnsi="Arial" w:eastAsia="Times New Roman" w:cs="Arial"/>
        <w:spacing w:val="-1"/>
        <w:sz w:val="24"/>
        <w:szCs w:val="24"/>
      </w:rPr>
    </w:lvl>
    <w:lvl w:ilvl="1" w:tentative="0">
      <w:start w:val="1"/>
      <w:numFmt w:val="bullet"/>
      <w:lvlText w:val="•"/>
      <w:lvlJc w:val="left"/>
      <w:pPr>
        <w:ind w:left="1395" w:hanging="387"/>
      </w:pPr>
      <w:rPr>
        <w:rFonts w:hint="default"/>
      </w:rPr>
    </w:lvl>
    <w:lvl w:ilvl="2" w:tentative="0">
      <w:start w:val="1"/>
      <w:numFmt w:val="bullet"/>
      <w:lvlText w:val="•"/>
      <w:lvlJc w:val="left"/>
      <w:pPr>
        <w:ind w:left="2305" w:hanging="387"/>
      </w:pPr>
      <w:rPr>
        <w:rFonts w:hint="default"/>
      </w:rPr>
    </w:lvl>
    <w:lvl w:ilvl="3" w:tentative="0">
      <w:start w:val="1"/>
      <w:numFmt w:val="bullet"/>
      <w:lvlText w:val="•"/>
      <w:lvlJc w:val="left"/>
      <w:pPr>
        <w:ind w:left="3214" w:hanging="387"/>
      </w:pPr>
      <w:rPr>
        <w:rFonts w:hint="default"/>
      </w:rPr>
    </w:lvl>
    <w:lvl w:ilvl="4" w:tentative="0">
      <w:start w:val="1"/>
      <w:numFmt w:val="bullet"/>
      <w:lvlText w:val="•"/>
      <w:lvlJc w:val="left"/>
      <w:pPr>
        <w:ind w:left="4123" w:hanging="387"/>
      </w:pPr>
      <w:rPr>
        <w:rFonts w:hint="default"/>
      </w:rPr>
    </w:lvl>
    <w:lvl w:ilvl="5" w:tentative="0">
      <w:start w:val="1"/>
      <w:numFmt w:val="bullet"/>
      <w:lvlText w:val="•"/>
      <w:lvlJc w:val="left"/>
      <w:pPr>
        <w:ind w:left="5033" w:hanging="387"/>
      </w:pPr>
      <w:rPr>
        <w:rFonts w:hint="default"/>
      </w:rPr>
    </w:lvl>
    <w:lvl w:ilvl="6" w:tentative="0">
      <w:start w:val="1"/>
      <w:numFmt w:val="bullet"/>
      <w:lvlText w:val="•"/>
      <w:lvlJc w:val="left"/>
      <w:pPr>
        <w:ind w:left="5942" w:hanging="387"/>
      </w:pPr>
      <w:rPr>
        <w:rFonts w:hint="default"/>
      </w:rPr>
    </w:lvl>
    <w:lvl w:ilvl="7" w:tentative="0">
      <w:start w:val="1"/>
      <w:numFmt w:val="bullet"/>
      <w:lvlText w:val="•"/>
      <w:lvlJc w:val="left"/>
      <w:pPr>
        <w:ind w:left="6851" w:hanging="387"/>
      </w:pPr>
      <w:rPr>
        <w:rFonts w:hint="default"/>
      </w:rPr>
    </w:lvl>
    <w:lvl w:ilvl="8" w:tentative="0">
      <w:start w:val="1"/>
      <w:numFmt w:val="bullet"/>
      <w:lvlText w:val="•"/>
      <w:lvlJc w:val="left"/>
      <w:pPr>
        <w:ind w:left="7761" w:hanging="387"/>
      </w:pPr>
      <w:rPr>
        <w:rFonts w:hint="default"/>
      </w:rPr>
    </w:lvl>
  </w:abstractNum>
  <w:abstractNum w:abstractNumId="9">
    <w:nsid w:val="68351076"/>
    <w:multiLevelType w:val="multilevel"/>
    <w:tmpl w:val="68351076"/>
    <w:lvl w:ilvl="0" w:tentative="0">
      <w:start w:val="1"/>
      <w:numFmt w:val="lowerLetter"/>
      <w:lvlText w:val="%1."/>
      <w:lvlJc w:val="left"/>
      <w:pPr>
        <w:ind w:left="520" w:hanging="421"/>
      </w:pPr>
      <w:rPr>
        <w:rFonts w:hint="default" w:ascii="Arial" w:hAnsi="Arial" w:eastAsia="Times New Roman" w:cs="Arial"/>
        <w:b/>
        <w:bCs/>
        <w:spacing w:val="1"/>
        <w:sz w:val="28"/>
        <w:szCs w:val="28"/>
      </w:rPr>
    </w:lvl>
    <w:lvl w:ilvl="1" w:tentative="0">
      <w:start w:val="1"/>
      <w:numFmt w:val="bullet"/>
      <w:lvlText w:val=""/>
      <w:lvlJc w:val="left"/>
      <w:pPr>
        <w:ind w:left="840" w:hanging="360"/>
      </w:pPr>
      <w:rPr>
        <w:rFonts w:hint="default" w:ascii="Symbol" w:hAnsi="Symbol" w:eastAsia="Symbol"/>
        <w:w w:val="100"/>
        <w:sz w:val="24"/>
        <w:szCs w:val="24"/>
      </w:rPr>
    </w:lvl>
    <w:lvl w:ilvl="2" w:tentative="0">
      <w:start w:val="1"/>
      <w:numFmt w:val="bullet"/>
      <w:lvlText w:val="•"/>
      <w:lvlJc w:val="left"/>
      <w:pPr>
        <w:ind w:left="1811" w:hanging="360"/>
      </w:pPr>
      <w:rPr>
        <w:rFonts w:hint="default"/>
      </w:rPr>
    </w:lvl>
    <w:lvl w:ilvl="3" w:tentative="0">
      <w:start w:val="1"/>
      <w:numFmt w:val="bullet"/>
      <w:lvlText w:val="•"/>
      <w:lvlJc w:val="left"/>
      <w:pPr>
        <w:ind w:left="2782" w:hanging="360"/>
      </w:pPr>
      <w:rPr>
        <w:rFonts w:hint="default"/>
      </w:rPr>
    </w:lvl>
    <w:lvl w:ilvl="4" w:tentative="0">
      <w:start w:val="1"/>
      <w:numFmt w:val="bullet"/>
      <w:lvlText w:val="•"/>
      <w:lvlJc w:val="left"/>
      <w:pPr>
        <w:ind w:left="3753" w:hanging="360"/>
      </w:pPr>
      <w:rPr>
        <w:rFonts w:hint="default"/>
      </w:rPr>
    </w:lvl>
    <w:lvl w:ilvl="5" w:tentative="0">
      <w:start w:val="1"/>
      <w:numFmt w:val="bullet"/>
      <w:lvlText w:val="•"/>
      <w:lvlJc w:val="left"/>
      <w:pPr>
        <w:ind w:left="4724" w:hanging="360"/>
      </w:pPr>
      <w:rPr>
        <w:rFonts w:hint="default"/>
      </w:rPr>
    </w:lvl>
    <w:lvl w:ilvl="6" w:tentative="0">
      <w:start w:val="1"/>
      <w:numFmt w:val="bullet"/>
      <w:lvlText w:val="•"/>
      <w:lvlJc w:val="left"/>
      <w:pPr>
        <w:ind w:left="5695" w:hanging="360"/>
      </w:pPr>
      <w:rPr>
        <w:rFonts w:hint="default"/>
      </w:rPr>
    </w:lvl>
    <w:lvl w:ilvl="7" w:tentative="0">
      <w:start w:val="1"/>
      <w:numFmt w:val="bullet"/>
      <w:lvlText w:val="•"/>
      <w:lvlJc w:val="left"/>
      <w:pPr>
        <w:ind w:left="6666" w:hanging="360"/>
      </w:pPr>
      <w:rPr>
        <w:rFonts w:hint="default"/>
      </w:rPr>
    </w:lvl>
    <w:lvl w:ilvl="8" w:tentative="0">
      <w:start w:val="1"/>
      <w:numFmt w:val="bullet"/>
      <w:lvlText w:val="•"/>
      <w:lvlJc w:val="left"/>
      <w:pPr>
        <w:ind w:left="7637" w:hanging="360"/>
      </w:pPr>
      <w:rPr>
        <w:rFonts w:hint="default"/>
      </w:rPr>
    </w:lvl>
  </w:abstractNum>
  <w:abstractNum w:abstractNumId="10">
    <w:nsid w:val="716A4752"/>
    <w:multiLevelType w:val="multilevel"/>
    <w:tmpl w:val="716A4752"/>
    <w:lvl w:ilvl="0" w:tentative="0">
      <w:start w:val="8"/>
      <w:numFmt w:val="decimal"/>
      <w:lvlText w:val="%1."/>
      <w:lvlJc w:val="left"/>
      <w:pPr>
        <w:ind w:left="640" w:hanging="540"/>
      </w:pPr>
      <w:rPr>
        <w:rFonts w:hint="default" w:ascii="Arial" w:hAnsi="Arial" w:eastAsia="Times New Roman" w:cs="Arial"/>
        <w:b/>
        <w:bCs/>
        <w:sz w:val="32"/>
        <w:szCs w:val="32"/>
      </w:rPr>
    </w:lvl>
    <w:lvl w:ilvl="1" w:tentative="0">
      <w:start w:val="1"/>
      <w:numFmt w:val="decimal"/>
      <w:lvlText w:val="%2."/>
      <w:lvlJc w:val="left"/>
      <w:pPr>
        <w:ind w:left="820" w:hanging="360"/>
        <w:jc w:val="right"/>
      </w:pPr>
      <w:rPr>
        <w:rFonts w:hint="default" w:ascii="Arial" w:hAnsi="Arial" w:eastAsia="Times New Roman" w:cs="Arial"/>
        <w:sz w:val="24"/>
        <w:szCs w:val="24"/>
      </w:rPr>
    </w:lvl>
    <w:lvl w:ilvl="2" w:tentative="0">
      <w:start w:val="1"/>
      <w:numFmt w:val="bullet"/>
      <w:lvlText w:val="•"/>
      <w:lvlJc w:val="left"/>
      <w:pPr>
        <w:ind w:left="1793" w:hanging="360"/>
      </w:pPr>
      <w:rPr>
        <w:rFonts w:hint="default"/>
      </w:rPr>
    </w:lvl>
    <w:lvl w:ilvl="3" w:tentative="0">
      <w:start w:val="1"/>
      <w:numFmt w:val="bullet"/>
      <w:lvlText w:val="•"/>
      <w:lvlJc w:val="left"/>
      <w:pPr>
        <w:ind w:left="2766" w:hanging="360"/>
      </w:pPr>
      <w:rPr>
        <w:rFonts w:hint="default"/>
      </w:rPr>
    </w:lvl>
    <w:lvl w:ilvl="4" w:tentative="0">
      <w:start w:val="1"/>
      <w:numFmt w:val="bullet"/>
      <w:lvlText w:val="•"/>
      <w:lvlJc w:val="left"/>
      <w:pPr>
        <w:ind w:left="3740" w:hanging="360"/>
      </w:pPr>
      <w:rPr>
        <w:rFonts w:hint="default"/>
      </w:rPr>
    </w:lvl>
    <w:lvl w:ilvl="5" w:tentative="0">
      <w:start w:val="1"/>
      <w:numFmt w:val="bullet"/>
      <w:lvlText w:val="•"/>
      <w:lvlJc w:val="left"/>
      <w:pPr>
        <w:ind w:left="4713" w:hanging="360"/>
      </w:pPr>
      <w:rPr>
        <w:rFonts w:hint="default"/>
      </w:rPr>
    </w:lvl>
    <w:lvl w:ilvl="6" w:tentative="0">
      <w:start w:val="1"/>
      <w:numFmt w:val="bullet"/>
      <w:lvlText w:val="•"/>
      <w:lvlJc w:val="left"/>
      <w:pPr>
        <w:ind w:left="5686" w:hanging="360"/>
      </w:pPr>
      <w:rPr>
        <w:rFonts w:hint="default"/>
      </w:rPr>
    </w:lvl>
    <w:lvl w:ilvl="7" w:tentative="0">
      <w:start w:val="1"/>
      <w:numFmt w:val="bullet"/>
      <w:lvlText w:val="•"/>
      <w:lvlJc w:val="left"/>
      <w:pPr>
        <w:ind w:left="6660" w:hanging="360"/>
      </w:pPr>
      <w:rPr>
        <w:rFonts w:hint="default"/>
      </w:rPr>
    </w:lvl>
    <w:lvl w:ilvl="8" w:tentative="0">
      <w:start w:val="1"/>
      <w:numFmt w:val="bullet"/>
      <w:lvlText w:val="•"/>
      <w:lvlJc w:val="left"/>
      <w:pPr>
        <w:ind w:left="7633" w:hanging="360"/>
      </w:pPr>
      <w:rPr>
        <w:rFonts w:hint="default"/>
      </w:rPr>
    </w:lvl>
  </w:abstractNum>
  <w:abstractNum w:abstractNumId="11">
    <w:nsid w:val="76EF7226"/>
    <w:multiLevelType w:val="multilevel"/>
    <w:tmpl w:val="76EF7226"/>
    <w:lvl w:ilvl="0" w:tentative="0">
      <w:start w:val="1"/>
      <w:numFmt w:val="decimal"/>
      <w:lvlText w:val="(%1)"/>
      <w:lvlJc w:val="left"/>
      <w:pPr>
        <w:ind w:left="558" w:hanging="459"/>
      </w:pPr>
      <w:rPr>
        <w:rFonts w:hint="default" w:ascii="Arial" w:hAnsi="Arial" w:eastAsia="Times New Roman" w:cs="Arial"/>
        <w:b/>
        <w:bCs/>
        <w:spacing w:val="-1"/>
        <w:sz w:val="24"/>
        <w:szCs w:val="24"/>
      </w:rPr>
    </w:lvl>
    <w:lvl w:ilvl="1" w:tentative="0">
      <w:start w:val="1"/>
      <w:numFmt w:val="bullet"/>
      <w:lvlText w:val=""/>
      <w:lvlJc w:val="left"/>
      <w:pPr>
        <w:ind w:left="820" w:hanging="360"/>
      </w:pPr>
      <w:rPr>
        <w:rFonts w:hint="default" w:ascii="Symbol" w:hAnsi="Symbol" w:eastAsia="Symbol"/>
        <w:w w:val="100"/>
        <w:sz w:val="24"/>
        <w:szCs w:val="24"/>
      </w:rPr>
    </w:lvl>
    <w:lvl w:ilvl="2" w:tentative="0">
      <w:start w:val="1"/>
      <w:numFmt w:val="bullet"/>
      <w:lvlText w:val="o"/>
      <w:lvlJc w:val="left"/>
      <w:pPr>
        <w:ind w:left="1540" w:hanging="360"/>
      </w:pPr>
      <w:rPr>
        <w:rFonts w:hint="default" w:ascii="Courier New" w:hAnsi="Courier New" w:eastAsia="Courier New"/>
        <w:sz w:val="24"/>
        <w:szCs w:val="24"/>
      </w:rPr>
    </w:lvl>
    <w:lvl w:ilvl="3" w:tentative="0">
      <w:start w:val="1"/>
      <w:numFmt w:val="bullet"/>
      <w:lvlText w:val="•"/>
      <w:lvlJc w:val="left"/>
      <w:pPr>
        <w:ind w:left="2545" w:hanging="360"/>
      </w:pPr>
      <w:rPr>
        <w:rFonts w:hint="default"/>
      </w:rPr>
    </w:lvl>
    <w:lvl w:ilvl="4" w:tentative="0">
      <w:start w:val="1"/>
      <w:numFmt w:val="bullet"/>
      <w:lvlText w:val="•"/>
      <w:lvlJc w:val="left"/>
      <w:pPr>
        <w:ind w:left="3550" w:hanging="360"/>
      </w:pPr>
      <w:rPr>
        <w:rFonts w:hint="default"/>
      </w:rPr>
    </w:lvl>
    <w:lvl w:ilvl="5" w:tentative="0">
      <w:start w:val="1"/>
      <w:numFmt w:val="bullet"/>
      <w:lvlText w:val="•"/>
      <w:lvlJc w:val="left"/>
      <w:pPr>
        <w:ind w:left="4555" w:hanging="360"/>
      </w:pPr>
      <w:rPr>
        <w:rFonts w:hint="default"/>
      </w:rPr>
    </w:lvl>
    <w:lvl w:ilvl="6" w:tentative="0">
      <w:start w:val="1"/>
      <w:numFmt w:val="bullet"/>
      <w:lvlText w:val="•"/>
      <w:lvlJc w:val="left"/>
      <w:pPr>
        <w:ind w:left="5560" w:hanging="360"/>
      </w:pPr>
      <w:rPr>
        <w:rFonts w:hint="default"/>
      </w:rPr>
    </w:lvl>
    <w:lvl w:ilvl="7" w:tentative="0">
      <w:start w:val="1"/>
      <w:numFmt w:val="bullet"/>
      <w:lvlText w:val="•"/>
      <w:lvlJc w:val="left"/>
      <w:pPr>
        <w:ind w:left="6565" w:hanging="360"/>
      </w:pPr>
      <w:rPr>
        <w:rFonts w:hint="default"/>
      </w:rPr>
    </w:lvl>
    <w:lvl w:ilvl="8" w:tentative="0">
      <w:start w:val="1"/>
      <w:numFmt w:val="bullet"/>
      <w:lvlText w:val="•"/>
      <w:lvlJc w:val="left"/>
      <w:pPr>
        <w:ind w:left="7570" w:hanging="360"/>
      </w:pPr>
      <w:rPr>
        <w:rFonts w:hint="default"/>
      </w:rPr>
    </w:lvl>
  </w:abstractNum>
  <w:num w:numId="1">
    <w:abstractNumId w:val="7"/>
  </w:num>
  <w:num w:numId="2">
    <w:abstractNumId w:val="3"/>
  </w:num>
  <w:num w:numId="3">
    <w:abstractNumId w:val="1"/>
  </w:num>
  <w:num w:numId="4">
    <w:abstractNumId w:val="4"/>
  </w:num>
  <w:num w:numId="5">
    <w:abstractNumId w:val="6"/>
  </w:num>
  <w:num w:numId="6">
    <w:abstractNumId w:val="5"/>
  </w:num>
  <w:num w:numId="7">
    <w:abstractNumId w:val="0"/>
  </w:num>
  <w:num w:numId="8">
    <w:abstractNumId w:val="2"/>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4"/>
    <w:footnote w:id="5"/>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26"/>
    <w:rsid w:val="00002666"/>
    <w:rsid w:val="00007FD8"/>
    <w:rsid w:val="000122D7"/>
    <w:rsid w:val="000125E0"/>
    <w:rsid w:val="00014352"/>
    <w:rsid w:val="000146DE"/>
    <w:rsid w:val="000147EC"/>
    <w:rsid w:val="0001641B"/>
    <w:rsid w:val="000201F4"/>
    <w:rsid w:val="00023920"/>
    <w:rsid w:val="0002407D"/>
    <w:rsid w:val="00024288"/>
    <w:rsid w:val="00024E86"/>
    <w:rsid w:val="00025B0C"/>
    <w:rsid w:val="0003106B"/>
    <w:rsid w:val="00032241"/>
    <w:rsid w:val="000338FB"/>
    <w:rsid w:val="000355F7"/>
    <w:rsid w:val="00035758"/>
    <w:rsid w:val="0003767E"/>
    <w:rsid w:val="000410BC"/>
    <w:rsid w:val="00042860"/>
    <w:rsid w:val="0004311F"/>
    <w:rsid w:val="000434E3"/>
    <w:rsid w:val="000505E5"/>
    <w:rsid w:val="00053958"/>
    <w:rsid w:val="00054E25"/>
    <w:rsid w:val="00054FA9"/>
    <w:rsid w:val="000554FF"/>
    <w:rsid w:val="00057585"/>
    <w:rsid w:val="00060960"/>
    <w:rsid w:val="0006149F"/>
    <w:rsid w:val="00061F6D"/>
    <w:rsid w:val="000628DA"/>
    <w:rsid w:val="00062ACB"/>
    <w:rsid w:val="000637C8"/>
    <w:rsid w:val="0006388A"/>
    <w:rsid w:val="00065707"/>
    <w:rsid w:val="0006620E"/>
    <w:rsid w:val="00066648"/>
    <w:rsid w:val="0006771B"/>
    <w:rsid w:val="0007066E"/>
    <w:rsid w:val="0007230A"/>
    <w:rsid w:val="00074501"/>
    <w:rsid w:val="00074637"/>
    <w:rsid w:val="00074691"/>
    <w:rsid w:val="00075256"/>
    <w:rsid w:val="00077A3E"/>
    <w:rsid w:val="00077C75"/>
    <w:rsid w:val="00080534"/>
    <w:rsid w:val="000805C3"/>
    <w:rsid w:val="000835C0"/>
    <w:rsid w:val="0008465D"/>
    <w:rsid w:val="00085302"/>
    <w:rsid w:val="00087B29"/>
    <w:rsid w:val="00090F12"/>
    <w:rsid w:val="000915B5"/>
    <w:rsid w:val="00093361"/>
    <w:rsid w:val="0009402F"/>
    <w:rsid w:val="00095FBC"/>
    <w:rsid w:val="00096174"/>
    <w:rsid w:val="00096E38"/>
    <w:rsid w:val="00096E69"/>
    <w:rsid w:val="000A02E0"/>
    <w:rsid w:val="000A0A96"/>
    <w:rsid w:val="000A2485"/>
    <w:rsid w:val="000A4EDD"/>
    <w:rsid w:val="000A5EE7"/>
    <w:rsid w:val="000A6595"/>
    <w:rsid w:val="000A6D19"/>
    <w:rsid w:val="000A7555"/>
    <w:rsid w:val="000A7F0A"/>
    <w:rsid w:val="000A7F49"/>
    <w:rsid w:val="000B1270"/>
    <w:rsid w:val="000B1832"/>
    <w:rsid w:val="000B1DE3"/>
    <w:rsid w:val="000B2BBF"/>
    <w:rsid w:val="000B47CB"/>
    <w:rsid w:val="000B767B"/>
    <w:rsid w:val="000C5F6B"/>
    <w:rsid w:val="000C69CA"/>
    <w:rsid w:val="000C782E"/>
    <w:rsid w:val="000D205F"/>
    <w:rsid w:val="000D433A"/>
    <w:rsid w:val="000D5DEA"/>
    <w:rsid w:val="000D5E00"/>
    <w:rsid w:val="000D7C3A"/>
    <w:rsid w:val="000E11D4"/>
    <w:rsid w:val="000E20C5"/>
    <w:rsid w:val="000E3CD5"/>
    <w:rsid w:val="000E5259"/>
    <w:rsid w:val="000E583F"/>
    <w:rsid w:val="000E6736"/>
    <w:rsid w:val="000E6AD1"/>
    <w:rsid w:val="000E71A5"/>
    <w:rsid w:val="000E7E31"/>
    <w:rsid w:val="000F0A25"/>
    <w:rsid w:val="000F18E1"/>
    <w:rsid w:val="000F20B8"/>
    <w:rsid w:val="000F219E"/>
    <w:rsid w:val="000F4D3E"/>
    <w:rsid w:val="000F5441"/>
    <w:rsid w:val="000F5605"/>
    <w:rsid w:val="000F571D"/>
    <w:rsid w:val="000F6567"/>
    <w:rsid w:val="000F6985"/>
    <w:rsid w:val="000F6FCE"/>
    <w:rsid w:val="000F795E"/>
    <w:rsid w:val="00100E57"/>
    <w:rsid w:val="00101115"/>
    <w:rsid w:val="001018AD"/>
    <w:rsid w:val="00106FE9"/>
    <w:rsid w:val="00107186"/>
    <w:rsid w:val="00107702"/>
    <w:rsid w:val="00107A32"/>
    <w:rsid w:val="00107BBD"/>
    <w:rsid w:val="00113F06"/>
    <w:rsid w:val="00120F3D"/>
    <w:rsid w:val="0012102B"/>
    <w:rsid w:val="00125096"/>
    <w:rsid w:val="0012623E"/>
    <w:rsid w:val="00126E9C"/>
    <w:rsid w:val="00133DCF"/>
    <w:rsid w:val="0013737F"/>
    <w:rsid w:val="00137682"/>
    <w:rsid w:val="001376F8"/>
    <w:rsid w:val="00146518"/>
    <w:rsid w:val="00147F6F"/>
    <w:rsid w:val="001512A2"/>
    <w:rsid w:val="001518C4"/>
    <w:rsid w:val="00153B12"/>
    <w:rsid w:val="00154D0A"/>
    <w:rsid w:val="00157392"/>
    <w:rsid w:val="00160B03"/>
    <w:rsid w:val="00161BA0"/>
    <w:rsid w:val="001626DA"/>
    <w:rsid w:val="001646FB"/>
    <w:rsid w:val="00164B83"/>
    <w:rsid w:val="0016559E"/>
    <w:rsid w:val="00167146"/>
    <w:rsid w:val="00171777"/>
    <w:rsid w:val="00171902"/>
    <w:rsid w:val="001753CC"/>
    <w:rsid w:val="00176058"/>
    <w:rsid w:val="001803A4"/>
    <w:rsid w:val="001805DB"/>
    <w:rsid w:val="00181575"/>
    <w:rsid w:val="00181C53"/>
    <w:rsid w:val="001827D1"/>
    <w:rsid w:val="00184878"/>
    <w:rsid w:val="0018499E"/>
    <w:rsid w:val="00184FAD"/>
    <w:rsid w:val="001850FD"/>
    <w:rsid w:val="00185B59"/>
    <w:rsid w:val="0018610F"/>
    <w:rsid w:val="001911D3"/>
    <w:rsid w:val="00191508"/>
    <w:rsid w:val="00191EBD"/>
    <w:rsid w:val="001950EA"/>
    <w:rsid w:val="001A06A4"/>
    <w:rsid w:val="001A09E4"/>
    <w:rsid w:val="001A4781"/>
    <w:rsid w:val="001A54A6"/>
    <w:rsid w:val="001A5E37"/>
    <w:rsid w:val="001A70E0"/>
    <w:rsid w:val="001A7B83"/>
    <w:rsid w:val="001B0EE9"/>
    <w:rsid w:val="001B1A9F"/>
    <w:rsid w:val="001B4736"/>
    <w:rsid w:val="001B4C72"/>
    <w:rsid w:val="001B5F94"/>
    <w:rsid w:val="001B683F"/>
    <w:rsid w:val="001B7257"/>
    <w:rsid w:val="001B7D74"/>
    <w:rsid w:val="001C2C14"/>
    <w:rsid w:val="001C7130"/>
    <w:rsid w:val="001D1E6D"/>
    <w:rsid w:val="001D48EF"/>
    <w:rsid w:val="001D5E66"/>
    <w:rsid w:val="001E15EF"/>
    <w:rsid w:val="001E2027"/>
    <w:rsid w:val="001E308B"/>
    <w:rsid w:val="001E433B"/>
    <w:rsid w:val="001E7557"/>
    <w:rsid w:val="001E7A9B"/>
    <w:rsid w:val="001E7E15"/>
    <w:rsid w:val="001E7E80"/>
    <w:rsid w:val="001F146C"/>
    <w:rsid w:val="001F37B2"/>
    <w:rsid w:val="001F70D3"/>
    <w:rsid w:val="001F70F7"/>
    <w:rsid w:val="00200E95"/>
    <w:rsid w:val="00202DA0"/>
    <w:rsid w:val="00204290"/>
    <w:rsid w:val="00204D36"/>
    <w:rsid w:val="00205CAF"/>
    <w:rsid w:val="0020745F"/>
    <w:rsid w:val="002079AF"/>
    <w:rsid w:val="002140CC"/>
    <w:rsid w:val="002161B7"/>
    <w:rsid w:val="00217071"/>
    <w:rsid w:val="00222660"/>
    <w:rsid w:val="00222B15"/>
    <w:rsid w:val="00225D66"/>
    <w:rsid w:val="0022631A"/>
    <w:rsid w:val="00226737"/>
    <w:rsid w:val="00226F85"/>
    <w:rsid w:val="00230D02"/>
    <w:rsid w:val="002329F2"/>
    <w:rsid w:val="00234A9F"/>
    <w:rsid w:val="0023693B"/>
    <w:rsid w:val="002375C0"/>
    <w:rsid w:val="00237991"/>
    <w:rsid w:val="00240556"/>
    <w:rsid w:val="00241AE4"/>
    <w:rsid w:val="002421CC"/>
    <w:rsid w:val="00242659"/>
    <w:rsid w:val="00242798"/>
    <w:rsid w:val="002432D5"/>
    <w:rsid w:val="00243C29"/>
    <w:rsid w:val="00244E87"/>
    <w:rsid w:val="00245650"/>
    <w:rsid w:val="002456A8"/>
    <w:rsid w:val="0024610B"/>
    <w:rsid w:val="00251285"/>
    <w:rsid w:val="0025143D"/>
    <w:rsid w:val="00252777"/>
    <w:rsid w:val="00253D29"/>
    <w:rsid w:val="00260313"/>
    <w:rsid w:val="002626D7"/>
    <w:rsid w:val="00262B18"/>
    <w:rsid w:val="00265CEF"/>
    <w:rsid w:val="0026694A"/>
    <w:rsid w:val="00270740"/>
    <w:rsid w:val="002720BC"/>
    <w:rsid w:val="00272C56"/>
    <w:rsid w:val="00274B0C"/>
    <w:rsid w:val="0027525A"/>
    <w:rsid w:val="002762EC"/>
    <w:rsid w:val="00282476"/>
    <w:rsid w:val="00282C0A"/>
    <w:rsid w:val="0028373A"/>
    <w:rsid w:val="00284A73"/>
    <w:rsid w:val="0028545B"/>
    <w:rsid w:val="002864E6"/>
    <w:rsid w:val="002867B1"/>
    <w:rsid w:val="00291105"/>
    <w:rsid w:val="00294934"/>
    <w:rsid w:val="00297C45"/>
    <w:rsid w:val="002A2F1E"/>
    <w:rsid w:val="002A3DC8"/>
    <w:rsid w:val="002A65C3"/>
    <w:rsid w:val="002A6D78"/>
    <w:rsid w:val="002B03B3"/>
    <w:rsid w:val="002B0E1F"/>
    <w:rsid w:val="002B2984"/>
    <w:rsid w:val="002B2C22"/>
    <w:rsid w:val="002B38A5"/>
    <w:rsid w:val="002B678B"/>
    <w:rsid w:val="002C11FA"/>
    <w:rsid w:val="002C199D"/>
    <w:rsid w:val="002C326E"/>
    <w:rsid w:val="002C55E9"/>
    <w:rsid w:val="002D47C1"/>
    <w:rsid w:val="002D4927"/>
    <w:rsid w:val="002E00E6"/>
    <w:rsid w:val="002E02EE"/>
    <w:rsid w:val="002E079E"/>
    <w:rsid w:val="002E0A8A"/>
    <w:rsid w:val="002E3619"/>
    <w:rsid w:val="002E418F"/>
    <w:rsid w:val="002E5708"/>
    <w:rsid w:val="002E5BE5"/>
    <w:rsid w:val="002F1C9F"/>
    <w:rsid w:val="002F2C64"/>
    <w:rsid w:val="002F5891"/>
    <w:rsid w:val="00301370"/>
    <w:rsid w:val="00301B17"/>
    <w:rsid w:val="00302879"/>
    <w:rsid w:val="00302F00"/>
    <w:rsid w:val="00303A7E"/>
    <w:rsid w:val="00303D6E"/>
    <w:rsid w:val="00304C74"/>
    <w:rsid w:val="00306BA3"/>
    <w:rsid w:val="00311645"/>
    <w:rsid w:val="003154A0"/>
    <w:rsid w:val="00321919"/>
    <w:rsid w:val="00321DDF"/>
    <w:rsid w:val="0032232D"/>
    <w:rsid w:val="003224B6"/>
    <w:rsid w:val="003244EA"/>
    <w:rsid w:val="0032582C"/>
    <w:rsid w:val="00325C31"/>
    <w:rsid w:val="003262AC"/>
    <w:rsid w:val="00326DD7"/>
    <w:rsid w:val="0032724D"/>
    <w:rsid w:val="0034023C"/>
    <w:rsid w:val="003410D7"/>
    <w:rsid w:val="003414D4"/>
    <w:rsid w:val="00342892"/>
    <w:rsid w:val="00342CD9"/>
    <w:rsid w:val="003433B9"/>
    <w:rsid w:val="003456D1"/>
    <w:rsid w:val="0034710D"/>
    <w:rsid w:val="00350703"/>
    <w:rsid w:val="003511D7"/>
    <w:rsid w:val="00351D70"/>
    <w:rsid w:val="0035243C"/>
    <w:rsid w:val="00353362"/>
    <w:rsid w:val="00355891"/>
    <w:rsid w:val="00355A5E"/>
    <w:rsid w:val="003569DC"/>
    <w:rsid w:val="00360E2D"/>
    <w:rsid w:val="00364DB4"/>
    <w:rsid w:val="00364EB0"/>
    <w:rsid w:val="00365E5E"/>
    <w:rsid w:val="00366DB0"/>
    <w:rsid w:val="003671C6"/>
    <w:rsid w:val="00370CD6"/>
    <w:rsid w:val="00373683"/>
    <w:rsid w:val="0037539B"/>
    <w:rsid w:val="003758C2"/>
    <w:rsid w:val="00375E3C"/>
    <w:rsid w:val="00375E4B"/>
    <w:rsid w:val="00375E78"/>
    <w:rsid w:val="00376122"/>
    <w:rsid w:val="003766DD"/>
    <w:rsid w:val="00380626"/>
    <w:rsid w:val="003823EF"/>
    <w:rsid w:val="003845A6"/>
    <w:rsid w:val="003869D5"/>
    <w:rsid w:val="00391CD0"/>
    <w:rsid w:val="0039393A"/>
    <w:rsid w:val="00396675"/>
    <w:rsid w:val="003A2CF1"/>
    <w:rsid w:val="003A2DCD"/>
    <w:rsid w:val="003A3CE0"/>
    <w:rsid w:val="003A7884"/>
    <w:rsid w:val="003B0392"/>
    <w:rsid w:val="003B3012"/>
    <w:rsid w:val="003B307E"/>
    <w:rsid w:val="003B3105"/>
    <w:rsid w:val="003B34F0"/>
    <w:rsid w:val="003B4137"/>
    <w:rsid w:val="003B59A0"/>
    <w:rsid w:val="003B5C11"/>
    <w:rsid w:val="003B6336"/>
    <w:rsid w:val="003C163B"/>
    <w:rsid w:val="003C6DCB"/>
    <w:rsid w:val="003C7DB6"/>
    <w:rsid w:val="003D0001"/>
    <w:rsid w:val="003D1799"/>
    <w:rsid w:val="003D38E0"/>
    <w:rsid w:val="003D6C4A"/>
    <w:rsid w:val="003D6C64"/>
    <w:rsid w:val="003D6D7D"/>
    <w:rsid w:val="003D6FC5"/>
    <w:rsid w:val="003D7921"/>
    <w:rsid w:val="003D7CF4"/>
    <w:rsid w:val="003D7D91"/>
    <w:rsid w:val="003E4194"/>
    <w:rsid w:val="003E660C"/>
    <w:rsid w:val="003E6F18"/>
    <w:rsid w:val="003F004D"/>
    <w:rsid w:val="003F2177"/>
    <w:rsid w:val="003F21D3"/>
    <w:rsid w:val="003F288F"/>
    <w:rsid w:val="003F2C64"/>
    <w:rsid w:val="003F4E4D"/>
    <w:rsid w:val="003F6F17"/>
    <w:rsid w:val="003F7CDF"/>
    <w:rsid w:val="00400004"/>
    <w:rsid w:val="0040003B"/>
    <w:rsid w:val="004008E2"/>
    <w:rsid w:val="004012E5"/>
    <w:rsid w:val="00403462"/>
    <w:rsid w:val="00403880"/>
    <w:rsid w:val="00405348"/>
    <w:rsid w:val="00406954"/>
    <w:rsid w:val="0041039A"/>
    <w:rsid w:val="004169ED"/>
    <w:rsid w:val="004172B9"/>
    <w:rsid w:val="00422266"/>
    <w:rsid w:val="004236E1"/>
    <w:rsid w:val="00423B39"/>
    <w:rsid w:val="00424498"/>
    <w:rsid w:val="004244F5"/>
    <w:rsid w:val="00425308"/>
    <w:rsid w:val="0043006C"/>
    <w:rsid w:val="00431995"/>
    <w:rsid w:val="00440EC3"/>
    <w:rsid w:val="00441B9E"/>
    <w:rsid w:val="0044277E"/>
    <w:rsid w:val="00442E43"/>
    <w:rsid w:val="00442F89"/>
    <w:rsid w:val="00447AA8"/>
    <w:rsid w:val="00450A36"/>
    <w:rsid w:val="00452376"/>
    <w:rsid w:val="004529B0"/>
    <w:rsid w:val="004536FB"/>
    <w:rsid w:val="00454B5E"/>
    <w:rsid w:val="00454C02"/>
    <w:rsid w:val="0045552E"/>
    <w:rsid w:val="00455AAD"/>
    <w:rsid w:val="00460088"/>
    <w:rsid w:val="0046038E"/>
    <w:rsid w:val="00460566"/>
    <w:rsid w:val="004618DD"/>
    <w:rsid w:val="00463307"/>
    <w:rsid w:val="00465521"/>
    <w:rsid w:val="00467C0E"/>
    <w:rsid w:val="00470400"/>
    <w:rsid w:val="00472F47"/>
    <w:rsid w:val="00475C30"/>
    <w:rsid w:val="004806A8"/>
    <w:rsid w:val="004814C0"/>
    <w:rsid w:val="004817CC"/>
    <w:rsid w:val="00483005"/>
    <w:rsid w:val="004848ED"/>
    <w:rsid w:val="004849B4"/>
    <w:rsid w:val="004849F7"/>
    <w:rsid w:val="00486D68"/>
    <w:rsid w:val="0048787B"/>
    <w:rsid w:val="00493512"/>
    <w:rsid w:val="00494B8F"/>
    <w:rsid w:val="004A2F6A"/>
    <w:rsid w:val="004A47AA"/>
    <w:rsid w:val="004A4E3D"/>
    <w:rsid w:val="004A5494"/>
    <w:rsid w:val="004A5A8B"/>
    <w:rsid w:val="004A6121"/>
    <w:rsid w:val="004A7710"/>
    <w:rsid w:val="004B02E9"/>
    <w:rsid w:val="004B160B"/>
    <w:rsid w:val="004B1641"/>
    <w:rsid w:val="004B197C"/>
    <w:rsid w:val="004B37EE"/>
    <w:rsid w:val="004B4786"/>
    <w:rsid w:val="004B50EB"/>
    <w:rsid w:val="004B5A4C"/>
    <w:rsid w:val="004B6AE5"/>
    <w:rsid w:val="004B7CA6"/>
    <w:rsid w:val="004C4FB2"/>
    <w:rsid w:val="004C5179"/>
    <w:rsid w:val="004C65BD"/>
    <w:rsid w:val="004C6BC6"/>
    <w:rsid w:val="004D0269"/>
    <w:rsid w:val="004D2D4A"/>
    <w:rsid w:val="004D3513"/>
    <w:rsid w:val="004D6693"/>
    <w:rsid w:val="004D6C56"/>
    <w:rsid w:val="004D7311"/>
    <w:rsid w:val="004E149C"/>
    <w:rsid w:val="004E62E6"/>
    <w:rsid w:val="004E66BD"/>
    <w:rsid w:val="004E6804"/>
    <w:rsid w:val="004E690B"/>
    <w:rsid w:val="004F061B"/>
    <w:rsid w:val="004F23A9"/>
    <w:rsid w:val="004F24AB"/>
    <w:rsid w:val="004F2ECA"/>
    <w:rsid w:val="004F64AF"/>
    <w:rsid w:val="0050194F"/>
    <w:rsid w:val="005027A7"/>
    <w:rsid w:val="00507990"/>
    <w:rsid w:val="005079AA"/>
    <w:rsid w:val="005079E2"/>
    <w:rsid w:val="00507E63"/>
    <w:rsid w:val="00510DDD"/>
    <w:rsid w:val="005120C1"/>
    <w:rsid w:val="00515D14"/>
    <w:rsid w:val="00517079"/>
    <w:rsid w:val="005170A5"/>
    <w:rsid w:val="00524D67"/>
    <w:rsid w:val="005267A4"/>
    <w:rsid w:val="005274CC"/>
    <w:rsid w:val="00530A1A"/>
    <w:rsid w:val="0053126B"/>
    <w:rsid w:val="00531C96"/>
    <w:rsid w:val="005321B7"/>
    <w:rsid w:val="005335C6"/>
    <w:rsid w:val="0053360B"/>
    <w:rsid w:val="00534F0F"/>
    <w:rsid w:val="005358F7"/>
    <w:rsid w:val="00535C14"/>
    <w:rsid w:val="00536EC5"/>
    <w:rsid w:val="00537B58"/>
    <w:rsid w:val="00537FAA"/>
    <w:rsid w:val="005407B2"/>
    <w:rsid w:val="00540B1C"/>
    <w:rsid w:val="005423DC"/>
    <w:rsid w:val="00542B30"/>
    <w:rsid w:val="00543224"/>
    <w:rsid w:val="0054446F"/>
    <w:rsid w:val="0054620B"/>
    <w:rsid w:val="00546498"/>
    <w:rsid w:val="005464C9"/>
    <w:rsid w:val="00546A5B"/>
    <w:rsid w:val="00547168"/>
    <w:rsid w:val="00547E18"/>
    <w:rsid w:val="005515B3"/>
    <w:rsid w:val="00551A91"/>
    <w:rsid w:val="00551FC8"/>
    <w:rsid w:val="00552970"/>
    <w:rsid w:val="00552B02"/>
    <w:rsid w:val="005610B4"/>
    <w:rsid w:val="00561DF6"/>
    <w:rsid w:val="00563521"/>
    <w:rsid w:val="005642B3"/>
    <w:rsid w:val="00565A33"/>
    <w:rsid w:val="00566404"/>
    <w:rsid w:val="00567BBB"/>
    <w:rsid w:val="00567E31"/>
    <w:rsid w:val="00570075"/>
    <w:rsid w:val="00573893"/>
    <w:rsid w:val="005758F9"/>
    <w:rsid w:val="00580640"/>
    <w:rsid w:val="00580C1E"/>
    <w:rsid w:val="00582027"/>
    <w:rsid w:val="005837C2"/>
    <w:rsid w:val="00584EE7"/>
    <w:rsid w:val="00585FE6"/>
    <w:rsid w:val="005873D3"/>
    <w:rsid w:val="00591588"/>
    <w:rsid w:val="00593E3C"/>
    <w:rsid w:val="00596798"/>
    <w:rsid w:val="00596B4C"/>
    <w:rsid w:val="00596C68"/>
    <w:rsid w:val="00596CD2"/>
    <w:rsid w:val="00597E18"/>
    <w:rsid w:val="005A0177"/>
    <w:rsid w:val="005A1902"/>
    <w:rsid w:val="005A3632"/>
    <w:rsid w:val="005A60F3"/>
    <w:rsid w:val="005A6593"/>
    <w:rsid w:val="005B2199"/>
    <w:rsid w:val="005B2E22"/>
    <w:rsid w:val="005B3547"/>
    <w:rsid w:val="005B44AF"/>
    <w:rsid w:val="005B533C"/>
    <w:rsid w:val="005B558E"/>
    <w:rsid w:val="005B6FFC"/>
    <w:rsid w:val="005C510B"/>
    <w:rsid w:val="005C58D0"/>
    <w:rsid w:val="005C5C44"/>
    <w:rsid w:val="005D1A71"/>
    <w:rsid w:val="005D1B5E"/>
    <w:rsid w:val="005D385A"/>
    <w:rsid w:val="005D6363"/>
    <w:rsid w:val="005D6413"/>
    <w:rsid w:val="005D7339"/>
    <w:rsid w:val="005E1CA6"/>
    <w:rsid w:val="005E20BD"/>
    <w:rsid w:val="005E554D"/>
    <w:rsid w:val="005E5632"/>
    <w:rsid w:val="005E6E95"/>
    <w:rsid w:val="005F2AAE"/>
    <w:rsid w:val="005F468D"/>
    <w:rsid w:val="005F4926"/>
    <w:rsid w:val="005F4AE3"/>
    <w:rsid w:val="005F4EF2"/>
    <w:rsid w:val="005F4F69"/>
    <w:rsid w:val="00600585"/>
    <w:rsid w:val="00601106"/>
    <w:rsid w:val="00601767"/>
    <w:rsid w:val="00602048"/>
    <w:rsid w:val="006027F7"/>
    <w:rsid w:val="00603B61"/>
    <w:rsid w:val="00604260"/>
    <w:rsid w:val="00604F6C"/>
    <w:rsid w:val="00610385"/>
    <w:rsid w:val="00611638"/>
    <w:rsid w:val="006119E8"/>
    <w:rsid w:val="00611DAA"/>
    <w:rsid w:val="006140BA"/>
    <w:rsid w:val="006157D8"/>
    <w:rsid w:val="0061711E"/>
    <w:rsid w:val="00620AA6"/>
    <w:rsid w:val="00620DB2"/>
    <w:rsid w:val="00623406"/>
    <w:rsid w:val="006238BF"/>
    <w:rsid w:val="006240FA"/>
    <w:rsid w:val="006274B0"/>
    <w:rsid w:val="006278DA"/>
    <w:rsid w:val="00630130"/>
    <w:rsid w:val="006307F3"/>
    <w:rsid w:val="00631DF0"/>
    <w:rsid w:val="00634248"/>
    <w:rsid w:val="00635135"/>
    <w:rsid w:val="00636AF5"/>
    <w:rsid w:val="006373D9"/>
    <w:rsid w:val="00641F71"/>
    <w:rsid w:val="00642478"/>
    <w:rsid w:val="006434A5"/>
    <w:rsid w:val="00644380"/>
    <w:rsid w:val="00645D7A"/>
    <w:rsid w:val="006520B6"/>
    <w:rsid w:val="006531A1"/>
    <w:rsid w:val="006538E3"/>
    <w:rsid w:val="0065409F"/>
    <w:rsid w:val="00654A19"/>
    <w:rsid w:val="006552A6"/>
    <w:rsid w:val="00656F47"/>
    <w:rsid w:val="006609E0"/>
    <w:rsid w:val="00660B34"/>
    <w:rsid w:val="00660C6D"/>
    <w:rsid w:val="00661FCE"/>
    <w:rsid w:val="00662ABA"/>
    <w:rsid w:val="006663F9"/>
    <w:rsid w:val="00667864"/>
    <w:rsid w:val="00667ADC"/>
    <w:rsid w:val="00670F21"/>
    <w:rsid w:val="00671F87"/>
    <w:rsid w:val="00673181"/>
    <w:rsid w:val="00676296"/>
    <w:rsid w:val="00677822"/>
    <w:rsid w:val="00680E2B"/>
    <w:rsid w:val="00681BEF"/>
    <w:rsid w:val="00682068"/>
    <w:rsid w:val="006847B6"/>
    <w:rsid w:val="00686330"/>
    <w:rsid w:val="00690122"/>
    <w:rsid w:val="006907D1"/>
    <w:rsid w:val="00690F46"/>
    <w:rsid w:val="00695325"/>
    <w:rsid w:val="00696547"/>
    <w:rsid w:val="00696DF9"/>
    <w:rsid w:val="006A01C8"/>
    <w:rsid w:val="006A1518"/>
    <w:rsid w:val="006A2342"/>
    <w:rsid w:val="006A2DD0"/>
    <w:rsid w:val="006A5AF7"/>
    <w:rsid w:val="006A771E"/>
    <w:rsid w:val="006B1DDC"/>
    <w:rsid w:val="006B20FC"/>
    <w:rsid w:val="006B5FA3"/>
    <w:rsid w:val="006C20A5"/>
    <w:rsid w:val="006C2383"/>
    <w:rsid w:val="006C2B40"/>
    <w:rsid w:val="006C36CD"/>
    <w:rsid w:val="006C4F59"/>
    <w:rsid w:val="006C5119"/>
    <w:rsid w:val="006C5D7D"/>
    <w:rsid w:val="006C63E0"/>
    <w:rsid w:val="006C7790"/>
    <w:rsid w:val="006D4AD0"/>
    <w:rsid w:val="006D5185"/>
    <w:rsid w:val="006D5219"/>
    <w:rsid w:val="006D59C6"/>
    <w:rsid w:val="006D6794"/>
    <w:rsid w:val="006D731B"/>
    <w:rsid w:val="006D744C"/>
    <w:rsid w:val="006E0395"/>
    <w:rsid w:val="006E09C1"/>
    <w:rsid w:val="006E0EE8"/>
    <w:rsid w:val="006E22CB"/>
    <w:rsid w:val="006E3345"/>
    <w:rsid w:val="006E4EAE"/>
    <w:rsid w:val="006E58D8"/>
    <w:rsid w:val="006E5FA4"/>
    <w:rsid w:val="006E71F6"/>
    <w:rsid w:val="006F1685"/>
    <w:rsid w:val="00700809"/>
    <w:rsid w:val="00701B51"/>
    <w:rsid w:val="007027BD"/>
    <w:rsid w:val="00711A80"/>
    <w:rsid w:val="00712A54"/>
    <w:rsid w:val="00716A54"/>
    <w:rsid w:val="007206EF"/>
    <w:rsid w:val="00720D96"/>
    <w:rsid w:val="00721CA6"/>
    <w:rsid w:val="00723928"/>
    <w:rsid w:val="00727179"/>
    <w:rsid w:val="007317F7"/>
    <w:rsid w:val="00731AF0"/>
    <w:rsid w:val="00731ECD"/>
    <w:rsid w:val="00733C4D"/>
    <w:rsid w:val="00733E5E"/>
    <w:rsid w:val="00734204"/>
    <w:rsid w:val="0073675C"/>
    <w:rsid w:val="00736F36"/>
    <w:rsid w:val="00737D45"/>
    <w:rsid w:val="00740918"/>
    <w:rsid w:val="007420B5"/>
    <w:rsid w:val="007427D8"/>
    <w:rsid w:val="00742B91"/>
    <w:rsid w:val="00746750"/>
    <w:rsid w:val="00747C44"/>
    <w:rsid w:val="007504AC"/>
    <w:rsid w:val="00753F48"/>
    <w:rsid w:val="007567C3"/>
    <w:rsid w:val="0075694C"/>
    <w:rsid w:val="00756B9F"/>
    <w:rsid w:val="00760FE8"/>
    <w:rsid w:val="00762D8D"/>
    <w:rsid w:val="00763B8F"/>
    <w:rsid w:val="00764D62"/>
    <w:rsid w:val="0076502C"/>
    <w:rsid w:val="0076548F"/>
    <w:rsid w:val="00767857"/>
    <w:rsid w:val="0077106E"/>
    <w:rsid w:val="00771933"/>
    <w:rsid w:val="00771D29"/>
    <w:rsid w:val="00773DF9"/>
    <w:rsid w:val="0077436E"/>
    <w:rsid w:val="00776B16"/>
    <w:rsid w:val="0078172F"/>
    <w:rsid w:val="00782D45"/>
    <w:rsid w:val="0078491F"/>
    <w:rsid w:val="00787E20"/>
    <w:rsid w:val="00791620"/>
    <w:rsid w:val="007923DC"/>
    <w:rsid w:val="00792470"/>
    <w:rsid w:val="007949F4"/>
    <w:rsid w:val="00795CB2"/>
    <w:rsid w:val="007A257D"/>
    <w:rsid w:val="007A2590"/>
    <w:rsid w:val="007A2CF0"/>
    <w:rsid w:val="007A3DDE"/>
    <w:rsid w:val="007A69CE"/>
    <w:rsid w:val="007A7631"/>
    <w:rsid w:val="007B099F"/>
    <w:rsid w:val="007B0C9C"/>
    <w:rsid w:val="007B0E37"/>
    <w:rsid w:val="007B1356"/>
    <w:rsid w:val="007B5E59"/>
    <w:rsid w:val="007B5F7F"/>
    <w:rsid w:val="007B7EB4"/>
    <w:rsid w:val="007C1F21"/>
    <w:rsid w:val="007C4F29"/>
    <w:rsid w:val="007C4FEA"/>
    <w:rsid w:val="007C595F"/>
    <w:rsid w:val="007C6C8D"/>
    <w:rsid w:val="007D0949"/>
    <w:rsid w:val="007D5C34"/>
    <w:rsid w:val="007D6A93"/>
    <w:rsid w:val="007E0D20"/>
    <w:rsid w:val="007E3288"/>
    <w:rsid w:val="007E3620"/>
    <w:rsid w:val="007E3C3D"/>
    <w:rsid w:val="007E3D36"/>
    <w:rsid w:val="007F3896"/>
    <w:rsid w:val="007F450B"/>
    <w:rsid w:val="007F4CA1"/>
    <w:rsid w:val="007F6BA0"/>
    <w:rsid w:val="007F6D85"/>
    <w:rsid w:val="007F7F7C"/>
    <w:rsid w:val="00800441"/>
    <w:rsid w:val="00801671"/>
    <w:rsid w:val="00801FCD"/>
    <w:rsid w:val="00802941"/>
    <w:rsid w:val="00804264"/>
    <w:rsid w:val="008043DA"/>
    <w:rsid w:val="0080606B"/>
    <w:rsid w:val="008069C4"/>
    <w:rsid w:val="00812445"/>
    <w:rsid w:val="008137C7"/>
    <w:rsid w:val="00815200"/>
    <w:rsid w:val="00815F05"/>
    <w:rsid w:val="0081693F"/>
    <w:rsid w:val="00817025"/>
    <w:rsid w:val="008172B2"/>
    <w:rsid w:val="0082229F"/>
    <w:rsid w:val="008240B3"/>
    <w:rsid w:val="008240B9"/>
    <w:rsid w:val="0083282C"/>
    <w:rsid w:val="0083629C"/>
    <w:rsid w:val="00836320"/>
    <w:rsid w:val="008373FA"/>
    <w:rsid w:val="008374EF"/>
    <w:rsid w:val="00837BEB"/>
    <w:rsid w:val="00840A8B"/>
    <w:rsid w:val="00840DDE"/>
    <w:rsid w:val="00841251"/>
    <w:rsid w:val="00842C33"/>
    <w:rsid w:val="0084356B"/>
    <w:rsid w:val="0084426A"/>
    <w:rsid w:val="00846A1E"/>
    <w:rsid w:val="00846C89"/>
    <w:rsid w:val="008500DB"/>
    <w:rsid w:val="00853967"/>
    <w:rsid w:val="00854189"/>
    <w:rsid w:val="008541BB"/>
    <w:rsid w:val="00854F9A"/>
    <w:rsid w:val="00855DBD"/>
    <w:rsid w:val="008569AC"/>
    <w:rsid w:val="00861000"/>
    <w:rsid w:val="008614C5"/>
    <w:rsid w:val="00861E2A"/>
    <w:rsid w:val="008621FC"/>
    <w:rsid w:val="008630F7"/>
    <w:rsid w:val="00863E7F"/>
    <w:rsid w:val="00864F3F"/>
    <w:rsid w:val="00871E15"/>
    <w:rsid w:val="0087315F"/>
    <w:rsid w:val="00873FBC"/>
    <w:rsid w:val="00875058"/>
    <w:rsid w:val="008775E5"/>
    <w:rsid w:val="00877680"/>
    <w:rsid w:val="00881811"/>
    <w:rsid w:val="00883CED"/>
    <w:rsid w:val="0088475B"/>
    <w:rsid w:val="00885E0E"/>
    <w:rsid w:val="00886417"/>
    <w:rsid w:val="008904A6"/>
    <w:rsid w:val="00892838"/>
    <w:rsid w:val="00892B46"/>
    <w:rsid w:val="00892C48"/>
    <w:rsid w:val="008938F0"/>
    <w:rsid w:val="00894FB6"/>
    <w:rsid w:val="00896020"/>
    <w:rsid w:val="008A0520"/>
    <w:rsid w:val="008A3EBC"/>
    <w:rsid w:val="008A4447"/>
    <w:rsid w:val="008A44DE"/>
    <w:rsid w:val="008A4652"/>
    <w:rsid w:val="008A5199"/>
    <w:rsid w:val="008A6CB8"/>
    <w:rsid w:val="008A72CA"/>
    <w:rsid w:val="008B4BE9"/>
    <w:rsid w:val="008B6C2B"/>
    <w:rsid w:val="008B759E"/>
    <w:rsid w:val="008C197F"/>
    <w:rsid w:val="008C2835"/>
    <w:rsid w:val="008C2B4C"/>
    <w:rsid w:val="008C7506"/>
    <w:rsid w:val="008D06FA"/>
    <w:rsid w:val="008D0F10"/>
    <w:rsid w:val="008D0F75"/>
    <w:rsid w:val="008D18B4"/>
    <w:rsid w:val="008D2F4B"/>
    <w:rsid w:val="008D4BE4"/>
    <w:rsid w:val="008D5FFC"/>
    <w:rsid w:val="008D745A"/>
    <w:rsid w:val="008D7A95"/>
    <w:rsid w:val="008E169B"/>
    <w:rsid w:val="008E2195"/>
    <w:rsid w:val="008E241B"/>
    <w:rsid w:val="008E33B7"/>
    <w:rsid w:val="008E342A"/>
    <w:rsid w:val="008E5185"/>
    <w:rsid w:val="008E5674"/>
    <w:rsid w:val="008E5702"/>
    <w:rsid w:val="008E63CF"/>
    <w:rsid w:val="008E6F4B"/>
    <w:rsid w:val="008F1590"/>
    <w:rsid w:val="00900A06"/>
    <w:rsid w:val="00903CB4"/>
    <w:rsid w:val="009063F6"/>
    <w:rsid w:val="009067C8"/>
    <w:rsid w:val="0091036A"/>
    <w:rsid w:val="00911E2E"/>
    <w:rsid w:val="00914D62"/>
    <w:rsid w:val="00916483"/>
    <w:rsid w:val="009174F5"/>
    <w:rsid w:val="0092026F"/>
    <w:rsid w:val="00925B36"/>
    <w:rsid w:val="00925E78"/>
    <w:rsid w:val="00926F0A"/>
    <w:rsid w:val="0092727D"/>
    <w:rsid w:val="00930AF6"/>
    <w:rsid w:val="009313CB"/>
    <w:rsid w:val="00932DD9"/>
    <w:rsid w:val="0093605A"/>
    <w:rsid w:val="00936583"/>
    <w:rsid w:val="009372D3"/>
    <w:rsid w:val="009373F1"/>
    <w:rsid w:val="009377C4"/>
    <w:rsid w:val="0094123B"/>
    <w:rsid w:val="009420A0"/>
    <w:rsid w:val="009462E6"/>
    <w:rsid w:val="0094784B"/>
    <w:rsid w:val="00947C91"/>
    <w:rsid w:val="00950BDC"/>
    <w:rsid w:val="00952459"/>
    <w:rsid w:val="009600B6"/>
    <w:rsid w:val="00963EE8"/>
    <w:rsid w:val="00965BA9"/>
    <w:rsid w:val="0096766A"/>
    <w:rsid w:val="00967725"/>
    <w:rsid w:val="00967B33"/>
    <w:rsid w:val="00967F5C"/>
    <w:rsid w:val="00970A96"/>
    <w:rsid w:val="009732BC"/>
    <w:rsid w:val="00973C18"/>
    <w:rsid w:val="00973E11"/>
    <w:rsid w:val="00974EC5"/>
    <w:rsid w:val="009751CA"/>
    <w:rsid w:val="00975D51"/>
    <w:rsid w:val="00981D07"/>
    <w:rsid w:val="009822BE"/>
    <w:rsid w:val="009830E7"/>
    <w:rsid w:val="0098407E"/>
    <w:rsid w:val="009849D9"/>
    <w:rsid w:val="00985BBD"/>
    <w:rsid w:val="00990250"/>
    <w:rsid w:val="00993BF6"/>
    <w:rsid w:val="00993FAA"/>
    <w:rsid w:val="0099482D"/>
    <w:rsid w:val="009962D1"/>
    <w:rsid w:val="00996670"/>
    <w:rsid w:val="009A1E06"/>
    <w:rsid w:val="009A1EA6"/>
    <w:rsid w:val="009A2234"/>
    <w:rsid w:val="009A3C53"/>
    <w:rsid w:val="009A48AD"/>
    <w:rsid w:val="009A7A2F"/>
    <w:rsid w:val="009A7C2C"/>
    <w:rsid w:val="009B1AC2"/>
    <w:rsid w:val="009B68A6"/>
    <w:rsid w:val="009B757D"/>
    <w:rsid w:val="009C21AA"/>
    <w:rsid w:val="009C2FBD"/>
    <w:rsid w:val="009C3657"/>
    <w:rsid w:val="009C3785"/>
    <w:rsid w:val="009C5414"/>
    <w:rsid w:val="009D0617"/>
    <w:rsid w:val="009D145C"/>
    <w:rsid w:val="009D14CC"/>
    <w:rsid w:val="009D206B"/>
    <w:rsid w:val="009D4129"/>
    <w:rsid w:val="009D5F96"/>
    <w:rsid w:val="009D7726"/>
    <w:rsid w:val="009E07D8"/>
    <w:rsid w:val="009E200E"/>
    <w:rsid w:val="009E421B"/>
    <w:rsid w:val="009E478C"/>
    <w:rsid w:val="009E53DA"/>
    <w:rsid w:val="009E5CED"/>
    <w:rsid w:val="009E64C2"/>
    <w:rsid w:val="009F243D"/>
    <w:rsid w:val="009F58D1"/>
    <w:rsid w:val="00A00844"/>
    <w:rsid w:val="00A01748"/>
    <w:rsid w:val="00A047AA"/>
    <w:rsid w:val="00A04A3F"/>
    <w:rsid w:val="00A05689"/>
    <w:rsid w:val="00A065A3"/>
    <w:rsid w:val="00A06E59"/>
    <w:rsid w:val="00A10FD1"/>
    <w:rsid w:val="00A1323D"/>
    <w:rsid w:val="00A141CD"/>
    <w:rsid w:val="00A14626"/>
    <w:rsid w:val="00A21BEA"/>
    <w:rsid w:val="00A220BD"/>
    <w:rsid w:val="00A2319F"/>
    <w:rsid w:val="00A238B3"/>
    <w:rsid w:val="00A24D2D"/>
    <w:rsid w:val="00A254CB"/>
    <w:rsid w:val="00A25B30"/>
    <w:rsid w:val="00A27E48"/>
    <w:rsid w:val="00A313AD"/>
    <w:rsid w:val="00A323A7"/>
    <w:rsid w:val="00A328E8"/>
    <w:rsid w:val="00A3735F"/>
    <w:rsid w:val="00A378EE"/>
    <w:rsid w:val="00A4087A"/>
    <w:rsid w:val="00A41A9C"/>
    <w:rsid w:val="00A42B22"/>
    <w:rsid w:val="00A43DEC"/>
    <w:rsid w:val="00A444F3"/>
    <w:rsid w:val="00A46BAB"/>
    <w:rsid w:val="00A474AC"/>
    <w:rsid w:val="00A5046A"/>
    <w:rsid w:val="00A5071B"/>
    <w:rsid w:val="00A5159B"/>
    <w:rsid w:val="00A5233C"/>
    <w:rsid w:val="00A53656"/>
    <w:rsid w:val="00A54BF5"/>
    <w:rsid w:val="00A61CC8"/>
    <w:rsid w:val="00A6308E"/>
    <w:rsid w:val="00A669CA"/>
    <w:rsid w:val="00A702F5"/>
    <w:rsid w:val="00A71297"/>
    <w:rsid w:val="00A73552"/>
    <w:rsid w:val="00A74685"/>
    <w:rsid w:val="00A74BB4"/>
    <w:rsid w:val="00A7518E"/>
    <w:rsid w:val="00A76DCD"/>
    <w:rsid w:val="00A772AF"/>
    <w:rsid w:val="00A80DF0"/>
    <w:rsid w:val="00A812CC"/>
    <w:rsid w:val="00A8278B"/>
    <w:rsid w:val="00A84326"/>
    <w:rsid w:val="00A90BC7"/>
    <w:rsid w:val="00A911CE"/>
    <w:rsid w:val="00A91402"/>
    <w:rsid w:val="00A948D5"/>
    <w:rsid w:val="00AA2355"/>
    <w:rsid w:val="00AA6681"/>
    <w:rsid w:val="00AA7B07"/>
    <w:rsid w:val="00AB0CEC"/>
    <w:rsid w:val="00AB1614"/>
    <w:rsid w:val="00AB2023"/>
    <w:rsid w:val="00AB3DCF"/>
    <w:rsid w:val="00AB4813"/>
    <w:rsid w:val="00AB6026"/>
    <w:rsid w:val="00AB6746"/>
    <w:rsid w:val="00AC166B"/>
    <w:rsid w:val="00AC1C20"/>
    <w:rsid w:val="00AC36A6"/>
    <w:rsid w:val="00AC481B"/>
    <w:rsid w:val="00AC54F3"/>
    <w:rsid w:val="00AC6A4E"/>
    <w:rsid w:val="00AC7B84"/>
    <w:rsid w:val="00AD0B9D"/>
    <w:rsid w:val="00AD1C88"/>
    <w:rsid w:val="00AD3024"/>
    <w:rsid w:val="00AD3C03"/>
    <w:rsid w:val="00AD3D03"/>
    <w:rsid w:val="00AD5367"/>
    <w:rsid w:val="00AD76C2"/>
    <w:rsid w:val="00AE1447"/>
    <w:rsid w:val="00AE244D"/>
    <w:rsid w:val="00AE2DED"/>
    <w:rsid w:val="00AE5E8A"/>
    <w:rsid w:val="00AF0A09"/>
    <w:rsid w:val="00AF128D"/>
    <w:rsid w:val="00AF1A46"/>
    <w:rsid w:val="00AF4B9F"/>
    <w:rsid w:val="00AF7F1D"/>
    <w:rsid w:val="00B0053A"/>
    <w:rsid w:val="00B0404F"/>
    <w:rsid w:val="00B055A3"/>
    <w:rsid w:val="00B0574E"/>
    <w:rsid w:val="00B1026B"/>
    <w:rsid w:val="00B109C5"/>
    <w:rsid w:val="00B10BA4"/>
    <w:rsid w:val="00B10E75"/>
    <w:rsid w:val="00B1101D"/>
    <w:rsid w:val="00B12700"/>
    <w:rsid w:val="00B13735"/>
    <w:rsid w:val="00B13FC1"/>
    <w:rsid w:val="00B14DE0"/>
    <w:rsid w:val="00B217C2"/>
    <w:rsid w:val="00B22632"/>
    <w:rsid w:val="00B238BE"/>
    <w:rsid w:val="00B3014D"/>
    <w:rsid w:val="00B31C8F"/>
    <w:rsid w:val="00B33521"/>
    <w:rsid w:val="00B33F9C"/>
    <w:rsid w:val="00B34A8F"/>
    <w:rsid w:val="00B3799B"/>
    <w:rsid w:val="00B402EE"/>
    <w:rsid w:val="00B428CB"/>
    <w:rsid w:val="00B4425B"/>
    <w:rsid w:val="00B45737"/>
    <w:rsid w:val="00B47193"/>
    <w:rsid w:val="00B55439"/>
    <w:rsid w:val="00B55D58"/>
    <w:rsid w:val="00B62F3D"/>
    <w:rsid w:val="00B63815"/>
    <w:rsid w:val="00B63850"/>
    <w:rsid w:val="00B7128A"/>
    <w:rsid w:val="00B71CC5"/>
    <w:rsid w:val="00B738EC"/>
    <w:rsid w:val="00B775F9"/>
    <w:rsid w:val="00B77875"/>
    <w:rsid w:val="00B8143B"/>
    <w:rsid w:val="00B81D26"/>
    <w:rsid w:val="00B844E3"/>
    <w:rsid w:val="00B8629E"/>
    <w:rsid w:val="00B9084F"/>
    <w:rsid w:val="00B90F08"/>
    <w:rsid w:val="00B91BF7"/>
    <w:rsid w:val="00B927FB"/>
    <w:rsid w:val="00B932D2"/>
    <w:rsid w:val="00B9455B"/>
    <w:rsid w:val="00B95DA0"/>
    <w:rsid w:val="00B95FBE"/>
    <w:rsid w:val="00B95FF4"/>
    <w:rsid w:val="00B96F55"/>
    <w:rsid w:val="00BA0EC0"/>
    <w:rsid w:val="00BA28FA"/>
    <w:rsid w:val="00BB1FAA"/>
    <w:rsid w:val="00BB5963"/>
    <w:rsid w:val="00BB63FC"/>
    <w:rsid w:val="00BB722F"/>
    <w:rsid w:val="00BB78DA"/>
    <w:rsid w:val="00BC06EF"/>
    <w:rsid w:val="00BC0FC3"/>
    <w:rsid w:val="00BC17F5"/>
    <w:rsid w:val="00BC2E54"/>
    <w:rsid w:val="00BC4476"/>
    <w:rsid w:val="00BC5A69"/>
    <w:rsid w:val="00BD35D2"/>
    <w:rsid w:val="00BD3BE4"/>
    <w:rsid w:val="00BD7D6D"/>
    <w:rsid w:val="00BE4C1E"/>
    <w:rsid w:val="00BE5022"/>
    <w:rsid w:val="00BE7A87"/>
    <w:rsid w:val="00BF1549"/>
    <w:rsid w:val="00BF2ECA"/>
    <w:rsid w:val="00BF381B"/>
    <w:rsid w:val="00BF3D57"/>
    <w:rsid w:val="00BF7808"/>
    <w:rsid w:val="00C019A0"/>
    <w:rsid w:val="00C02DF8"/>
    <w:rsid w:val="00C03530"/>
    <w:rsid w:val="00C058B2"/>
    <w:rsid w:val="00C1387A"/>
    <w:rsid w:val="00C141F3"/>
    <w:rsid w:val="00C178FA"/>
    <w:rsid w:val="00C17AF2"/>
    <w:rsid w:val="00C20DA5"/>
    <w:rsid w:val="00C24A58"/>
    <w:rsid w:val="00C30018"/>
    <w:rsid w:val="00C301BD"/>
    <w:rsid w:val="00C3241C"/>
    <w:rsid w:val="00C32882"/>
    <w:rsid w:val="00C340D1"/>
    <w:rsid w:val="00C366FC"/>
    <w:rsid w:val="00C402FB"/>
    <w:rsid w:val="00C41455"/>
    <w:rsid w:val="00C42CAE"/>
    <w:rsid w:val="00C4331B"/>
    <w:rsid w:val="00C435A7"/>
    <w:rsid w:val="00C47341"/>
    <w:rsid w:val="00C47E01"/>
    <w:rsid w:val="00C51023"/>
    <w:rsid w:val="00C5420E"/>
    <w:rsid w:val="00C55C90"/>
    <w:rsid w:val="00C56266"/>
    <w:rsid w:val="00C60D98"/>
    <w:rsid w:val="00C622CA"/>
    <w:rsid w:val="00C62461"/>
    <w:rsid w:val="00C626A2"/>
    <w:rsid w:val="00C6380F"/>
    <w:rsid w:val="00C653FD"/>
    <w:rsid w:val="00C663D8"/>
    <w:rsid w:val="00C67AC5"/>
    <w:rsid w:val="00C7103D"/>
    <w:rsid w:val="00C7190B"/>
    <w:rsid w:val="00C729AF"/>
    <w:rsid w:val="00C72C69"/>
    <w:rsid w:val="00C750C2"/>
    <w:rsid w:val="00C76FB7"/>
    <w:rsid w:val="00C804D6"/>
    <w:rsid w:val="00C80D09"/>
    <w:rsid w:val="00C80DA1"/>
    <w:rsid w:val="00C817AC"/>
    <w:rsid w:val="00C825A5"/>
    <w:rsid w:val="00C8286C"/>
    <w:rsid w:val="00C84BBB"/>
    <w:rsid w:val="00C84EB2"/>
    <w:rsid w:val="00C85D5A"/>
    <w:rsid w:val="00C9070B"/>
    <w:rsid w:val="00C90741"/>
    <w:rsid w:val="00C90DEF"/>
    <w:rsid w:val="00C9170B"/>
    <w:rsid w:val="00C92E4C"/>
    <w:rsid w:val="00C944C3"/>
    <w:rsid w:val="00C96D7A"/>
    <w:rsid w:val="00C97C3C"/>
    <w:rsid w:val="00CA092D"/>
    <w:rsid w:val="00CA0CA7"/>
    <w:rsid w:val="00CA28F3"/>
    <w:rsid w:val="00CA2CC0"/>
    <w:rsid w:val="00CA4242"/>
    <w:rsid w:val="00CA5C85"/>
    <w:rsid w:val="00CA79A0"/>
    <w:rsid w:val="00CB2186"/>
    <w:rsid w:val="00CB27E0"/>
    <w:rsid w:val="00CB39D1"/>
    <w:rsid w:val="00CB4BC1"/>
    <w:rsid w:val="00CB7419"/>
    <w:rsid w:val="00CC092D"/>
    <w:rsid w:val="00CC0956"/>
    <w:rsid w:val="00CC3C8D"/>
    <w:rsid w:val="00CC5336"/>
    <w:rsid w:val="00CC5A72"/>
    <w:rsid w:val="00CC7195"/>
    <w:rsid w:val="00CD0C76"/>
    <w:rsid w:val="00CD2AA0"/>
    <w:rsid w:val="00CD38B3"/>
    <w:rsid w:val="00CD44D8"/>
    <w:rsid w:val="00CD44F4"/>
    <w:rsid w:val="00CE16FC"/>
    <w:rsid w:val="00CE20BD"/>
    <w:rsid w:val="00CE4521"/>
    <w:rsid w:val="00CE5126"/>
    <w:rsid w:val="00CE6B03"/>
    <w:rsid w:val="00CE6CB5"/>
    <w:rsid w:val="00CE6CF4"/>
    <w:rsid w:val="00CE794A"/>
    <w:rsid w:val="00CF085E"/>
    <w:rsid w:val="00CF4A02"/>
    <w:rsid w:val="00CF4F54"/>
    <w:rsid w:val="00CF5277"/>
    <w:rsid w:val="00CF6B98"/>
    <w:rsid w:val="00CF7663"/>
    <w:rsid w:val="00D001BB"/>
    <w:rsid w:val="00D01C63"/>
    <w:rsid w:val="00D02854"/>
    <w:rsid w:val="00D04648"/>
    <w:rsid w:val="00D04FB3"/>
    <w:rsid w:val="00D053E1"/>
    <w:rsid w:val="00D06B03"/>
    <w:rsid w:val="00D06FFD"/>
    <w:rsid w:val="00D07D4D"/>
    <w:rsid w:val="00D10F0D"/>
    <w:rsid w:val="00D13BF7"/>
    <w:rsid w:val="00D14CC5"/>
    <w:rsid w:val="00D169CB"/>
    <w:rsid w:val="00D22193"/>
    <w:rsid w:val="00D22433"/>
    <w:rsid w:val="00D23DF4"/>
    <w:rsid w:val="00D23ED3"/>
    <w:rsid w:val="00D25768"/>
    <w:rsid w:val="00D260EE"/>
    <w:rsid w:val="00D306F3"/>
    <w:rsid w:val="00D3237D"/>
    <w:rsid w:val="00D362E8"/>
    <w:rsid w:val="00D36CB3"/>
    <w:rsid w:val="00D37194"/>
    <w:rsid w:val="00D423C3"/>
    <w:rsid w:val="00D423E2"/>
    <w:rsid w:val="00D427E1"/>
    <w:rsid w:val="00D4303C"/>
    <w:rsid w:val="00D44BA2"/>
    <w:rsid w:val="00D44BFE"/>
    <w:rsid w:val="00D4576E"/>
    <w:rsid w:val="00D46660"/>
    <w:rsid w:val="00D46EEB"/>
    <w:rsid w:val="00D50B3D"/>
    <w:rsid w:val="00D53118"/>
    <w:rsid w:val="00D5423A"/>
    <w:rsid w:val="00D5449C"/>
    <w:rsid w:val="00D569B7"/>
    <w:rsid w:val="00D56EBA"/>
    <w:rsid w:val="00D60592"/>
    <w:rsid w:val="00D60A51"/>
    <w:rsid w:val="00D60BCC"/>
    <w:rsid w:val="00D60FA4"/>
    <w:rsid w:val="00D6512C"/>
    <w:rsid w:val="00D65B92"/>
    <w:rsid w:val="00D66CE6"/>
    <w:rsid w:val="00D66F87"/>
    <w:rsid w:val="00D67A59"/>
    <w:rsid w:val="00D72832"/>
    <w:rsid w:val="00D76866"/>
    <w:rsid w:val="00D8437C"/>
    <w:rsid w:val="00D87155"/>
    <w:rsid w:val="00D87F86"/>
    <w:rsid w:val="00D926D4"/>
    <w:rsid w:val="00D94B5F"/>
    <w:rsid w:val="00D95A6B"/>
    <w:rsid w:val="00DA1524"/>
    <w:rsid w:val="00DA17E5"/>
    <w:rsid w:val="00DA5888"/>
    <w:rsid w:val="00DA6211"/>
    <w:rsid w:val="00DB1BE9"/>
    <w:rsid w:val="00DB278F"/>
    <w:rsid w:val="00DB3C37"/>
    <w:rsid w:val="00DB6839"/>
    <w:rsid w:val="00DC2298"/>
    <w:rsid w:val="00DC3D6B"/>
    <w:rsid w:val="00DD08CA"/>
    <w:rsid w:val="00DD1895"/>
    <w:rsid w:val="00DD38DE"/>
    <w:rsid w:val="00DD5864"/>
    <w:rsid w:val="00DD5F6A"/>
    <w:rsid w:val="00DD60BD"/>
    <w:rsid w:val="00DE162A"/>
    <w:rsid w:val="00DE4364"/>
    <w:rsid w:val="00DE4651"/>
    <w:rsid w:val="00DE7AA5"/>
    <w:rsid w:val="00DF2048"/>
    <w:rsid w:val="00DF2469"/>
    <w:rsid w:val="00DF2798"/>
    <w:rsid w:val="00E01335"/>
    <w:rsid w:val="00E01751"/>
    <w:rsid w:val="00E02211"/>
    <w:rsid w:val="00E026B2"/>
    <w:rsid w:val="00E054CB"/>
    <w:rsid w:val="00E05D8E"/>
    <w:rsid w:val="00E0618A"/>
    <w:rsid w:val="00E10209"/>
    <w:rsid w:val="00E115B3"/>
    <w:rsid w:val="00E11873"/>
    <w:rsid w:val="00E12AA5"/>
    <w:rsid w:val="00E12E8E"/>
    <w:rsid w:val="00E138D9"/>
    <w:rsid w:val="00E15C4A"/>
    <w:rsid w:val="00E211CD"/>
    <w:rsid w:val="00E24D54"/>
    <w:rsid w:val="00E2510A"/>
    <w:rsid w:val="00E25F35"/>
    <w:rsid w:val="00E25F9E"/>
    <w:rsid w:val="00E26963"/>
    <w:rsid w:val="00E27B7D"/>
    <w:rsid w:val="00E3023B"/>
    <w:rsid w:val="00E32EF9"/>
    <w:rsid w:val="00E34650"/>
    <w:rsid w:val="00E34DE4"/>
    <w:rsid w:val="00E35BCC"/>
    <w:rsid w:val="00E36739"/>
    <w:rsid w:val="00E373B1"/>
    <w:rsid w:val="00E3753B"/>
    <w:rsid w:val="00E37A5E"/>
    <w:rsid w:val="00E4628C"/>
    <w:rsid w:val="00E465D1"/>
    <w:rsid w:val="00E5337A"/>
    <w:rsid w:val="00E54759"/>
    <w:rsid w:val="00E57762"/>
    <w:rsid w:val="00E61416"/>
    <w:rsid w:val="00E62AC4"/>
    <w:rsid w:val="00E64F44"/>
    <w:rsid w:val="00E65AE4"/>
    <w:rsid w:val="00E668A8"/>
    <w:rsid w:val="00E71CE4"/>
    <w:rsid w:val="00E729CF"/>
    <w:rsid w:val="00E7601E"/>
    <w:rsid w:val="00E81E20"/>
    <w:rsid w:val="00E865F1"/>
    <w:rsid w:val="00E90906"/>
    <w:rsid w:val="00E90F1B"/>
    <w:rsid w:val="00E93C69"/>
    <w:rsid w:val="00E973C7"/>
    <w:rsid w:val="00EA1BE7"/>
    <w:rsid w:val="00EA20EA"/>
    <w:rsid w:val="00EA2E5B"/>
    <w:rsid w:val="00EA2F74"/>
    <w:rsid w:val="00EA4DE0"/>
    <w:rsid w:val="00EA5FE0"/>
    <w:rsid w:val="00EA75F1"/>
    <w:rsid w:val="00EB10BA"/>
    <w:rsid w:val="00EB3776"/>
    <w:rsid w:val="00EB3D8A"/>
    <w:rsid w:val="00EB5BA6"/>
    <w:rsid w:val="00EB7045"/>
    <w:rsid w:val="00EC0CBF"/>
    <w:rsid w:val="00EC1631"/>
    <w:rsid w:val="00EC2870"/>
    <w:rsid w:val="00EC34E4"/>
    <w:rsid w:val="00EC3630"/>
    <w:rsid w:val="00EC37DF"/>
    <w:rsid w:val="00EC6193"/>
    <w:rsid w:val="00EC693C"/>
    <w:rsid w:val="00ED0D60"/>
    <w:rsid w:val="00ED17B1"/>
    <w:rsid w:val="00ED2CA4"/>
    <w:rsid w:val="00ED5D91"/>
    <w:rsid w:val="00ED6131"/>
    <w:rsid w:val="00ED645D"/>
    <w:rsid w:val="00ED71A6"/>
    <w:rsid w:val="00EE45B5"/>
    <w:rsid w:val="00EE662B"/>
    <w:rsid w:val="00EE7913"/>
    <w:rsid w:val="00EF09E7"/>
    <w:rsid w:val="00EF2573"/>
    <w:rsid w:val="00EF38EA"/>
    <w:rsid w:val="00EF4ED3"/>
    <w:rsid w:val="00EF5BEB"/>
    <w:rsid w:val="00F05684"/>
    <w:rsid w:val="00F05990"/>
    <w:rsid w:val="00F05C18"/>
    <w:rsid w:val="00F06A6B"/>
    <w:rsid w:val="00F115D8"/>
    <w:rsid w:val="00F11BA2"/>
    <w:rsid w:val="00F120DE"/>
    <w:rsid w:val="00F1261C"/>
    <w:rsid w:val="00F13139"/>
    <w:rsid w:val="00F13F79"/>
    <w:rsid w:val="00F17633"/>
    <w:rsid w:val="00F20443"/>
    <w:rsid w:val="00F22FB8"/>
    <w:rsid w:val="00F230CB"/>
    <w:rsid w:val="00F2376E"/>
    <w:rsid w:val="00F24304"/>
    <w:rsid w:val="00F24CC3"/>
    <w:rsid w:val="00F26FD8"/>
    <w:rsid w:val="00F32803"/>
    <w:rsid w:val="00F3400F"/>
    <w:rsid w:val="00F400FF"/>
    <w:rsid w:val="00F419D4"/>
    <w:rsid w:val="00F4647C"/>
    <w:rsid w:val="00F46B01"/>
    <w:rsid w:val="00F477E3"/>
    <w:rsid w:val="00F513B4"/>
    <w:rsid w:val="00F56A41"/>
    <w:rsid w:val="00F57D40"/>
    <w:rsid w:val="00F57FB9"/>
    <w:rsid w:val="00F613CF"/>
    <w:rsid w:val="00F656C0"/>
    <w:rsid w:val="00F672F0"/>
    <w:rsid w:val="00F71886"/>
    <w:rsid w:val="00F71A83"/>
    <w:rsid w:val="00F7279F"/>
    <w:rsid w:val="00F73626"/>
    <w:rsid w:val="00F7449E"/>
    <w:rsid w:val="00F7459A"/>
    <w:rsid w:val="00F75E78"/>
    <w:rsid w:val="00F76AC0"/>
    <w:rsid w:val="00F77043"/>
    <w:rsid w:val="00F77E58"/>
    <w:rsid w:val="00F806F1"/>
    <w:rsid w:val="00F8080D"/>
    <w:rsid w:val="00F80DE4"/>
    <w:rsid w:val="00F813B5"/>
    <w:rsid w:val="00F8169B"/>
    <w:rsid w:val="00F850E3"/>
    <w:rsid w:val="00F85659"/>
    <w:rsid w:val="00F85E44"/>
    <w:rsid w:val="00F85F38"/>
    <w:rsid w:val="00F87B4E"/>
    <w:rsid w:val="00F90272"/>
    <w:rsid w:val="00F9098B"/>
    <w:rsid w:val="00F90FA5"/>
    <w:rsid w:val="00F91B9F"/>
    <w:rsid w:val="00F947B5"/>
    <w:rsid w:val="00F97DA3"/>
    <w:rsid w:val="00FA0574"/>
    <w:rsid w:val="00FA0843"/>
    <w:rsid w:val="00FA0A74"/>
    <w:rsid w:val="00FA18DC"/>
    <w:rsid w:val="00FA2FF6"/>
    <w:rsid w:val="00FA3516"/>
    <w:rsid w:val="00FA3BAE"/>
    <w:rsid w:val="00FA466E"/>
    <w:rsid w:val="00FA5B4B"/>
    <w:rsid w:val="00FA6857"/>
    <w:rsid w:val="00FA68E4"/>
    <w:rsid w:val="00FA6D22"/>
    <w:rsid w:val="00FB2FFF"/>
    <w:rsid w:val="00FB446E"/>
    <w:rsid w:val="00FC0B14"/>
    <w:rsid w:val="00FC0BB9"/>
    <w:rsid w:val="00FC0F2B"/>
    <w:rsid w:val="00FC117D"/>
    <w:rsid w:val="00FC5356"/>
    <w:rsid w:val="00FC5C54"/>
    <w:rsid w:val="00FD03A1"/>
    <w:rsid w:val="00FD0746"/>
    <w:rsid w:val="00FD0E71"/>
    <w:rsid w:val="00FD0F0A"/>
    <w:rsid w:val="00FD3015"/>
    <w:rsid w:val="00FD46CC"/>
    <w:rsid w:val="00FD6D24"/>
    <w:rsid w:val="00FD705A"/>
    <w:rsid w:val="00FD7C9A"/>
    <w:rsid w:val="00FE037C"/>
    <w:rsid w:val="00FE09F3"/>
    <w:rsid w:val="00FE2D5D"/>
    <w:rsid w:val="00FE2E60"/>
    <w:rsid w:val="00FE4C40"/>
    <w:rsid w:val="00FE53D6"/>
    <w:rsid w:val="00FF03A6"/>
    <w:rsid w:val="00FF1B08"/>
    <w:rsid w:val="00FF3BAD"/>
    <w:rsid w:val="00FF77D0"/>
    <w:rsid w:val="5D86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9"/>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pPr>
      <w:ind w:left="100"/>
    </w:pPr>
    <w:rPr>
      <w:rFonts w:ascii="Times New Roman" w:hAnsi="Times New Roman" w:eastAsia="Times New Roman"/>
      <w:sz w:val="24"/>
      <w:szCs w:val="24"/>
    </w:rPr>
  </w:style>
  <w:style w:type="paragraph" w:styleId="9">
    <w:name w:val="toc 5"/>
    <w:basedOn w:val="1"/>
    <w:next w:val="1"/>
    <w:autoRedefine/>
    <w:unhideWhenUsed/>
    <w:uiPriority w:val="39"/>
    <w:pPr>
      <w:ind w:left="1680" w:leftChars="800"/>
    </w:pPr>
  </w:style>
  <w:style w:type="paragraph" w:styleId="10">
    <w:name w:val="toc 3"/>
    <w:basedOn w:val="1"/>
    <w:next w:val="1"/>
    <w:autoRedefine/>
    <w:unhideWhenUsed/>
    <w:qFormat/>
    <w:uiPriority w:val="39"/>
    <w:pPr>
      <w:ind w:left="840" w:leftChars="400"/>
    </w:pPr>
    <w:rPr>
      <w:i/>
    </w:rPr>
  </w:style>
  <w:style w:type="paragraph" w:styleId="11">
    <w:name w:val="Balloon Text"/>
    <w:basedOn w:val="1"/>
    <w:link w:val="43"/>
    <w:semiHidden/>
    <w:unhideWhenUsed/>
    <w:qFormat/>
    <w:uiPriority w:val="99"/>
    <w:rPr>
      <w:sz w:val="18"/>
      <w:szCs w:val="18"/>
    </w:rPr>
  </w:style>
  <w:style w:type="paragraph" w:styleId="12">
    <w:name w:val="footer"/>
    <w:basedOn w:val="1"/>
    <w:link w:val="42"/>
    <w:unhideWhenUsed/>
    <w:qFormat/>
    <w:uiPriority w:val="99"/>
    <w:pPr>
      <w:tabs>
        <w:tab w:val="center" w:pos="4153"/>
        <w:tab w:val="right" w:pos="8306"/>
      </w:tabs>
      <w:snapToGrid w:val="0"/>
    </w:pPr>
    <w:rPr>
      <w:sz w:val="18"/>
      <w:szCs w:val="18"/>
    </w:rPr>
  </w:style>
  <w:style w:type="paragraph" w:styleId="13">
    <w:name w:val="header"/>
    <w:basedOn w:val="1"/>
    <w:link w:val="41"/>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uiPriority w:val="39"/>
    <w:pPr>
      <w:snapToGrid w:val="0"/>
      <w:spacing w:line="300" w:lineRule="auto"/>
    </w:pPr>
    <w:rPr>
      <w:rFonts w:eastAsia="宋体"/>
      <w:b/>
      <w:sz w:val="24"/>
    </w:rPr>
  </w:style>
  <w:style w:type="paragraph" w:styleId="15">
    <w:name w:val="toc 4"/>
    <w:basedOn w:val="1"/>
    <w:next w:val="1"/>
    <w:autoRedefine/>
    <w:unhideWhenUsed/>
    <w:uiPriority w:val="39"/>
    <w:pPr>
      <w:ind w:left="1260" w:leftChars="600"/>
    </w:pPr>
  </w:style>
  <w:style w:type="paragraph" w:styleId="16">
    <w:name w:val="footnote text"/>
    <w:basedOn w:val="1"/>
    <w:link w:val="48"/>
    <w:semiHidden/>
    <w:unhideWhenUsed/>
    <w:uiPriority w:val="99"/>
    <w:pPr>
      <w:snapToGrid w:val="0"/>
    </w:pPr>
    <w:rPr>
      <w:sz w:val="18"/>
      <w:szCs w:val="18"/>
    </w:rPr>
  </w:style>
  <w:style w:type="paragraph" w:styleId="17">
    <w:name w:val="toc 6"/>
    <w:basedOn w:val="1"/>
    <w:next w:val="1"/>
    <w:autoRedefine/>
    <w:unhideWhenUsed/>
    <w:uiPriority w:val="39"/>
    <w:pPr>
      <w:ind w:left="2100" w:leftChars="1000"/>
    </w:pPr>
  </w:style>
  <w:style w:type="paragraph" w:styleId="18">
    <w:name w:val="toc 2"/>
    <w:basedOn w:val="1"/>
    <w:next w:val="1"/>
    <w:autoRedefine/>
    <w:unhideWhenUsed/>
    <w:uiPriority w:val="39"/>
    <w:pPr>
      <w:ind w:left="420" w:leftChars="200"/>
    </w:p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footnote reference"/>
    <w:basedOn w:val="20"/>
    <w:semiHidden/>
    <w:unhideWhenUsed/>
    <w:uiPriority w:val="99"/>
    <w:rPr>
      <w:vertAlign w:val="superscript"/>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customStyle="1" w:styleId="24">
    <w:name w:val="目录 11"/>
    <w:basedOn w:val="1"/>
    <w:qFormat/>
    <w:uiPriority w:val="1"/>
    <w:pPr>
      <w:spacing w:before="120"/>
      <w:ind w:left="539" w:hanging="439"/>
    </w:pPr>
    <w:rPr>
      <w:rFonts w:ascii="Times New Roman" w:hAnsi="Times New Roman" w:eastAsia="Times New Roman"/>
      <w:b/>
      <w:bCs/>
      <w:sz w:val="20"/>
      <w:szCs w:val="20"/>
    </w:rPr>
  </w:style>
  <w:style w:type="paragraph" w:customStyle="1" w:styleId="25">
    <w:name w:val="目录 21"/>
    <w:basedOn w:val="1"/>
    <w:qFormat/>
    <w:uiPriority w:val="1"/>
    <w:pPr>
      <w:ind w:left="212"/>
    </w:pPr>
    <w:rPr>
      <w:rFonts w:ascii="Times New Roman" w:hAnsi="Times New Roman" w:eastAsia="Times New Roman"/>
      <w:b/>
      <w:bCs/>
      <w:i/>
    </w:rPr>
  </w:style>
  <w:style w:type="paragraph" w:customStyle="1" w:styleId="26">
    <w:name w:val="目录 31"/>
    <w:basedOn w:val="1"/>
    <w:qFormat/>
    <w:uiPriority w:val="1"/>
    <w:pPr>
      <w:ind w:left="640" w:hanging="320"/>
    </w:pPr>
    <w:rPr>
      <w:rFonts w:ascii="Times New Roman" w:hAnsi="Times New Roman" w:eastAsia="Times New Roman"/>
      <w:b/>
      <w:bCs/>
      <w:sz w:val="16"/>
      <w:szCs w:val="16"/>
    </w:rPr>
  </w:style>
  <w:style w:type="paragraph" w:customStyle="1" w:styleId="27">
    <w:name w:val="目录 41"/>
    <w:basedOn w:val="1"/>
    <w:qFormat/>
    <w:uiPriority w:val="1"/>
    <w:pPr>
      <w:ind w:left="320"/>
    </w:pPr>
    <w:rPr>
      <w:rFonts w:ascii="Times New Roman" w:hAnsi="Times New Roman" w:eastAsia="Times New Roman"/>
      <w:sz w:val="16"/>
      <w:szCs w:val="16"/>
    </w:rPr>
  </w:style>
  <w:style w:type="paragraph" w:customStyle="1" w:styleId="28">
    <w:name w:val="目录 51"/>
    <w:basedOn w:val="1"/>
    <w:qFormat/>
    <w:uiPriority w:val="1"/>
    <w:pPr>
      <w:ind w:left="640" w:hanging="320"/>
    </w:pPr>
    <w:rPr>
      <w:rFonts w:ascii="Times New Roman" w:hAnsi="Times New Roman" w:eastAsia="Times New Roman"/>
      <w:b/>
      <w:bCs/>
      <w:i/>
    </w:rPr>
  </w:style>
  <w:style w:type="paragraph" w:customStyle="1" w:styleId="29">
    <w:name w:val="目录 61"/>
    <w:basedOn w:val="1"/>
    <w:qFormat/>
    <w:uiPriority w:val="1"/>
    <w:pPr>
      <w:ind w:left="924" w:hanging="386"/>
    </w:pPr>
    <w:rPr>
      <w:rFonts w:ascii="Times New Roman" w:hAnsi="Times New Roman" w:eastAsia="Times New Roman"/>
      <w:b/>
      <w:bCs/>
      <w:i/>
      <w:sz w:val="20"/>
      <w:szCs w:val="20"/>
    </w:rPr>
  </w:style>
  <w:style w:type="paragraph" w:customStyle="1" w:styleId="30">
    <w:name w:val="目录 71"/>
    <w:basedOn w:val="1"/>
    <w:qFormat/>
    <w:uiPriority w:val="1"/>
    <w:pPr>
      <w:ind w:left="539"/>
    </w:pPr>
    <w:rPr>
      <w:rFonts w:ascii="Times New Roman" w:hAnsi="Times New Roman" w:eastAsia="Times New Roman"/>
      <w:i/>
      <w:sz w:val="20"/>
      <w:szCs w:val="20"/>
    </w:rPr>
  </w:style>
  <w:style w:type="paragraph" w:customStyle="1" w:styleId="31">
    <w:name w:val="目录 81"/>
    <w:basedOn w:val="1"/>
    <w:qFormat/>
    <w:uiPriority w:val="1"/>
    <w:pPr>
      <w:ind w:left="925" w:hanging="386"/>
    </w:pPr>
    <w:rPr>
      <w:rFonts w:ascii="Times New Roman" w:hAnsi="Times New Roman" w:eastAsia="Times New Roman"/>
      <w:b/>
      <w:bCs/>
      <w:i/>
    </w:rPr>
  </w:style>
  <w:style w:type="paragraph" w:customStyle="1" w:styleId="32">
    <w:name w:val="目录 91"/>
    <w:basedOn w:val="1"/>
    <w:qFormat/>
    <w:uiPriority w:val="1"/>
    <w:pPr>
      <w:ind w:left="1050" w:hanging="302"/>
    </w:pPr>
    <w:rPr>
      <w:rFonts w:ascii="Times New Roman" w:hAnsi="Times New Roman" w:eastAsia="Times New Roman"/>
      <w:sz w:val="18"/>
      <w:szCs w:val="18"/>
    </w:rPr>
  </w:style>
  <w:style w:type="paragraph" w:customStyle="1" w:styleId="33">
    <w:name w:val="标题 11"/>
    <w:basedOn w:val="1"/>
    <w:qFormat/>
    <w:uiPriority w:val="1"/>
    <w:pPr>
      <w:outlineLvl w:val="1"/>
    </w:pPr>
    <w:rPr>
      <w:rFonts w:ascii="Times New Roman" w:hAnsi="Times New Roman" w:eastAsia="Times New Roman"/>
      <w:b/>
      <w:bCs/>
      <w:sz w:val="48"/>
      <w:szCs w:val="48"/>
    </w:rPr>
  </w:style>
  <w:style w:type="paragraph" w:customStyle="1" w:styleId="34">
    <w:name w:val="标题 21"/>
    <w:basedOn w:val="1"/>
    <w:qFormat/>
    <w:uiPriority w:val="1"/>
    <w:pPr>
      <w:ind w:left="100"/>
      <w:outlineLvl w:val="2"/>
    </w:pPr>
    <w:rPr>
      <w:rFonts w:ascii="Times New Roman" w:hAnsi="Times New Roman" w:eastAsia="Times New Roman"/>
      <w:b/>
      <w:bCs/>
      <w:sz w:val="36"/>
      <w:szCs w:val="36"/>
    </w:rPr>
  </w:style>
  <w:style w:type="paragraph" w:customStyle="1" w:styleId="35">
    <w:name w:val="标题 31"/>
    <w:basedOn w:val="1"/>
    <w:qFormat/>
    <w:uiPriority w:val="1"/>
    <w:pPr>
      <w:ind w:left="100"/>
      <w:outlineLvl w:val="3"/>
    </w:pPr>
    <w:rPr>
      <w:rFonts w:ascii="Times New Roman" w:hAnsi="Times New Roman" w:eastAsia="Times New Roman"/>
      <w:b/>
      <w:bCs/>
      <w:sz w:val="32"/>
      <w:szCs w:val="32"/>
    </w:rPr>
  </w:style>
  <w:style w:type="paragraph" w:customStyle="1" w:styleId="36">
    <w:name w:val="标题 41"/>
    <w:basedOn w:val="1"/>
    <w:qFormat/>
    <w:uiPriority w:val="1"/>
    <w:pPr>
      <w:ind w:left="460" w:hanging="360"/>
      <w:outlineLvl w:val="4"/>
    </w:pPr>
    <w:rPr>
      <w:rFonts w:ascii="Times New Roman" w:hAnsi="Times New Roman" w:eastAsia="Times New Roman"/>
      <w:b/>
      <w:bCs/>
      <w:sz w:val="28"/>
      <w:szCs w:val="28"/>
    </w:rPr>
  </w:style>
  <w:style w:type="paragraph" w:customStyle="1" w:styleId="37">
    <w:name w:val="标题 51"/>
    <w:basedOn w:val="1"/>
    <w:qFormat/>
    <w:uiPriority w:val="1"/>
    <w:pPr>
      <w:ind w:left="558" w:hanging="458"/>
      <w:outlineLvl w:val="5"/>
    </w:pPr>
    <w:rPr>
      <w:rFonts w:ascii="Times New Roman" w:hAnsi="Times New Roman" w:eastAsia="Times New Roman"/>
      <w:b/>
      <w:bCs/>
      <w:sz w:val="24"/>
      <w:szCs w:val="24"/>
    </w:rPr>
  </w:style>
  <w:style w:type="paragraph" w:customStyle="1" w:styleId="38">
    <w:name w:val="标题 61"/>
    <w:basedOn w:val="1"/>
    <w:qFormat/>
    <w:uiPriority w:val="1"/>
    <w:pPr>
      <w:ind w:left="100"/>
      <w:outlineLvl w:val="6"/>
    </w:pPr>
    <w:rPr>
      <w:rFonts w:ascii="Times New Roman" w:hAnsi="Times New Roman" w:eastAsia="Times New Roman"/>
      <w:b/>
      <w:bCs/>
      <w:i/>
      <w:sz w:val="24"/>
      <w:szCs w:val="24"/>
    </w:rPr>
  </w:style>
  <w:style w:type="paragraph" w:styleId="39">
    <w:name w:val="List Paragraph"/>
    <w:basedOn w:val="1"/>
    <w:qFormat/>
    <w:uiPriority w:val="1"/>
  </w:style>
  <w:style w:type="paragraph" w:customStyle="1" w:styleId="40">
    <w:name w:val="Table Paragraph"/>
    <w:basedOn w:val="1"/>
    <w:qFormat/>
    <w:uiPriority w:val="1"/>
  </w:style>
  <w:style w:type="character" w:customStyle="1" w:styleId="41">
    <w:name w:val="页眉 Char"/>
    <w:basedOn w:val="20"/>
    <w:link w:val="13"/>
    <w:qFormat/>
    <w:uiPriority w:val="99"/>
    <w:rPr>
      <w:sz w:val="18"/>
      <w:szCs w:val="18"/>
    </w:rPr>
  </w:style>
  <w:style w:type="character" w:customStyle="1" w:styleId="42">
    <w:name w:val="页脚 Char"/>
    <w:basedOn w:val="20"/>
    <w:link w:val="12"/>
    <w:uiPriority w:val="99"/>
    <w:rPr>
      <w:sz w:val="18"/>
      <w:szCs w:val="18"/>
    </w:rPr>
  </w:style>
  <w:style w:type="character" w:customStyle="1" w:styleId="43">
    <w:name w:val="批注框文本 Char"/>
    <w:basedOn w:val="20"/>
    <w:link w:val="11"/>
    <w:semiHidden/>
    <w:uiPriority w:val="99"/>
    <w:rPr>
      <w:sz w:val="18"/>
      <w:szCs w:val="18"/>
    </w:rPr>
  </w:style>
  <w:style w:type="character" w:customStyle="1" w:styleId="44">
    <w:name w:val="标题 4 Char"/>
    <w:basedOn w:val="20"/>
    <w:link w:val="5"/>
    <w:semiHidden/>
    <w:uiPriority w:val="9"/>
    <w:rPr>
      <w:rFonts w:asciiTheme="majorHAnsi" w:hAnsiTheme="majorHAnsi" w:eastAsiaTheme="majorEastAsia" w:cstheme="majorBidi"/>
      <w:b/>
      <w:bCs/>
      <w:sz w:val="28"/>
      <w:szCs w:val="28"/>
    </w:rPr>
  </w:style>
  <w:style w:type="character" w:customStyle="1" w:styleId="45">
    <w:name w:val="标题 3 Char"/>
    <w:basedOn w:val="20"/>
    <w:link w:val="4"/>
    <w:semiHidden/>
    <w:uiPriority w:val="9"/>
    <w:rPr>
      <w:b/>
      <w:bCs/>
      <w:sz w:val="32"/>
      <w:szCs w:val="32"/>
    </w:rPr>
  </w:style>
  <w:style w:type="character" w:customStyle="1" w:styleId="46">
    <w:name w:val="标题 1 Char"/>
    <w:basedOn w:val="20"/>
    <w:link w:val="2"/>
    <w:uiPriority w:val="9"/>
    <w:rPr>
      <w:b/>
      <w:bCs/>
      <w:kern w:val="44"/>
      <w:sz w:val="44"/>
      <w:szCs w:val="44"/>
    </w:rPr>
  </w:style>
  <w:style w:type="paragraph" w:customStyle="1" w:styleId="47">
    <w:name w:val="TOC Heading"/>
    <w:basedOn w:val="2"/>
    <w:next w:val="1"/>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48">
    <w:name w:val="脚注文本 Char"/>
    <w:basedOn w:val="20"/>
    <w:link w:val="16"/>
    <w:semiHidden/>
    <w:qFormat/>
    <w:uiPriority w:val="99"/>
    <w:rPr>
      <w:sz w:val="18"/>
      <w:szCs w:val="18"/>
    </w:rPr>
  </w:style>
  <w:style w:type="character" w:customStyle="1" w:styleId="49">
    <w:name w:val="标题 5 Char"/>
    <w:basedOn w:val="20"/>
    <w:link w:val="6"/>
    <w:semiHidden/>
    <w:qFormat/>
    <w:uiPriority w:val="9"/>
    <w:rPr>
      <w:b/>
      <w:bCs/>
      <w:sz w:val="28"/>
      <w:szCs w:val="28"/>
    </w:rPr>
  </w:style>
  <w:style w:type="character" w:customStyle="1" w:styleId="50">
    <w:name w:val="标题 6 Char"/>
    <w:basedOn w:val="20"/>
    <w:link w:val="7"/>
    <w:semiHidden/>
    <w:uiPriority w:val="9"/>
    <w:rPr>
      <w:rFonts w:asciiTheme="majorHAnsi" w:hAnsiTheme="majorHAnsi" w:eastAsiaTheme="majorEastAsia" w:cstheme="majorBidi"/>
      <w:b/>
      <w:bCs/>
      <w:sz w:val="24"/>
      <w:szCs w:val="24"/>
    </w:rPr>
  </w:style>
  <w:style w:type="character" w:customStyle="1" w:styleId="51">
    <w:name w:val="标题 2 Char"/>
    <w:basedOn w:val="20"/>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0F0CE-7FB9-45FA-AFD6-3D4165A13B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10275</Words>
  <Characters>11042</Characters>
  <Lines>170</Lines>
  <Paragraphs>47</Paragraphs>
  <TotalTime>9</TotalTime>
  <ScaleCrop>false</ScaleCrop>
  <LinksUpToDate>false</LinksUpToDate>
  <CharactersWithSpaces>11456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2017-10-23T02:36:00Z</dcterms:created>
  <dc:creator>kjs</dc:creator>
  <cp:lastModifiedBy>太极箫客</cp:lastModifiedBy>
  <dcterms:modified xsi:type="dcterms:W3CDTF">2025-08-14T06:17:45Z</dcterms:modified>
  <dc:title>Guidance for Industry and Food and Drug Administration Staff</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2017-09-27T00:00:00Z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470604D9CEF64A7881B4DE2435DA1BA8_12</vt:lpwstr>
  </property>
</Properties>
</file>