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30DEA">
      <w:pPr>
        <w:pStyle w:val="2"/>
        <w:pBdr>
          <w:bottom w:val="single" w:color="auto" w:sz="4" w:space="1"/>
        </w:pBdr>
        <w:kinsoku w:val="0"/>
        <w:overflowPunct w:val="0"/>
        <w:snapToGrid w:val="0"/>
        <w:spacing w:before="0" w:afterLines="50" w:line="360" w:lineRule="auto"/>
        <w:ind w:left="0" w:firstLine="0"/>
        <w:jc w:val="center"/>
        <w:rPr>
          <w:b w:val="0"/>
          <w:bCs w:val="0"/>
          <w:sz w:val="36"/>
          <w:szCs w:val="36"/>
        </w:rPr>
      </w:pPr>
      <w:bookmarkStart w:id="63" w:name="_GoBack"/>
      <w:bookmarkEnd w:id="63"/>
      <w:bookmarkStart w:id="0" w:name="_Toc496790156"/>
      <w:r>
        <w:rPr>
          <w:sz w:val="36"/>
          <w:szCs w:val="36"/>
        </w:rPr>
        <w:t>II</w:t>
      </w:r>
      <w:r>
        <w:rPr>
          <w:rFonts w:hint="eastAsia" w:hAnsi="宋体"/>
          <w:sz w:val="36"/>
          <w:szCs w:val="36"/>
        </w:rPr>
        <w:t>类特殊控制指南：登革热病毒血清学试剂</w:t>
      </w:r>
      <w:bookmarkEnd w:id="0"/>
    </w:p>
    <w:p w14:paraId="63487E86">
      <w:pPr>
        <w:kinsoku w:val="0"/>
        <w:overflowPunct w:val="0"/>
        <w:snapToGrid w:val="0"/>
        <w:spacing w:afterLines="50" w:line="360" w:lineRule="auto"/>
        <w:jc w:val="center"/>
        <w:rPr>
          <w:b/>
          <w:bCs/>
          <w:sz w:val="36"/>
          <w:szCs w:val="36"/>
        </w:rPr>
      </w:pPr>
      <w:bookmarkStart w:id="1" w:name="bookmark0"/>
      <w:bookmarkEnd w:id="1"/>
      <w:bookmarkStart w:id="2" w:name="1._Introduction"/>
      <w:bookmarkEnd w:id="2"/>
      <w:r>
        <w:rPr>
          <w:rFonts w:hint="eastAsia" w:hAnsi="宋体"/>
          <w:b/>
          <w:bCs/>
          <w:sz w:val="36"/>
          <w:szCs w:val="36"/>
        </w:rPr>
        <w:t>行业和美国食品药品管理局工作人员指南</w:t>
      </w:r>
    </w:p>
    <w:p w14:paraId="4FDFF05B">
      <w:pPr>
        <w:snapToGrid w:val="0"/>
        <w:spacing w:beforeLines="500" w:afterLines="200" w:line="360" w:lineRule="auto"/>
        <w:jc w:val="center"/>
        <w:rPr>
          <w:b/>
          <w:bCs/>
          <w:sz w:val="21"/>
          <w:szCs w:val="21"/>
        </w:rPr>
      </w:pPr>
      <w:r>
        <w:rPr>
          <w:rFonts w:hint="eastAsia" w:hAnsi="宋体"/>
          <w:b/>
          <w:bCs/>
          <w:sz w:val="21"/>
          <w:szCs w:val="21"/>
        </w:rPr>
        <w:t>文件发布日期：</w:t>
      </w:r>
      <w:r>
        <w:rPr>
          <w:b/>
          <w:bCs/>
          <w:sz w:val="21"/>
          <w:szCs w:val="21"/>
        </w:rPr>
        <w:t>2014</w:t>
      </w:r>
      <w:r>
        <w:rPr>
          <w:rFonts w:hint="eastAsia" w:hAnsi="宋体"/>
          <w:b/>
          <w:bCs/>
          <w:sz w:val="21"/>
          <w:szCs w:val="21"/>
        </w:rPr>
        <w:t>年</w:t>
      </w:r>
      <w:r>
        <w:rPr>
          <w:b/>
          <w:bCs/>
          <w:sz w:val="21"/>
          <w:szCs w:val="21"/>
        </w:rPr>
        <w:t>5</w:t>
      </w:r>
      <w:r>
        <w:rPr>
          <w:rFonts w:hint="eastAsia" w:hAnsi="宋体"/>
          <w:b/>
          <w:bCs/>
          <w:sz w:val="21"/>
          <w:szCs w:val="21"/>
        </w:rPr>
        <w:t>月</w:t>
      </w:r>
      <w:r>
        <w:rPr>
          <w:b/>
          <w:bCs/>
          <w:sz w:val="21"/>
          <w:szCs w:val="21"/>
        </w:rPr>
        <w:t>30</w:t>
      </w:r>
      <w:r>
        <w:rPr>
          <w:rFonts w:hint="eastAsia" w:hAnsi="宋体"/>
          <w:b/>
          <w:bCs/>
          <w:sz w:val="21"/>
          <w:szCs w:val="21"/>
        </w:rPr>
        <w:t>日</w:t>
      </w:r>
    </w:p>
    <w:p w14:paraId="10D7FF58">
      <w:pPr>
        <w:pStyle w:val="6"/>
        <w:kinsoku w:val="0"/>
        <w:overflowPunct w:val="0"/>
        <w:snapToGrid w:val="0"/>
        <w:spacing w:afterLines="50" w:line="360" w:lineRule="auto"/>
        <w:ind w:left="0"/>
        <w:jc w:val="both"/>
        <w:rPr>
          <w:sz w:val="21"/>
          <w:szCs w:val="21"/>
        </w:rPr>
      </w:pPr>
      <w:r>
        <w:rPr>
          <w:rFonts w:hint="eastAsia" w:hAnsi="宋体"/>
          <w:sz w:val="21"/>
          <w:szCs w:val="21"/>
        </w:rPr>
        <w:t>有关本文件的疑问，请致电微生物器械部</w:t>
      </w:r>
      <w:r>
        <w:rPr>
          <w:sz w:val="21"/>
          <w:szCs w:val="21"/>
        </w:rPr>
        <w:t>301-796-5461</w:t>
      </w:r>
      <w:r>
        <w:rPr>
          <w:rFonts w:hint="eastAsia" w:hAnsi="宋体"/>
          <w:sz w:val="21"/>
          <w:szCs w:val="21"/>
        </w:rPr>
        <w:t>，或</w:t>
      </w:r>
      <w:r>
        <w:rPr>
          <w:sz w:val="21"/>
          <w:szCs w:val="21"/>
        </w:rPr>
        <w:t>Beena Puri 301-796-6202</w:t>
      </w:r>
      <w:r>
        <w:rPr>
          <w:rFonts w:hint="eastAsia" w:hAnsi="宋体"/>
          <w:sz w:val="21"/>
          <w:szCs w:val="21"/>
        </w:rPr>
        <w:t>或电子邮件</w:t>
      </w:r>
      <w:r>
        <w:rPr>
          <w:sz w:val="21"/>
          <w:szCs w:val="21"/>
          <w:u w:val="single"/>
        </w:rPr>
        <w:t>beena.puri@fda.hhs.gov</w:t>
      </w:r>
      <w:r>
        <w:rPr>
          <w:rFonts w:hint="eastAsia" w:hAnsi="宋体"/>
          <w:sz w:val="21"/>
          <w:szCs w:val="21"/>
        </w:rPr>
        <w:t>。</w:t>
      </w:r>
    </w:p>
    <w:p w14:paraId="39A33223">
      <w:pPr>
        <w:pStyle w:val="6"/>
        <w:kinsoku w:val="0"/>
        <w:overflowPunct w:val="0"/>
        <w:snapToGrid w:val="0"/>
        <w:spacing w:afterLines="50" w:line="360" w:lineRule="auto"/>
        <w:ind w:left="0"/>
        <w:jc w:val="both"/>
        <w:rPr>
          <w:sz w:val="21"/>
          <w:szCs w:val="21"/>
        </w:rPr>
      </w:pPr>
    </w:p>
    <w:p w14:paraId="7FF13B47">
      <w:pPr>
        <w:pStyle w:val="6"/>
        <w:kinsoku w:val="0"/>
        <w:overflowPunct w:val="0"/>
        <w:snapToGrid w:val="0"/>
        <w:spacing w:afterLines="50" w:line="360" w:lineRule="auto"/>
        <w:ind w:left="0"/>
        <w:jc w:val="both"/>
        <w:rPr>
          <w:sz w:val="21"/>
          <w:szCs w:val="21"/>
        </w:rPr>
      </w:pPr>
    </w:p>
    <w:p w14:paraId="18AF8875">
      <w:pPr>
        <w:pStyle w:val="6"/>
        <w:kinsoku w:val="0"/>
        <w:overflowPunct w:val="0"/>
        <w:snapToGrid w:val="0"/>
        <w:spacing w:afterLines="50" w:line="360" w:lineRule="auto"/>
        <w:ind w:left="0"/>
        <w:jc w:val="both"/>
        <w:rPr>
          <w:sz w:val="21"/>
          <w:szCs w:val="21"/>
        </w:rPr>
      </w:pPr>
    </w:p>
    <w:p w14:paraId="4B019D32">
      <w:pPr>
        <w:pStyle w:val="6"/>
        <w:kinsoku w:val="0"/>
        <w:overflowPunct w:val="0"/>
        <w:snapToGrid w:val="0"/>
        <w:spacing w:afterLines="50" w:line="360" w:lineRule="auto"/>
        <w:ind w:left="0"/>
        <w:jc w:val="both"/>
        <w:rPr>
          <w:sz w:val="21"/>
          <w:szCs w:val="21"/>
        </w:rPr>
      </w:pPr>
    </w:p>
    <w:p w14:paraId="5B61F57E">
      <w:pPr>
        <w:pStyle w:val="6"/>
        <w:kinsoku w:val="0"/>
        <w:overflowPunct w:val="0"/>
        <w:snapToGrid w:val="0"/>
        <w:spacing w:afterLines="50" w:line="360" w:lineRule="auto"/>
        <w:ind w:left="0"/>
        <w:jc w:val="both"/>
        <w:rPr>
          <w:sz w:val="21"/>
          <w:szCs w:val="21"/>
        </w:rPr>
      </w:pPr>
    </w:p>
    <w:p w14:paraId="039C45EA">
      <w:pPr>
        <w:pStyle w:val="6"/>
        <w:kinsoku w:val="0"/>
        <w:overflowPunct w:val="0"/>
        <w:snapToGrid w:val="0"/>
        <w:spacing w:afterLines="50" w:line="360" w:lineRule="auto"/>
        <w:ind w:left="0"/>
        <w:jc w:val="both"/>
        <w:rPr>
          <w:sz w:val="21"/>
          <w:szCs w:val="21"/>
        </w:rPr>
      </w:pPr>
    </w:p>
    <w:p w14:paraId="4B608B18">
      <w:pPr>
        <w:pStyle w:val="6"/>
        <w:kinsoku w:val="0"/>
        <w:overflowPunct w:val="0"/>
        <w:snapToGrid w:val="0"/>
        <w:spacing w:afterLines="50" w:line="360" w:lineRule="auto"/>
        <w:ind w:left="0"/>
        <w:jc w:val="both"/>
        <w:rPr>
          <w:sz w:val="21"/>
          <w:szCs w:val="21"/>
        </w:rPr>
      </w:pPr>
    </w:p>
    <w:p w14:paraId="7C1D681A">
      <w:pPr>
        <w:pStyle w:val="6"/>
        <w:kinsoku w:val="0"/>
        <w:overflowPunct w:val="0"/>
        <w:snapToGrid w:val="0"/>
        <w:spacing w:afterLines="50" w:line="360" w:lineRule="auto"/>
        <w:ind w:left="0"/>
        <w:jc w:val="both"/>
        <w:rPr>
          <w:sz w:val="21"/>
          <w:szCs w:val="21"/>
        </w:rPr>
      </w:pPr>
    </w:p>
    <w:p w14:paraId="7E1E0C18">
      <w:pPr>
        <w:pStyle w:val="6"/>
        <w:kinsoku w:val="0"/>
        <w:overflowPunct w:val="0"/>
        <w:snapToGrid w:val="0"/>
        <w:spacing w:afterLines="50" w:line="360" w:lineRule="auto"/>
        <w:ind w:left="0"/>
        <w:jc w:val="both"/>
        <w:rPr>
          <w:sz w:val="21"/>
          <w:szCs w:val="21"/>
        </w:rPr>
      </w:pPr>
    </w:p>
    <w:p w14:paraId="404DB4C4">
      <w:pPr>
        <w:pStyle w:val="6"/>
        <w:kinsoku w:val="0"/>
        <w:overflowPunct w:val="0"/>
        <w:snapToGrid w:val="0"/>
        <w:spacing w:afterLines="50" w:line="360" w:lineRule="auto"/>
        <w:ind w:left="0"/>
        <w:jc w:val="both"/>
        <w:rPr>
          <w:sz w:val="21"/>
          <w:szCs w:val="21"/>
        </w:rPr>
      </w:pPr>
    </w:p>
    <w:p w14:paraId="22523840">
      <w:pPr>
        <w:pStyle w:val="6"/>
        <w:kinsoku w:val="0"/>
        <w:overflowPunct w:val="0"/>
        <w:snapToGrid w:val="0"/>
        <w:spacing w:afterLines="50" w:line="360" w:lineRule="auto"/>
        <w:ind w:left="0"/>
        <w:jc w:val="both"/>
        <w:rPr>
          <w:sz w:val="21"/>
          <w:szCs w:val="21"/>
        </w:rPr>
      </w:pPr>
    </w:p>
    <w:p w14:paraId="453A8B79">
      <w:pPr>
        <w:pStyle w:val="6"/>
        <w:kinsoku w:val="0"/>
        <w:overflowPunct w:val="0"/>
        <w:snapToGrid w:val="0"/>
        <w:spacing w:afterLines="50" w:line="360" w:lineRule="auto"/>
        <w:ind w:left="0"/>
        <w:jc w:val="both"/>
        <w:rPr>
          <w:sz w:val="21"/>
          <w:szCs w:val="21"/>
        </w:rPr>
      </w:pPr>
    </w:p>
    <w:p w14:paraId="54D3CE90">
      <w:pPr>
        <w:pStyle w:val="6"/>
        <w:kinsoku w:val="0"/>
        <w:overflowPunct w:val="0"/>
        <w:snapToGrid w:val="0"/>
        <w:spacing w:afterLines="50" w:line="360" w:lineRule="auto"/>
        <w:ind w:left="0"/>
        <w:jc w:val="both"/>
        <w:rPr>
          <w:sz w:val="21"/>
          <w:szCs w:val="21"/>
        </w:rPr>
      </w:pPr>
    </w:p>
    <w:p w14:paraId="7A31FA4D">
      <w:pPr>
        <w:pStyle w:val="6"/>
        <w:kinsoku w:val="0"/>
        <w:overflowPunct w:val="0"/>
        <w:snapToGrid w:val="0"/>
        <w:spacing w:afterLines="50" w:line="360" w:lineRule="auto"/>
        <w:ind w:left="0"/>
        <w:jc w:val="both"/>
        <w:rPr>
          <w:sz w:val="21"/>
          <w:szCs w:val="21"/>
        </w:rPr>
      </w:pPr>
    </w:p>
    <w:p w14:paraId="30D2762F">
      <w:pPr>
        <w:pStyle w:val="6"/>
        <w:kinsoku w:val="0"/>
        <w:overflowPunct w:val="0"/>
        <w:snapToGrid w:val="0"/>
        <w:spacing w:afterLines="50" w:line="360" w:lineRule="auto"/>
        <w:ind w:left="0"/>
        <w:jc w:val="both"/>
        <w:rPr>
          <w:sz w:val="21"/>
          <w:szCs w:val="21"/>
        </w:rPr>
      </w:pPr>
    </w:p>
    <w:tbl>
      <w:tblPr>
        <w:tblStyle w:val="12"/>
        <w:tblW w:w="0" w:type="auto"/>
        <w:tblInd w:w="0" w:type="dxa"/>
        <w:tblLayout w:type="autofit"/>
        <w:tblCellMar>
          <w:top w:w="0" w:type="dxa"/>
          <w:left w:w="108" w:type="dxa"/>
          <w:bottom w:w="0" w:type="dxa"/>
          <w:right w:w="108" w:type="dxa"/>
        </w:tblCellMar>
      </w:tblPr>
      <w:tblGrid>
        <w:gridCol w:w="2376"/>
        <w:gridCol w:w="6153"/>
      </w:tblGrid>
      <w:tr w14:paraId="2923F543">
        <w:tblPrEx>
          <w:tblCellMar>
            <w:top w:w="0" w:type="dxa"/>
            <w:left w:w="108" w:type="dxa"/>
            <w:bottom w:w="0" w:type="dxa"/>
            <w:right w:w="108" w:type="dxa"/>
          </w:tblCellMar>
        </w:tblPrEx>
        <w:tc>
          <w:tcPr>
            <w:tcW w:w="2376" w:type="dxa"/>
          </w:tcPr>
          <w:p w14:paraId="0813A13C">
            <w:pPr>
              <w:kinsoku w:val="0"/>
              <w:overflowPunct w:val="0"/>
              <w:snapToGrid w:val="0"/>
              <w:spacing w:afterLines="50" w:line="360" w:lineRule="auto"/>
              <w:jc w:val="both"/>
              <w:rPr>
                <w:sz w:val="18"/>
                <w:szCs w:val="18"/>
              </w:rPr>
            </w:pPr>
            <w:r>
              <w:rPr>
                <w:sz w:val="18"/>
                <w:szCs w:val="18"/>
              </w:rPr>
              <w:drawing>
                <wp:inline distT="0" distB="0" distL="0" distR="0">
                  <wp:extent cx="914400" cy="9486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4400" cy="948690"/>
                          </a:xfrm>
                          <a:prstGeom prst="rect">
                            <a:avLst/>
                          </a:prstGeom>
                          <a:noFill/>
                          <a:ln>
                            <a:noFill/>
                          </a:ln>
                        </pic:spPr>
                      </pic:pic>
                    </a:graphicData>
                  </a:graphic>
                </wp:inline>
              </w:drawing>
            </w:r>
          </w:p>
        </w:tc>
        <w:tc>
          <w:tcPr>
            <w:tcW w:w="6153" w:type="dxa"/>
          </w:tcPr>
          <w:p w14:paraId="3071A930">
            <w:pPr>
              <w:kinsoku w:val="0"/>
              <w:overflowPunct w:val="0"/>
              <w:snapToGrid w:val="0"/>
              <w:spacing w:line="360" w:lineRule="auto"/>
              <w:jc w:val="right"/>
              <w:rPr>
                <w:b/>
                <w:bCs/>
                <w:sz w:val="18"/>
                <w:szCs w:val="18"/>
              </w:rPr>
            </w:pPr>
            <w:r>
              <w:rPr>
                <w:rFonts w:hint="eastAsia" w:hAnsi="宋体"/>
                <w:b/>
                <w:bCs/>
                <w:sz w:val="18"/>
                <w:szCs w:val="18"/>
              </w:rPr>
              <w:t>美国卫生和人类服务部</w:t>
            </w:r>
          </w:p>
          <w:p w14:paraId="2D50084B">
            <w:pPr>
              <w:kinsoku w:val="0"/>
              <w:overflowPunct w:val="0"/>
              <w:snapToGrid w:val="0"/>
              <w:spacing w:line="360" w:lineRule="auto"/>
              <w:jc w:val="right"/>
              <w:rPr>
                <w:b/>
                <w:bCs/>
                <w:sz w:val="18"/>
                <w:szCs w:val="18"/>
              </w:rPr>
            </w:pPr>
            <w:r>
              <w:rPr>
                <w:rFonts w:hint="eastAsia" w:hAnsi="宋体"/>
                <w:b/>
                <w:bCs/>
                <w:sz w:val="18"/>
                <w:szCs w:val="18"/>
              </w:rPr>
              <w:t>美国食品药品管理局</w:t>
            </w:r>
          </w:p>
          <w:p w14:paraId="1C4B2ABD">
            <w:pPr>
              <w:kinsoku w:val="0"/>
              <w:overflowPunct w:val="0"/>
              <w:snapToGrid w:val="0"/>
              <w:spacing w:line="360" w:lineRule="auto"/>
              <w:jc w:val="right"/>
              <w:rPr>
                <w:b/>
                <w:bCs/>
                <w:sz w:val="18"/>
                <w:szCs w:val="18"/>
              </w:rPr>
            </w:pPr>
            <w:r>
              <w:rPr>
                <w:rFonts w:hint="eastAsia" w:hAnsi="宋体"/>
                <w:b/>
                <w:bCs/>
                <w:sz w:val="18"/>
                <w:szCs w:val="18"/>
              </w:rPr>
              <w:t>器械与放射卫生中心</w:t>
            </w:r>
          </w:p>
          <w:p w14:paraId="4900881A">
            <w:pPr>
              <w:kinsoku w:val="0"/>
              <w:overflowPunct w:val="0"/>
              <w:snapToGrid w:val="0"/>
              <w:spacing w:line="360" w:lineRule="auto"/>
              <w:jc w:val="right"/>
              <w:rPr>
                <w:b/>
                <w:bCs/>
                <w:sz w:val="18"/>
                <w:szCs w:val="18"/>
              </w:rPr>
            </w:pPr>
            <w:r>
              <w:rPr>
                <w:rFonts w:hint="eastAsia" w:hAnsi="宋体"/>
                <w:b/>
                <w:bCs/>
                <w:sz w:val="18"/>
                <w:szCs w:val="18"/>
              </w:rPr>
              <w:t>体外诊断和放射健康办公室</w:t>
            </w:r>
          </w:p>
          <w:p w14:paraId="7ECCCB2B">
            <w:pPr>
              <w:kinsoku w:val="0"/>
              <w:overflowPunct w:val="0"/>
              <w:snapToGrid w:val="0"/>
              <w:spacing w:line="360" w:lineRule="auto"/>
              <w:jc w:val="right"/>
              <w:rPr>
                <w:sz w:val="18"/>
                <w:szCs w:val="18"/>
              </w:rPr>
            </w:pPr>
            <w:r>
              <w:rPr>
                <w:rFonts w:hint="eastAsia" w:hAnsi="宋体"/>
                <w:b/>
                <w:bCs/>
                <w:sz w:val="18"/>
                <w:szCs w:val="18"/>
              </w:rPr>
              <w:t>微生物器械部</w:t>
            </w:r>
          </w:p>
        </w:tc>
      </w:tr>
    </w:tbl>
    <w:p w14:paraId="42448BF4">
      <w:pPr>
        <w:widowControl/>
        <w:autoSpaceDE/>
        <w:autoSpaceDN/>
        <w:snapToGrid w:val="0"/>
        <w:spacing w:line="360" w:lineRule="auto"/>
        <w:jc w:val="center"/>
        <w:rPr>
          <w:b/>
          <w:bCs/>
        </w:rPr>
      </w:pPr>
      <w:r>
        <w:rPr>
          <w:sz w:val="21"/>
          <w:szCs w:val="21"/>
        </w:rPr>
        <w:br w:type="page"/>
      </w:r>
      <w:bookmarkStart w:id="3" w:name="_Hlk495406895"/>
      <w:r>
        <w:rPr>
          <w:rFonts w:hint="eastAsia" w:hAnsi="宋体"/>
          <w:b/>
          <w:bCs/>
        </w:rPr>
        <w:t>前言</w:t>
      </w:r>
    </w:p>
    <w:p w14:paraId="55B474E9">
      <w:pPr>
        <w:pStyle w:val="27"/>
        <w:snapToGrid w:val="0"/>
        <w:spacing w:beforeLines="50" w:after="0" w:line="360" w:lineRule="auto"/>
        <w:jc w:val="both"/>
      </w:pPr>
      <w:r>
        <w:rPr>
          <w:rFonts w:hint="eastAsia" w:hAnsi="宋体"/>
          <w:b/>
          <w:bCs/>
        </w:rPr>
        <w:t>公众意见</w:t>
      </w:r>
    </w:p>
    <w:bookmarkEnd w:id="3"/>
    <w:p w14:paraId="6061A8D9">
      <w:pPr>
        <w:pStyle w:val="3"/>
        <w:kinsoku w:val="0"/>
        <w:overflowPunct w:val="0"/>
        <w:snapToGrid w:val="0"/>
        <w:spacing w:beforeLines="50" w:afterLines="50" w:line="360" w:lineRule="auto"/>
        <w:ind w:left="0" w:firstLine="0"/>
        <w:jc w:val="both"/>
        <w:rPr>
          <w:b w:val="0"/>
          <w:sz w:val="21"/>
          <w:szCs w:val="21"/>
        </w:rPr>
      </w:pPr>
      <w:bookmarkStart w:id="4" w:name="_Toc496790157"/>
      <w:r>
        <w:rPr>
          <w:rFonts w:hint="eastAsia" w:hAnsi="宋体"/>
          <w:b w:val="0"/>
          <w:sz w:val="21"/>
          <w:szCs w:val="21"/>
        </w:rPr>
        <w:t>您随时可以在</w:t>
      </w:r>
      <w:r>
        <w:rPr>
          <w:b w:val="0"/>
          <w:sz w:val="21"/>
          <w:szCs w:val="21"/>
          <w:u w:val="single"/>
        </w:rPr>
        <w:t>http://www.regulations.gov</w:t>
      </w:r>
      <w:r>
        <w:rPr>
          <w:rFonts w:hint="eastAsia" w:hAnsi="宋体"/>
          <w:b w:val="0"/>
          <w:sz w:val="21"/>
          <w:szCs w:val="21"/>
        </w:rPr>
        <w:t>提交电子意见和建议，供本机构审议。书面意见请邮寄至美国食品药品管理局待审问题管理处，地址：</w:t>
      </w:r>
      <w:r>
        <w:rPr>
          <w:b w:val="0"/>
          <w:sz w:val="21"/>
          <w:szCs w:val="21"/>
        </w:rPr>
        <w:t>5630 Fishers Lane, Room 1061, (HFA-305), Rockville, MD, 20852</w:t>
      </w:r>
      <w:r>
        <w:rPr>
          <w:rFonts w:hint="eastAsia" w:hAnsi="宋体"/>
          <w:b w:val="0"/>
          <w:sz w:val="21"/>
          <w:szCs w:val="21"/>
        </w:rPr>
        <w:t>。所有意见都请标示文档编号</w:t>
      </w:r>
      <w:r>
        <w:rPr>
          <w:b w:val="0"/>
          <w:sz w:val="21"/>
          <w:szCs w:val="21"/>
        </w:rPr>
        <w:t>FDA-2014-N-0429</w:t>
      </w:r>
      <w:r>
        <w:rPr>
          <w:rFonts w:hint="eastAsia" w:hAnsi="宋体"/>
          <w:b w:val="0"/>
          <w:sz w:val="21"/>
          <w:szCs w:val="21"/>
        </w:rPr>
        <w:t>。</w:t>
      </w:r>
      <w:bookmarkStart w:id="5" w:name="_Hlk495399754"/>
      <w:r>
        <w:rPr>
          <w:rFonts w:hint="eastAsia" w:hAnsi="宋体"/>
          <w:b w:val="0"/>
          <w:sz w:val="21"/>
          <w:szCs w:val="21"/>
        </w:rPr>
        <w:t>在文件被下次修订或者更新之前，意见可能不被监管机构所采用。</w:t>
      </w:r>
      <w:bookmarkEnd w:id="4"/>
      <w:bookmarkEnd w:id="5"/>
    </w:p>
    <w:p w14:paraId="67B16438">
      <w:pPr>
        <w:widowControl/>
        <w:autoSpaceDE/>
        <w:autoSpaceDN/>
        <w:snapToGrid w:val="0"/>
        <w:spacing w:line="360" w:lineRule="auto"/>
        <w:rPr>
          <w:b/>
          <w:bCs/>
        </w:rPr>
      </w:pPr>
      <w:r>
        <w:rPr>
          <w:rFonts w:hint="eastAsia" w:hAnsi="宋体"/>
          <w:b/>
          <w:bCs/>
        </w:rPr>
        <w:t>额外副本</w:t>
      </w:r>
    </w:p>
    <w:p w14:paraId="7CDE6EBD">
      <w:pPr>
        <w:kinsoku w:val="0"/>
        <w:overflowPunct w:val="0"/>
        <w:snapToGrid w:val="0"/>
        <w:spacing w:beforeLines="50" w:afterLines="50" w:line="360" w:lineRule="auto"/>
        <w:jc w:val="both"/>
        <w:rPr>
          <w:sz w:val="21"/>
          <w:szCs w:val="21"/>
        </w:rPr>
      </w:pPr>
      <w:bookmarkStart w:id="6" w:name="_Hlk495399819"/>
      <w:r>
        <w:rPr>
          <w:rFonts w:hint="eastAsia" w:hAnsi="宋体"/>
          <w:sz w:val="21"/>
          <w:szCs w:val="21"/>
        </w:rPr>
        <w:t>额外副本可以通过</w:t>
      </w:r>
      <w:r>
        <w:rPr>
          <w:rFonts w:hint="eastAsia"/>
          <w:sz w:val="21"/>
          <w:szCs w:val="21"/>
        </w:rPr>
        <w:t>互联网</w:t>
      </w:r>
      <w:r>
        <w:rPr>
          <w:rFonts w:hint="eastAsia" w:hAnsi="宋体"/>
          <w:sz w:val="21"/>
          <w:szCs w:val="21"/>
        </w:rPr>
        <w:t>获取。您还可将电子邮件请求发送至</w:t>
      </w:r>
      <w:r>
        <w:fldChar w:fldCharType="begin"/>
      </w:r>
      <w:r>
        <w:instrText xml:space="preserve"> HYPERLINK "mailto:CDRH-Guidance@fda.hhs.gov%20" </w:instrText>
      </w:r>
      <w:r>
        <w:fldChar w:fldCharType="separate"/>
      </w:r>
      <w:r>
        <w:rPr>
          <w:rStyle w:val="15"/>
          <w:color w:val="auto"/>
          <w:sz w:val="21"/>
          <w:szCs w:val="21"/>
        </w:rPr>
        <w:t xml:space="preserve">CDRH-Guidance@fda.hhs.gov </w:t>
      </w:r>
      <w:r>
        <w:rPr>
          <w:rStyle w:val="15"/>
          <w:color w:val="auto"/>
          <w:sz w:val="21"/>
          <w:szCs w:val="21"/>
        </w:rPr>
        <w:fldChar w:fldCharType="end"/>
      </w:r>
      <w:r>
        <w:rPr>
          <w:rFonts w:hint="eastAsia" w:hAnsi="宋体"/>
          <w:bCs/>
          <w:sz w:val="21"/>
          <w:szCs w:val="21"/>
        </w:rPr>
        <w:t>，</w:t>
      </w:r>
      <w:r>
        <w:rPr>
          <w:rFonts w:hint="eastAsia" w:hAnsi="宋体"/>
          <w:sz w:val="21"/>
          <w:szCs w:val="21"/>
        </w:rPr>
        <w:t>以接收文件的副本。请使用文档编号</w:t>
      </w:r>
      <w:r>
        <w:rPr>
          <w:sz w:val="21"/>
          <w:szCs w:val="21"/>
        </w:rPr>
        <w:t>100496</w:t>
      </w:r>
      <w:r>
        <w:rPr>
          <w:rFonts w:hint="eastAsia" w:hAnsi="宋体"/>
          <w:sz w:val="21"/>
          <w:szCs w:val="21"/>
        </w:rPr>
        <w:t>来确定索取的文件。</w:t>
      </w:r>
    </w:p>
    <w:bookmarkEnd w:id="6"/>
    <w:p w14:paraId="783949C1">
      <w:pPr>
        <w:widowControl/>
        <w:autoSpaceDE/>
        <w:autoSpaceDN/>
        <w:snapToGrid w:val="0"/>
        <w:spacing w:line="360" w:lineRule="auto"/>
        <w:rPr>
          <w:sz w:val="21"/>
          <w:szCs w:val="21"/>
        </w:rPr>
      </w:pPr>
      <w:r>
        <w:rPr>
          <w:sz w:val="21"/>
          <w:szCs w:val="21"/>
        </w:rPr>
        <w:br w:type="page"/>
      </w:r>
    </w:p>
    <w:p w14:paraId="78E6F70C">
      <w:pPr>
        <w:widowControl/>
        <w:autoSpaceDE/>
        <w:autoSpaceDN/>
        <w:snapToGrid w:val="0"/>
        <w:spacing w:line="360" w:lineRule="auto"/>
        <w:jc w:val="center"/>
        <w:rPr>
          <w:b/>
          <w:sz w:val="21"/>
          <w:szCs w:val="21"/>
        </w:rPr>
      </w:pPr>
      <w:r>
        <w:rPr>
          <w:rFonts w:hint="eastAsia" w:hAnsi="宋体"/>
          <w:b/>
          <w:sz w:val="21"/>
          <w:szCs w:val="21"/>
        </w:rPr>
        <w:t>目录</w:t>
      </w:r>
    </w:p>
    <w:p w14:paraId="34179068">
      <w:pPr>
        <w:pStyle w:val="10"/>
        <w:tabs>
          <w:tab w:val="right" w:leader="dot" w:pos="8303"/>
        </w:tabs>
        <w:snapToGrid w:val="0"/>
        <w:spacing w:line="360" w:lineRule="auto"/>
        <w:rPr>
          <w:sz w:val="21"/>
          <w:szCs w:val="21"/>
        </w:rPr>
      </w:pPr>
      <w:r>
        <w:rPr>
          <w:sz w:val="21"/>
          <w:szCs w:val="21"/>
        </w:rPr>
        <w:fldChar w:fldCharType="begin"/>
      </w:r>
      <w:r>
        <w:rPr>
          <w:sz w:val="21"/>
          <w:szCs w:val="21"/>
        </w:rPr>
        <w:instrText xml:space="preserve"> TOC \o "1-3" \h \z \u </w:instrText>
      </w:r>
      <w:r>
        <w:rPr>
          <w:sz w:val="21"/>
          <w:szCs w:val="21"/>
        </w:rPr>
        <w:fldChar w:fldCharType="separate"/>
      </w:r>
    </w:p>
    <w:p w14:paraId="79D0C4F8">
      <w:pPr>
        <w:pStyle w:val="10"/>
        <w:tabs>
          <w:tab w:val="left" w:pos="420"/>
          <w:tab w:val="right" w:leader="dot" w:pos="8303"/>
        </w:tabs>
        <w:snapToGrid w:val="0"/>
        <w:spacing w:line="360" w:lineRule="auto"/>
        <w:rPr>
          <w:sz w:val="21"/>
          <w:szCs w:val="21"/>
        </w:rPr>
      </w:pPr>
      <w:r>
        <w:fldChar w:fldCharType="begin"/>
      </w:r>
      <w:r>
        <w:instrText xml:space="preserve"> HYPERLINK \l "_Toc496790159" </w:instrText>
      </w:r>
      <w:r>
        <w:fldChar w:fldCharType="separate"/>
      </w:r>
      <w:r>
        <w:rPr>
          <w:rStyle w:val="15"/>
          <w:bCs/>
          <w:spacing w:val="-1"/>
          <w:w w:val="104"/>
          <w:sz w:val="21"/>
          <w:szCs w:val="21"/>
        </w:rPr>
        <w:t>1.</w:t>
      </w:r>
      <w:r>
        <w:rPr>
          <w:sz w:val="21"/>
          <w:szCs w:val="21"/>
        </w:rPr>
        <w:tab/>
      </w:r>
      <w:r>
        <w:rPr>
          <w:rStyle w:val="15"/>
          <w:rFonts w:hint="eastAsia" w:hAnsi="宋体"/>
          <w:bCs/>
          <w:sz w:val="21"/>
          <w:szCs w:val="21"/>
        </w:rPr>
        <w:t>前言</w:t>
      </w:r>
      <w:r>
        <w:rPr>
          <w:sz w:val="21"/>
          <w:szCs w:val="21"/>
        </w:rPr>
        <w:tab/>
      </w:r>
      <w:r>
        <w:rPr>
          <w:sz w:val="21"/>
          <w:szCs w:val="21"/>
        </w:rPr>
        <w:fldChar w:fldCharType="begin"/>
      </w:r>
      <w:r>
        <w:rPr>
          <w:sz w:val="21"/>
          <w:szCs w:val="21"/>
        </w:rPr>
        <w:instrText xml:space="preserve"> PAGEREF _Toc496790159 \h </w:instrText>
      </w:r>
      <w:r>
        <w:rPr>
          <w:sz w:val="21"/>
          <w:szCs w:val="21"/>
        </w:rPr>
        <w:fldChar w:fldCharType="separate"/>
      </w:r>
      <w:r>
        <w:rPr>
          <w:sz w:val="21"/>
          <w:szCs w:val="21"/>
        </w:rPr>
        <w:t>4</w:t>
      </w:r>
      <w:r>
        <w:rPr>
          <w:sz w:val="21"/>
          <w:szCs w:val="21"/>
        </w:rPr>
        <w:fldChar w:fldCharType="end"/>
      </w:r>
      <w:r>
        <w:rPr>
          <w:sz w:val="21"/>
          <w:szCs w:val="21"/>
        </w:rPr>
        <w:fldChar w:fldCharType="end"/>
      </w:r>
    </w:p>
    <w:p w14:paraId="59AEDC08">
      <w:pPr>
        <w:pStyle w:val="10"/>
        <w:tabs>
          <w:tab w:val="left" w:pos="420"/>
          <w:tab w:val="right" w:leader="dot" w:pos="8303"/>
        </w:tabs>
        <w:snapToGrid w:val="0"/>
        <w:spacing w:line="360" w:lineRule="auto"/>
        <w:rPr>
          <w:sz w:val="21"/>
          <w:szCs w:val="21"/>
        </w:rPr>
      </w:pPr>
      <w:r>
        <w:fldChar w:fldCharType="begin"/>
      </w:r>
      <w:r>
        <w:instrText xml:space="preserve"> HYPERLINK \l "_Toc496790160" </w:instrText>
      </w:r>
      <w:r>
        <w:fldChar w:fldCharType="separate"/>
      </w:r>
      <w:r>
        <w:rPr>
          <w:rStyle w:val="15"/>
          <w:bCs/>
          <w:spacing w:val="-1"/>
          <w:w w:val="104"/>
          <w:sz w:val="21"/>
          <w:szCs w:val="21"/>
        </w:rPr>
        <w:t>2.</w:t>
      </w:r>
      <w:r>
        <w:rPr>
          <w:sz w:val="21"/>
          <w:szCs w:val="21"/>
        </w:rPr>
        <w:tab/>
      </w:r>
      <w:r>
        <w:rPr>
          <w:rStyle w:val="15"/>
          <w:rFonts w:hint="eastAsia" w:hAnsi="宋体"/>
          <w:bCs/>
          <w:sz w:val="21"/>
          <w:szCs w:val="21"/>
        </w:rPr>
        <w:t>登革热病毒背景</w:t>
      </w:r>
      <w:r>
        <w:rPr>
          <w:sz w:val="21"/>
          <w:szCs w:val="21"/>
        </w:rPr>
        <w:tab/>
      </w:r>
      <w:r>
        <w:rPr>
          <w:sz w:val="21"/>
          <w:szCs w:val="21"/>
        </w:rPr>
        <w:fldChar w:fldCharType="begin"/>
      </w:r>
      <w:r>
        <w:rPr>
          <w:sz w:val="21"/>
          <w:szCs w:val="21"/>
        </w:rPr>
        <w:instrText xml:space="preserve"> PAGEREF _Toc496790160 \h </w:instrText>
      </w:r>
      <w:r>
        <w:rPr>
          <w:sz w:val="21"/>
          <w:szCs w:val="21"/>
        </w:rPr>
        <w:fldChar w:fldCharType="separate"/>
      </w:r>
      <w:r>
        <w:rPr>
          <w:sz w:val="21"/>
          <w:szCs w:val="21"/>
        </w:rPr>
        <w:t>4</w:t>
      </w:r>
      <w:r>
        <w:rPr>
          <w:sz w:val="21"/>
          <w:szCs w:val="21"/>
        </w:rPr>
        <w:fldChar w:fldCharType="end"/>
      </w:r>
      <w:r>
        <w:rPr>
          <w:sz w:val="21"/>
          <w:szCs w:val="21"/>
        </w:rPr>
        <w:fldChar w:fldCharType="end"/>
      </w:r>
    </w:p>
    <w:p w14:paraId="1ED098FF">
      <w:pPr>
        <w:pStyle w:val="10"/>
        <w:tabs>
          <w:tab w:val="left" w:pos="420"/>
          <w:tab w:val="right" w:leader="dot" w:pos="8303"/>
        </w:tabs>
        <w:snapToGrid w:val="0"/>
        <w:spacing w:line="360" w:lineRule="auto"/>
        <w:rPr>
          <w:sz w:val="21"/>
          <w:szCs w:val="21"/>
        </w:rPr>
      </w:pPr>
      <w:r>
        <w:fldChar w:fldCharType="begin"/>
      </w:r>
      <w:r>
        <w:instrText xml:space="preserve"> HYPERLINK \l "_Toc496790161" </w:instrText>
      </w:r>
      <w:r>
        <w:fldChar w:fldCharType="separate"/>
      </w:r>
      <w:r>
        <w:rPr>
          <w:rStyle w:val="15"/>
          <w:bCs/>
          <w:spacing w:val="-1"/>
          <w:w w:val="104"/>
          <w:sz w:val="21"/>
          <w:szCs w:val="21"/>
        </w:rPr>
        <w:t>3.</w:t>
      </w:r>
      <w:r>
        <w:rPr>
          <w:sz w:val="21"/>
          <w:szCs w:val="21"/>
        </w:rPr>
        <w:tab/>
      </w:r>
      <w:r>
        <w:rPr>
          <w:rStyle w:val="15"/>
          <w:rFonts w:hint="eastAsia" w:hAnsi="宋体"/>
          <w:bCs/>
          <w:sz w:val="21"/>
          <w:szCs w:val="21"/>
        </w:rPr>
        <w:t>上市前通知</w:t>
      </w:r>
      <w:r>
        <w:rPr>
          <w:rStyle w:val="15"/>
          <w:bCs/>
          <w:sz w:val="21"/>
          <w:szCs w:val="21"/>
        </w:rPr>
        <w:t xml:space="preserve"> - </w:t>
      </w:r>
      <w:r>
        <w:rPr>
          <w:rStyle w:val="15"/>
          <w:rFonts w:hint="eastAsia" w:hAnsi="宋体"/>
          <w:bCs/>
          <w:sz w:val="21"/>
          <w:szCs w:val="21"/>
        </w:rPr>
        <w:t>背景</w:t>
      </w:r>
      <w:r>
        <w:rPr>
          <w:sz w:val="21"/>
          <w:szCs w:val="21"/>
        </w:rPr>
        <w:tab/>
      </w:r>
      <w:r>
        <w:rPr>
          <w:sz w:val="21"/>
          <w:szCs w:val="21"/>
        </w:rPr>
        <w:fldChar w:fldCharType="begin"/>
      </w:r>
      <w:r>
        <w:rPr>
          <w:sz w:val="21"/>
          <w:szCs w:val="21"/>
        </w:rPr>
        <w:instrText xml:space="preserve"> PAGEREF _Toc496790161 \h </w:instrText>
      </w:r>
      <w:r>
        <w:rPr>
          <w:sz w:val="21"/>
          <w:szCs w:val="21"/>
        </w:rPr>
        <w:fldChar w:fldCharType="separate"/>
      </w:r>
      <w:r>
        <w:rPr>
          <w:sz w:val="21"/>
          <w:szCs w:val="21"/>
        </w:rPr>
        <w:t>5</w:t>
      </w:r>
      <w:r>
        <w:rPr>
          <w:sz w:val="21"/>
          <w:szCs w:val="21"/>
        </w:rPr>
        <w:fldChar w:fldCharType="end"/>
      </w:r>
      <w:r>
        <w:rPr>
          <w:sz w:val="21"/>
          <w:szCs w:val="21"/>
        </w:rPr>
        <w:fldChar w:fldCharType="end"/>
      </w:r>
    </w:p>
    <w:p w14:paraId="1FFF983F">
      <w:pPr>
        <w:pStyle w:val="10"/>
        <w:tabs>
          <w:tab w:val="left" w:pos="420"/>
          <w:tab w:val="right" w:leader="dot" w:pos="8303"/>
        </w:tabs>
        <w:snapToGrid w:val="0"/>
        <w:spacing w:line="360" w:lineRule="auto"/>
        <w:rPr>
          <w:sz w:val="21"/>
          <w:szCs w:val="21"/>
        </w:rPr>
      </w:pPr>
      <w:r>
        <w:fldChar w:fldCharType="begin"/>
      </w:r>
      <w:r>
        <w:instrText xml:space="preserve"> HYPERLINK \l "_Toc496790162" </w:instrText>
      </w:r>
      <w:r>
        <w:fldChar w:fldCharType="separate"/>
      </w:r>
      <w:r>
        <w:rPr>
          <w:rStyle w:val="15"/>
          <w:bCs/>
          <w:spacing w:val="-1"/>
          <w:w w:val="104"/>
          <w:sz w:val="21"/>
          <w:szCs w:val="21"/>
        </w:rPr>
        <w:t>4.</w:t>
      </w:r>
      <w:r>
        <w:rPr>
          <w:sz w:val="21"/>
          <w:szCs w:val="21"/>
        </w:rPr>
        <w:tab/>
      </w:r>
      <w:r>
        <w:rPr>
          <w:rStyle w:val="15"/>
          <w:rFonts w:hint="eastAsia" w:hAnsi="宋体"/>
          <w:bCs/>
          <w:sz w:val="21"/>
          <w:szCs w:val="21"/>
        </w:rPr>
        <w:t>适用范围</w:t>
      </w:r>
      <w:r>
        <w:rPr>
          <w:sz w:val="21"/>
          <w:szCs w:val="21"/>
        </w:rPr>
        <w:tab/>
      </w:r>
      <w:r>
        <w:rPr>
          <w:sz w:val="21"/>
          <w:szCs w:val="21"/>
        </w:rPr>
        <w:fldChar w:fldCharType="begin"/>
      </w:r>
      <w:r>
        <w:rPr>
          <w:sz w:val="21"/>
          <w:szCs w:val="21"/>
        </w:rPr>
        <w:instrText xml:space="preserve"> PAGEREF _Toc496790162 \h </w:instrText>
      </w:r>
      <w:r>
        <w:rPr>
          <w:sz w:val="21"/>
          <w:szCs w:val="21"/>
        </w:rPr>
        <w:fldChar w:fldCharType="separate"/>
      </w:r>
      <w:r>
        <w:rPr>
          <w:sz w:val="21"/>
          <w:szCs w:val="21"/>
        </w:rPr>
        <w:t>5</w:t>
      </w:r>
      <w:r>
        <w:rPr>
          <w:sz w:val="21"/>
          <w:szCs w:val="21"/>
        </w:rPr>
        <w:fldChar w:fldCharType="end"/>
      </w:r>
      <w:r>
        <w:rPr>
          <w:sz w:val="21"/>
          <w:szCs w:val="21"/>
        </w:rPr>
        <w:fldChar w:fldCharType="end"/>
      </w:r>
    </w:p>
    <w:p w14:paraId="79B06059">
      <w:pPr>
        <w:pStyle w:val="10"/>
        <w:tabs>
          <w:tab w:val="left" w:pos="420"/>
          <w:tab w:val="right" w:leader="dot" w:pos="8303"/>
        </w:tabs>
        <w:snapToGrid w:val="0"/>
        <w:spacing w:line="360" w:lineRule="auto"/>
        <w:rPr>
          <w:sz w:val="21"/>
          <w:szCs w:val="21"/>
        </w:rPr>
      </w:pPr>
      <w:r>
        <w:fldChar w:fldCharType="begin"/>
      </w:r>
      <w:r>
        <w:instrText xml:space="preserve"> HYPERLINK \l "_Toc496790163" </w:instrText>
      </w:r>
      <w:r>
        <w:fldChar w:fldCharType="separate"/>
      </w:r>
      <w:r>
        <w:rPr>
          <w:rStyle w:val="15"/>
          <w:bCs/>
          <w:spacing w:val="-1"/>
          <w:w w:val="104"/>
          <w:sz w:val="21"/>
          <w:szCs w:val="21"/>
        </w:rPr>
        <w:t>5.</w:t>
      </w:r>
      <w:r>
        <w:rPr>
          <w:sz w:val="21"/>
          <w:szCs w:val="21"/>
        </w:rPr>
        <w:tab/>
      </w:r>
      <w:r>
        <w:rPr>
          <w:rStyle w:val="15"/>
          <w:rFonts w:hint="eastAsia" w:hAnsi="宋体"/>
          <w:bCs/>
          <w:sz w:val="21"/>
          <w:szCs w:val="21"/>
        </w:rPr>
        <w:t>健康风险</w:t>
      </w:r>
      <w:r>
        <w:rPr>
          <w:sz w:val="21"/>
          <w:szCs w:val="21"/>
        </w:rPr>
        <w:tab/>
      </w:r>
      <w:r>
        <w:rPr>
          <w:sz w:val="21"/>
          <w:szCs w:val="21"/>
        </w:rPr>
        <w:fldChar w:fldCharType="begin"/>
      </w:r>
      <w:r>
        <w:rPr>
          <w:sz w:val="21"/>
          <w:szCs w:val="21"/>
        </w:rPr>
        <w:instrText xml:space="preserve"> PAGEREF _Toc496790163 \h </w:instrText>
      </w:r>
      <w:r>
        <w:rPr>
          <w:sz w:val="21"/>
          <w:szCs w:val="21"/>
        </w:rPr>
        <w:fldChar w:fldCharType="separate"/>
      </w:r>
      <w:r>
        <w:rPr>
          <w:sz w:val="21"/>
          <w:szCs w:val="21"/>
        </w:rPr>
        <w:t>6</w:t>
      </w:r>
      <w:r>
        <w:rPr>
          <w:sz w:val="21"/>
          <w:szCs w:val="21"/>
        </w:rPr>
        <w:fldChar w:fldCharType="end"/>
      </w:r>
      <w:r>
        <w:rPr>
          <w:sz w:val="21"/>
          <w:szCs w:val="21"/>
        </w:rPr>
        <w:fldChar w:fldCharType="end"/>
      </w:r>
    </w:p>
    <w:p w14:paraId="25D21DAC">
      <w:pPr>
        <w:pStyle w:val="10"/>
        <w:tabs>
          <w:tab w:val="left" w:pos="420"/>
          <w:tab w:val="right" w:leader="dot" w:pos="8303"/>
        </w:tabs>
        <w:snapToGrid w:val="0"/>
        <w:spacing w:line="360" w:lineRule="auto"/>
        <w:rPr>
          <w:sz w:val="21"/>
          <w:szCs w:val="21"/>
        </w:rPr>
      </w:pPr>
      <w:r>
        <w:fldChar w:fldCharType="begin"/>
      </w:r>
      <w:r>
        <w:instrText xml:space="preserve"> HYPERLINK \l "_Toc496790164" </w:instrText>
      </w:r>
      <w:r>
        <w:fldChar w:fldCharType="separate"/>
      </w:r>
      <w:r>
        <w:rPr>
          <w:rStyle w:val="15"/>
          <w:bCs/>
          <w:spacing w:val="-1"/>
          <w:w w:val="104"/>
          <w:sz w:val="21"/>
          <w:szCs w:val="21"/>
        </w:rPr>
        <w:t>6.</w:t>
      </w:r>
      <w:r>
        <w:rPr>
          <w:sz w:val="21"/>
          <w:szCs w:val="21"/>
        </w:rPr>
        <w:tab/>
      </w:r>
      <w:r>
        <w:rPr>
          <w:rStyle w:val="15"/>
          <w:rFonts w:hint="eastAsia" w:hAnsi="宋体"/>
          <w:bCs/>
          <w:sz w:val="21"/>
          <w:szCs w:val="21"/>
        </w:rPr>
        <w:t>器械描述（包含特殊控制指南中指定的信息）</w:t>
      </w:r>
      <w:r>
        <w:rPr>
          <w:sz w:val="21"/>
          <w:szCs w:val="21"/>
        </w:rPr>
        <w:tab/>
      </w:r>
      <w:r>
        <w:rPr>
          <w:sz w:val="21"/>
          <w:szCs w:val="21"/>
        </w:rPr>
        <w:fldChar w:fldCharType="begin"/>
      </w:r>
      <w:r>
        <w:rPr>
          <w:sz w:val="21"/>
          <w:szCs w:val="21"/>
        </w:rPr>
        <w:instrText xml:space="preserve"> PAGEREF _Toc496790164 \h </w:instrText>
      </w:r>
      <w:r>
        <w:rPr>
          <w:sz w:val="21"/>
          <w:szCs w:val="21"/>
        </w:rPr>
        <w:fldChar w:fldCharType="separate"/>
      </w:r>
      <w:r>
        <w:rPr>
          <w:sz w:val="21"/>
          <w:szCs w:val="21"/>
        </w:rPr>
        <w:t>7</w:t>
      </w:r>
      <w:r>
        <w:rPr>
          <w:sz w:val="21"/>
          <w:szCs w:val="21"/>
        </w:rPr>
        <w:fldChar w:fldCharType="end"/>
      </w:r>
      <w:r>
        <w:rPr>
          <w:sz w:val="21"/>
          <w:szCs w:val="21"/>
        </w:rPr>
        <w:fldChar w:fldCharType="end"/>
      </w:r>
    </w:p>
    <w:p w14:paraId="2F88B668">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"_Toc496790165" </w:instrText>
      </w:r>
      <w:r>
        <w:fldChar w:fldCharType="separate"/>
      </w:r>
      <w:r>
        <w:rPr>
          <w:rStyle w:val="15"/>
          <w:w w:val="103"/>
          <w:sz w:val="21"/>
          <w:szCs w:val="21"/>
        </w:rPr>
        <w:t>a.</w:t>
      </w:r>
      <w:r>
        <w:rPr>
          <w:sz w:val="21"/>
          <w:szCs w:val="21"/>
        </w:rPr>
        <w:tab/>
      </w:r>
      <w:r>
        <w:rPr>
          <w:rStyle w:val="15"/>
          <w:rFonts w:hint="eastAsia" w:hAnsi="宋体"/>
          <w:sz w:val="21"/>
          <w:szCs w:val="21"/>
        </w:rPr>
        <w:t>预期使用</w:t>
      </w:r>
      <w:r>
        <w:rPr>
          <w:sz w:val="21"/>
          <w:szCs w:val="21"/>
        </w:rPr>
        <w:tab/>
      </w:r>
      <w:r>
        <w:rPr>
          <w:sz w:val="21"/>
          <w:szCs w:val="21"/>
        </w:rPr>
        <w:fldChar w:fldCharType="begin"/>
      </w:r>
      <w:r>
        <w:rPr>
          <w:sz w:val="21"/>
          <w:szCs w:val="21"/>
        </w:rPr>
        <w:instrText xml:space="preserve"> PAGEREF _Toc496790165 \h </w:instrText>
      </w:r>
      <w:r>
        <w:rPr>
          <w:sz w:val="21"/>
          <w:szCs w:val="21"/>
        </w:rPr>
        <w:fldChar w:fldCharType="separate"/>
      </w:r>
      <w:r>
        <w:rPr>
          <w:sz w:val="21"/>
          <w:szCs w:val="21"/>
        </w:rPr>
        <w:t>7</w:t>
      </w:r>
      <w:r>
        <w:rPr>
          <w:sz w:val="21"/>
          <w:szCs w:val="21"/>
        </w:rPr>
        <w:fldChar w:fldCharType="end"/>
      </w:r>
      <w:r>
        <w:rPr>
          <w:sz w:val="21"/>
          <w:szCs w:val="21"/>
        </w:rPr>
        <w:fldChar w:fldCharType="end"/>
      </w:r>
    </w:p>
    <w:p w14:paraId="74B98339">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"_Toc496790166" </w:instrText>
      </w:r>
      <w:r>
        <w:fldChar w:fldCharType="separate"/>
      </w:r>
      <w:r>
        <w:rPr>
          <w:rStyle w:val="15"/>
          <w:w w:val="103"/>
          <w:sz w:val="21"/>
          <w:szCs w:val="21"/>
        </w:rPr>
        <w:t>b.</w:t>
      </w:r>
      <w:r>
        <w:rPr>
          <w:sz w:val="21"/>
          <w:szCs w:val="21"/>
        </w:rPr>
        <w:tab/>
      </w:r>
      <w:r>
        <w:rPr>
          <w:rStyle w:val="15"/>
          <w:rFonts w:hint="eastAsia" w:hAnsi="宋体"/>
          <w:sz w:val="21"/>
          <w:szCs w:val="21"/>
        </w:rPr>
        <w:t>测试方法</w:t>
      </w:r>
      <w:r>
        <w:rPr>
          <w:sz w:val="21"/>
          <w:szCs w:val="21"/>
        </w:rPr>
        <w:tab/>
      </w:r>
      <w:r>
        <w:rPr>
          <w:sz w:val="21"/>
          <w:szCs w:val="21"/>
        </w:rPr>
        <w:fldChar w:fldCharType="begin"/>
      </w:r>
      <w:r>
        <w:rPr>
          <w:sz w:val="21"/>
          <w:szCs w:val="21"/>
        </w:rPr>
        <w:instrText xml:space="preserve"> PAGEREF _Toc496790166 \h </w:instrText>
      </w:r>
      <w:r>
        <w:rPr>
          <w:sz w:val="21"/>
          <w:szCs w:val="21"/>
        </w:rPr>
        <w:fldChar w:fldCharType="separate"/>
      </w:r>
      <w:r>
        <w:rPr>
          <w:sz w:val="21"/>
          <w:szCs w:val="21"/>
        </w:rPr>
        <w:t>8</w:t>
      </w:r>
      <w:r>
        <w:rPr>
          <w:sz w:val="21"/>
          <w:szCs w:val="21"/>
        </w:rPr>
        <w:fldChar w:fldCharType="end"/>
      </w:r>
      <w:r>
        <w:rPr>
          <w:sz w:val="21"/>
          <w:szCs w:val="21"/>
        </w:rPr>
        <w:fldChar w:fldCharType="end"/>
      </w:r>
    </w:p>
    <w:p w14:paraId="3C60193E">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"_Toc496790167" </w:instrText>
      </w:r>
      <w:r>
        <w:fldChar w:fldCharType="separate"/>
      </w:r>
      <w:r>
        <w:rPr>
          <w:rStyle w:val="15"/>
          <w:w w:val="103"/>
          <w:sz w:val="21"/>
          <w:szCs w:val="21"/>
        </w:rPr>
        <w:t>c.</w:t>
      </w:r>
      <w:r>
        <w:rPr>
          <w:sz w:val="21"/>
          <w:szCs w:val="21"/>
        </w:rPr>
        <w:tab/>
      </w:r>
      <w:r>
        <w:rPr>
          <w:rStyle w:val="15"/>
          <w:rFonts w:hint="eastAsia" w:hAnsi="宋体"/>
          <w:sz w:val="21"/>
          <w:szCs w:val="21"/>
        </w:rPr>
        <w:t>辅助试剂</w:t>
      </w:r>
      <w:r>
        <w:rPr>
          <w:sz w:val="21"/>
          <w:szCs w:val="21"/>
        </w:rPr>
        <w:tab/>
      </w:r>
      <w:r>
        <w:rPr>
          <w:sz w:val="21"/>
          <w:szCs w:val="21"/>
        </w:rPr>
        <w:fldChar w:fldCharType="begin"/>
      </w:r>
      <w:r>
        <w:rPr>
          <w:sz w:val="21"/>
          <w:szCs w:val="21"/>
        </w:rPr>
        <w:instrText xml:space="preserve"> PAGEREF _Toc496790167 \h </w:instrText>
      </w:r>
      <w:r>
        <w:rPr>
          <w:sz w:val="21"/>
          <w:szCs w:val="21"/>
        </w:rPr>
        <w:fldChar w:fldCharType="separate"/>
      </w:r>
      <w:r>
        <w:rPr>
          <w:sz w:val="21"/>
          <w:szCs w:val="21"/>
        </w:rPr>
        <w:t>9</w:t>
      </w:r>
      <w:r>
        <w:rPr>
          <w:sz w:val="21"/>
          <w:szCs w:val="21"/>
        </w:rPr>
        <w:fldChar w:fldCharType="end"/>
      </w:r>
      <w:r>
        <w:rPr>
          <w:sz w:val="21"/>
          <w:szCs w:val="21"/>
        </w:rPr>
        <w:fldChar w:fldCharType="end"/>
      </w:r>
    </w:p>
    <w:p w14:paraId="47D9F24D">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"_Toc496790168" </w:instrText>
      </w:r>
      <w:r>
        <w:fldChar w:fldCharType="separate"/>
      </w:r>
      <w:r>
        <w:rPr>
          <w:rStyle w:val="15"/>
          <w:w w:val="103"/>
          <w:sz w:val="21"/>
          <w:szCs w:val="21"/>
        </w:rPr>
        <w:t>d.</w:t>
      </w:r>
      <w:r>
        <w:rPr>
          <w:sz w:val="21"/>
          <w:szCs w:val="21"/>
        </w:rPr>
        <w:tab/>
      </w:r>
      <w:r>
        <w:rPr>
          <w:rStyle w:val="15"/>
          <w:rFonts w:hint="eastAsia" w:hAnsi="宋体"/>
          <w:sz w:val="21"/>
          <w:szCs w:val="21"/>
        </w:rPr>
        <w:t>测试方法</w:t>
      </w:r>
      <w:r>
        <w:rPr>
          <w:sz w:val="21"/>
          <w:szCs w:val="21"/>
        </w:rPr>
        <w:tab/>
      </w:r>
      <w:r>
        <w:rPr>
          <w:sz w:val="21"/>
          <w:szCs w:val="21"/>
        </w:rPr>
        <w:fldChar w:fldCharType="begin"/>
      </w:r>
      <w:r>
        <w:rPr>
          <w:sz w:val="21"/>
          <w:szCs w:val="21"/>
        </w:rPr>
        <w:instrText xml:space="preserve"> PAGEREF _Toc496790168 \h </w:instrText>
      </w:r>
      <w:r>
        <w:rPr>
          <w:sz w:val="21"/>
          <w:szCs w:val="21"/>
        </w:rPr>
        <w:fldChar w:fldCharType="separate"/>
      </w:r>
      <w:r>
        <w:rPr>
          <w:sz w:val="21"/>
          <w:szCs w:val="21"/>
        </w:rPr>
        <w:t>10</w:t>
      </w:r>
      <w:r>
        <w:rPr>
          <w:sz w:val="21"/>
          <w:szCs w:val="21"/>
        </w:rPr>
        <w:fldChar w:fldCharType="end"/>
      </w:r>
      <w:r>
        <w:rPr>
          <w:sz w:val="21"/>
          <w:szCs w:val="21"/>
        </w:rPr>
        <w:fldChar w:fldCharType="end"/>
      </w:r>
    </w:p>
    <w:p w14:paraId="5FDF4601">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"_Toc496790169" </w:instrText>
      </w:r>
      <w:r>
        <w:fldChar w:fldCharType="separate"/>
      </w:r>
      <w:r>
        <w:rPr>
          <w:rStyle w:val="15"/>
          <w:w w:val="103"/>
          <w:sz w:val="21"/>
          <w:szCs w:val="21"/>
        </w:rPr>
        <w:t>e.</w:t>
      </w:r>
      <w:r>
        <w:rPr>
          <w:sz w:val="21"/>
          <w:szCs w:val="21"/>
        </w:rPr>
        <w:tab/>
      </w:r>
      <w:r>
        <w:rPr>
          <w:rStyle w:val="15"/>
          <w:rFonts w:hint="eastAsia" w:hAnsi="宋体"/>
          <w:sz w:val="21"/>
          <w:szCs w:val="21"/>
        </w:rPr>
        <w:t>样本储存和运输条件</w:t>
      </w:r>
      <w:r>
        <w:rPr>
          <w:sz w:val="21"/>
          <w:szCs w:val="21"/>
        </w:rPr>
        <w:tab/>
      </w:r>
      <w:r>
        <w:rPr>
          <w:sz w:val="21"/>
          <w:szCs w:val="21"/>
        </w:rPr>
        <w:fldChar w:fldCharType="begin"/>
      </w:r>
      <w:r>
        <w:rPr>
          <w:sz w:val="21"/>
          <w:szCs w:val="21"/>
        </w:rPr>
        <w:instrText xml:space="preserve"> PAGEREF _Toc496790169 \h </w:instrText>
      </w:r>
      <w:r>
        <w:rPr>
          <w:sz w:val="21"/>
          <w:szCs w:val="21"/>
        </w:rPr>
        <w:fldChar w:fldCharType="separate"/>
      </w:r>
      <w:r>
        <w:rPr>
          <w:sz w:val="21"/>
          <w:szCs w:val="21"/>
        </w:rPr>
        <w:t>11</w:t>
      </w:r>
      <w:r>
        <w:rPr>
          <w:sz w:val="21"/>
          <w:szCs w:val="21"/>
        </w:rPr>
        <w:fldChar w:fldCharType="end"/>
      </w:r>
      <w:r>
        <w:rPr>
          <w:sz w:val="21"/>
          <w:szCs w:val="21"/>
        </w:rPr>
        <w:fldChar w:fldCharType="end"/>
      </w:r>
    </w:p>
    <w:p w14:paraId="4AE37191">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"_Toc496790170" </w:instrText>
      </w:r>
      <w:r>
        <w:fldChar w:fldCharType="separate"/>
      </w:r>
      <w:r>
        <w:rPr>
          <w:rStyle w:val="15"/>
          <w:w w:val="103"/>
          <w:sz w:val="21"/>
          <w:szCs w:val="21"/>
        </w:rPr>
        <w:t>f.</w:t>
      </w:r>
      <w:r>
        <w:rPr>
          <w:sz w:val="21"/>
          <w:szCs w:val="21"/>
        </w:rPr>
        <w:tab/>
      </w:r>
      <w:r>
        <w:rPr>
          <w:rStyle w:val="15"/>
          <w:rFonts w:hint="eastAsia" w:hAnsi="宋体"/>
          <w:sz w:val="21"/>
          <w:szCs w:val="21"/>
        </w:rPr>
        <w:t>测试结果的解释</w:t>
      </w:r>
      <w:r>
        <w:rPr>
          <w:rStyle w:val="15"/>
          <w:sz w:val="21"/>
          <w:szCs w:val="21"/>
        </w:rPr>
        <w:t>/</w:t>
      </w:r>
      <w:r>
        <w:rPr>
          <w:rStyle w:val="15"/>
          <w:rFonts w:hint="eastAsia" w:hAnsi="宋体"/>
          <w:sz w:val="21"/>
          <w:szCs w:val="21"/>
        </w:rPr>
        <w:t>报告</w:t>
      </w:r>
      <w:r>
        <w:rPr>
          <w:sz w:val="21"/>
          <w:szCs w:val="21"/>
        </w:rPr>
        <w:tab/>
      </w:r>
      <w:r>
        <w:rPr>
          <w:sz w:val="21"/>
          <w:szCs w:val="21"/>
        </w:rPr>
        <w:fldChar w:fldCharType="begin"/>
      </w:r>
      <w:r>
        <w:rPr>
          <w:sz w:val="21"/>
          <w:szCs w:val="21"/>
        </w:rPr>
        <w:instrText xml:space="preserve"> PAGEREF _Toc496790170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06EE81B">
      <w:pPr>
        <w:pStyle w:val="10"/>
        <w:tabs>
          <w:tab w:val="left" w:pos="420"/>
          <w:tab w:val="right" w:leader="dot" w:pos="8303"/>
        </w:tabs>
        <w:snapToGrid w:val="0"/>
        <w:spacing w:line="360" w:lineRule="auto"/>
        <w:rPr>
          <w:sz w:val="21"/>
          <w:szCs w:val="21"/>
        </w:rPr>
      </w:pPr>
      <w:r>
        <w:fldChar w:fldCharType="begin"/>
      </w:r>
      <w:r>
        <w:instrText xml:space="preserve"> HYPERLINK \l "_Toc496790171" </w:instrText>
      </w:r>
      <w:r>
        <w:fldChar w:fldCharType="separate"/>
      </w:r>
      <w:r>
        <w:rPr>
          <w:rStyle w:val="15"/>
          <w:spacing w:val="-1"/>
          <w:w w:val="104"/>
          <w:sz w:val="21"/>
          <w:szCs w:val="21"/>
        </w:rPr>
        <w:t>7.</w:t>
      </w:r>
      <w:r>
        <w:rPr>
          <w:sz w:val="21"/>
          <w:szCs w:val="21"/>
        </w:rPr>
        <w:tab/>
      </w:r>
      <w:r>
        <w:rPr>
          <w:rStyle w:val="15"/>
          <w:rFonts w:hint="eastAsia" w:hAnsi="宋体"/>
          <w:bCs/>
          <w:sz w:val="21"/>
          <w:szCs w:val="21"/>
        </w:rPr>
        <w:t>性能特征</w:t>
      </w:r>
      <w:r>
        <w:rPr>
          <w:sz w:val="21"/>
          <w:szCs w:val="21"/>
        </w:rPr>
        <w:tab/>
      </w:r>
      <w:r>
        <w:rPr>
          <w:sz w:val="21"/>
          <w:szCs w:val="21"/>
        </w:rPr>
        <w:fldChar w:fldCharType="begin"/>
      </w:r>
      <w:r>
        <w:rPr>
          <w:sz w:val="21"/>
          <w:szCs w:val="21"/>
        </w:rPr>
        <w:instrText xml:space="preserve"> PAGEREF _Toc496790171 \h </w:instrText>
      </w:r>
      <w:r>
        <w:rPr>
          <w:sz w:val="21"/>
          <w:szCs w:val="21"/>
        </w:rPr>
        <w:fldChar w:fldCharType="separate"/>
      </w:r>
      <w:r>
        <w:rPr>
          <w:sz w:val="21"/>
          <w:szCs w:val="21"/>
        </w:rPr>
        <w:t>12</w:t>
      </w:r>
      <w:r>
        <w:rPr>
          <w:sz w:val="21"/>
          <w:szCs w:val="21"/>
        </w:rPr>
        <w:fldChar w:fldCharType="end"/>
      </w:r>
      <w:r>
        <w:rPr>
          <w:sz w:val="21"/>
          <w:szCs w:val="21"/>
        </w:rPr>
        <w:fldChar w:fldCharType="end"/>
      </w:r>
    </w:p>
    <w:p w14:paraId="6E795764">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"_Toc496790172" </w:instrText>
      </w:r>
      <w:r>
        <w:fldChar w:fldCharType="separate"/>
      </w:r>
      <w:r>
        <w:rPr>
          <w:rStyle w:val="15"/>
          <w:bCs/>
          <w:spacing w:val="-3"/>
          <w:w w:val="103"/>
          <w:sz w:val="21"/>
          <w:szCs w:val="21"/>
        </w:rPr>
        <w:t>a.</w:t>
      </w:r>
      <w:r>
        <w:rPr>
          <w:sz w:val="21"/>
          <w:szCs w:val="21"/>
        </w:rPr>
        <w:tab/>
      </w:r>
      <w:r>
        <w:rPr>
          <w:rStyle w:val="15"/>
          <w:rFonts w:hint="eastAsia" w:hAnsi="宋体"/>
          <w:bCs/>
          <w:sz w:val="21"/>
          <w:szCs w:val="21"/>
        </w:rPr>
        <w:t>一般研究建议</w:t>
      </w:r>
      <w:r>
        <w:rPr>
          <w:sz w:val="21"/>
          <w:szCs w:val="21"/>
        </w:rPr>
        <w:tab/>
      </w:r>
      <w:r>
        <w:rPr>
          <w:sz w:val="21"/>
          <w:szCs w:val="21"/>
        </w:rPr>
        <w:fldChar w:fldCharType="begin"/>
      </w:r>
      <w:r>
        <w:rPr>
          <w:sz w:val="21"/>
          <w:szCs w:val="21"/>
        </w:rPr>
        <w:instrText xml:space="preserve"> PAGEREF _Toc496790172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157BB66">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"_Toc496790173" </w:instrText>
      </w:r>
      <w:r>
        <w:fldChar w:fldCharType="separate"/>
      </w:r>
      <w:r>
        <w:rPr>
          <w:rStyle w:val="15"/>
          <w:bCs/>
          <w:spacing w:val="-3"/>
          <w:w w:val="103"/>
          <w:sz w:val="21"/>
          <w:szCs w:val="21"/>
        </w:rPr>
        <w:t>b.</w:t>
      </w:r>
      <w:r>
        <w:rPr>
          <w:sz w:val="21"/>
          <w:szCs w:val="21"/>
        </w:rPr>
        <w:tab/>
      </w:r>
      <w:r>
        <w:rPr>
          <w:rStyle w:val="15"/>
          <w:rFonts w:hint="eastAsia" w:hAnsi="宋体"/>
          <w:bCs/>
          <w:sz w:val="21"/>
          <w:szCs w:val="21"/>
        </w:rPr>
        <w:t>分析研究</w:t>
      </w:r>
      <w:r>
        <w:rPr>
          <w:sz w:val="21"/>
          <w:szCs w:val="21"/>
        </w:rPr>
        <w:tab/>
      </w:r>
      <w:r>
        <w:rPr>
          <w:sz w:val="21"/>
          <w:szCs w:val="21"/>
        </w:rPr>
        <w:fldChar w:fldCharType="begin"/>
      </w:r>
      <w:r>
        <w:rPr>
          <w:sz w:val="21"/>
          <w:szCs w:val="21"/>
        </w:rPr>
        <w:instrText xml:space="preserve"> PAGEREF _Toc496790173 \h </w:instrText>
      </w:r>
      <w:r>
        <w:rPr>
          <w:sz w:val="21"/>
          <w:szCs w:val="21"/>
        </w:rPr>
        <w:fldChar w:fldCharType="separate"/>
      </w:r>
      <w:r>
        <w:rPr>
          <w:sz w:val="21"/>
          <w:szCs w:val="21"/>
        </w:rPr>
        <w:t>12</w:t>
      </w:r>
      <w:r>
        <w:rPr>
          <w:sz w:val="21"/>
          <w:szCs w:val="21"/>
        </w:rPr>
        <w:fldChar w:fldCharType="end"/>
      </w:r>
      <w:r>
        <w:rPr>
          <w:sz w:val="21"/>
          <w:szCs w:val="21"/>
        </w:rPr>
        <w:fldChar w:fldCharType="end"/>
      </w:r>
    </w:p>
    <w:p w14:paraId="107FA477">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"_Toc496790177" </w:instrText>
      </w:r>
      <w:r>
        <w:fldChar w:fldCharType="separate"/>
      </w:r>
      <w:r>
        <w:rPr>
          <w:rStyle w:val="15"/>
          <w:spacing w:val="-3"/>
          <w:w w:val="103"/>
          <w:sz w:val="21"/>
          <w:szCs w:val="21"/>
        </w:rPr>
        <w:t>c.</w:t>
      </w:r>
      <w:r>
        <w:rPr>
          <w:sz w:val="21"/>
          <w:szCs w:val="21"/>
        </w:rPr>
        <w:tab/>
      </w:r>
      <w:r>
        <w:rPr>
          <w:rStyle w:val="15"/>
          <w:rFonts w:hint="eastAsia" w:hAnsi="宋体"/>
          <w:sz w:val="21"/>
          <w:szCs w:val="21"/>
        </w:rPr>
        <w:t>对照品</w:t>
      </w:r>
      <w:r>
        <w:rPr>
          <w:sz w:val="21"/>
          <w:szCs w:val="21"/>
        </w:rPr>
        <w:tab/>
      </w:r>
      <w:r>
        <w:rPr>
          <w:sz w:val="21"/>
          <w:szCs w:val="21"/>
        </w:rPr>
        <w:fldChar w:fldCharType="begin"/>
      </w:r>
      <w:r>
        <w:rPr>
          <w:sz w:val="21"/>
          <w:szCs w:val="21"/>
        </w:rPr>
        <w:instrText xml:space="preserve"> PAGEREF _Toc496790177 \h </w:instrText>
      </w:r>
      <w:r>
        <w:rPr>
          <w:sz w:val="21"/>
          <w:szCs w:val="21"/>
        </w:rPr>
        <w:fldChar w:fldCharType="separate"/>
      </w:r>
      <w:r>
        <w:rPr>
          <w:sz w:val="21"/>
          <w:szCs w:val="21"/>
        </w:rPr>
        <w:t>16</w:t>
      </w:r>
      <w:r>
        <w:rPr>
          <w:sz w:val="21"/>
          <w:szCs w:val="21"/>
        </w:rPr>
        <w:fldChar w:fldCharType="end"/>
      </w:r>
      <w:r>
        <w:rPr>
          <w:sz w:val="21"/>
          <w:szCs w:val="21"/>
        </w:rPr>
        <w:fldChar w:fldCharType="end"/>
      </w:r>
    </w:p>
    <w:p w14:paraId="7EC68A96">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"_Toc496790181" </w:instrText>
      </w:r>
      <w:r>
        <w:fldChar w:fldCharType="separate"/>
      </w:r>
      <w:r>
        <w:rPr>
          <w:rStyle w:val="15"/>
          <w:spacing w:val="-3"/>
          <w:w w:val="103"/>
          <w:sz w:val="21"/>
          <w:szCs w:val="21"/>
        </w:rPr>
        <w:t>d.</w:t>
      </w:r>
      <w:r>
        <w:rPr>
          <w:sz w:val="21"/>
          <w:szCs w:val="21"/>
        </w:rPr>
        <w:tab/>
      </w:r>
      <w:r>
        <w:rPr>
          <w:rStyle w:val="15"/>
          <w:rFonts w:hint="eastAsia" w:hAnsi="宋体"/>
          <w:sz w:val="21"/>
          <w:szCs w:val="21"/>
        </w:rPr>
        <w:t>样本收集和处理</w:t>
      </w:r>
      <w:r>
        <w:rPr>
          <w:sz w:val="21"/>
          <w:szCs w:val="21"/>
        </w:rPr>
        <w:tab/>
      </w:r>
      <w:r>
        <w:rPr>
          <w:sz w:val="21"/>
          <w:szCs w:val="21"/>
        </w:rPr>
        <w:fldChar w:fldCharType="begin"/>
      </w:r>
      <w:r>
        <w:rPr>
          <w:sz w:val="21"/>
          <w:szCs w:val="21"/>
        </w:rPr>
        <w:instrText xml:space="preserve"> PAGEREF _Toc496790181 \h </w:instrText>
      </w:r>
      <w:r>
        <w:rPr>
          <w:sz w:val="21"/>
          <w:szCs w:val="21"/>
        </w:rPr>
        <w:fldChar w:fldCharType="separate"/>
      </w:r>
      <w:r>
        <w:rPr>
          <w:sz w:val="21"/>
          <w:szCs w:val="21"/>
        </w:rPr>
        <w:t>17</w:t>
      </w:r>
      <w:r>
        <w:rPr>
          <w:sz w:val="21"/>
          <w:szCs w:val="21"/>
        </w:rPr>
        <w:fldChar w:fldCharType="end"/>
      </w:r>
      <w:r>
        <w:rPr>
          <w:sz w:val="21"/>
          <w:szCs w:val="21"/>
        </w:rPr>
        <w:fldChar w:fldCharType="end"/>
      </w:r>
    </w:p>
    <w:p w14:paraId="7F080BDB">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"_Toc496790182" </w:instrText>
      </w:r>
      <w:r>
        <w:fldChar w:fldCharType="separate"/>
      </w:r>
      <w:r>
        <w:rPr>
          <w:rStyle w:val="15"/>
          <w:spacing w:val="-3"/>
          <w:w w:val="103"/>
          <w:sz w:val="21"/>
          <w:szCs w:val="21"/>
        </w:rPr>
        <w:t>e.</w:t>
      </w:r>
      <w:r>
        <w:rPr>
          <w:sz w:val="21"/>
          <w:szCs w:val="21"/>
        </w:rPr>
        <w:tab/>
      </w:r>
      <w:r>
        <w:rPr>
          <w:rStyle w:val="15"/>
          <w:rFonts w:hint="eastAsia" w:hAnsi="宋体"/>
          <w:sz w:val="21"/>
          <w:szCs w:val="21"/>
        </w:rPr>
        <w:t>测定临界值</w:t>
      </w:r>
      <w:r>
        <w:rPr>
          <w:sz w:val="21"/>
          <w:szCs w:val="21"/>
        </w:rPr>
        <w:tab/>
      </w:r>
      <w:r>
        <w:rPr>
          <w:sz w:val="21"/>
          <w:szCs w:val="21"/>
        </w:rPr>
        <w:fldChar w:fldCharType="begin"/>
      </w:r>
      <w:r>
        <w:rPr>
          <w:sz w:val="21"/>
          <w:szCs w:val="21"/>
        </w:rPr>
        <w:instrText xml:space="preserve"> PAGEREF _Toc496790182 \h </w:instrText>
      </w:r>
      <w:r>
        <w:rPr>
          <w:sz w:val="21"/>
          <w:szCs w:val="21"/>
        </w:rPr>
        <w:fldChar w:fldCharType="separate"/>
      </w:r>
      <w:r>
        <w:rPr>
          <w:sz w:val="21"/>
          <w:szCs w:val="21"/>
        </w:rPr>
        <w:t>17</w:t>
      </w:r>
      <w:r>
        <w:rPr>
          <w:sz w:val="21"/>
          <w:szCs w:val="21"/>
        </w:rPr>
        <w:fldChar w:fldCharType="end"/>
      </w:r>
      <w:r>
        <w:rPr>
          <w:sz w:val="21"/>
          <w:szCs w:val="21"/>
        </w:rPr>
        <w:fldChar w:fldCharType="end"/>
      </w:r>
    </w:p>
    <w:p w14:paraId="7713529A">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"_Toc496790183" </w:instrText>
      </w:r>
      <w:r>
        <w:fldChar w:fldCharType="separate"/>
      </w:r>
      <w:r>
        <w:rPr>
          <w:rStyle w:val="15"/>
          <w:spacing w:val="-3"/>
          <w:w w:val="103"/>
          <w:sz w:val="21"/>
          <w:szCs w:val="21"/>
        </w:rPr>
        <w:t>f.</w:t>
      </w:r>
      <w:r>
        <w:rPr>
          <w:sz w:val="21"/>
          <w:szCs w:val="21"/>
        </w:rPr>
        <w:tab/>
      </w:r>
      <w:r>
        <w:rPr>
          <w:rStyle w:val="15"/>
          <w:rFonts w:hint="eastAsia" w:hAnsi="宋体"/>
          <w:sz w:val="21"/>
          <w:szCs w:val="21"/>
        </w:rPr>
        <w:t>临床研究</w:t>
      </w:r>
      <w:r>
        <w:rPr>
          <w:sz w:val="21"/>
          <w:szCs w:val="21"/>
        </w:rPr>
        <w:tab/>
      </w:r>
      <w:r>
        <w:rPr>
          <w:sz w:val="21"/>
          <w:szCs w:val="21"/>
        </w:rPr>
        <w:fldChar w:fldCharType="begin"/>
      </w:r>
      <w:r>
        <w:rPr>
          <w:sz w:val="21"/>
          <w:szCs w:val="21"/>
        </w:rPr>
        <w:instrText xml:space="preserve"> PAGEREF _Toc496790183 \h </w:instrText>
      </w:r>
      <w:r>
        <w:rPr>
          <w:sz w:val="21"/>
          <w:szCs w:val="21"/>
        </w:rPr>
        <w:fldChar w:fldCharType="separate"/>
      </w:r>
      <w:r>
        <w:rPr>
          <w:sz w:val="21"/>
          <w:szCs w:val="21"/>
        </w:rPr>
        <w:t>18</w:t>
      </w:r>
      <w:r>
        <w:rPr>
          <w:sz w:val="21"/>
          <w:szCs w:val="21"/>
        </w:rPr>
        <w:fldChar w:fldCharType="end"/>
      </w:r>
      <w:r>
        <w:rPr>
          <w:sz w:val="21"/>
          <w:szCs w:val="21"/>
        </w:rPr>
        <w:fldChar w:fldCharType="end"/>
      </w:r>
    </w:p>
    <w:p w14:paraId="226F5986">
      <w:pPr>
        <w:pStyle w:val="10"/>
        <w:tabs>
          <w:tab w:val="left" w:pos="420"/>
          <w:tab w:val="right" w:leader="dot" w:pos="8303"/>
        </w:tabs>
        <w:snapToGrid w:val="0"/>
        <w:spacing w:line="360" w:lineRule="auto"/>
        <w:rPr>
          <w:sz w:val="21"/>
          <w:szCs w:val="21"/>
        </w:rPr>
      </w:pPr>
      <w:r>
        <w:fldChar w:fldCharType="begin"/>
      </w:r>
      <w:r>
        <w:instrText xml:space="preserve"> HYPERLINK \l "_Toc496790192" </w:instrText>
      </w:r>
      <w:r>
        <w:fldChar w:fldCharType="separate"/>
      </w:r>
      <w:r>
        <w:rPr>
          <w:rStyle w:val="15"/>
          <w:spacing w:val="-1"/>
          <w:w w:val="104"/>
          <w:sz w:val="21"/>
          <w:szCs w:val="21"/>
        </w:rPr>
        <w:t>8.</w:t>
      </w:r>
      <w:r>
        <w:rPr>
          <w:sz w:val="21"/>
          <w:szCs w:val="21"/>
        </w:rPr>
        <w:tab/>
      </w:r>
      <w:r>
        <w:rPr>
          <w:rStyle w:val="15"/>
          <w:rFonts w:hint="eastAsia" w:hAnsi="宋体"/>
          <w:sz w:val="21"/>
          <w:szCs w:val="21"/>
        </w:rPr>
        <w:t>标签</w:t>
      </w:r>
      <w:r>
        <w:rPr>
          <w:sz w:val="21"/>
          <w:szCs w:val="21"/>
        </w:rPr>
        <w:tab/>
      </w:r>
      <w:r>
        <w:rPr>
          <w:sz w:val="21"/>
          <w:szCs w:val="21"/>
        </w:rPr>
        <w:fldChar w:fldCharType="begin"/>
      </w:r>
      <w:r>
        <w:rPr>
          <w:sz w:val="21"/>
          <w:szCs w:val="21"/>
        </w:rPr>
        <w:instrText xml:space="preserve"> PAGEREF _Toc496790192 \h </w:instrText>
      </w:r>
      <w:r>
        <w:rPr>
          <w:sz w:val="21"/>
          <w:szCs w:val="21"/>
        </w:rPr>
        <w:fldChar w:fldCharType="separate"/>
      </w:r>
      <w:r>
        <w:rPr>
          <w:sz w:val="21"/>
          <w:szCs w:val="21"/>
        </w:rPr>
        <w:t>20</w:t>
      </w:r>
      <w:r>
        <w:rPr>
          <w:sz w:val="21"/>
          <w:szCs w:val="21"/>
        </w:rPr>
        <w:fldChar w:fldCharType="end"/>
      </w:r>
      <w:r>
        <w:rPr>
          <w:sz w:val="21"/>
          <w:szCs w:val="21"/>
        </w:rPr>
        <w:fldChar w:fldCharType="end"/>
      </w:r>
    </w:p>
    <w:p w14:paraId="6A8C6484">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"_Toc496790193" </w:instrText>
      </w:r>
      <w:r>
        <w:fldChar w:fldCharType="separate"/>
      </w:r>
      <w:r>
        <w:rPr>
          <w:rStyle w:val="15"/>
          <w:spacing w:val="-7"/>
          <w:w w:val="104"/>
          <w:sz w:val="21"/>
          <w:szCs w:val="21"/>
        </w:rPr>
        <w:t>a.</w:t>
      </w:r>
      <w:r>
        <w:rPr>
          <w:sz w:val="21"/>
          <w:szCs w:val="21"/>
        </w:rPr>
        <w:tab/>
      </w:r>
      <w:r>
        <w:rPr>
          <w:rStyle w:val="15"/>
          <w:rFonts w:hint="eastAsia" w:hAnsi="宋体"/>
          <w:sz w:val="21"/>
          <w:szCs w:val="21"/>
        </w:rPr>
        <w:t>预期用途</w:t>
      </w:r>
      <w:r>
        <w:rPr>
          <w:sz w:val="21"/>
          <w:szCs w:val="21"/>
        </w:rPr>
        <w:tab/>
      </w:r>
      <w:r>
        <w:rPr>
          <w:sz w:val="21"/>
          <w:szCs w:val="21"/>
        </w:rPr>
        <w:fldChar w:fldCharType="begin"/>
      </w:r>
      <w:r>
        <w:rPr>
          <w:sz w:val="21"/>
          <w:szCs w:val="21"/>
        </w:rPr>
        <w:instrText xml:space="preserve"> PAGEREF _Toc496790193 \h </w:instrText>
      </w:r>
      <w:r>
        <w:rPr>
          <w:sz w:val="21"/>
          <w:szCs w:val="21"/>
        </w:rPr>
        <w:fldChar w:fldCharType="separate"/>
      </w:r>
      <w:r>
        <w:rPr>
          <w:sz w:val="21"/>
          <w:szCs w:val="21"/>
        </w:rPr>
        <w:t>21</w:t>
      </w:r>
      <w:r>
        <w:rPr>
          <w:sz w:val="21"/>
          <w:szCs w:val="21"/>
        </w:rPr>
        <w:fldChar w:fldCharType="end"/>
      </w:r>
      <w:r>
        <w:rPr>
          <w:sz w:val="21"/>
          <w:szCs w:val="21"/>
        </w:rPr>
        <w:fldChar w:fldCharType="end"/>
      </w:r>
    </w:p>
    <w:p w14:paraId="0ECDDAC7">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"_Toc496790194" </w:instrText>
      </w:r>
      <w:r>
        <w:fldChar w:fldCharType="separate"/>
      </w:r>
      <w:r>
        <w:rPr>
          <w:rStyle w:val="15"/>
          <w:spacing w:val="-7"/>
          <w:w w:val="104"/>
          <w:sz w:val="21"/>
          <w:szCs w:val="21"/>
        </w:rPr>
        <w:t>b.</w:t>
      </w:r>
      <w:r>
        <w:rPr>
          <w:sz w:val="21"/>
          <w:szCs w:val="21"/>
        </w:rPr>
        <w:tab/>
      </w:r>
      <w:r>
        <w:rPr>
          <w:rStyle w:val="15"/>
          <w:rFonts w:hint="eastAsia" w:hAnsi="宋体"/>
          <w:sz w:val="21"/>
          <w:szCs w:val="21"/>
        </w:rPr>
        <w:t>器械描述</w:t>
      </w:r>
      <w:r>
        <w:rPr>
          <w:sz w:val="21"/>
          <w:szCs w:val="21"/>
        </w:rPr>
        <w:tab/>
      </w:r>
      <w:r>
        <w:rPr>
          <w:sz w:val="21"/>
          <w:szCs w:val="21"/>
        </w:rPr>
        <w:fldChar w:fldCharType="begin"/>
      </w:r>
      <w:r>
        <w:rPr>
          <w:sz w:val="21"/>
          <w:szCs w:val="21"/>
        </w:rPr>
        <w:instrText xml:space="preserve"> PAGEREF _Toc496790194 \h </w:instrText>
      </w:r>
      <w:r>
        <w:rPr>
          <w:sz w:val="21"/>
          <w:szCs w:val="21"/>
        </w:rPr>
        <w:fldChar w:fldCharType="separate"/>
      </w:r>
      <w:r>
        <w:rPr>
          <w:sz w:val="21"/>
          <w:szCs w:val="21"/>
        </w:rPr>
        <w:t>21</w:t>
      </w:r>
      <w:r>
        <w:rPr>
          <w:sz w:val="21"/>
          <w:szCs w:val="21"/>
        </w:rPr>
        <w:fldChar w:fldCharType="end"/>
      </w:r>
      <w:r>
        <w:rPr>
          <w:sz w:val="21"/>
          <w:szCs w:val="21"/>
        </w:rPr>
        <w:fldChar w:fldCharType="end"/>
      </w:r>
    </w:p>
    <w:p w14:paraId="334BE526">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"_Toc496790195" </w:instrText>
      </w:r>
      <w:r>
        <w:fldChar w:fldCharType="separate"/>
      </w:r>
      <w:r>
        <w:rPr>
          <w:rStyle w:val="15"/>
          <w:spacing w:val="-7"/>
          <w:w w:val="104"/>
          <w:sz w:val="21"/>
          <w:szCs w:val="21"/>
        </w:rPr>
        <w:t>c.</w:t>
      </w:r>
      <w:r>
        <w:rPr>
          <w:sz w:val="21"/>
          <w:szCs w:val="21"/>
        </w:rPr>
        <w:tab/>
      </w:r>
      <w:r>
        <w:rPr>
          <w:rStyle w:val="15"/>
          <w:rFonts w:hint="eastAsia" w:hAnsi="宋体"/>
          <w:sz w:val="21"/>
          <w:szCs w:val="21"/>
        </w:rPr>
        <w:t>使用步骤</w:t>
      </w:r>
      <w:r>
        <w:rPr>
          <w:sz w:val="21"/>
          <w:szCs w:val="21"/>
        </w:rPr>
        <w:tab/>
      </w:r>
      <w:r>
        <w:rPr>
          <w:sz w:val="21"/>
          <w:szCs w:val="21"/>
        </w:rPr>
        <w:fldChar w:fldCharType="begin"/>
      </w:r>
      <w:r>
        <w:rPr>
          <w:sz w:val="21"/>
          <w:szCs w:val="21"/>
        </w:rPr>
        <w:instrText xml:space="preserve"> PAGEREF _Toc496790195 \h </w:instrText>
      </w:r>
      <w:r>
        <w:rPr>
          <w:sz w:val="21"/>
          <w:szCs w:val="21"/>
        </w:rPr>
        <w:fldChar w:fldCharType="separate"/>
      </w:r>
      <w:r>
        <w:rPr>
          <w:sz w:val="21"/>
          <w:szCs w:val="21"/>
        </w:rPr>
        <w:t>21</w:t>
      </w:r>
      <w:r>
        <w:rPr>
          <w:sz w:val="21"/>
          <w:szCs w:val="21"/>
        </w:rPr>
        <w:fldChar w:fldCharType="end"/>
      </w:r>
      <w:r>
        <w:rPr>
          <w:sz w:val="21"/>
          <w:szCs w:val="21"/>
        </w:rPr>
        <w:fldChar w:fldCharType="end"/>
      </w:r>
    </w:p>
    <w:p w14:paraId="3566E4F0">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"_Toc496790196" </w:instrText>
      </w:r>
      <w:r>
        <w:fldChar w:fldCharType="separate"/>
      </w:r>
      <w:r>
        <w:rPr>
          <w:rStyle w:val="15"/>
          <w:spacing w:val="-7"/>
          <w:w w:val="104"/>
          <w:sz w:val="21"/>
          <w:szCs w:val="21"/>
        </w:rPr>
        <w:t>d.</w:t>
      </w:r>
      <w:r>
        <w:rPr>
          <w:sz w:val="21"/>
          <w:szCs w:val="21"/>
        </w:rPr>
        <w:tab/>
      </w:r>
      <w:r>
        <w:rPr>
          <w:rStyle w:val="15"/>
          <w:rFonts w:hint="eastAsia" w:hAnsi="宋体"/>
          <w:sz w:val="21"/>
          <w:szCs w:val="21"/>
        </w:rPr>
        <w:t>使用说明</w:t>
      </w:r>
      <w:r>
        <w:rPr>
          <w:sz w:val="21"/>
          <w:szCs w:val="21"/>
        </w:rPr>
        <w:tab/>
      </w:r>
      <w:r>
        <w:rPr>
          <w:sz w:val="21"/>
          <w:szCs w:val="21"/>
        </w:rPr>
        <w:fldChar w:fldCharType="begin"/>
      </w:r>
      <w:r>
        <w:rPr>
          <w:sz w:val="21"/>
          <w:szCs w:val="21"/>
        </w:rPr>
        <w:instrText xml:space="preserve"> PAGEREF _Toc496790196 \h </w:instrText>
      </w:r>
      <w:r>
        <w:rPr>
          <w:sz w:val="21"/>
          <w:szCs w:val="21"/>
        </w:rPr>
        <w:fldChar w:fldCharType="separate"/>
      </w:r>
      <w:r>
        <w:rPr>
          <w:sz w:val="21"/>
          <w:szCs w:val="21"/>
        </w:rPr>
        <w:t>21</w:t>
      </w:r>
      <w:r>
        <w:rPr>
          <w:sz w:val="21"/>
          <w:szCs w:val="21"/>
        </w:rPr>
        <w:fldChar w:fldCharType="end"/>
      </w:r>
      <w:r>
        <w:rPr>
          <w:sz w:val="21"/>
          <w:szCs w:val="21"/>
        </w:rPr>
        <w:fldChar w:fldCharType="end"/>
      </w:r>
    </w:p>
    <w:p w14:paraId="1B55AF87">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"_Toc496790197" </w:instrText>
      </w:r>
      <w:r>
        <w:fldChar w:fldCharType="separate"/>
      </w:r>
      <w:r>
        <w:rPr>
          <w:rStyle w:val="15"/>
          <w:spacing w:val="-7"/>
          <w:w w:val="104"/>
          <w:sz w:val="21"/>
          <w:szCs w:val="21"/>
        </w:rPr>
        <w:t>e.</w:t>
      </w:r>
      <w:r>
        <w:rPr>
          <w:sz w:val="21"/>
          <w:szCs w:val="21"/>
        </w:rPr>
        <w:tab/>
      </w:r>
      <w:r>
        <w:rPr>
          <w:rStyle w:val="15"/>
          <w:rFonts w:hint="eastAsia" w:hAnsi="宋体"/>
          <w:sz w:val="21"/>
          <w:szCs w:val="21"/>
        </w:rPr>
        <w:t>警告、注意事项和局限性</w:t>
      </w:r>
      <w:r>
        <w:rPr>
          <w:sz w:val="21"/>
          <w:szCs w:val="21"/>
        </w:rPr>
        <w:tab/>
      </w:r>
      <w:r>
        <w:rPr>
          <w:sz w:val="21"/>
          <w:szCs w:val="21"/>
        </w:rPr>
        <w:fldChar w:fldCharType="begin"/>
      </w:r>
      <w:r>
        <w:rPr>
          <w:sz w:val="21"/>
          <w:szCs w:val="21"/>
        </w:rPr>
        <w:instrText xml:space="preserve"> PAGEREF _Toc496790197 \h </w:instrText>
      </w:r>
      <w:r>
        <w:rPr>
          <w:sz w:val="21"/>
          <w:szCs w:val="21"/>
        </w:rPr>
        <w:fldChar w:fldCharType="separate"/>
      </w:r>
      <w:r>
        <w:rPr>
          <w:sz w:val="21"/>
          <w:szCs w:val="21"/>
        </w:rPr>
        <w:t>21</w:t>
      </w:r>
      <w:r>
        <w:rPr>
          <w:sz w:val="21"/>
          <w:szCs w:val="21"/>
        </w:rPr>
        <w:fldChar w:fldCharType="end"/>
      </w:r>
      <w:r>
        <w:rPr>
          <w:sz w:val="21"/>
          <w:szCs w:val="21"/>
        </w:rPr>
        <w:fldChar w:fldCharType="end"/>
      </w:r>
    </w:p>
    <w:p w14:paraId="59646901">
      <w:pPr>
        <w:pStyle w:val="11"/>
        <w:tabs>
          <w:tab w:val="left" w:pos="840"/>
          <w:tab w:val="right" w:leader="dot" w:pos="8303"/>
        </w:tabs>
        <w:snapToGrid w:val="0"/>
        <w:spacing w:line="360" w:lineRule="auto"/>
        <w:ind w:left="480"/>
        <w:rPr>
          <w:sz w:val="21"/>
          <w:szCs w:val="21"/>
        </w:rPr>
      </w:pPr>
      <w:r>
        <w:fldChar w:fldCharType="begin"/>
      </w:r>
      <w:r>
        <w:instrText xml:space="preserve"> HYPERLINK \l "_Toc496790199" </w:instrText>
      </w:r>
      <w:r>
        <w:fldChar w:fldCharType="separate"/>
      </w:r>
      <w:r>
        <w:rPr>
          <w:rStyle w:val="15"/>
          <w:spacing w:val="-7"/>
          <w:w w:val="104"/>
          <w:sz w:val="21"/>
          <w:szCs w:val="21"/>
        </w:rPr>
        <w:t>f.</w:t>
      </w:r>
      <w:r>
        <w:rPr>
          <w:sz w:val="21"/>
          <w:szCs w:val="21"/>
        </w:rPr>
        <w:tab/>
      </w:r>
      <w:r>
        <w:rPr>
          <w:rStyle w:val="15"/>
          <w:rFonts w:hint="eastAsia" w:hAnsi="宋体"/>
          <w:sz w:val="21"/>
          <w:szCs w:val="21"/>
        </w:rPr>
        <w:t>样本收集</w:t>
      </w:r>
      <w:r>
        <w:rPr>
          <w:sz w:val="21"/>
          <w:szCs w:val="21"/>
        </w:rPr>
        <w:tab/>
      </w:r>
      <w:r>
        <w:rPr>
          <w:sz w:val="21"/>
          <w:szCs w:val="21"/>
        </w:rPr>
        <w:fldChar w:fldCharType="begin"/>
      </w:r>
      <w:r>
        <w:rPr>
          <w:sz w:val="21"/>
          <w:szCs w:val="21"/>
        </w:rPr>
        <w:instrText xml:space="preserve"> PAGEREF _Toc496790199 \h </w:instrText>
      </w:r>
      <w:r>
        <w:rPr>
          <w:sz w:val="21"/>
          <w:szCs w:val="21"/>
        </w:rPr>
        <w:fldChar w:fldCharType="separate"/>
      </w:r>
      <w:r>
        <w:rPr>
          <w:sz w:val="21"/>
          <w:szCs w:val="21"/>
        </w:rPr>
        <w:t>22</w:t>
      </w:r>
      <w:r>
        <w:rPr>
          <w:sz w:val="21"/>
          <w:szCs w:val="21"/>
        </w:rPr>
        <w:fldChar w:fldCharType="end"/>
      </w:r>
      <w:r>
        <w:rPr>
          <w:sz w:val="21"/>
          <w:szCs w:val="21"/>
        </w:rPr>
        <w:fldChar w:fldCharType="end"/>
      </w:r>
    </w:p>
    <w:p w14:paraId="14F7E33A">
      <w:pPr>
        <w:pStyle w:val="11"/>
        <w:tabs>
          <w:tab w:val="left" w:pos="840"/>
          <w:tab w:val="right" w:leader="dot" w:pos="8303"/>
        </w:tabs>
        <w:snapToGrid w:val="0"/>
        <w:spacing w:line="360" w:lineRule="auto"/>
        <w:ind w:left="480"/>
        <w:rPr>
          <w:sz w:val="21"/>
          <w:szCs w:val="21"/>
        </w:rPr>
      </w:pPr>
      <w:r>
        <w:fldChar w:fldCharType="begin"/>
      </w:r>
      <w:r>
        <w:instrText xml:space="preserve"> HYPERLINK \l "_Toc496790200" </w:instrText>
      </w:r>
      <w:r>
        <w:fldChar w:fldCharType="separate"/>
      </w:r>
      <w:r>
        <w:rPr>
          <w:rStyle w:val="15"/>
          <w:spacing w:val="-7"/>
          <w:w w:val="104"/>
          <w:sz w:val="21"/>
          <w:szCs w:val="21"/>
        </w:rPr>
        <w:t>g.</w:t>
      </w:r>
      <w:r>
        <w:rPr>
          <w:sz w:val="21"/>
          <w:szCs w:val="21"/>
        </w:rPr>
        <w:tab/>
      </w:r>
      <w:r>
        <w:rPr>
          <w:rStyle w:val="15"/>
          <w:rFonts w:hint="eastAsia" w:hAnsi="宋体"/>
          <w:sz w:val="21"/>
          <w:szCs w:val="21"/>
        </w:rPr>
        <w:t>测试结果的解释</w:t>
      </w:r>
      <w:r>
        <w:rPr>
          <w:sz w:val="21"/>
          <w:szCs w:val="21"/>
        </w:rPr>
        <w:tab/>
      </w:r>
      <w:r>
        <w:rPr>
          <w:sz w:val="21"/>
          <w:szCs w:val="21"/>
        </w:rPr>
        <w:fldChar w:fldCharType="begin"/>
      </w:r>
      <w:r>
        <w:rPr>
          <w:sz w:val="21"/>
          <w:szCs w:val="21"/>
        </w:rPr>
        <w:instrText xml:space="preserve"> PAGEREF _Toc496790200 \h </w:instrText>
      </w:r>
      <w:r>
        <w:rPr>
          <w:sz w:val="21"/>
          <w:szCs w:val="21"/>
        </w:rPr>
        <w:fldChar w:fldCharType="separate"/>
      </w:r>
      <w:r>
        <w:rPr>
          <w:sz w:val="21"/>
          <w:szCs w:val="21"/>
        </w:rPr>
        <w:t>22</w:t>
      </w:r>
      <w:r>
        <w:rPr>
          <w:sz w:val="21"/>
          <w:szCs w:val="21"/>
        </w:rPr>
        <w:fldChar w:fldCharType="end"/>
      </w:r>
      <w:r>
        <w:rPr>
          <w:sz w:val="21"/>
          <w:szCs w:val="21"/>
        </w:rPr>
        <w:fldChar w:fldCharType="end"/>
      </w:r>
    </w:p>
    <w:p w14:paraId="794306AD">
      <w:pPr>
        <w:pStyle w:val="10"/>
        <w:tabs>
          <w:tab w:val="left" w:pos="420"/>
          <w:tab w:val="right" w:leader="dot" w:pos="8303"/>
        </w:tabs>
        <w:snapToGrid w:val="0"/>
        <w:spacing w:line="360" w:lineRule="auto"/>
        <w:rPr>
          <w:sz w:val="21"/>
          <w:szCs w:val="21"/>
        </w:rPr>
      </w:pPr>
      <w:r>
        <w:fldChar w:fldCharType="begin"/>
      </w:r>
      <w:r>
        <w:instrText xml:space="preserve"> HYPERLINK \l "_Toc496790201" </w:instrText>
      </w:r>
      <w:r>
        <w:fldChar w:fldCharType="separate"/>
      </w:r>
      <w:r>
        <w:rPr>
          <w:rStyle w:val="15"/>
          <w:spacing w:val="-1"/>
          <w:w w:val="104"/>
          <w:sz w:val="21"/>
          <w:szCs w:val="21"/>
        </w:rPr>
        <w:t>9.</w:t>
      </w:r>
      <w:r>
        <w:rPr>
          <w:sz w:val="21"/>
          <w:szCs w:val="21"/>
        </w:rPr>
        <w:tab/>
      </w:r>
      <w:r>
        <w:rPr>
          <w:rFonts w:hint="eastAsia" w:hAnsi="宋体"/>
          <w:sz w:val="21"/>
          <w:szCs w:val="21"/>
        </w:rPr>
        <w:t>上市后措施</w:t>
      </w:r>
      <w:r>
        <w:rPr>
          <w:sz w:val="21"/>
          <w:szCs w:val="21"/>
        </w:rPr>
        <w:tab/>
      </w:r>
      <w:r>
        <w:rPr>
          <w:sz w:val="21"/>
          <w:szCs w:val="21"/>
        </w:rPr>
        <w:fldChar w:fldCharType="begin"/>
      </w:r>
      <w:r>
        <w:rPr>
          <w:sz w:val="21"/>
          <w:szCs w:val="21"/>
        </w:rPr>
        <w:instrText xml:space="preserve"> PAGEREF _Toc496790201 \h </w:instrText>
      </w:r>
      <w:r>
        <w:rPr>
          <w:sz w:val="21"/>
          <w:szCs w:val="21"/>
        </w:rPr>
        <w:fldChar w:fldCharType="separate"/>
      </w:r>
      <w:r>
        <w:rPr>
          <w:sz w:val="21"/>
          <w:szCs w:val="21"/>
        </w:rPr>
        <w:t>23</w:t>
      </w:r>
      <w:r>
        <w:rPr>
          <w:sz w:val="21"/>
          <w:szCs w:val="21"/>
        </w:rPr>
        <w:fldChar w:fldCharType="end"/>
      </w:r>
      <w:r>
        <w:rPr>
          <w:sz w:val="21"/>
          <w:szCs w:val="21"/>
        </w:rPr>
        <w:fldChar w:fldCharType="end"/>
      </w:r>
    </w:p>
    <w:p w14:paraId="3544FC1F">
      <w:pPr>
        <w:pStyle w:val="10"/>
        <w:tabs>
          <w:tab w:val="left" w:pos="420"/>
          <w:tab w:val="right" w:leader="dot" w:pos="8303"/>
        </w:tabs>
        <w:snapToGrid w:val="0"/>
        <w:spacing w:line="360" w:lineRule="auto"/>
        <w:rPr>
          <w:sz w:val="21"/>
          <w:szCs w:val="21"/>
        </w:rPr>
      </w:pPr>
      <w:r>
        <w:fldChar w:fldCharType="begin"/>
      </w:r>
      <w:r>
        <w:instrText xml:space="preserve"> HYPERLINK \l "_Toc496790202" </w:instrText>
      </w:r>
      <w:r>
        <w:fldChar w:fldCharType="separate"/>
      </w:r>
      <w:r>
        <w:rPr>
          <w:rStyle w:val="15"/>
          <w:spacing w:val="-1"/>
          <w:w w:val="104"/>
          <w:sz w:val="21"/>
          <w:szCs w:val="21"/>
        </w:rPr>
        <w:t>10.</w:t>
      </w:r>
      <w:r>
        <w:rPr>
          <w:sz w:val="21"/>
          <w:szCs w:val="21"/>
        </w:rPr>
        <w:tab/>
      </w:r>
      <w:r>
        <w:rPr>
          <w:rFonts w:hint="eastAsia" w:hAnsi="宋体"/>
          <w:sz w:val="21"/>
          <w:szCs w:val="21"/>
        </w:rPr>
        <w:t>参考文献</w:t>
      </w:r>
      <w:r>
        <w:rPr>
          <w:sz w:val="21"/>
          <w:szCs w:val="21"/>
        </w:rPr>
        <w:tab/>
      </w:r>
      <w:r>
        <w:rPr>
          <w:sz w:val="21"/>
          <w:szCs w:val="21"/>
        </w:rPr>
        <w:fldChar w:fldCharType="begin"/>
      </w:r>
      <w:r>
        <w:rPr>
          <w:sz w:val="21"/>
          <w:szCs w:val="21"/>
        </w:rPr>
        <w:instrText xml:space="preserve"> PAGEREF _Toc496790202 \h </w:instrText>
      </w:r>
      <w:r>
        <w:rPr>
          <w:sz w:val="21"/>
          <w:szCs w:val="21"/>
        </w:rPr>
        <w:fldChar w:fldCharType="separate"/>
      </w:r>
      <w:r>
        <w:rPr>
          <w:sz w:val="21"/>
          <w:szCs w:val="21"/>
        </w:rPr>
        <w:t>23</w:t>
      </w:r>
      <w:r>
        <w:rPr>
          <w:sz w:val="21"/>
          <w:szCs w:val="21"/>
        </w:rPr>
        <w:fldChar w:fldCharType="end"/>
      </w:r>
      <w:r>
        <w:rPr>
          <w:sz w:val="21"/>
          <w:szCs w:val="21"/>
        </w:rPr>
        <w:fldChar w:fldCharType="end"/>
      </w:r>
    </w:p>
    <w:p w14:paraId="612362F3">
      <w:pPr>
        <w:widowControl/>
        <w:autoSpaceDE/>
        <w:autoSpaceDN/>
        <w:snapToGrid w:val="0"/>
        <w:spacing w:line="360" w:lineRule="auto"/>
        <w:jc w:val="both"/>
        <w:rPr>
          <w:sz w:val="21"/>
          <w:szCs w:val="21"/>
        </w:rPr>
      </w:pPr>
      <w:r>
        <w:rPr>
          <w:sz w:val="21"/>
          <w:szCs w:val="21"/>
        </w:rPr>
        <w:fldChar w:fldCharType="end"/>
      </w:r>
    </w:p>
    <w:p w14:paraId="265ADFBF">
      <w:pPr>
        <w:widowControl/>
        <w:autoSpaceDE/>
        <w:autoSpaceDN/>
        <w:snapToGrid w:val="0"/>
        <w:spacing w:line="360" w:lineRule="auto"/>
        <w:jc w:val="center"/>
        <w:rPr>
          <w:b/>
          <w:sz w:val="21"/>
          <w:szCs w:val="21"/>
        </w:rPr>
      </w:pPr>
      <w:r>
        <w:rPr>
          <w:sz w:val="21"/>
          <w:szCs w:val="21"/>
        </w:rPr>
        <w:br w:type="page"/>
      </w:r>
    </w:p>
    <w:p w14:paraId="311CFC2F">
      <w:pPr>
        <w:pStyle w:val="2"/>
        <w:pBdr>
          <w:bottom w:val="single" w:color="auto" w:sz="4" w:space="1"/>
        </w:pBdr>
        <w:kinsoku w:val="0"/>
        <w:overflowPunct w:val="0"/>
        <w:snapToGrid w:val="0"/>
        <w:spacing w:before="0" w:afterLines="50" w:line="360" w:lineRule="auto"/>
        <w:ind w:left="0" w:firstLine="0"/>
        <w:jc w:val="center"/>
        <w:rPr>
          <w:b w:val="0"/>
          <w:bCs w:val="0"/>
          <w:sz w:val="36"/>
          <w:szCs w:val="36"/>
        </w:rPr>
      </w:pPr>
      <w:bookmarkStart w:id="7" w:name="_Toc496790158"/>
      <w:r>
        <w:rPr>
          <w:sz w:val="36"/>
          <w:szCs w:val="36"/>
        </w:rPr>
        <w:t>II</w:t>
      </w:r>
      <w:r>
        <w:rPr>
          <w:rFonts w:hint="eastAsia" w:hAnsi="宋体"/>
          <w:sz w:val="36"/>
          <w:szCs w:val="36"/>
        </w:rPr>
        <w:t>类特殊控制指南：登革热病毒血清学试剂</w:t>
      </w:r>
      <w:bookmarkEnd w:id="7"/>
    </w:p>
    <w:p w14:paraId="7658F34B">
      <w:pPr>
        <w:kinsoku w:val="0"/>
        <w:overflowPunct w:val="0"/>
        <w:snapToGrid w:val="0"/>
        <w:spacing w:afterLines="50" w:line="360" w:lineRule="auto"/>
        <w:jc w:val="center"/>
        <w:rPr>
          <w:b/>
          <w:bCs/>
          <w:sz w:val="36"/>
          <w:szCs w:val="36"/>
        </w:rPr>
      </w:pPr>
      <w:r>
        <w:rPr>
          <w:rFonts w:hint="eastAsia" w:hAnsi="宋体"/>
          <w:b/>
          <w:bCs/>
          <w:sz w:val="36"/>
          <w:szCs w:val="36"/>
        </w:rPr>
        <w:t>行业和美国食品药品管理局工作人员指南</w:t>
      </w:r>
    </w:p>
    <w:p w14:paraId="751FD03C">
      <w:pPr>
        <w:numPr>
          <w:ilvl w:val="0"/>
          <w:numId w:val="1"/>
        </w:numPr>
        <w:kinsoku w:val="0"/>
        <w:overflowPunct w:val="0"/>
        <w:snapToGrid w:val="0"/>
        <w:spacing w:afterLines="50" w:line="360" w:lineRule="auto"/>
        <w:ind w:left="422" w:hanging="422" w:hangingChars="200"/>
        <w:jc w:val="both"/>
        <w:outlineLvl w:val="0"/>
        <w:rPr>
          <w:sz w:val="21"/>
          <w:szCs w:val="21"/>
        </w:rPr>
      </w:pPr>
      <w:bookmarkStart w:id="8" w:name="_Toc496790159"/>
      <w:r>
        <w:rPr>
          <w:rFonts w:hint="eastAsia" w:hAnsi="宋体"/>
          <w:b/>
          <w:bCs/>
          <w:sz w:val="21"/>
          <w:szCs w:val="21"/>
        </w:rPr>
        <w:t>前言</w:t>
      </w:r>
      <w:bookmarkEnd w:id="8"/>
    </w:p>
    <w:p w14:paraId="51C6B1EB">
      <w:pPr>
        <w:pStyle w:val="6"/>
        <w:kinsoku w:val="0"/>
        <w:overflowPunct w:val="0"/>
        <w:snapToGrid w:val="0"/>
        <w:spacing w:afterLines="50" w:line="360" w:lineRule="auto"/>
        <w:ind w:left="0"/>
        <w:jc w:val="both"/>
        <w:rPr>
          <w:sz w:val="21"/>
          <w:szCs w:val="21"/>
        </w:rPr>
      </w:pPr>
      <w:r>
        <w:rPr>
          <w:rFonts w:hint="eastAsia" w:hAnsi="宋体"/>
          <w:sz w:val="21"/>
          <w:szCs w:val="21"/>
        </w:rPr>
        <w:t>制定本特殊控制指南以支持将登革热（</w:t>
      </w:r>
      <w:r>
        <w:rPr>
          <w:sz w:val="21"/>
          <w:szCs w:val="21"/>
        </w:rPr>
        <w:t>DEN</w:t>
      </w:r>
      <w:r>
        <w:rPr>
          <w:rFonts w:hint="eastAsia" w:hAnsi="宋体"/>
          <w:sz w:val="21"/>
          <w:szCs w:val="21"/>
        </w:rPr>
        <w:t>）病毒（</w:t>
      </w:r>
      <w:r>
        <w:rPr>
          <w:sz w:val="21"/>
          <w:szCs w:val="21"/>
        </w:rPr>
        <w:t>DENV</w:t>
      </w:r>
      <w:r>
        <w:rPr>
          <w:rFonts w:hint="eastAsia" w:hAnsi="宋体"/>
          <w:sz w:val="21"/>
          <w:szCs w:val="21"/>
        </w:rPr>
        <w:t>）血清学试剂分类为</w:t>
      </w:r>
      <w:r>
        <w:rPr>
          <w:sz w:val="21"/>
          <w:szCs w:val="21"/>
        </w:rPr>
        <w:t>II</w:t>
      </w:r>
      <w:r>
        <w:rPr>
          <w:rFonts w:hint="eastAsia" w:hAnsi="宋体"/>
          <w:sz w:val="21"/>
          <w:szCs w:val="21"/>
        </w:rPr>
        <w:t>类（特殊控制）。</w:t>
      </w:r>
      <w:r>
        <w:rPr>
          <w:sz w:val="21"/>
          <w:szCs w:val="21"/>
        </w:rPr>
        <w:t>DENV</w:t>
      </w:r>
      <w:r>
        <w:rPr>
          <w:rFonts w:hint="eastAsia" w:hAnsi="宋体"/>
          <w:sz w:val="21"/>
          <w:szCs w:val="21"/>
        </w:rPr>
        <w:t>血清学试剂是由抗原和抗体组成的一种器械，用于检测具有登革热（</w:t>
      </w:r>
      <w:r>
        <w:rPr>
          <w:sz w:val="21"/>
          <w:szCs w:val="21"/>
        </w:rPr>
        <w:t>DF</w:t>
      </w:r>
      <w:r>
        <w:rPr>
          <w:rFonts w:hint="eastAsia" w:hAnsi="宋体"/>
          <w:sz w:val="21"/>
          <w:szCs w:val="21"/>
        </w:rPr>
        <w:t>）或出血性登革热（</w:t>
      </w:r>
      <w:r>
        <w:rPr>
          <w:sz w:val="21"/>
          <w:szCs w:val="21"/>
        </w:rPr>
        <w:t>DHF</w:t>
      </w:r>
      <w:r>
        <w:rPr>
          <w:rFonts w:hint="eastAsia" w:hAnsi="宋体"/>
          <w:sz w:val="21"/>
          <w:szCs w:val="21"/>
        </w:rPr>
        <w:t>）的指征和症状的个体中的</w:t>
      </w:r>
      <w:r>
        <w:rPr>
          <w:sz w:val="21"/>
          <w:szCs w:val="21"/>
        </w:rPr>
        <w:t>DENV</w:t>
      </w:r>
      <w:r>
        <w:rPr>
          <w:rFonts w:hint="eastAsia" w:hAnsi="宋体"/>
          <w:sz w:val="21"/>
          <w:szCs w:val="21"/>
        </w:rPr>
        <w:t>和</w:t>
      </w:r>
      <w:r>
        <w:rPr>
          <w:sz w:val="21"/>
          <w:szCs w:val="21"/>
        </w:rPr>
        <w:t>DEN</w:t>
      </w:r>
      <w:r>
        <w:rPr>
          <w:rFonts w:hint="eastAsia" w:hAnsi="宋体"/>
          <w:sz w:val="21"/>
          <w:szCs w:val="21"/>
        </w:rPr>
        <w:t>抗体。该检测辅助临床实验室诊断</w:t>
      </w:r>
      <w:r>
        <w:rPr>
          <w:sz w:val="21"/>
          <w:szCs w:val="21"/>
        </w:rPr>
        <w:t>DENV</w:t>
      </w:r>
      <w:r>
        <w:rPr>
          <w:rFonts w:hint="eastAsia" w:hAnsi="宋体"/>
          <w:sz w:val="21"/>
          <w:szCs w:val="21"/>
        </w:rPr>
        <w:t>感染引起的</w:t>
      </w:r>
      <w:r>
        <w:rPr>
          <w:sz w:val="21"/>
          <w:szCs w:val="21"/>
        </w:rPr>
        <w:t>DF</w:t>
      </w:r>
      <w:r>
        <w:rPr>
          <w:rFonts w:hint="eastAsia" w:hAnsi="宋体"/>
          <w:sz w:val="21"/>
          <w:szCs w:val="21"/>
        </w:rPr>
        <w:t>或</w:t>
      </w:r>
      <w:r>
        <w:rPr>
          <w:sz w:val="21"/>
          <w:szCs w:val="21"/>
        </w:rPr>
        <w:t>DHF</w:t>
      </w:r>
      <w:r>
        <w:rPr>
          <w:rFonts w:hint="eastAsia" w:hAnsi="宋体"/>
          <w:sz w:val="21"/>
          <w:szCs w:val="21"/>
        </w:rPr>
        <w:t>。</w:t>
      </w:r>
    </w:p>
    <w:p w14:paraId="6D3C7156">
      <w:pPr>
        <w:pStyle w:val="6"/>
        <w:kinsoku w:val="0"/>
        <w:overflowPunct w:val="0"/>
        <w:snapToGrid w:val="0"/>
        <w:spacing w:afterLines="50" w:line="360" w:lineRule="auto"/>
        <w:ind w:left="0"/>
        <w:jc w:val="both"/>
        <w:rPr>
          <w:sz w:val="21"/>
          <w:szCs w:val="21"/>
        </w:rPr>
      </w:pPr>
      <w:r>
        <w:rPr>
          <w:rFonts w:hint="eastAsia" w:hAnsi="宋体"/>
          <w:sz w:val="21"/>
          <w:szCs w:val="21"/>
        </w:rPr>
        <w:t>本文件不涉及</w:t>
      </w:r>
      <w:r>
        <w:rPr>
          <w:sz w:val="21"/>
          <w:szCs w:val="21"/>
        </w:rPr>
        <w:t>DENV</w:t>
      </w:r>
      <w:r>
        <w:rPr>
          <w:rFonts w:hint="eastAsia" w:hAnsi="宋体"/>
          <w:sz w:val="21"/>
          <w:szCs w:val="21"/>
        </w:rPr>
        <w:t>核酸扩增试验试剂。</w:t>
      </w:r>
    </w:p>
    <w:p w14:paraId="39C1ED9D">
      <w:pPr>
        <w:pStyle w:val="6"/>
        <w:kinsoku w:val="0"/>
        <w:overflowPunct w:val="0"/>
        <w:snapToGrid w:val="0"/>
        <w:spacing w:afterLines="50" w:line="360" w:lineRule="auto"/>
        <w:ind w:left="0"/>
        <w:jc w:val="both"/>
        <w:rPr>
          <w:sz w:val="21"/>
          <w:szCs w:val="21"/>
          <w:highlight w:val="green"/>
        </w:rPr>
      </w:pPr>
      <w:r>
        <w:rPr>
          <w:rFonts w:hint="eastAsia" w:hAnsi="宋体"/>
          <w:sz w:val="21"/>
          <w:szCs w:val="21"/>
        </w:rPr>
        <w:t>本指南确定了</w:t>
      </w:r>
      <w:r>
        <w:rPr>
          <w:sz w:val="21"/>
          <w:szCs w:val="21"/>
        </w:rPr>
        <w:t>FDA</w:t>
      </w:r>
      <w:r>
        <w:rPr>
          <w:rFonts w:hint="eastAsia" w:hAnsi="宋体"/>
          <w:sz w:val="21"/>
          <w:szCs w:val="21"/>
        </w:rPr>
        <w:t>认为将能缓解与这些器械相关的健康风险并提供合理的安全性和有效性保证的措施。提交</w:t>
      </w:r>
      <w:r>
        <w:rPr>
          <w:sz w:val="21"/>
          <w:szCs w:val="21"/>
        </w:rPr>
        <w:t>DENV</w:t>
      </w:r>
      <w:r>
        <w:rPr>
          <w:rFonts w:hint="eastAsia" w:hAnsi="宋体"/>
          <w:sz w:val="21"/>
          <w:szCs w:val="21"/>
        </w:rPr>
        <w:t>血清学试剂</w:t>
      </w:r>
      <w:r>
        <w:rPr>
          <w:sz w:val="21"/>
          <w:szCs w:val="21"/>
        </w:rPr>
        <w:t>510</w:t>
      </w:r>
      <w:r>
        <w:rPr>
          <w:rFonts w:hint="eastAsia" w:hAnsi="宋体"/>
          <w:sz w:val="21"/>
          <w:szCs w:val="21"/>
        </w:rPr>
        <w:t>（</w:t>
      </w:r>
      <w:r>
        <w:rPr>
          <w:sz w:val="21"/>
          <w:szCs w:val="21"/>
        </w:rPr>
        <w:t>k</w:t>
      </w:r>
      <w:r>
        <w:rPr>
          <w:rFonts w:hint="eastAsia" w:hAnsi="宋体"/>
          <w:sz w:val="21"/>
          <w:szCs w:val="21"/>
        </w:rPr>
        <w:t>）的企业将需要：（</w:t>
      </w:r>
      <w:r>
        <w:rPr>
          <w:sz w:val="21"/>
          <w:szCs w:val="21"/>
        </w:rPr>
        <w:t>1</w:t>
      </w:r>
      <w:r>
        <w:rPr>
          <w:rFonts w:hint="eastAsia" w:hAnsi="宋体"/>
          <w:sz w:val="21"/>
          <w:szCs w:val="21"/>
        </w:rPr>
        <w:t>）遵循本特殊控制指南中规定的特定缓解措施，或（</w:t>
      </w:r>
      <w:r>
        <w:rPr>
          <w:sz w:val="21"/>
          <w:szCs w:val="21"/>
        </w:rPr>
        <w:t>2</w:t>
      </w:r>
      <w:r>
        <w:rPr>
          <w:rFonts w:hint="eastAsia" w:hAnsi="宋体"/>
          <w:sz w:val="21"/>
          <w:szCs w:val="21"/>
        </w:rPr>
        <w:t>）使用替代缓解措施，但必须向本机构证明，该企业确定的替代措施至少将提供安全性和有效性的同等保证。</w:t>
      </w:r>
    </w:p>
    <w:p w14:paraId="6206C7A2">
      <w:pPr>
        <w:numPr>
          <w:ilvl w:val="0"/>
          <w:numId w:val="1"/>
        </w:numPr>
        <w:kinsoku w:val="0"/>
        <w:overflowPunct w:val="0"/>
        <w:snapToGrid w:val="0"/>
        <w:spacing w:beforeLines="100" w:afterLines="50" w:line="360" w:lineRule="auto"/>
        <w:ind w:left="422" w:hanging="422" w:hangingChars="200"/>
        <w:jc w:val="both"/>
        <w:outlineLvl w:val="0"/>
        <w:rPr>
          <w:b/>
          <w:bCs/>
          <w:sz w:val="21"/>
          <w:szCs w:val="21"/>
        </w:rPr>
      </w:pPr>
      <w:bookmarkStart w:id="9" w:name="_Toc496790160"/>
      <w:r>
        <w:rPr>
          <w:rFonts w:hint="eastAsia" w:hAnsi="宋体"/>
          <w:b/>
          <w:bCs/>
          <w:sz w:val="21"/>
          <w:szCs w:val="21"/>
        </w:rPr>
        <w:t>登革热病毒背景</w:t>
      </w:r>
      <w:bookmarkEnd w:id="9"/>
    </w:p>
    <w:p w14:paraId="04F405ED">
      <w:pPr>
        <w:pStyle w:val="6"/>
        <w:kinsoku w:val="0"/>
        <w:overflowPunct w:val="0"/>
        <w:snapToGrid w:val="0"/>
        <w:spacing w:afterLines="50" w:line="360" w:lineRule="auto"/>
        <w:ind w:left="0"/>
        <w:jc w:val="both"/>
        <w:rPr>
          <w:sz w:val="21"/>
          <w:szCs w:val="21"/>
          <w:highlight w:val="green"/>
        </w:rPr>
      </w:pPr>
      <w:r>
        <w:rPr>
          <w:sz w:val="21"/>
          <w:szCs w:val="21"/>
        </w:rPr>
        <w:t>DENV</w:t>
      </w:r>
      <w:r>
        <w:rPr>
          <w:rFonts w:hint="eastAsia" w:hAnsi="宋体"/>
          <w:sz w:val="21"/>
          <w:szCs w:val="21"/>
        </w:rPr>
        <w:t>是全球热带和亚热带地区发热性疾病的重要病因。该疾病由四种抗原相关的单链</w:t>
      </w:r>
      <w:r>
        <w:rPr>
          <w:sz w:val="21"/>
          <w:szCs w:val="21"/>
        </w:rPr>
        <w:t>RNA</w:t>
      </w:r>
      <w:r>
        <w:rPr>
          <w:rFonts w:hint="eastAsia" w:hAnsi="宋体"/>
          <w:sz w:val="21"/>
          <w:szCs w:val="21"/>
        </w:rPr>
        <w:t>病毒或血清型（</w:t>
      </w:r>
      <w:r>
        <w:rPr>
          <w:sz w:val="21"/>
          <w:szCs w:val="21"/>
        </w:rPr>
        <w:t>DENV-1</w:t>
      </w:r>
      <w:r>
        <w:rPr>
          <w:rFonts w:hint="eastAsia" w:hAnsi="宋体"/>
          <w:sz w:val="21"/>
          <w:szCs w:val="21"/>
        </w:rPr>
        <w:t>、</w:t>
      </w:r>
      <w:r>
        <w:rPr>
          <w:sz w:val="21"/>
          <w:szCs w:val="21"/>
        </w:rPr>
        <w:t>DENV-2</w:t>
      </w:r>
      <w:r>
        <w:rPr>
          <w:rFonts w:hint="eastAsia" w:hAnsi="宋体"/>
          <w:sz w:val="21"/>
          <w:szCs w:val="21"/>
        </w:rPr>
        <w:t>、</w:t>
      </w:r>
      <w:r>
        <w:rPr>
          <w:sz w:val="21"/>
          <w:szCs w:val="21"/>
        </w:rPr>
        <w:t>DENV-3</w:t>
      </w:r>
      <w:r>
        <w:rPr>
          <w:rFonts w:hint="eastAsia" w:hAnsi="宋体"/>
          <w:sz w:val="21"/>
          <w:szCs w:val="21"/>
        </w:rPr>
        <w:t>和</w:t>
      </w:r>
      <w:r>
        <w:rPr>
          <w:sz w:val="21"/>
          <w:szCs w:val="21"/>
        </w:rPr>
        <w:t>DENV-4</w:t>
      </w:r>
      <w:r>
        <w:rPr>
          <w:rFonts w:hint="eastAsia" w:hAnsi="宋体"/>
          <w:sz w:val="21"/>
          <w:szCs w:val="21"/>
        </w:rPr>
        <w:t>）引起。</w:t>
      </w:r>
      <w:r>
        <w:rPr>
          <w:sz w:val="21"/>
          <w:szCs w:val="21"/>
        </w:rPr>
        <w:t>DENV</w:t>
      </w:r>
      <w:r>
        <w:rPr>
          <w:rFonts w:hint="eastAsia" w:hAnsi="宋体"/>
          <w:sz w:val="21"/>
          <w:szCs w:val="21"/>
        </w:rPr>
        <w:t>是黄病毒科病毒。黄病毒科的其它病毒包括黄热病、日本脑炎和西尼罗河病毒。</w:t>
      </w:r>
      <w:r>
        <w:rPr>
          <w:sz w:val="21"/>
          <w:szCs w:val="21"/>
        </w:rPr>
        <w:t>DENV</w:t>
      </w:r>
      <w:r>
        <w:rPr>
          <w:rFonts w:hint="eastAsia" w:hAnsi="宋体"/>
          <w:sz w:val="21"/>
          <w:szCs w:val="21"/>
        </w:rPr>
        <w:t>由被感染</w:t>
      </w:r>
      <w:r>
        <w:rPr>
          <w:i/>
          <w:iCs/>
          <w:sz w:val="21"/>
          <w:szCs w:val="21"/>
        </w:rPr>
        <w:t>Aedes</w:t>
      </w:r>
      <w:r>
        <w:rPr>
          <w:rFonts w:hint="eastAsia" w:hAnsi="宋体"/>
          <w:sz w:val="21"/>
          <w:szCs w:val="21"/>
        </w:rPr>
        <w:t>的蚊子通过叮咬传播给人类。蚊虫叮咬后的潜伏期，在出现症状前</w:t>
      </w:r>
      <w:r>
        <w:rPr>
          <w:sz w:val="21"/>
          <w:szCs w:val="21"/>
        </w:rPr>
        <w:t>3</w:t>
      </w:r>
      <w:r>
        <w:rPr>
          <w:rFonts w:hint="eastAsia" w:eastAsia="MS Mincho"/>
          <w:sz w:val="21"/>
          <w:szCs w:val="21"/>
        </w:rPr>
        <w:t>〜</w:t>
      </w:r>
      <w:r>
        <w:rPr>
          <w:sz w:val="21"/>
          <w:szCs w:val="21"/>
        </w:rPr>
        <w:t>8</w:t>
      </w:r>
      <w:r>
        <w:rPr>
          <w:rFonts w:hint="eastAsia" w:hAnsi="宋体"/>
          <w:sz w:val="21"/>
          <w:szCs w:val="21"/>
        </w:rPr>
        <w:t>天。原发性或典型性登革热的特征在于高烧和以下两种或更多种症状：严重头痛，眼眶后眼痛，肌痛，斑丘疹，关节痛，淋巴结肿大和白细胞减少症，其通常在五天内自发痊愈。一种更为严重的</w:t>
      </w:r>
      <w:r>
        <w:rPr>
          <w:sz w:val="21"/>
          <w:szCs w:val="21"/>
        </w:rPr>
        <w:t>DENV</w:t>
      </w:r>
      <w:r>
        <w:rPr>
          <w:rFonts w:hint="eastAsia" w:hAnsi="宋体"/>
          <w:sz w:val="21"/>
          <w:szCs w:val="21"/>
        </w:rPr>
        <w:t>疾病称为</w:t>
      </w:r>
      <w:r>
        <w:rPr>
          <w:sz w:val="21"/>
          <w:szCs w:val="21"/>
        </w:rPr>
        <w:t>DHF</w:t>
      </w:r>
      <w:r>
        <w:rPr>
          <w:rFonts w:hint="eastAsia" w:hAnsi="宋体"/>
          <w:sz w:val="21"/>
          <w:szCs w:val="21"/>
        </w:rPr>
        <w:t>，其中一部分患者发展为登革热休克综合征（</w:t>
      </w:r>
      <w:r>
        <w:rPr>
          <w:sz w:val="21"/>
          <w:szCs w:val="21"/>
        </w:rPr>
        <w:t>DSS</w:t>
      </w:r>
      <w:r>
        <w:rPr>
          <w:rFonts w:hint="eastAsia" w:hAnsi="宋体"/>
          <w:sz w:val="21"/>
          <w:szCs w:val="21"/>
        </w:rPr>
        <w:t>）。虽然</w:t>
      </w:r>
      <w:r>
        <w:rPr>
          <w:sz w:val="21"/>
          <w:szCs w:val="21"/>
        </w:rPr>
        <w:t>DHF</w:t>
      </w:r>
      <w:r>
        <w:rPr>
          <w:rFonts w:hint="eastAsia" w:hAnsi="宋体"/>
          <w:sz w:val="21"/>
          <w:szCs w:val="21"/>
        </w:rPr>
        <w:t>可能发生于原发性</w:t>
      </w:r>
      <w:r>
        <w:rPr>
          <w:sz w:val="21"/>
          <w:szCs w:val="21"/>
        </w:rPr>
        <w:t>DENV</w:t>
      </w:r>
      <w:r>
        <w:rPr>
          <w:rFonts w:hint="eastAsia" w:hAnsi="宋体"/>
          <w:sz w:val="21"/>
          <w:szCs w:val="21"/>
        </w:rPr>
        <w:t>感染，但通常发现于由不同</w:t>
      </w:r>
      <w:r>
        <w:rPr>
          <w:sz w:val="21"/>
          <w:szCs w:val="21"/>
        </w:rPr>
        <w:t>DENV</w:t>
      </w:r>
      <w:r>
        <w:rPr>
          <w:rFonts w:hint="eastAsia" w:hAnsi="宋体"/>
          <w:sz w:val="21"/>
          <w:szCs w:val="21"/>
        </w:rPr>
        <w:t>血清型引起的继发性</w:t>
      </w:r>
      <w:r>
        <w:rPr>
          <w:sz w:val="21"/>
          <w:szCs w:val="21"/>
        </w:rPr>
        <w:t>DENV</w:t>
      </w:r>
      <w:r>
        <w:rPr>
          <w:rFonts w:hint="eastAsia" w:hAnsi="宋体"/>
          <w:sz w:val="21"/>
          <w:szCs w:val="21"/>
        </w:rPr>
        <w:t>感染个体。患有</w:t>
      </w:r>
      <w:r>
        <w:rPr>
          <w:sz w:val="21"/>
          <w:szCs w:val="21"/>
        </w:rPr>
        <w:t>DHF</w:t>
      </w:r>
      <w:r>
        <w:rPr>
          <w:rFonts w:hint="eastAsia" w:hAnsi="宋体"/>
          <w:sz w:val="21"/>
          <w:szCs w:val="21"/>
        </w:rPr>
        <w:t>的个体显示出显著的血小板减少症，其可导致严重的出血和休克表现（</w:t>
      </w:r>
      <w:r>
        <w:rPr>
          <w:sz w:val="21"/>
          <w:szCs w:val="21"/>
        </w:rPr>
        <w:t>DHF/DSS</w:t>
      </w:r>
      <w:r>
        <w:rPr>
          <w:rFonts w:hint="eastAsia" w:hAnsi="宋体"/>
          <w:sz w:val="21"/>
          <w:szCs w:val="21"/>
        </w:rPr>
        <w:t>）。药物治疗的病死率低于</w:t>
      </w:r>
      <w:r>
        <w:rPr>
          <w:sz w:val="21"/>
          <w:szCs w:val="21"/>
        </w:rPr>
        <w:t>1.0</w:t>
      </w:r>
      <w:r>
        <w:rPr>
          <w:rFonts w:hint="eastAsia" w:hAnsi="宋体"/>
          <w:sz w:val="21"/>
          <w:szCs w:val="21"/>
        </w:rPr>
        <w:t>％；然而，不住院和治疗的死亡率可达</w:t>
      </w:r>
      <w:r>
        <w:rPr>
          <w:sz w:val="21"/>
          <w:szCs w:val="21"/>
        </w:rPr>
        <w:t>50</w:t>
      </w:r>
      <w:r>
        <w:rPr>
          <w:rFonts w:hint="eastAsia" w:hAnsi="宋体"/>
          <w:sz w:val="21"/>
          <w:szCs w:val="21"/>
        </w:rPr>
        <w:t>％</w:t>
      </w:r>
      <w:r>
        <w:rPr>
          <w:sz w:val="21"/>
          <w:szCs w:val="21"/>
        </w:rPr>
        <w:t>[</w:t>
      </w:r>
      <w:r>
        <w:rPr>
          <w:rFonts w:hint="eastAsia" w:hAnsi="宋体"/>
          <w:sz w:val="21"/>
          <w:szCs w:val="21"/>
        </w:rPr>
        <w:t>参考文献</w:t>
      </w:r>
      <w:r>
        <w:rPr>
          <w:sz w:val="21"/>
          <w:szCs w:val="21"/>
        </w:rPr>
        <w:t>1]</w:t>
      </w:r>
      <w:r>
        <w:rPr>
          <w:rFonts w:hint="eastAsia" w:hAnsi="宋体"/>
          <w:sz w:val="21"/>
          <w:szCs w:val="21"/>
        </w:rPr>
        <w:t>。</w:t>
      </w:r>
    </w:p>
    <w:p w14:paraId="23B0CACC">
      <w:pPr>
        <w:numPr>
          <w:ilvl w:val="0"/>
          <w:numId w:val="1"/>
        </w:numPr>
        <w:kinsoku w:val="0"/>
        <w:overflowPunct w:val="0"/>
        <w:snapToGrid w:val="0"/>
        <w:spacing w:afterLines="50" w:line="360" w:lineRule="auto"/>
        <w:ind w:left="422" w:hanging="422" w:hangingChars="200"/>
        <w:jc w:val="both"/>
        <w:outlineLvl w:val="0"/>
        <w:rPr>
          <w:b/>
          <w:bCs/>
          <w:sz w:val="21"/>
          <w:szCs w:val="21"/>
        </w:rPr>
      </w:pPr>
      <w:r>
        <w:rPr>
          <w:b/>
          <w:bCs/>
          <w:sz w:val="21"/>
          <w:szCs w:val="21"/>
        </w:rPr>
        <w:br w:type="page"/>
      </w:r>
      <w:bookmarkStart w:id="10" w:name="_Toc496790161"/>
      <w:r>
        <w:rPr>
          <w:rFonts w:hint="eastAsia" w:hAnsi="宋体"/>
          <w:b/>
          <w:bCs/>
          <w:sz w:val="21"/>
          <w:szCs w:val="21"/>
        </w:rPr>
        <w:t>上市前通知</w:t>
      </w:r>
      <w:r>
        <w:rPr>
          <w:b/>
          <w:bCs/>
          <w:sz w:val="21"/>
          <w:szCs w:val="21"/>
        </w:rPr>
        <w:t xml:space="preserve"> - </w:t>
      </w:r>
      <w:r>
        <w:rPr>
          <w:rFonts w:hint="eastAsia" w:hAnsi="宋体"/>
          <w:b/>
          <w:bCs/>
          <w:sz w:val="21"/>
          <w:szCs w:val="21"/>
        </w:rPr>
        <w:t>背景</w:t>
      </w:r>
      <w:bookmarkEnd w:id="10"/>
    </w:p>
    <w:p w14:paraId="0F68ADD5">
      <w:pPr>
        <w:pStyle w:val="6"/>
        <w:tabs>
          <w:tab w:val="left" w:pos="851"/>
        </w:tabs>
        <w:kinsoku w:val="0"/>
        <w:overflowPunct w:val="0"/>
        <w:snapToGrid w:val="0"/>
        <w:spacing w:afterLines="50" w:line="360" w:lineRule="auto"/>
        <w:ind w:left="0"/>
        <w:jc w:val="both"/>
        <w:rPr>
          <w:sz w:val="21"/>
          <w:szCs w:val="21"/>
        </w:rPr>
      </w:pPr>
      <w:r>
        <w:rPr>
          <w:sz w:val="21"/>
          <w:szCs w:val="21"/>
        </w:rPr>
        <w:t>FDA</w:t>
      </w:r>
      <w:r>
        <w:rPr>
          <w:rFonts w:hint="eastAsia" w:hAnsi="宋体"/>
          <w:sz w:val="21"/>
          <w:szCs w:val="21"/>
        </w:rPr>
        <w:t>得出结论，有必要采取特殊控制结合</w:t>
      </w:r>
      <w:r>
        <w:rPr>
          <w:sz w:val="21"/>
          <w:szCs w:val="21"/>
        </w:rPr>
        <w:t>“</w:t>
      </w:r>
      <w:r>
        <w:rPr>
          <w:rFonts w:hint="eastAsia" w:hAnsi="宋体"/>
          <w:sz w:val="21"/>
          <w:szCs w:val="21"/>
        </w:rPr>
        <w:t>联邦食品、药品和化妆品法案</w:t>
      </w:r>
      <w:r>
        <w:rPr>
          <w:sz w:val="21"/>
          <w:szCs w:val="21"/>
        </w:rPr>
        <w:t>”</w:t>
      </w:r>
      <w:r>
        <w:rPr>
          <w:rFonts w:hint="eastAsia" w:hAnsi="宋体"/>
          <w:sz w:val="21"/>
          <w:szCs w:val="21"/>
        </w:rPr>
        <w:t>（</w:t>
      </w:r>
      <w:r>
        <w:rPr>
          <w:sz w:val="21"/>
          <w:szCs w:val="21"/>
        </w:rPr>
        <w:t>FD</w:t>
      </w:r>
      <w:r>
        <w:rPr>
          <w:rFonts w:hint="eastAsia" w:hAnsi="宋体"/>
          <w:sz w:val="21"/>
          <w:szCs w:val="21"/>
        </w:rPr>
        <w:t>＆</w:t>
      </w:r>
      <w:r>
        <w:rPr>
          <w:sz w:val="21"/>
          <w:szCs w:val="21"/>
        </w:rPr>
        <w:t>C</w:t>
      </w:r>
      <w:r>
        <w:rPr>
          <w:rFonts w:hint="eastAsia" w:hAnsi="宋体"/>
          <w:sz w:val="21"/>
          <w:szCs w:val="21"/>
        </w:rPr>
        <w:t>法案）的通用管制，以为</w:t>
      </w:r>
      <w:r>
        <w:rPr>
          <w:sz w:val="21"/>
          <w:szCs w:val="21"/>
        </w:rPr>
        <w:t>DENV</w:t>
      </w:r>
      <w:r>
        <w:rPr>
          <w:rFonts w:hint="eastAsia" w:hAnsi="宋体"/>
          <w:sz w:val="21"/>
          <w:szCs w:val="21"/>
        </w:rPr>
        <w:t>血清学试剂的安全性和有效性提供合理保证。拟销售该类型器械的制造商必须：（</w:t>
      </w:r>
      <w:r>
        <w:rPr>
          <w:sz w:val="21"/>
          <w:szCs w:val="21"/>
        </w:rPr>
        <w:t>1</w:t>
      </w:r>
      <w:r>
        <w:rPr>
          <w:rFonts w:hint="eastAsia" w:hAnsi="宋体"/>
          <w:sz w:val="21"/>
          <w:szCs w:val="21"/>
        </w:rPr>
        <w:t>）遵循</w:t>
      </w:r>
      <w:r>
        <w:rPr>
          <w:sz w:val="21"/>
          <w:szCs w:val="21"/>
        </w:rPr>
        <w:t>FD</w:t>
      </w:r>
      <w:r>
        <w:rPr>
          <w:rFonts w:hint="eastAsia" w:hAnsi="宋体"/>
          <w:sz w:val="21"/>
          <w:szCs w:val="21"/>
        </w:rPr>
        <w:t>＆</w:t>
      </w:r>
      <w:r>
        <w:rPr>
          <w:sz w:val="21"/>
          <w:szCs w:val="21"/>
        </w:rPr>
        <w:t>C</w:t>
      </w:r>
      <w:r>
        <w:rPr>
          <w:rFonts w:hint="eastAsia" w:hAnsi="宋体"/>
          <w:sz w:val="21"/>
          <w:szCs w:val="21"/>
        </w:rPr>
        <w:t>法案的通用管制要求，包括</w:t>
      </w:r>
      <w:r>
        <w:rPr>
          <w:sz w:val="21"/>
          <w:szCs w:val="21"/>
        </w:rPr>
        <w:t>21 CFR 807</w:t>
      </w:r>
      <w:r>
        <w:rPr>
          <w:rFonts w:hint="eastAsia" w:hAnsi="宋体"/>
          <w:sz w:val="21"/>
          <w:szCs w:val="21"/>
        </w:rPr>
        <w:t>子部分</w:t>
      </w:r>
      <w:r>
        <w:rPr>
          <w:sz w:val="21"/>
          <w:szCs w:val="21"/>
        </w:rPr>
        <w:t>E</w:t>
      </w:r>
      <w:r>
        <w:rPr>
          <w:rFonts w:hint="eastAsia" w:hAnsi="宋体"/>
          <w:sz w:val="21"/>
          <w:szCs w:val="21"/>
        </w:rPr>
        <w:t>所述的上市前通知要求；（</w:t>
      </w:r>
      <w:r>
        <w:rPr>
          <w:sz w:val="21"/>
          <w:szCs w:val="21"/>
        </w:rPr>
        <w:t>2</w:t>
      </w:r>
      <w:r>
        <w:rPr>
          <w:rFonts w:hint="eastAsia" w:hAnsi="宋体"/>
          <w:sz w:val="21"/>
          <w:szCs w:val="21"/>
        </w:rPr>
        <w:t>）解决本指南中确定的特定安全性和有效性问题；（</w:t>
      </w:r>
      <w:r>
        <w:rPr>
          <w:sz w:val="21"/>
          <w:szCs w:val="21"/>
        </w:rPr>
        <w:t>3</w:t>
      </w:r>
      <w:r>
        <w:rPr>
          <w:rFonts w:hint="eastAsia" w:hAnsi="宋体"/>
          <w:sz w:val="21"/>
          <w:szCs w:val="21"/>
        </w:rPr>
        <w:t>）在销售该器械前获得</w:t>
      </w:r>
      <w:r>
        <w:rPr>
          <w:sz w:val="21"/>
          <w:szCs w:val="21"/>
        </w:rPr>
        <w:t>FDA</w:t>
      </w:r>
      <w:r>
        <w:rPr>
          <w:rFonts w:hint="eastAsia" w:hAnsi="宋体"/>
          <w:sz w:val="21"/>
          <w:szCs w:val="21"/>
        </w:rPr>
        <w:t>的实质等同性判定。</w:t>
      </w:r>
    </w:p>
    <w:p w14:paraId="7A4D52D9">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本指南确定了</w:t>
      </w:r>
      <w:r>
        <w:rPr>
          <w:sz w:val="21"/>
          <w:szCs w:val="21"/>
        </w:rPr>
        <w:t>DENV</w:t>
      </w:r>
      <w:r>
        <w:rPr>
          <w:rFonts w:hint="eastAsia" w:hAnsi="宋体"/>
          <w:sz w:val="21"/>
          <w:szCs w:val="21"/>
        </w:rPr>
        <w:t>血清学试剂的分类规定。此外，本特殊控制指南的其它部分列出了健康风险，并描述了缓解措施，如果制造商遵循这些措施并结合通用管制措施，通常将能解决与该器械相关的风险，并将有助于上市前通知（</w:t>
      </w:r>
      <w:r>
        <w:rPr>
          <w:sz w:val="21"/>
          <w:szCs w:val="21"/>
        </w:rPr>
        <w:t>510</w:t>
      </w:r>
      <w:r>
        <w:rPr>
          <w:rFonts w:hint="eastAsia" w:hAnsi="宋体"/>
          <w:sz w:val="21"/>
          <w:szCs w:val="21"/>
        </w:rPr>
        <w:t>（</w:t>
      </w:r>
      <w:r>
        <w:rPr>
          <w:sz w:val="21"/>
          <w:szCs w:val="21"/>
        </w:rPr>
        <w:t>k</w:t>
      </w:r>
      <w:r>
        <w:rPr>
          <w:rFonts w:hint="eastAsia" w:hAnsi="宋体"/>
          <w:sz w:val="21"/>
          <w:szCs w:val="21"/>
        </w:rPr>
        <w:t>））的及时审查。本文件补充有关</w:t>
      </w:r>
      <w:r>
        <w:rPr>
          <w:sz w:val="21"/>
          <w:szCs w:val="21"/>
        </w:rPr>
        <w:t>DENV</w:t>
      </w:r>
      <w:r>
        <w:rPr>
          <w:rFonts w:hint="eastAsia" w:hAnsi="宋体"/>
          <w:sz w:val="21"/>
          <w:szCs w:val="21"/>
        </w:rPr>
        <w:t>血清学试剂上市前通知申请的具体内容要求的其它</w:t>
      </w:r>
      <w:r>
        <w:rPr>
          <w:sz w:val="21"/>
          <w:szCs w:val="21"/>
        </w:rPr>
        <w:t>FDA</w:t>
      </w:r>
      <w:r>
        <w:rPr>
          <w:rFonts w:hint="eastAsia" w:hAnsi="宋体"/>
          <w:sz w:val="21"/>
          <w:szCs w:val="21"/>
        </w:rPr>
        <w:t>文件。有关</w:t>
      </w:r>
      <w:r>
        <w:rPr>
          <w:sz w:val="21"/>
          <w:szCs w:val="21"/>
        </w:rPr>
        <w:t>510</w:t>
      </w:r>
      <w:r>
        <w:rPr>
          <w:rFonts w:hint="eastAsia" w:hAnsi="宋体"/>
          <w:sz w:val="21"/>
          <w:szCs w:val="21"/>
        </w:rPr>
        <w:t>（</w:t>
      </w:r>
      <w:r>
        <w:rPr>
          <w:sz w:val="21"/>
          <w:szCs w:val="21"/>
        </w:rPr>
        <w:t>k</w:t>
      </w:r>
      <w:r>
        <w:rPr>
          <w:rFonts w:hint="eastAsia" w:hAnsi="宋体"/>
          <w:sz w:val="21"/>
          <w:szCs w:val="21"/>
        </w:rPr>
        <w:t>）提交的其它信息，请参阅</w:t>
      </w:r>
      <w:r>
        <w:rPr>
          <w:sz w:val="21"/>
          <w:szCs w:val="21"/>
        </w:rPr>
        <w:t>21 CFR 807.87</w:t>
      </w:r>
      <w:r>
        <w:rPr>
          <w:rFonts w:hint="eastAsia" w:hAnsi="宋体"/>
          <w:sz w:val="21"/>
          <w:szCs w:val="21"/>
        </w:rPr>
        <w:t>和器械和放射健康中心（</w:t>
      </w:r>
      <w:r>
        <w:rPr>
          <w:sz w:val="21"/>
          <w:szCs w:val="21"/>
        </w:rPr>
        <w:t>CDRH</w:t>
      </w:r>
      <w:r>
        <w:rPr>
          <w:rFonts w:hint="eastAsia" w:hAnsi="宋体"/>
          <w:sz w:val="21"/>
          <w:szCs w:val="21"/>
        </w:rPr>
        <w:t>）器械建议：综合监管援助。</w:t>
      </w:r>
      <w:r>
        <w:rPr>
          <w:sz w:val="21"/>
          <w:szCs w:val="21"/>
          <w:vertAlign w:val="superscript"/>
        </w:rPr>
        <w:t>1</w:t>
      </w:r>
    </w:p>
    <w:p w14:paraId="7A0AA4DE">
      <w:pPr>
        <w:numPr>
          <w:ilvl w:val="0"/>
          <w:numId w:val="1"/>
        </w:numPr>
        <w:kinsoku w:val="0"/>
        <w:overflowPunct w:val="0"/>
        <w:snapToGrid w:val="0"/>
        <w:spacing w:afterLines="50" w:line="360" w:lineRule="auto"/>
        <w:ind w:left="422" w:hanging="422" w:hangingChars="200"/>
        <w:jc w:val="both"/>
        <w:outlineLvl w:val="0"/>
        <w:rPr>
          <w:b/>
          <w:bCs/>
          <w:sz w:val="21"/>
          <w:szCs w:val="21"/>
        </w:rPr>
      </w:pPr>
      <w:bookmarkStart w:id="11" w:name="_Toc496790162"/>
      <w:r>
        <w:rPr>
          <w:rFonts w:hint="eastAsia" w:hAnsi="宋体"/>
          <w:b/>
          <w:bCs/>
          <w:sz w:val="21"/>
          <w:szCs w:val="21"/>
        </w:rPr>
        <w:t>适用范围</w:t>
      </w:r>
      <w:bookmarkEnd w:id="11"/>
    </w:p>
    <w:p w14:paraId="1D695E43">
      <w:pPr>
        <w:pStyle w:val="6"/>
        <w:tabs>
          <w:tab w:val="left" w:pos="851"/>
        </w:tabs>
        <w:kinsoku w:val="0"/>
        <w:overflowPunct w:val="0"/>
        <w:snapToGrid w:val="0"/>
        <w:spacing w:afterLines="50" w:line="360" w:lineRule="auto"/>
        <w:ind w:left="0"/>
        <w:jc w:val="both"/>
        <w:rPr>
          <w:b/>
          <w:sz w:val="21"/>
          <w:szCs w:val="21"/>
        </w:rPr>
      </w:pPr>
      <w:r>
        <w:rPr>
          <w:rFonts w:hint="eastAsia" w:hAnsi="宋体"/>
          <w:sz w:val="21"/>
          <w:szCs w:val="21"/>
        </w:rPr>
        <w:t>本文件的适用范围仅限于按照</w:t>
      </w:r>
      <w:r>
        <w:rPr>
          <w:sz w:val="21"/>
          <w:szCs w:val="21"/>
        </w:rPr>
        <w:t>21 CFR 866.3945</w:t>
      </w:r>
      <w:r>
        <w:rPr>
          <w:rFonts w:hint="eastAsia" w:hAnsi="宋体"/>
          <w:sz w:val="21"/>
          <w:szCs w:val="21"/>
        </w:rPr>
        <w:t>鉴别和分类的器械。</w:t>
      </w:r>
    </w:p>
    <w:p w14:paraId="0D3620B5">
      <w:pPr>
        <w:pStyle w:val="6"/>
        <w:tabs>
          <w:tab w:val="left" w:pos="851"/>
        </w:tabs>
        <w:kinsoku w:val="0"/>
        <w:overflowPunct w:val="0"/>
        <w:snapToGrid w:val="0"/>
        <w:spacing w:afterLines="50" w:line="360" w:lineRule="auto"/>
        <w:ind w:left="0"/>
        <w:jc w:val="both"/>
        <w:rPr>
          <w:sz w:val="21"/>
          <w:szCs w:val="21"/>
        </w:rPr>
      </w:pPr>
      <w:r>
        <w:rPr>
          <w:b/>
          <w:sz w:val="21"/>
          <w:szCs w:val="21"/>
        </w:rPr>
        <w:t>21 CFR 866.3945</w:t>
      </w:r>
      <w:r>
        <w:rPr>
          <w:rFonts w:hint="eastAsia"/>
          <w:sz w:val="21"/>
          <w:szCs w:val="21"/>
        </w:rPr>
        <w:t>—</w:t>
      </w:r>
      <w:r>
        <w:rPr>
          <w:rFonts w:hint="eastAsia" w:hAnsi="宋体"/>
          <w:sz w:val="21"/>
          <w:szCs w:val="21"/>
        </w:rPr>
        <w:t>登革热病毒血清学试剂</w:t>
      </w:r>
    </w:p>
    <w:p w14:paraId="2556E25C">
      <w:pPr>
        <w:pStyle w:val="6"/>
        <w:numPr>
          <w:ilvl w:val="0"/>
          <w:numId w:val="2"/>
        </w:numPr>
        <w:tabs>
          <w:tab w:val="left" w:pos="851"/>
        </w:tabs>
        <w:kinsoku w:val="0"/>
        <w:overflowPunct w:val="0"/>
        <w:snapToGrid w:val="0"/>
        <w:spacing w:afterLines="50" w:line="360" w:lineRule="auto"/>
        <w:ind w:left="425" w:leftChars="177" w:firstLine="0"/>
        <w:jc w:val="both"/>
        <w:rPr>
          <w:sz w:val="21"/>
          <w:szCs w:val="21"/>
        </w:rPr>
      </w:pPr>
      <w:r>
        <w:rPr>
          <w:rFonts w:hint="eastAsia" w:hAnsi="宋体"/>
          <w:sz w:val="21"/>
          <w:szCs w:val="21"/>
        </w:rPr>
        <w:t>鉴别。登革热病血清学试剂是由抗原和抗体组成的一种器械，用于检测具有登革热或出血性登革热的指征和症状的个体中的登革热病毒和登革热抗体。该检测辅助临床实验室诊断登革热病毒感染引起的登革热或出血性登革热。</w:t>
      </w:r>
    </w:p>
    <w:p w14:paraId="6A9ED33E">
      <w:pPr>
        <w:pStyle w:val="6"/>
        <w:numPr>
          <w:ilvl w:val="0"/>
          <w:numId w:val="2"/>
        </w:numPr>
        <w:tabs>
          <w:tab w:val="left" w:pos="851"/>
        </w:tabs>
        <w:kinsoku w:val="0"/>
        <w:overflowPunct w:val="0"/>
        <w:snapToGrid w:val="0"/>
        <w:spacing w:afterLines="50" w:line="360" w:lineRule="auto"/>
        <w:ind w:left="425" w:leftChars="177" w:firstLine="0"/>
        <w:jc w:val="both"/>
        <w:rPr>
          <w:sz w:val="21"/>
          <w:szCs w:val="21"/>
        </w:rPr>
      </w:pPr>
      <w:r>
        <w:rPr>
          <w:rFonts w:hint="eastAsia" w:hAnsi="宋体"/>
          <w:sz w:val="21"/>
          <w:szCs w:val="21"/>
        </w:rPr>
        <w:t>分类。</w:t>
      </w:r>
      <w:r>
        <w:rPr>
          <w:sz w:val="21"/>
          <w:szCs w:val="21"/>
        </w:rPr>
        <w:t>II</w:t>
      </w:r>
      <w:r>
        <w:rPr>
          <w:rFonts w:hint="eastAsia" w:hAnsi="宋体"/>
          <w:sz w:val="21"/>
          <w:szCs w:val="21"/>
        </w:rPr>
        <w:t>类（特殊控制）。特殊控制文件是</w:t>
      </w:r>
      <w:r>
        <w:rPr>
          <w:sz w:val="21"/>
          <w:szCs w:val="21"/>
        </w:rPr>
        <w:t>FDA</w:t>
      </w:r>
      <w:r>
        <w:rPr>
          <w:rFonts w:hint="eastAsia" w:hAnsi="宋体"/>
          <w:sz w:val="21"/>
          <w:szCs w:val="21"/>
        </w:rPr>
        <w:t>指南</w:t>
      </w:r>
      <w:r>
        <w:rPr>
          <w:sz w:val="21"/>
          <w:szCs w:val="21"/>
        </w:rPr>
        <w:t>“II</w:t>
      </w:r>
      <w:r>
        <w:rPr>
          <w:rFonts w:hint="eastAsia" w:hAnsi="宋体"/>
          <w:sz w:val="21"/>
          <w:szCs w:val="21"/>
        </w:rPr>
        <w:t>类特殊控制指南：登革热病毒血清学试剂</w:t>
      </w:r>
      <w:r>
        <w:rPr>
          <w:sz w:val="21"/>
          <w:szCs w:val="21"/>
        </w:rPr>
        <w:t>”</w:t>
      </w:r>
      <w:r>
        <w:rPr>
          <w:rFonts w:hint="eastAsia" w:hAnsi="宋体"/>
          <w:sz w:val="21"/>
          <w:szCs w:val="21"/>
        </w:rPr>
        <w:t>。有关本指南文件的可用性，请参阅</w:t>
      </w:r>
      <w:r>
        <w:rPr>
          <w:sz w:val="21"/>
          <w:szCs w:val="21"/>
        </w:rPr>
        <w:t>§866.1</w:t>
      </w:r>
      <w:r>
        <w:rPr>
          <w:rFonts w:hint="eastAsia" w:hAnsi="宋体"/>
          <w:sz w:val="21"/>
          <w:szCs w:val="21"/>
        </w:rPr>
        <w:t>（</w:t>
      </w:r>
      <w:r>
        <w:rPr>
          <w:sz w:val="21"/>
          <w:szCs w:val="21"/>
        </w:rPr>
        <w:t>e</w:t>
      </w:r>
      <w:r>
        <w:rPr>
          <w:rFonts w:hint="eastAsia" w:hAnsi="宋体"/>
          <w:sz w:val="21"/>
          <w:szCs w:val="21"/>
        </w:rPr>
        <w:t>）。</w:t>
      </w:r>
    </w:p>
    <w:p w14:paraId="25A591BC">
      <w:pPr>
        <w:kinsoku w:val="0"/>
        <w:overflowPunct w:val="0"/>
        <w:snapToGrid w:val="0"/>
        <w:spacing w:afterLines="50" w:line="360" w:lineRule="auto"/>
        <w:jc w:val="both"/>
        <w:rPr>
          <w:sz w:val="21"/>
          <w:szCs w:val="21"/>
        </w:rPr>
      </w:pPr>
    </w:p>
    <w:p w14:paraId="1535CF5E">
      <w:pPr>
        <w:kinsoku w:val="0"/>
        <w:overflowPunct w:val="0"/>
        <w:snapToGrid w:val="0"/>
        <w:spacing w:afterLines="50" w:line="360" w:lineRule="auto"/>
        <w:jc w:val="both"/>
        <w:rPr>
          <w:sz w:val="21"/>
          <w:szCs w:val="21"/>
        </w:rPr>
      </w:pPr>
    </w:p>
    <w:p w14:paraId="419E66F9">
      <w:pPr>
        <w:kinsoku w:val="0"/>
        <w:overflowPunct w:val="0"/>
        <w:snapToGrid w:val="0"/>
        <w:spacing w:afterLines="50" w:line="360" w:lineRule="auto"/>
        <w:jc w:val="both"/>
        <w:rPr>
          <w:sz w:val="21"/>
          <w:szCs w:val="21"/>
        </w:rPr>
      </w:pPr>
    </w:p>
    <w:p w14:paraId="7B2E47E7">
      <w:pPr>
        <w:kinsoku w:val="0"/>
        <w:overflowPunct w:val="0"/>
        <w:snapToGrid w:val="0"/>
        <w:spacing w:afterLines="50" w:line="360" w:lineRule="auto"/>
        <w:jc w:val="both"/>
        <w:rPr>
          <w:sz w:val="21"/>
          <w:szCs w:val="21"/>
        </w:rPr>
      </w:pPr>
    </w:p>
    <w:p w14:paraId="583F4C83">
      <w:pPr>
        <w:kinsoku w:val="0"/>
        <w:overflowPunct w:val="0"/>
        <w:snapToGrid w:val="0"/>
        <w:spacing w:afterLines="50" w:line="360" w:lineRule="auto"/>
        <w:jc w:val="both"/>
        <w:rPr>
          <w:sz w:val="21"/>
          <w:szCs w:val="21"/>
        </w:rPr>
      </w:pPr>
    </w:p>
    <w:p w14:paraId="1F5D5341">
      <w:pPr>
        <w:kinsoku w:val="0"/>
        <w:overflowPunct w:val="0"/>
        <w:snapToGrid w:val="0"/>
        <w:spacing w:afterLines="50" w:line="360" w:lineRule="auto"/>
        <w:jc w:val="both"/>
        <w:rPr>
          <w:sz w:val="21"/>
          <w:szCs w:val="21"/>
        </w:rPr>
      </w:pPr>
    </w:p>
    <w:p w14:paraId="06D6B3FD">
      <w:pPr>
        <w:kinsoku w:val="0"/>
        <w:overflowPunct w:val="0"/>
        <w:snapToGrid w:val="0"/>
        <w:spacing w:afterLines="50" w:line="360" w:lineRule="auto"/>
        <w:jc w:val="both"/>
        <w:rPr>
          <w:sz w:val="21"/>
          <w:szCs w:val="21"/>
        </w:rPr>
      </w:pPr>
    </w:p>
    <w:p w14:paraId="2C919C98">
      <w:pPr>
        <w:kinsoku w:val="0"/>
        <w:overflowPunct w:val="0"/>
        <w:snapToGrid w:val="0"/>
        <w:spacing w:afterLines="50" w:line="360" w:lineRule="auto"/>
        <w:jc w:val="both"/>
        <w:rPr>
          <w:sz w:val="21"/>
          <w:szCs w:val="21"/>
        </w:rPr>
      </w:pPr>
    </w:p>
    <w:p w14:paraId="494AA7C1">
      <w:pPr>
        <w:kinsoku w:val="0"/>
        <w:overflowPunct w:val="0"/>
        <w:snapToGrid w:val="0"/>
        <w:spacing w:afterLines="50" w:line="360" w:lineRule="auto"/>
        <w:jc w:val="both"/>
        <w:rPr>
          <w:sz w:val="21"/>
          <w:szCs w:val="21"/>
        </w:rPr>
      </w:pPr>
      <w:r>
        <w:rPr>
          <w:sz w:val="21"/>
          <w:szCs w:val="21"/>
        </w:rPr>
        <w:t>___________________</w:t>
      </w:r>
    </w:p>
    <w:p w14:paraId="15AFE423">
      <w:pPr>
        <w:numPr>
          <w:ilvl w:val="0"/>
          <w:numId w:val="3"/>
        </w:numPr>
        <w:kinsoku w:val="0"/>
        <w:overflowPunct w:val="0"/>
        <w:snapToGrid w:val="0"/>
        <w:spacing w:afterLines="50" w:line="360" w:lineRule="auto"/>
        <w:ind w:left="360" w:hanging="360" w:hangingChars="200"/>
        <w:jc w:val="both"/>
        <w:rPr>
          <w:sz w:val="18"/>
          <w:szCs w:val="18"/>
        </w:rPr>
      </w:pPr>
      <w:bookmarkStart w:id="12" w:name="5.__Risks_to_Health"/>
      <w:bookmarkEnd w:id="12"/>
      <w:bookmarkStart w:id="13" w:name="bookmark3"/>
      <w:bookmarkEnd w:id="13"/>
      <w:bookmarkStart w:id="14" w:name="bookmark4"/>
      <w:bookmarkEnd w:id="14"/>
      <w:r>
        <w:rPr>
          <w:sz w:val="18"/>
          <w:szCs w:val="18"/>
          <w:u w:val="single"/>
        </w:rPr>
        <w:t>http://www.fda.gov/MedicalDevices/DeviceRegulationandGuidance/default.htm.</w:t>
      </w:r>
    </w:p>
    <w:p w14:paraId="1A483A0E">
      <w:pPr>
        <w:numPr>
          <w:ilvl w:val="0"/>
          <w:numId w:val="1"/>
        </w:numPr>
        <w:kinsoku w:val="0"/>
        <w:overflowPunct w:val="0"/>
        <w:snapToGrid w:val="0"/>
        <w:spacing w:afterLines="50" w:line="360" w:lineRule="auto"/>
        <w:ind w:left="420" w:hanging="420" w:hangingChars="200"/>
        <w:jc w:val="both"/>
        <w:outlineLvl w:val="0"/>
        <w:rPr>
          <w:sz w:val="21"/>
          <w:szCs w:val="21"/>
        </w:rPr>
      </w:pPr>
      <w:r>
        <w:rPr>
          <w:sz w:val="21"/>
          <w:szCs w:val="21"/>
        </w:rPr>
        <w:br w:type="page"/>
      </w:r>
      <w:bookmarkStart w:id="15" w:name="_Toc496790163"/>
      <w:r>
        <w:rPr>
          <w:rFonts w:hint="eastAsia" w:hAnsi="宋体"/>
          <w:b/>
          <w:bCs/>
          <w:sz w:val="21"/>
          <w:szCs w:val="21"/>
        </w:rPr>
        <w:t>健康风险</w:t>
      </w:r>
      <w:bookmarkEnd w:id="15"/>
    </w:p>
    <w:p w14:paraId="3024A553">
      <w:pPr>
        <w:pStyle w:val="6"/>
        <w:tabs>
          <w:tab w:val="left" w:pos="851"/>
        </w:tabs>
        <w:kinsoku w:val="0"/>
        <w:overflowPunct w:val="0"/>
        <w:snapToGrid w:val="0"/>
        <w:spacing w:afterLines="50" w:line="360" w:lineRule="auto"/>
        <w:ind w:left="0"/>
        <w:jc w:val="both"/>
        <w:rPr>
          <w:sz w:val="21"/>
          <w:szCs w:val="21"/>
        </w:rPr>
      </w:pPr>
      <w:r>
        <w:rPr>
          <w:sz w:val="21"/>
          <w:szCs w:val="21"/>
        </w:rPr>
        <w:t>FDA</w:t>
      </w:r>
      <w:r>
        <w:rPr>
          <w:rFonts w:hint="eastAsia" w:hAnsi="宋体"/>
          <w:sz w:val="21"/>
          <w:szCs w:val="21"/>
        </w:rPr>
        <w:t>已经确定了假阴性检测结果和假阳性检测结果的风险，这两者都可能导致个人和</w:t>
      </w:r>
      <w:r>
        <w:rPr>
          <w:sz w:val="21"/>
          <w:szCs w:val="21"/>
        </w:rPr>
        <w:t>/</w:t>
      </w:r>
      <w:r>
        <w:rPr>
          <w:rFonts w:hint="eastAsia" w:hAnsi="宋体"/>
          <w:sz w:val="21"/>
          <w:szCs w:val="21"/>
        </w:rPr>
        <w:t>或公共健康后果，因此，与该器械相关的健康风险需要特殊控制。</w:t>
      </w:r>
    </w:p>
    <w:p w14:paraId="040799D5">
      <w:pPr>
        <w:pStyle w:val="6"/>
        <w:tabs>
          <w:tab w:val="left" w:pos="851"/>
        </w:tabs>
        <w:kinsoku w:val="0"/>
        <w:overflowPunct w:val="0"/>
        <w:snapToGrid w:val="0"/>
        <w:spacing w:afterLines="50" w:line="360" w:lineRule="auto"/>
        <w:ind w:left="0"/>
        <w:jc w:val="both"/>
        <w:rPr>
          <w:sz w:val="21"/>
          <w:szCs w:val="21"/>
        </w:rPr>
      </w:pPr>
      <w:r>
        <w:rPr>
          <w:sz w:val="21"/>
          <w:szCs w:val="21"/>
        </w:rPr>
        <w:t>DENV</w:t>
      </w:r>
      <w:r>
        <w:rPr>
          <w:rFonts w:hint="eastAsia" w:hAnsi="宋体"/>
          <w:sz w:val="21"/>
          <w:szCs w:val="21"/>
        </w:rPr>
        <w:t>血清学试剂按照指示检测失败或结果解释错误都可能导致误诊，对患者管理有重大影响。</w:t>
      </w:r>
    </w:p>
    <w:p w14:paraId="19E903A4">
      <w:pPr>
        <w:pStyle w:val="6"/>
        <w:kinsoku w:val="0"/>
        <w:overflowPunct w:val="0"/>
        <w:snapToGrid w:val="0"/>
        <w:spacing w:afterLines="50" w:line="360" w:lineRule="auto"/>
        <w:ind w:left="0"/>
        <w:jc w:val="both"/>
        <w:rPr>
          <w:sz w:val="21"/>
          <w:szCs w:val="21"/>
        </w:rPr>
      </w:pPr>
      <w:r>
        <w:rPr>
          <w:rFonts w:hint="eastAsia" w:hAnsi="宋体"/>
          <w:sz w:val="21"/>
          <w:szCs w:val="21"/>
        </w:rPr>
        <w:t>个人的假阳性检测结果可能会导致不必要的治疗，也可能导致疏于对真正病因的实验室评价；在疫情调查的情况下，假阳性结果可能导致不必要的启动带菌蚊子控制措施。</w:t>
      </w:r>
    </w:p>
    <w:p w14:paraId="45B89951">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假阴性结果可能导致不适当地使用抗生素或未能接受适当的静脉注射液或血小板输注治疗，假阴性结果也可能导致延误疫情爆发原因的确认，并延误启动适当的带菌蚊子控制措施。</w:t>
      </w:r>
    </w:p>
    <w:p w14:paraId="022B2414">
      <w:pPr>
        <w:pStyle w:val="6"/>
        <w:kinsoku w:val="0"/>
        <w:overflowPunct w:val="0"/>
        <w:snapToGrid w:val="0"/>
        <w:spacing w:afterLines="50" w:line="360" w:lineRule="auto"/>
        <w:ind w:left="0"/>
        <w:jc w:val="both"/>
        <w:rPr>
          <w:sz w:val="21"/>
          <w:szCs w:val="21"/>
          <w:highlight w:val="green"/>
        </w:rPr>
      </w:pPr>
      <w:r>
        <w:rPr>
          <w:rFonts w:hint="eastAsia" w:hAnsi="宋体"/>
          <w:sz w:val="21"/>
          <w:szCs w:val="21"/>
        </w:rPr>
        <w:t>登革热感染的症状（即：发烧，头痛，关节痛，眼眶痛，皮疹，淋巴结肿大和白细胞减少症）与急性发热性疾病的其它病因重叠。在没有能够明确区分</w:t>
      </w:r>
      <w:r>
        <w:rPr>
          <w:sz w:val="21"/>
          <w:szCs w:val="21"/>
        </w:rPr>
        <w:t>DENV</w:t>
      </w:r>
      <w:r>
        <w:rPr>
          <w:rFonts w:hint="eastAsia" w:hAnsi="宋体"/>
          <w:sz w:val="21"/>
          <w:szCs w:val="21"/>
        </w:rPr>
        <w:t>感染与其它发热性疾病的症状或体征的情况下，</w:t>
      </w:r>
      <w:r>
        <w:rPr>
          <w:sz w:val="21"/>
          <w:szCs w:val="21"/>
        </w:rPr>
        <w:t>DENV</w:t>
      </w:r>
      <w:r>
        <w:rPr>
          <w:rFonts w:hint="eastAsia" w:hAnsi="宋体"/>
          <w:sz w:val="21"/>
          <w:szCs w:val="21"/>
        </w:rPr>
        <w:t>诊断测试的结果很可能会有很强的影响，将发热性疾病归因于</w:t>
      </w:r>
      <w:r>
        <w:rPr>
          <w:sz w:val="21"/>
          <w:szCs w:val="21"/>
        </w:rPr>
        <w:t>DENV</w:t>
      </w:r>
      <w:r>
        <w:rPr>
          <w:rFonts w:hint="eastAsia" w:hAnsi="宋体"/>
          <w:sz w:val="21"/>
          <w:szCs w:val="21"/>
        </w:rPr>
        <w:t>感染。</w:t>
      </w:r>
    </w:p>
    <w:p w14:paraId="7DA7B7F3">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下表中，</w:t>
      </w:r>
      <w:r>
        <w:rPr>
          <w:sz w:val="21"/>
          <w:szCs w:val="21"/>
        </w:rPr>
        <w:t>FDA</w:t>
      </w:r>
      <w:r>
        <w:rPr>
          <w:rFonts w:hint="eastAsia" w:hAnsi="宋体"/>
          <w:sz w:val="21"/>
          <w:szCs w:val="21"/>
        </w:rPr>
        <w:t>已经确定了通常与使用需要特殊控制的用于</w:t>
      </w:r>
      <w:r>
        <w:rPr>
          <w:sz w:val="21"/>
          <w:szCs w:val="21"/>
        </w:rPr>
        <w:t>DENV</w:t>
      </w:r>
      <w:r>
        <w:rPr>
          <w:rFonts w:hint="eastAsia" w:hAnsi="宋体"/>
          <w:sz w:val="21"/>
          <w:szCs w:val="21"/>
        </w:rPr>
        <w:t>检测的体外诊断器械相关的风险。如下表所示，本指南与拟议的</w:t>
      </w:r>
      <w:r>
        <w:rPr>
          <w:sz w:val="21"/>
          <w:szCs w:val="21"/>
        </w:rPr>
        <w:t>21 CFR 866.3945</w:t>
      </w:r>
      <w:r>
        <w:rPr>
          <w:rFonts w:hint="eastAsia" w:hAnsi="宋体"/>
          <w:sz w:val="21"/>
          <w:szCs w:val="21"/>
        </w:rPr>
        <w:t>小节相结合，提出了缓解这些已识别问题的措施。根据本指南，拟销售这种器械的制造商必须在提交上市前通知前进行风险分析，以识别其器械所特有的任何其它风险。上市前通知必须描述所使用的风险分析方法。如果您选择使用替代方法来降低本指南中确定的特定风险，或者您或他人识别到使用此类器械的其它潜在风险，则您必须提供详细信息，说明用于缓解这些风险的方法以及您所选择方法的依据。</w:t>
      </w:r>
    </w:p>
    <w:p w14:paraId="37B35BC7">
      <w:pPr>
        <w:pStyle w:val="6"/>
        <w:kinsoku w:val="0"/>
        <w:overflowPunct w:val="0"/>
        <w:snapToGrid w:val="0"/>
        <w:spacing w:afterLines="50" w:line="360" w:lineRule="auto"/>
        <w:ind w:left="0"/>
        <w:jc w:val="both"/>
        <w:rPr>
          <w:b/>
          <w:bCs/>
          <w:sz w:val="21"/>
          <w:szCs w:val="21"/>
        </w:rPr>
      </w:pPr>
      <w:r>
        <w:rPr>
          <w:rFonts w:hint="eastAsia" w:hAnsi="宋体"/>
          <w:b/>
          <w:sz w:val="21"/>
          <w:szCs w:val="21"/>
        </w:rPr>
        <w:t>表</w:t>
      </w:r>
      <w:r>
        <w:rPr>
          <w:b/>
          <w:sz w:val="21"/>
          <w:szCs w:val="21"/>
        </w:rPr>
        <w:t>1</w:t>
      </w:r>
      <w:r>
        <w:rPr>
          <w:rFonts w:hint="eastAsia"/>
          <w:b/>
          <w:sz w:val="21"/>
          <w:szCs w:val="21"/>
        </w:rPr>
        <w:t>—</w:t>
      </w:r>
      <w:r>
        <w:rPr>
          <w:rFonts w:hint="eastAsia" w:hAnsi="宋体"/>
          <w:b/>
          <w:sz w:val="21"/>
          <w:szCs w:val="21"/>
        </w:rPr>
        <w:t>已识别的健康风险和缓解措施</w:t>
      </w:r>
    </w:p>
    <w:tbl>
      <w:tblPr>
        <w:tblStyle w:val="12"/>
        <w:tblW w:w="5000" w:type="pct"/>
        <w:tblInd w:w="0" w:type="dxa"/>
        <w:tblLayout w:type="autofit"/>
        <w:tblCellMar>
          <w:top w:w="0" w:type="dxa"/>
          <w:left w:w="0" w:type="dxa"/>
          <w:bottom w:w="0" w:type="dxa"/>
          <w:right w:w="0" w:type="dxa"/>
        </w:tblCellMar>
      </w:tblPr>
      <w:tblGrid>
        <w:gridCol w:w="5193"/>
        <w:gridCol w:w="3290"/>
      </w:tblGrid>
      <w:tr w14:paraId="509640FE">
        <w:tblPrEx>
          <w:tblCellMar>
            <w:top w:w="0" w:type="dxa"/>
            <w:left w:w="0" w:type="dxa"/>
            <w:bottom w:w="0" w:type="dxa"/>
            <w:right w:w="0" w:type="dxa"/>
          </w:tblCellMar>
        </w:tblPrEx>
        <w:tc>
          <w:tcPr>
            <w:tcW w:w="306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AF5DFFA">
            <w:pPr>
              <w:pStyle w:val="22"/>
              <w:kinsoku w:val="0"/>
              <w:overflowPunct w:val="0"/>
              <w:snapToGrid w:val="0"/>
              <w:spacing w:line="360" w:lineRule="auto"/>
              <w:jc w:val="center"/>
              <w:rPr>
                <w:sz w:val="18"/>
                <w:szCs w:val="18"/>
              </w:rPr>
            </w:pPr>
            <w:r>
              <w:rPr>
                <w:rFonts w:hint="eastAsia" w:hAnsi="宋体"/>
                <w:b/>
                <w:bCs/>
                <w:sz w:val="18"/>
                <w:szCs w:val="18"/>
              </w:rPr>
              <w:t>已识别的健康风险</w:t>
            </w:r>
          </w:p>
        </w:tc>
        <w:tc>
          <w:tcPr>
            <w:tcW w:w="193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1C67CCA">
            <w:pPr>
              <w:pStyle w:val="22"/>
              <w:kinsoku w:val="0"/>
              <w:overflowPunct w:val="0"/>
              <w:snapToGrid w:val="0"/>
              <w:spacing w:line="360" w:lineRule="auto"/>
              <w:jc w:val="center"/>
              <w:rPr>
                <w:sz w:val="18"/>
                <w:szCs w:val="18"/>
              </w:rPr>
            </w:pPr>
            <w:r>
              <w:rPr>
                <w:rFonts w:hint="eastAsia" w:hAnsi="宋体"/>
                <w:b/>
                <w:bCs/>
                <w:sz w:val="18"/>
                <w:szCs w:val="18"/>
              </w:rPr>
              <w:t>缓解措施</w:t>
            </w:r>
          </w:p>
        </w:tc>
      </w:tr>
      <w:tr w14:paraId="3192F4EC">
        <w:tblPrEx>
          <w:tblCellMar>
            <w:top w:w="0" w:type="dxa"/>
            <w:left w:w="0" w:type="dxa"/>
            <w:bottom w:w="0" w:type="dxa"/>
            <w:right w:w="0" w:type="dxa"/>
          </w:tblCellMar>
        </w:tblPrEx>
        <w:tc>
          <w:tcPr>
            <w:tcW w:w="306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FF0D363">
            <w:pPr>
              <w:pStyle w:val="22"/>
              <w:kinsoku w:val="0"/>
              <w:overflowPunct w:val="0"/>
              <w:snapToGrid w:val="0"/>
              <w:spacing w:line="360" w:lineRule="auto"/>
              <w:jc w:val="both"/>
              <w:rPr>
                <w:sz w:val="18"/>
                <w:szCs w:val="18"/>
              </w:rPr>
            </w:pPr>
            <w:r>
              <w:rPr>
                <w:rFonts w:hint="eastAsia" w:hAnsi="宋体"/>
                <w:sz w:val="18"/>
                <w:szCs w:val="18"/>
              </w:rPr>
              <w:t>个人的假阳性检测结果可能会导致不必要的治疗，也可能导致疏于对真正病因的实验室评价；假阳性结果可能导致不必要的启动带菌蚊子控制措施。</w:t>
            </w:r>
          </w:p>
        </w:tc>
        <w:tc>
          <w:tcPr>
            <w:tcW w:w="193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89B1DBB">
            <w:pPr>
              <w:pStyle w:val="22"/>
              <w:kinsoku w:val="0"/>
              <w:overflowPunct w:val="0"/>
              <w:snapToGrid w:val="0"/>
              <w:spacing w:line="360" w:lineRule="auto"/>
              <w:jc w:val="both"/>
              <w:rPr>
                <w:sz w:val="18"/>
                <w:szCs w:val="18"/>
              </w:rPr>
            </w:pPr>
            <w:r>
              <w:rPr>
                <w:rFonts w:hint="eastAsia" w:hAnsi="宋体"/>
                <w:sz w:val="18"/>
                <w:szCs w:val="18"/>
              </w:rPr>
              <w:t>器械描述</w:t>
            </w:r>
          </w:p>
          <w:p w14:paraId="07A74B2C">
            <w:pPr>
              <w:pStyle w:val="22"/>
              <w:kinsoku w:val="0"/>
              <w:overflowPunct w:val="0"/>
              <w:snapToGrid w:val="0"/>
              <w:spacing w:line="360" w:lineRule="auto"/>
              <w:jc w:val="both"/>
              <w:rPr>
                <w:sz w:val="18"/>
                <w:szCs w:val="18"/>
              </w:rPr>
            </w:pPr>
            <w:r>
              <w:rPr>
                <w:rFonts w:hint="eastAsia" w:hAnsi="宋体"/>
                <w:sz w:val="18"/>
                <w:szCs w:val="18"/>
              </w:rPr>
              <w:t>包含信息</w:t>
            </w:r>
          </w:p>
          <w:p w14:paraId="7DAB3CA3">
            <w:pPr>
              <w:pStyle w:val="22"/>
              <w:kinsoku w:val="0"/>
              <w:overflowPunct w:val="0"/>
              <w:snapToGrid w:val="0"/>
              <w:spacing w:line="360" w:lineRule="auto"/>
              <w:jc w:val="both"/>
              <w:rPr>
                <w:sz w:val="18"/>
                <w:szCs w:val="18"/>
              </w:rPr>
            </w:pPr>
            <w:r>
              <w:rPr>
                <w:rFonts w:hint="eastAsia" w:hAnsi="宋体"/>
                <w:sz w:val="18"/>
                <w:szCs w:val="18"/>
              </w:rPr>
              <w:t>特别指定</w:t>
            </w:r>
          </w:p>
          <w:p w14:paraId="6C2842AB">
            <w:pPr>
              <w:pStyle w:val="22"/>
              <w:kinsoku w:val="0"/>
              <w:overflowPunct w:val="0"/>
              <w:snapToGrid w:val="0"/>
              <w:spacing w:line="360" w:lineRule="auto"/>
              <w:jc w:val="both"/>
              <w:rPr>
                <w:sz w:val="18"/>
                <w:szCs w:val="18"/>
              </w:rPr>
            </w:pPr>
            <w:r>
              <w:rPr>
                <w:rFonts w:hint="eastAsia" w:hAnsi="宋体"/>
                <w:sz w:val="18"/>
                <w:szCs w:val="18"/>
              </w:rPr>
              <w:t>控制指南（第</w:t>
            </w:r>
            <w:r>
              <w:rPr>
                <w:sz w:val="18"/>
                <w:szCs w:val="18"/>
              </w:rPr>
              <w:t>6</w:t>
            </w:r>
            <w:r>
              <w:rPr>
                <w:rFonts w:hint="eastAsia" w:hAnsi="宋体"/>
                <w:sz w:val="18"/>
                <w:szCs w:val="18"/>
              </w:rPr>
              <w:t>节）</w:t>
            </w:r>
          </w:p>
          <w:p w14:paraId="601BBDDC">
            <w:pPr>
              <w:pStyle w:val="22"/>
              <w:kinsoku w:val="0"/>
              <w:overflowPunct w:val="0"/>
              <w:snapToGrid w:val="0"/>
              <w:spacing w:line="360" w:lineRule="auto"/>
              <w:jc w:val="both"/>
              <w:rPr>
                <w:sz w:val="18"/>
                <w:szCs w:val="18"/>
              </w:rPr>
            </w:pPr>
            <w:r>
              <w:rPr>
                <w:rFonts w:hint="eastAsia" w:hAnsi="宋体"/>
                <w:sz w:val="18"/>
                <w:szCs w:val="18"/>
              </w:rPr>
              <w:t>性能特征（第</w:t>
            </w:r>
            <w:r>
              <w:rPr>
                <w:sz w:val="18"/>
                <w:szCs w:val="18"/>
              </w:rPr>
              <w:t>7</w:t>
            </w:r>
            <w:r>
              <w:rPr>
                <w:rFonts w:hint="eastAsia" w:hAnsi="宋体"/>
                <w:sz w:val="18"/>
                <w:szCs w:val="18"/>
              </w:rPr>
              <w:t>节）</w:t>
            </w:r>
          </w:p>
          <w:p w14:paraId="4A33C317">
            <w:pPr>
              <w:pStyle w:val="22"/>
              <w:kinsoku w:val="0"/>
              <w:overflowPunct w:val="0"/>
              <w:snapToGrid w:val="0"/>
              <w:spacing w:line="360" w:lineRule="auto"/>
              <w:jc w:val="both"/>
              <w:rPr>
                <w:sz w:val="18"/>
                <w:szCs w:val="18"/>
              </w:rPr>
            </w:pPr>
            <w:r>
              <w:rPr>
                <w:rFonts w:hint="eastAsia" w:hAnsi="宋体"/>
                <w:sz w:val="18"/>
                <w:szCs w:val="18"/>
              </w:rPr>
              <w:t>标签（第</w:t>
            </w:r>
            <w:r>
              <w:rPr>
                <w:sz w:val="18"/>
                <w:szCs w:val="18"/>
              </w:rPr>
              <w:t>8</w:t>
            </w:r>
            <w:r>
              <w:rPr>
                <w:rFonts w:hint="eastAsia" w:hAnsi="宋体"/>
                <w:sz w:val="18"/>
                <w:szCs w:val="18"/>
              </w:rPr>
              <w:t>节）</w:t>
            </w:r>
          </w:p>
          <w:p w14:paraId="1830AEB1">
            <w:pPr>
              <w:pStyle w:val="22"/>
              <w:kinsoku w:val="0"/>
              <w:overflowPunct w:val="0"/>
              <w:snapToGrid w:val="0"/>
              <w:spacing w:line="360" w:lineRule="auto"/>
              <w:jc w:val="both"/>
              <w:rPr>
                <w:sz w:val="18"/>
                <w:szCs w:val="18"/>
              </w:rPr>
            </w:pPr>
            <w:r>
              <w:rPr>
                <w:rFonts w:hint="eastAsia" w:hAnsi="宋体"/>
                <w:sz w:val="18"/>
                <w:szCs w:val="18"/>
              </w:rPr>
              <w:t>上市后措施（第</w:t>
            </w:r>
            <w:r>
              <w:rPr>
                <w:sz w:val="18"/>
                <w:szCs w:val="18"/>
              </w:rPr>
              <w:t>9</w:t>
            </w:r>
            <w:r>
              <w:rPr>
                <w:rFonts w:hint="eastAsia" w:hAnsi="宋体"/>
                <w:sz w:val="18"/>
                <w:szCs w:val="18"/>
              </w:rPr>
              <w:t>节）</w:t>
            </w:r>
          </w:p>
        </w:tc>
      </w:tr>
      <w:tr w14:paraId="4A453034">
        <w:tblPrEx>
          <w:tblCellMar>
            <w:top w:w="0" w:type="dxa"/>
            <w:left w:w="0" w:type="dxa"/>
            <w:bottom w:w="0" w:type="dxa"/>
            <w:right w:w="0" w:type="dxa"/>
          </w:tblCellMar>
        </w:tblPrEx>
        <w:tc>
          <w:tcPr>
            <w:tcW w:w="306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3B57ADC">
            <w:pPr>
              <w:pStyle w:val="22"/>
              <w:kinsoku w:val="0"/>
              <w:overflowPunct w:val="0"/>
              <w:snapToGrid w:val="0"/>
              <w:spacing w:line="360" w:lineRule="auto"/>
              <w:jc w:val="both"/>
              <w:rPr>
                <w:sz w:val="18"/>
                <w:szCs w:val="18"/>
              </w:rPr>
            </w:pPr>
            <w:r>
              <w:rPr>
                <w:rFonts w:hint="eastAsia" w:hAnsi="宋体"/>
                <w:sz w:val="18"/>
                <w:szCs w:val="18"/>
              </w:rPr>
              <w:t>假阴性检测结果可能导致不正当地使用抗生素或延误治疗以防止因出血性登革热或登革热休克综合征引起的死亡，假阴性检测结果也可能导致延误启动带菌蚊子控制措施。</w:t>
            </w:r>
          </w:p>
        </w:tc>
        <w:tc>
          <w:tcPr>
            <w:tcW w:w="193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7FAEAAB">
            <w:pPr>
              <w:pStyle w:val="22"/>
              <w:kinsoku w:val="0"/>
              <w:overflowPunct w:val="0"/>
              <w:snapToGrid w:val="0"/>
              <w:spacing w:line="360" w:lineRule="auto"/>
              <w:jc w:val="both"/>
              <w:rPr>
                <w:sz w:val="18"/>
                <w:szCs w:val="18"/>
              </w:rPr>
            </w:pPr>
            <w:r>
              <w:rPr>
                <w:rFonts w:hint="eastAsia" w:hAnsi="宋体"/>
                <w:sz w:val="18"/>
                <w:szCs w:val="18"/>
              </w:rPr>
              <w:t>器械描述</w:t>
            </w:r>
          </w:p>
          <w:p w14:paraId="4263D147">
            <w:pPr>
              <w:pStyle w:val="22"/>
              <w:kinsoku w:val="0"/>
              <w:overflowPunct w:val="0"/>
              <w:snapToGrid w:val="0"/>
              <w:spacing w:line="360" w:lineRule="auto"/>
              <w:jc w:val="both"/>
              <w:rPr>
                <w:sz w:val="18"/>
                <w:szCs w:val="18"/>
              </w:rPr>
            </w:pPr>
            <w:r>
              <w:rPr>
                <w:rFonts w:hint="eastAsia" w:hAnsi="宋体"/>
                <w:sz w:val="18"/>
                <w:szCs w:val="18"/>
              </w:rPr>
              <w:t>包含信息</w:t>
            </w:r>
          </w:p>
          <w:p w14:paraId="5AC3DFB3">
            <w:pPr>
              <w:pStyle w:val="22"/>
              <w:kinsoku w:val="0"/>
              <w:overflowPunct w:val="0"/>
              <w:snapToGrid w:val="0"/>
              <w:spacing w:line="360" w:lineRule="auto"/>
              <w:jc w:val="both"/>
              <w:rPr>
                <w:sz w:val="18"/>
                <w:szCs w:val="18"/>
              </w:rPr>
            </w:pPr>
            <w:r>
              <w:rPr>
                <w:rFonts w:hint="eastAsia" w:hAnsi="宋体"/>
                <w:sz w:val="18"/>
                <w:szCs w:val="18"/>
              </w:rPr>
              <w:t>特别指定</w:t>
            </w:r>
          </w:p>
          <w:p w14:paraId="13DE8251">
            <w:pPr>
              <w:pStyle w:val="22"/>
              <w:kinsoku w:val="0"/>
              <w:overflowPunct w:val="0"/>
              <w:snapToGrid w:val="0"/>
              <w:spacing w:line="360" w:lineRule="auto"/>
              <w:jc w:val="both"/>
              <w:rPr>
                <w:sz w:val="18"/>
                <w:szCs w:val="18"/>
              </w:rPr>
            </w:pPr>
            <w:r>
              <w:rPr>
                <w:rFonts w:hint="eastAsia" w:hAnsi="宋体"/>
                <w:sz w:val="18"/>
                <w:szCs w:val="18"/>
              </w:rPr>
              <w:t>控制指南（第</w:t>
            </w:r>
            <w:r>
              <w:rPr>
                <w:sz w:val="18"/>
                <w:szCs w:val="18"/>
              </w:rPr>
              <w:t>6</w:t>
            </w:r>
            <w:r>
              <w:rPr>
                <w:rFonts w:hint="eastAsia" w:hAnsi="宋体"/>
                <w:sz w:val="18"/>
                <w:szCs w:val="18"/>
              </w:rPr>
              <w:t>节）</w:t>
            </w:r>
          </w:p>
          <w:p w14:paraId="5DAF093B">
            <w:pPr>
              <w:pStyle w:val="22"/>
              <w:kinsoku w:val="0"/>
              <w:overflowPunct w:val="0"/>
              <w:snapToGrid w:val="0"/>
              <w:spacing w:line="360" w:lineRule="auto"/>
              <w:jc w:val="both"/>
              <w:rPr>
                <w:sz w:val="18"/>
                <w:szCs w:val="18"/>
              </w:rPr>
            </w:pPr>
            <w:r>
              <w:rPr>
                <w:rFonts w:hint="eastAsia" w:hAnsi="宋体"/>
                <w:sz w:val="18"/>
                <w:szCs w:val="18"/>
              </w:rPr>
              <w:t>性能特征（第</w:t>
            </w:r>
            <w:r>
              <w:rPr>
                <w:sz w:val="18"/>
                <w:szCs w:val="18"/>
              </w:rPr>
              <w:t>7</w:t>
            </w:r>
            <w:r>
              <w:rPr>
                <w:rFonts w:hint="eastAsia" w:hAnsi="宋体"/>
                <w:sz w:val="18"/>
                <w:szCs w:val="18"/>
              </w:rPr>
              <w:t>节）</w:t>
            </w:r>
          </w:p>
          <w:p w14:paraId="21E233AE">
            <w:pPr>
              <w:pStyle w:val="22"/>
              <w:kinsoku w:val="0"/>
              <w:overflowPunct w:val="0"/>
              <w:snapToGrid w:val="0"/>
              <w:spacing w:line="360" w:lineRule="auto"/>
              <w:jc w:val="both"/>
              <w:rPr>
                <w:sz w:val="18"/>
                <w:szCs w:val="18"/>
              </w:rPr>
            </w:pPr>
            <w:r>
              <w:rPr>
                <w:rFonts w:hint="eastAsia" w:hAnsi="宋体"/>
                <w:sz w:val="18"/>
                <w:szCs w:val="18"/>
              </w:rPr>
              <w:t>标签（第</w:t>
            </w:r>
            <w:r>
              <w:rPr>
                <w:sz w:val="18"/>
                <w:szCs w:val="18"/>
              </w:rPr>
              <w:t>8</w:t>
            </w:r>
            <w:r>
              <w:rPr>
                <w:rFonts w:hint="eastAsia" w:hAnsi="宋体"/>
                <w:sz w:val="18"/>
                <w:szCs w:val="18"/>
              </w:rPr>
              <w:t>节）</w:t>
            </w:r>
          </w:p>
          <w:p w14:paraId="418F7C1C">
            <w:pPr>
              <w:pStyle w:val="22"/>
              <w:kinsoku w:val="0"/>
              <w:overflowPunct w:val="0"/>
              <w:snapToGrid w:val="0"/>
              <w:spacing w:line="360" w:lineRule="auto"/>
              <w:jc w:val="both"/>
              <w:rPr>
                <w:sz w:val="18"/>
                <w:szCs w:val="18"/>
              </w:rPr>
            </w:pPr>
            <w:r>
              <w:rPr>
                <w:rFonts w:hint="eastAsia" w:hAnsi="宋体"/>
                <w:sz w:val="18"/>
                <w:szCs w:val="18"/>
              </w:rPr>
              <w:t>上市后措施（第</w:t>
            </w:r>
            <w:r>
              <w:rPr>
                <w:sz w:val="18"/>
                <w:szCs w:val="18"/>
              </w:rPr>
              <w:t>9</w:t>
            </w:r>
            <w:r>
              <w:rPr>
                <w:rFonts w:hint="eastAsia" w:hAnsi="宋体"/>
                <w:sz w:val="18"/>
                <w:szCs w:val="18"/>
              </w:rPr>
              <w:t>节）</w:t>
            </w:r>
          </w:p>
        </w:tc>
      </w:tr>
      <w:tr w14:paraId="4D52B2AD">
        <w:tblPrEx>
          <w:tblCellMar>
            <w:top w:w="0" w:type="dxa"/>
            <w:left w:w="0" w:type="dxa"/>
            <w:bottom w:w="0" w:type="dxa"/>
            <w:right w:w="0" w:type="dxa"/>
          </w:tblCellMar>
        </w:tblPrEx>
        <w:tc>
          <w:tcPr>
            <w:tcW w:w="306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FB13428">
            <w:pPr>
              <w:pStyle w:val="22"/>
              <w:kinsoku w:val="0"/>
              <w:overflowPunct w:val="0"/>
              <w:snapToGrid w:val="0"/>
              <w:spacing w:line="360" w:lineRule="auto"/>
              <w:jc w:val="both"/>
              <w:rPr>
                <w:sz w:val="18"/>
                <w:szCs w:val="18"/>
              </w:rPr>
            </w:pPr>
            <w:r>
              <w:rPr>
                <w:rFonts w:hint="eastAsia" w:hAnsi="宋体"/>
                <w:sz w:val="18"/>
                <w:szCs w:val="18"/>
              </w:rPr>
              <w:t>解释结果错误</w:t>
            </w:r>
          </w:p>
        </w:tc>
        <w:tc>
          <w:tcPr>
            <w:tcW w:w="193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D83FD5B">
            <w:pPr>
              <w:pStyle w:val="22"/>
              <w:kinsoku w:val="0"/>
              <w:overflowPunct w:val="0"/>
              <w:snapToGrid w:val="0"/>
              <w:spacing w:line="360" w:lineRule="auto"/>
              <w:jc w:val="both"/>
              <w:rPr>
                <w:sz w:val="18"/>
                <w:szCs w:val="18"/>
              </w:rPr>
            </w:pPr>
            <w:r>
              <w:rPr>
                <w:rFonts w:hint="eastAsia" w:hAnsi="宋体"/>
                <w:sz w:val="18"/>
                <w:szCs w:val="18"/>
              </w:rPr>
              <w:t>标签（第</w:t>
            </w:r>
            <w:r>
              <w:rPr>
                <w:sz w:val="18"/>
                <w:szCs w:val="18"/>
              </w:rPr>
              <w:t>8</w:t>
            </w:r>
            <w:r>
              <w:rPr>
                <w:rFonts w:hint="eastAsia" w:hAnsi="宋体"/>
                <w:sz w:val="18"/>
                <w:szCs w:val="18"/>
              </w:rPr>
              <w:t>节）</w:t>
            </w:r>
          </w:p>
        </w:tc>
      </w:tr>
    </w:tbl>
    <w:p w14:paraId="2CB23B7A">
      <w:pPr>
        <w:widowControl/>
        <w:autoSpaceDE/>
        <w:autoSpaceDN/>
        <w:snapToGrid w:val="0"/>
        <w:spacing w:line="360" w:lineRule="auto"/>
        <w:rPr>
          <w:sz w:val="21"/>
          <w:szCs w:val="21"/>
        </w:rPr>
      </w:pPr>
    </w:p>
    <w:p w14:paraId="455D2827">
      <w:pPr>
        <w:numPr>
          <w:ilvl w:val="0"/>
          <w:numId w:val="1"/>
        </w:numPr>
        <w:kinsoku w:val="0"/>
        <w:overflowPunct w:val="0"/>
        <w:snapToGrid w:val="0"/>
        <w:spacing w:afterLines="50" w:line="360" w:lineRule="auto"/>
        <w:ind w:left="422" w:hanging="422" w:hangingChars="200"/>
        <w:jc w:val="both"/>
        <w:outlineLvl w:val="0"/>
        <w:rPr>
          <w:b/>
          <w:bCs/>
          <w:sz w:val="21"/>
          <w:szCs w:val="21"/>
        </w:rPr>
      </w:pPr>
      <w:bookmarkStart w:id="16" w:name="_Toc496790164"/>
      <w:r>
        <w:rPr>
          <w:rFonts w:hint="eastAsia" w:hAnsi="宋体"/>
          <w:b/>
          <w:bCs/>
          <w:sz w:val="21"/>
          <w:szCs w:val="21"/>
        </w:rPr>
        <w:t>器械描述（包含特殊控制指南中指定的信息）</w:t>
      </w:r>
      <w:bookmarkEnd w:id="16"/>
    </w:p>
    <w:p w14:paraId="22E00434">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）中提交符合</w:t>
      </w:r>
      <w:r>
        <w:rPr>
          <w:sz w:val="21"/>
          <w:szCs w:val="21"/>
        </w:rPr>
        <w:t>21 CFR 807.87</w:t>
      </w:r>
      <w:r>
        <w:rPr>
          <w:rFonts w:hint="eastAsia" w:hAnsi="宋体"/>
          <w:sz w:val="21"/>
          <w:szCs w:val="21"/>
        </w:rPr>
        <w:t>（</w:t>
      </w:r>
      <w:r>
        <w:rPr>
          <w:sz w:val="21"/>
          <w:szCs w:val="21"/>
        </w:rPr>
        <w:t>a</w:t>
      </w:r>
      <w:r>
        <w:rPr>
          <w:rFonts w:hint="eastAsia" w:hAnsi="宋体"/>
          <w:sz w:val="21"/>
          <w:szCs w:val="21"/>
        </w:rPr>
        <w:t>）和（</w:t>
      </w:r>
      <w:r>
        <w:rPr>
          <w:sz w:val="21"/>
          <w:szCs w:val="21"/>
        </w:rPr>
        <w:t>f</w:t>
      </w:r>
      <w:r>
        <w:rPr>
          <w:rFonts w:hint="eastAsia" w:hAnsi="宋体"/>
          <w:sz w:val="21"/>
          <w:szCs w:val="21"/>
        </w:rPr>
        <w:t>）要求的器械描述，并且您必须根据</w:t>
      </w:r>
      <w:r>
        <w:rPr>
          <w:sz w:val="21"/>
          <w:szCs w:val="21"/>
        </w:rPr>
        <w:t>21 CFR 807.92(a)(3)</w:t>
      </w:r>
      <w:r>
        <w:rPr>
          <w:rFonts w:hint="eastAsia" w:hAnsi="宋体"/>
          <w:sz w:val="21"/>
          <w:szCs w:val="21"/>
        </w:rPr>
        <w:t>的要求确定已合法销售的谓词器械。此外，您还必须确定您的器械的适用法规和产品编码；您必须列表比较谓词器械（或相同预期用途的另一个合法销售的器械）与您的器械之间的相似点和差异。您在器械设计中可以参考支持您的器械的预期诊断用途的适当的同行评议文章以及特定的测试原则。您必须详细描述每个器械组件。</w:t>
      </w:r>
    </w:p>
    <w:p w14:paraId="67821891">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此外，您还必须包括以下描述性信息，以充分表征您的器械用于检测人血清样本中的</w:t>
      </w:r>
      <w:r>
        <w:rPr>
          <w:sz w:val="21"/>
          <w:szCs w:val="21"/>
        </w:rPr>
        <w:t>DENV</w:t>
      </w:r>
      <w:r>
        <w:rPr>
          <w:rFonts w:hint="eastAsia" w:hAnsi="宋体"/>
          <w:sz w:val="21"/>
          <w:szCs w:val="21"/>
        </w:rPr>
        <w:t>抗原或抗体。</w:t>
      </w:r>
    </w:p>
    <w:p w14:paraId="428B08CB">
      <w:pPr>
        <w:pStyle w:val="3"/>
        <w:numPr>
          <w:ilvl w:val="0"/>
          <w:numId w:val="4"/>
        </w:numPr>
        <w:kinsoku w:val="0"/>
        <w:overflowPunct w:val="0"/>
        <w:snapToGrid w:val="0"/>
        <w:spacing w:afterLines="50" w:line="360" w:lineRule="auto"/>
        <w:ind w:left="422" w:hanging="422" w:hangingChars="200"/>
        <w:jc w:val="both"/>
        <w:rPr>
          <w:sz w:val="21"/>
          <w:szCs w:val="21"/>
        </w:rPr>
      </w:pPr>
      <w:bookmarkStart w:id="17" w:name="_Toc496790165"/>
      <w:r>
        <w:rPr>
          <w:rFonts w:hint="eastAsia" w:hAnsi="宋体"/>
          <w:sz w:val="21"/>
          <w:szCs w:val="21"/>
        </w:rPr>
        <w:t>预期使用</w:t>
      </w:r>
      <w:bookmarkEnd w:id="17"/>
    </w:p>
    <w:p w14:paraId="428F224C">
      <w:pPr>
        <w:pStyle w:val="6"/>
        <w:kinsoku w:val="0"/>
        <w:overflowPunct w:val="0"/>
        <w:snapToGrid w:val="0"/>
        <w:spacing w:afterLines="50" w:line="360" w:lineRule="auto"/>
        <w:ind w:left="0"/>
        <w:jc w:val="both"/>
        <w:rPr>
          <w:sz w:val="21"/>
          <w:szCs w:val="21"/>
          <w:highlight w:val="green"/>
        </w:rPr>
      </w:pPr>
      <w:r>
        <w:rPr>
          <w:rFonts w:hint="eastAsia" w:hAnsi="宋体"/>
          <w:sz w:val="21"/>
          <w:szCs w:val="21"/>
        </w:rPr>
        <w:t>预期用途必须说明分析物和靶标（例如，通过该器械检测的</w:t>
      </w:r>
      <w:r>
        <w:rPr>
          <w:sz w:val="21"/>
          <w:szCs w:val="21"/>
        </w:rPr>
        <w:t>DEN IgM</w:t>
      </w:r>
      <w:r>
        <w:rPr>
          <w:rFonts w:hint="eastAsia" w:hAnsi="宋体"/>
          <w:sz w:val="21"/>
          <w:szCs w:val="21"/>
        </w:rPr>
        <w:t>抗体或</w:t>
      </w:r>
      <w:r>
        <w:rPr>
          <w:sz w:val="21"/>
          <w:szCs w:val="21"/>
        </w:rPr>
        <w:t>DEN NS-1</w:t>
      </w:r>
      <w:r>
        <w:rPr>
          <w:rFonts w:hint="eastAsia" w:hAnsi="宋体"/>
          <w:sz w:val="21"/>
          <w:szCs w:val="21"/>
        </w:rPr>
        <w:t>抗原）的性质、本测试适用的样本类型（即血清）、本测试适用的临床指征、以及本测试适用的具体人群。预期用途必须说明本测试是定性测试以及任何具体的使用条件。预期用途还必须具体说明，作为临床指征的一部分，该测试是否可用于诊断个别患者（例如从</w:t>
      </w:r>
      <w:r>
        <w:rPr>
          <w:sz w:val="21"/>
          <w:szCs w:val="21"/>
        </w:rPr>
        <w:t>DEN</w:t>
      </w:r>
      <w:r>
        <w:rPr>
          <w:rFonts w:hint="eastAsia" w:hAnsi="宋体"/>
          <w:sz w:val="21"/>
          <w:szCs w:val="21"/>
        </w:rPr>
        <w:t>流行地区返回的症状个体）和</w:t>
      </w:r>
      <w:r>
        <w:rPr>
          <w:sz w:val="21"/>
          <w:szCs w:val="21"/>
        </w:rPr>
        <w:t>/</w:t>
      </w:r>
      <w:r>
        <w:rPr>
          <w:rFonts w:hint="eastAsia" w:hAnsi="宋体"/>
          <w:sz w:val="21"/>
          <w:szCs w:val="21"/>
        </w:rPr>
        <w:t>或在疫情调查期间诊断患病个体。</w:t>
      </w:r>
    </w:p>
    <w:p w14:paraId="367AEC1E">
      <w:pPr>
        <w:pStyle w:val="6"/>
        <w:tabs>
          <w:tab w:val="left" w:pos="851"/>
        </w:tabs>
        <w:kinsoku w:val="0"/>
        <w:overflowPunct w:val="0"/>
        <w:snapToGrid w:val="0"/>
        <w:spacing w:afterLines="50" w:line="360" w:lineRule="auto"/>
        <w:ind w:left="0"/>
        <w:jc w:val="both"/>
        <w:rPr>
          <w:sz w:val="21"/>
          <w:szCs w:val="21"/>
        </w:rPr>
      </w:pPr>
      <w:r>
        <w:rPr>
          <w:sz w:val="21"/>
          <w:szCs w:val="21"/>
        </w:rPr>
        <w:br w:type="page"/>
      </w: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）中清楚地描述与您的产品的预期用途有关的以下信息：</w:t>
      </w:r>
    </w:p>
    <w:p w14:paraId="34075903">
      <w:pPr>
        <w:pStyle w:val="6"/>
        <w:numPr>
          <w:ilvl w:val="0"/>
          <w:numId w:val="5"/>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您的器械检测的不同</w:t>
      </w:r>
      <w:r>
        <w:rPr>
          <w:sz w:val="21"/>
          <w:szCs w:val="21"/>
        </w:rPr>
        <w:t>DEN</w:t>
      </w:r>
      <w:r>
        <w:rPr>
          <w:rFonts w:hint="eastAsia" w:hAnsi="宋体"/>
          <w:sz w:val="21"/>
          <w:szCs w:val="21"/>
        </w:rPr>
        <w:t>血清型和毒株的鉴别（即毒株反应性）。</w:t>
      </w:r>
    </w:p>
    <w:p w14:paraId="728515CF">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该器械的检测结果如何用于辅助实验室鉴别症状患者的临床样本中的</w:t>
      </w:r>
      <w:r>
        <w:rPr>
          <w:sz w:val="21"/>
          <w:szCs w:val="21"/>
        </w:rPr>
        <w:t>DENV</w:t>
      </w:r>
      <w:r>
        <w:rPr>
          <w:rFonts w:hint="eastAsia" w:hAnsi="宋体"/>
          <w:sz w:val="21"/>
          <w:szCs w:val="21"/>
        </w:rPr>
        <w:t>抗原或抗体。</w:t>
      </w:r>
    </w:p>
    <w:p w14:paraId="7BA15070">
      <w:pPr>
        <w:pStyle w:val="3"/>
        <w:numPr>
          <w:ilvl w:val="0"/>
          <w:numId w:val="4"/>
        </w:numPr>
        <w:kinsoku w:val="0"/>
        <w:overflowPunct w:val="0"/>
        <w:snapToGrid w:val="0"/>
        <w:spacing w:afterLines="50" w:line="360" w:lineRule="auto"/>
        <w:ind w:left="422" w:hanging="422" w:hangingChars="200"/>
        <w:jc w:val="both"/>
        <w:rPr>
          <w:sz w:val="21"/>
          <w:szCs w:val="21"/>
        </w:rPr>
      </w:pPr>
      <w:bookmarkStart w:id="18" w:name="_Toc496790166"/>
      <w:r>
        <w:rPr>
          <w:rFonts w:hint="eastAsia" w:hAnsi="宋体"/>
          <w:sz w:val="21"/>
          <w:szCs w:val="21"/>
        </w:rPr>
        <w:t>测试方法</w:t>
      </w:r>
      <w:bookmarkEnd w:id="18"/>
    </w:p>
    <w:p w14:paraId="1F7B3B11">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您必须详细描述您的器械的使用方法。这必须包括描述适用于您的器械的以下要素：</w:t>
      </w:r>
    </w:p>
    <w:p w14:paraId="3510A541">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所使用的具体测试方法，例如，免疫测定或免疫色谱法。</w:t>
      </w:r>
    </w:p>
    <w:p w14:paraId="3EB19E6A">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sz w:val="21"/>
          <w:szCs w:val="21"/>
        </w:rPr>
        <w:t>DEN</w:t>
      </w:r>
      <w:r>
        <w:rPr>
          <w:rFonts w:hint="eastAsia" w:hAnsi="宋体"/>
          <w:sz w:val="21"/>
          <w:szCs w:val="21"/>
        </w:rPr>
        <w:t>血清型或感兴趣的黄病毒的单克隆抗体的特异性。</w:t>
      </w:r>
    </w:p>
    <w:p w14:paraId="4C0F6488">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关于选择特定抗原靶标（如，</w:t>
      </w:r>
      <w:r>
        <w:rPr>
          <w:sz w:val="21"/>
          <w:szCs w:val="21"/>
        </w:rPr>
        <w:t>NS-1</w:t>
      </w:r>
      <w:r>
        <w:rPr>
          <w:rFonts w:hint="eastAsia" w:hAnsi="宋体"/>
          <w:sz w:val="21"/>
          <w:szCs w:val="21"/>
        </w:rPr>
        <w:t>或</w:t>
      </w:r>
      <w:r>
        <w:rPr>
          <w:sz w:val="21"/>
          <w:szCs w:val="21"/>
        </w:rPr>
        <w:t>E</w:t>
      </w:r>
      <w:r>
        <w:rPr>
          <w:rFonts w:hint="eastAsia" w:hAnsi="宋体"/>
          <w:sz w:val="21"/>
          <w:szCs w:val="21"/>
        </w:rPr>
        <w:t>糖蛋白）的依据的信息。</w:t>
      </w:r>
    </w:p>
    <w:p w14:paraId="3084D376">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测定的最佳参数，例如，移液、孵育、洗涤和混合。</w:t>
      </w:r>
    </w:p>
    <w:p w14:paraId="652D62FA">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样本类型（如，血清样本），收集和处理方法。</w:t>
      </w:r>
    </w:p>
    <w:p w14:paraId="5113AFCB">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所提供或推荐使用的试剂组分及其在体系内的功能（例如，固体支持物、缓冲液、荧光染料、化学发光试剂、底物、缀合物、其它试剂）。</w:t>
      </w:r>
    </w:p>
    <w:p w14:paraId="43AA914E">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您的器械所需的仪器（包括组件）及其在体系中的功能。</w:t>
      </w:r>
    </w:p>
    <w:p w14:paraId="4377428F">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如果适用，从原始数据到报告结果的计算路径（例如，原始信号如何转换为数值）。这将包括充分的软件控件来识别和处理数据集中的明显问题。还将包括对背景和归一化的调整（如果适用）。</w:t>
      </w:r>
    </w:p>
    <w:p w14:paraId="1ADC56C5">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非标准设备或方法的插图或照片（如果适用）。</w:t>
      </w:r>
    </w:p>
    <w:p w14:paraId="3EFDFFD0">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在适用的情况下，您必须描述您的器械解决或缓解与检测</w:t>
      </w:r>
      <w:r>
        <w:rPr>
          <w:sz w:val="21"/>
          <w:szCs w:val="21"/>
        </w:rPr>
        <w:t>DEN</w:t>
      </w:r>
      <w:r>
        <w:rPr>
          <w:rFonts w:hint="eastAsia" w:hAnsi="宋体"/>
          <w:sz w:val="21"/>
          <w:szCs w:val="21"/>
        </w:rPr>
        <w:t>抗原或抗体的免疫测定程序相关的风险的设计控制规范，例如：</w:t>
      </w:r>
    </w:p>
    <w:p w14:paraId="3ECB90C1">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由于与其它黄病毒抗体或抗原的交叉反应而导致的假阳性的最小化。</w:t>
      </w:r>
    </w:p>
    <w:p w14:paraId="2FDCB151">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优化您的试剂和测试方法用于推荐的仪器。</w:t>
      </w:r>
    </w:p>
    <w:p w14:paraId="631DC3D1">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）中提供支持符合设计要求的结论的性能信息。您还必须提供有关验证您的试剂的设计的信息（例如，特定抗体或抗原的选择依据）。参见第</w:t>
      </w:r>
      <w:r>
        <w:rPr>
          <w:sz w:val="21"/>
          <w:szCs w:val="21"/>
        </w:rPr>
        <w:t>7</w:t>
      </w:r>
      <w:r>
        <w:rPr>
          <w:rFonts w:hint="eastAsia" w:hAnsi="宋体"/>
          <w:sz w:val="21"/>
          <w:szCs w:val="21"/>
        </w:rPr>
        <w:t>节</w:t>
      </w:r>
      <w:r>
        <w:rPr>
          <w:rFonts w:hint="eastAsia"/>
          <w:sz w:val="21"/>
          <w:szCs w:val="21"/>
        </w:rPr>
        <w:t>—</w:t>
      </w:r>
      <w:r>
        <w:rPr>
          <w:rFonts w:hint="eastAsia" w:hAnsi="宋体"/>
          <w:sz w:val="21"/>
          <w:szCs w:val="21"/>
        </w:rPr>
        <w:t>性能特征。</w:t>
      </w:r>
    </w:p>
    <w:p w14:paraId="6B529ACA">
      <w:pPr>
        <w:pStyle w:val="3"/>
        <w:numPr>
          <w:ilvl w:val="0"/>
          <w:numId w:val="4"/>
        </w:numPr>
        <w:kinsoku w:val="0"/>
        <w:overflowPunct w:val="0"/>
        <w:snapToGrid w:val="0"/>
        <w:spacing w:afterLines="50" w:line="360" w:lineRule="auto"/>
        <w:ind w:left="422" w:hanging="422" w:hangingChars="200"/>
        <w:jc w:val="both"/>
        <w:rPr>
          <w:sz w:val="21"/>
          <w:szCs w:val="21"/>
        </w:rPr>
      </w:pPr>
      <w:bookmarkStart w:id="19" w:name="c._Ancillary_Reagents"/>
      <w:bookmarkEnd w:id="19"/>
      <w:bookmarkStart w:id="20" w:name="bookmark8"/>
      <w:bookmarkEnd w:id="20"/>
      <w:r>
        <w:rPr>
          <w:sz w:val="21"/>
          <w:szCs w:val="21"/>
          <w:highlight w:val="green"/>
        </w:rPr>
        <w:br w:type="page"/>
      </w:r>
      <w:bookmarkStart w:id="21" w:name="_Toc496790167"/>
      <w:r>
        <w:rPr>
          <w:rFonts w:hint="eastAsia" w:hAnsi="宋体"/>
          <w:sz w:val="21"/>
          <w:szCs w:val="21"/>
        </w:rPr>
        <w:t>辅助试剂</w:t>
      </w:r>
      <w:bookmarkEnd w:id="21"/>
    </w:p>
    <w:p w14:paraId="0B4B6738">
      <w:pPr>
        <w:pStyle w:val="6"/>
        <w:kinsoku w:val="0"/>
        <w:overflowPunct w:val="0"/>
        <w:snapToGrid w:val="0"/>
        <w:spacing w:afterLines="50" w:line="360" w:lineRule="auto"/>
        <w:ind w:left="0"/>
        <w:jc w:val="both"/>
        <w:rPr>
          <w:sz w:val="21"/>
          <w:szCs w:val="21"/>
        </w:rPr>
      </w:pPr>
      <w:r>
        <w:rPr>
          <w:rFonts w:hint="eastAsia" w:hAnsi="宋体"/>
          <w:sz w:val="21"/>
          <w:szCs w:val="21"/>
        </w:rPr>
        <w:t>辅助试剂是在器械标签中被指定为</w:t>
      </w:r>
      <w:r>
        <w:rPr>
          <w:sz w:val="21"/>
          <w:szCs w:val="21"/>
        </w:rPr>
        <w:t>“</w:t>
      </w:r>
      <w:r>
        <w:rPr>
          <w:rFonts w:hint="eastAsia" w:hAnsi="宋体"/>
          <w:sz w:val="21"/>
          <w:szCs w:val="21"/>
        </w:rPr>
        <w:t>需要但未提供</w:t>
      </w:r>
      <w:r>
        <w:rPr>
          <w:sz w:val="21"/>
          <w:szCs w:val="21"/>
        </w:rPr>
        <w:t>”</w:t>
      </w:r>
      <w:r>
        <w:rPr>
          <w:rFonts w:hint="eastAsia" w:hAnsi="宋体"/>
          <w:sz w:val="21"/>
          <w:szCs w:val="21"/>
        </w:rPr>
        <w:t>的那些试剂，以便按照其使用说明书中的说明进行测定，并达到在测定标签中宣称的测试性能。仅就本文件而言，所涉及的辅助试剂是必须按照具体名称指定的试剂，以便您的器械能够达到其标示的性能特征。例如，如果您的器械标签指定使用特定试剂（如：</w:t>
      </w:r>
      <w:r>
        <w:rPr>
          <w:sz w:val="21"/>
          <w:szCs w:val="21"/>
        </w:rPr>
        <w:t>X</w:t>
      </w:r>
      <w:r>
        <w:rPr>
          <w:rFonts w:hint="eastAsia" w:hAnsi="宋体"/>
          <w:sz w:val="21"/>
          <w:szCs w:val="21"/>
        </w:rPr>
        <w:t>牌提取缓冲液或其它等效缓冲液），并且使用任何其它提取缓冲液可能会改变在您的标签中报告的器械性能特征，则</w:t>
      </w:r>
      <w:r>
        <w:rPr>
          <w:sz w:val="21"/>
          <w:szCs w:val="21"/>
        </w:rPr>
        <w:t>X</w:t>
      </w:r>
      <w:r>
        <w:rPr>
          <w:rFonts w:hint="eastAsia" w:hAnsi="宋体"/>
          <w:sz w:val="21"/>
          <w:szCs w:val="21"/>
        </w:rPr>
        <w:t>牌提取缓冲液或其它等效缓冲液即是本文件所指的辅助试剂。</w:t>
      </w:r>
      <w:r>
        <w:rPr>
          <w:sz w:val="21"/>
          <w:szCs w:val="21"/>
          <w:vertAlign w:val="superscript"/>
        </w:rPr>
        <w:t>2</w:t>
      </w:r>
    </w:p>
    <w:p w14:paraId="762DDFD9">
      <w:pPr>
        <w:pStyle w:val="6"/>
        <w:kinsoku w:val="0"/>
        <w:overflowPunct w:val="0"/>
        <w:snapToGrid w:val="0"/>
        <w:spacing w:afterLines="50" w:line="360" w:lineRule="auto"/>
        <w:ind w:left="0"/>
        <w:jc w:val="both"/>
        <w:rPr>
          <w:sz w:val="21"/>
          <w:szCs w:val="21"/>
        </w:rPr>
      </w:pPr>
      <w:r>
        <w:rPr>
          <w:rFonts w:hint="eastAsia" w:hAnsi="宋体"/>
          <w:sz w:val="21"/>
          <w:szCs w:val="21"/>
        </w:rPr>
        <w:t>相比之下，如果您的器械需要使用</w:t>
      </w:r>
      <w:r>
        <w:rPr>
          <w:sz w:val="21"/>
          <w:szCs w:val="21"/>
        </w:rPr>
        <w:t>95</w:t>
      </w:r>
      <w:r>
        <w:rPr>
          <w:rFonts w:hint="eastAsia" w:hAnsi="宋体"/>
          <w:sz w:val="21"/>
          <w:szCs w:val="21"/>
        </w:rPr>
        <w:t>％乙醇，并且任何品牌的</w:t>
      </w:r>
      <w:r>
        <w:rPr>
          <w:sz w:val="21"/>
          <w:szCs w:val="21"/>
        </w:rPr>
        <w:t>95</w:t>
      </w:r>
      <w:r>
        <w:rPr>
          <w:rFonts w:hint="eastAsia" w:hAnsi="宋体"/>
          <w:sz w:val="21"/>
          <w:szCs w:val="21"/>
        </w:rPr>
        <w:t>％乙醇都将能够使您的器械达到标签中提供的性能特征，那么</w:t>
      </w:r>
      <w:r>
        <w:rPr>
          <w:sz w:val="21"/>
          <w:szCs w:val="21"/>
        </w:rPr>
        <w:t>95</w:t>
      </w:r>
      <w:r>
        <w:rPr>
          <w:rFonts w:hint="eastAsia" w:hAnsi="宋体"/>
          <w:sz w:val="21"/>
          <w:szCs w:val="21"/>
        </w:rPr>
        <w:t>％乙醇不是本文件所指的辅助试剂。</w:t>
      </w:r>
    </w:p>
    <w:p w14:paraId="388DC271">
      <w:pPr>
        <w:pStyle w:val="6"/>
        <w:kinsoku w:val="0"/>
        <w:overflowPunct w:val="0"/>
        <w:snapToGrid w:val="0"/>
        <w:spacing w:afterLines="50" w:line="360" w:lineRule="auto"/>
        <w:ind w:left="0"/>
        <w:jc w:val="both"/>
        <w:rPr>
          <w:sz w:val="21"/>
          <w:szCs w:val="21"/>
        </w:rPr>
      </w:pPr>
      <w:r>
        <w:rPr>
          <w:rFonts w:hint="eastAsia" w:hAnsi="宋体"/>
          <w:sz w:val="21"/>
          <w:szCs w:val="21"/>
        </w:rPr>
        <w:t>如果您的器械使用说明书中指定了一种或多种辅助试剂，则您必须说明您将如何确保使用您的器械和这些辅助试剂按照您的说明进行测试产生的结果与您的上市前提交中确定的性能一致。您的计划可以包括质量体系方法、产品标签和其它措施的应用。</w:t>
      </w:r>
    </w:p>
    <w:p w14:paraId="2B0A0EDF">
      <w:pPr>
        <w:pStyle w:val="6"/>
        <w:kinsoku w:val="0"/>
        <w:overflowPunct w:val="0"/>
        <w:snapToGrid w:val="0"/>
        <w:spacing w:afterLines="50" w:line="360" w:lineRule="auto"/>
        <w:ind w:left="0"/>
        <w:jc w:val="both"/>
        <w:rPr>
          <w:sz w:val="21"/>
          <w:szCs w:val="21"/>
        </w:rPr>
      </w:pPr>
      <w:r>
        <w:rPr>
          <w:rFonts w:hint="eastAsia" w:hAnsi="宋体"/>
          <w:sz w:val="21"/>
          <w:szCs w:val="21"/>
        </w:rPr>
        <w:t>为了解决特殊控制的这一方面，您的</w:t>
      </w:r>
      <w:r>
        <w:rPr>
          <w:sz w:val="21"/>
          <w:szCs w:val="21"/>
        </w:rPr>
        <w:t>510</w:t>
      </w:r>
      <w:r>
        <w:rPr>
          <w:rFonts w:hint="eastAsia" w:hAnsi="宋体"/>
          <w:sz w:val="21"/>
          <w:szCs w:val="21"/>
        </w:rPr>
        <w:t>（</w:t>
      </w:r>
      <w:r>
        <w:rPr>
          <w:sz w:val="21"/>
          <w:szCs w:val="21"/>
        </w:rPr>
        <w:t>k</w:t>
      </w:r>
      <w:r>
        <w:rPr>
          <w:rFonts w:hint="eastAsia" w:hAnsi="宋体"/>
          <w:sz w:val="21"/>
          <w:szCs w:val="21"/>
        </w:rPr>
        <w:t>）提交必须包括下述信息。</w:t>
      </w:r>
      <w:r>
        <w:rPr>
          <w:sz w:val="21"/>
          <w:szCs w:val="21"/>
        </w:rPr>
        <w:t>FDA</w:t>
      </w:r>
      <w:r>
        <w:rPr>
          <w:rFonts w:hint="eastAsia" w:hAnsi="宋体"/>
          <w:sz w:val="21"/>
          <w:szCs w:val="21"/>
        </w:rPr>
        <w:t>将评价您的计划是否有助于缓解该器械存在的风险，以为该器械的安全性和有效性提供合理保证，并确定其实质等同性。</w:t>
      </w:r>
    </w:p>
    <w:p w14:paraId="03808317">
      <w:pPr>
        <w:pStyle w:val="6"/>
        <w:kinsoku w:val="0"/>
        <w:overflowPunct w:val="0"/>
        <w:snapToGrid w:val="0"/>
        <w:spacing w:afterLines="50" w:line="360" w:lineRule="auto"/>
        <w:ind w:left="900" w:leftChars="200" w:hanging="420" w:hangingChars="200"/>
        <w:jc w:val="both"/>
        <w:rPr>
          <w:sz w:val="21"/>
          <w:szCs w:val="21"/>
        </w:rPr>
      </w:pPr>
      <w:r>
        <w:rPr>
          <w:sz w:val="21"/>
          <w:szCs w:val="21"/>
        </w:rPr>
        <w:t>1.</w:t>
      </w:r>
      <w:r>
        <w:rPr>
          <w:sz w:val="21"/>
          <w:szCs w:val="21"/>
        </w:rPr>
        <w:tab/>
      </w:r>
      <w:r>
        <w:rPr>
          <w:rFonts w:hint="eastAsia" w:hAnsi="宋体"/>
          <w:sz w:val="21"/>
          <w:szCs w:val="21"/>
        </w:rPr>
        <w:t>您的</w:t>
      </w:r>
      <w:r>
        <w:rPr>
          <w:sz w:val="21"/>
          <w:szCs w:val="21"/>
        </w:rPr>
        <w:t>510</w:t>
      </w:r>
      <w:r>
        <w:rPr>
          <w:rFonts w:hint="eastAsia" w:hAnsi="宋体"/>
          <w:sz w:val="21"/>
          <w:szCs w:val="21"/>
        </w:rPr>
        <w:t>（</w:t>
      </w:r>
      <w:r>
        <w:rPr>
          <w:sz w:val="21"/>
          <w:szCs w:val="21"/>
        </w:rPr>
        <w:t>k</w:t>
      </w:r>
      <w:r>
        <w:rPr>
          <w:rFonts w:hint="eastAsia" w:hAnsi="宋体"/>
          <w:sz w:val="21"/>
          <w:szCs w:val="21"/>
        </w:rPr>
        <w:t>）中必须包含使用辅助试剂的风险评估，包括与试剂质量和变异性管理相关的风险、与辅助试剂直接提供的使用说明和您的测定提供的使用说明不一致相关的风险、以及可能导致您的检测结果不正确的任何其它问题。</w:t>
      </w:r>
    </w:p>
    <w:p w14:paraId="1A9EF4BE">
      <w:pPr>
        <w:kinsoku w:val="0"/>
        <w:overflowPunct w:val="0"/>
        <w:snapToGrid w:val="0"/>
        <w:spacing w:afterLines="50" w:line="360" w:lineRule="auto"/>
        <w:jc w:val="both"/>
        <w:rPr>
          <w:sz w:val="21"/>
          <w:szCs w:val="21"/>
        </w:rPr>
      </w:pPr>
    </w:p>
    <w:p w14:paraId="5689E96F">
      <w:pPr>
        <w:kinsoku w:val="0"/>
        <w:overflowPunct w:val="0"/>
        <w:snapToGrid w:val="0"/>
        <w:spacing w:afterLines="50" w:line="360" w:lineRule="auto"/>
        <w:jc w:val="both"/>
        <w:rPr>
          <w:sz w:val="21"/>
          <w:szCs w:val="21"/>
        </w:rPr>
      </w:pPr>
    </w:p>
    <w:p w14:paraId="1941B0C3">
      <w:pPr>
        <w:kinsoku w:val="0"/>
        <w:overflowPunct w:val="0"/>
        <w:snapToGrid w:val="0"/>
        <w:spacing w:afterLines="50" w:line="360" w:lineRule="auto"/>
        <w:jc w:val="both"/>
        <w:rPr>
          <w:sz w:val="21"/>
          <w:szCs w:val="21"/>
        </w:rPr>
      </w:pPr>
    </w:p>
    <w:p w14:paraId="323BB99A">
      <w:pPr>
        <w:kinsoku w:val="0"/>
        <w:overflowPunct w:val="0"/>
        <w:snapToGrid w:val="0"/>
        <w:spacing w:afterLines="50" w:line="360" w:lineRule="auto"/>
        <w:jc w:val="both"/>
        <w:rPr>
          <w:sz w:val="21"/>
          <w:szCs w:val="21"/>
        </w:rPr>
      </w:pPr>
    </w:p>
    <w:p w14:paraId="7F86CA82">
      <w:pPr>
        <w:kinsoku w:val="0"/>
        <w:overflowPunct w:val="0"/>
        <w:snapToGrid w:val="0"/>
        <w:spacing w:afterLines="50" w:line="360" w:lineRule="auto"/>
        <w:jc w:val="both"/>
        <w:rPr>
          <w:sz w:val="21"/>
          <w:szCs w:val="21"/>
        </w:rPr>
      </w:pPr>
    </w:p>
    <w:p w14:paraId="1561015F">
      <w:pPr>
        <w:kinsoku w:val="0"/>
        <w:overflowPunct w:val="0"/>
        <w:snapToGrid w:val="0"/>
        <w:spacing w:afterLines="50" w:line="360" w:lineRule="auto"/>
        <w:jc w:val="both"/>
        <w:rPr>
          <w:sz w:val="21"/>
          <w:szCs w:val="21"/>
        </w:rPr>
      </w:pPr>
    </w:p>
    <w:p w14:paraId="4D52F2E2">
      <w:pPr>
        <w:kinsoku w:val="0"/>
        <w:overflowPunct w:val="0"/>
        <w:snapToGrid w:val="0"/>
        <w:spacing w:afterLines="50" w:line="360" w:lineRule="auto"/>
        <w:jc w:val="both"/>
        <w:rPr>
          <w:sz w:val="21"/>
          <w:szCs w:val="21"/>
        </w:rPr>
      </w:pPr>
    </w:p>
    <w:p w14:paraId="22AF40A9">
      <w:pPr>
        <w:kinsoku w:val="0"/>
        <w:overflowPunct w:val="0"/>
        <w:snapToGrid w:val="0"/>
        <w:spacing w:afterLines="50" w:line="360" w:lineRule="auto"/>
        <w:jc w:val="both"/>
        <w:rPr>
          <w:sz w:val="21"/>
          <w:szCs w:val="21"/>
        </w:rPr>
      </w:pPr>
    </w:p>
    <w:p w14:paraId="52E0CCA4">
      <w:pPr>
        <w:kinsoku w:val="0"/>
        <w:overflowPunct w:val="0"/>
        <w:snapToGrid w:val="0"/>
        <w:spacing w:afterLines="50" w:line="360" w:lineRule="auto"/>
        <w:jc w:val="both"/>
        <w:rPr>
          <w:sz w:val="21"/>
          <w:szCs w:val="21"/>
        </w:rPr>
      </w:pPr>
    </w:p>
    <w:p w14:paraId="5BCC98D6">
      <w:pPr>
        <w:kinsoku w:val="0"/>
        <w:overflowPunct w:val="0"/>
        <w:snapToGrid w:val="0"/>
        <w:spacing w:afterLines="50" w:line="360" w:lineRule="auto"/>
        <w:jc w:val="both"/>
        <w:rPr>
          <w:sz w:val="21"/>
          <w:szCs w:val="21"/>
        </w:rPr>
      </w:pPr>
      <w:r>
        <w:rPr>
          <w:sz w:val="21"/>
          <w:szCs w:val="21"/>
        </w:rPr>
        <w:t>____________________________</w:t>
      </w:r>
    </w:p>
    <w:p w14:paraId="2A9EF290">
      <w:pPr>
        <w:kinsoku w:val="0"/>
        <w:overflowPunct w:val="0"/>
        <w:snapToGrid w:val="0"/>
        <w:spacing w:afterLines="50" w:line="360" w:lineRule="auto"/>
        <w:ind w:left="360" w:hanging="360" w:hangingChars="200"/>
        <w:jc w:val="both"/>
        <w:rPr>
          <w:sz w:val="18"/>
          <w:szCs w:val="18"/>
        </w:rPr>
      </w:pPr>
      <w:bookmarkStart w:id="22" w:name="bookmark10"/>
      <w:bookmarkEnd w:id="22"/>
      <w:r>
        <w:rPr>
          <w:sz w:val="18"/>
          <w:szCs w:val="18"/>
          <w:vertAlign w:val="superscript"/>
        </w:rPr>
        <w:t xml:space="preserve">2 </w:t>
      </w:r>
      <w:r>
        <w:rPr>
          <w:sz w:val="18"/>
          <w:szCs w:val="18"/>
          <w:vertAlign w:val="superscript"/>
        </w:rPr>
        <w:tab/>
      </w:r>
      <w:r>
        <w:rPr>
          <w:rFonts w:hint="eastAsia" w:hAnsi="宋体"/>
          <w:sz w:val="18"/>
          <w:szCs w:val="18"/>
        </w:rPr>
        <w:t>即使您确定在测定中可以使用一种或多种替代辅助试剂，这些替代试剂仍然可以是所述的辅助试剂。如果您不确定特殊控制措施的这一方面是否适用于您的器械，我们建议您咨询</w:t>
      </w:r>
      <w:r>
        <w:rPr>
          <w:sz w:val="18"/>
          <w:szCs w:val="18"/>
        </w:rPr>
        <w:t>FDA</w:t>
      </w:r>
      <w:r>
        <w:rPr>
          <w:rFonts w:hint="eastAsia" w:hAnsi="宋体"/>
          <w:sz w:val="18"/>
          <w:szCs w:val="18"/>
        </w:rPr>
        <w:t>。</w:t>
      </w:r>
    </w:p>
    <w:p w14:paraId="24E186C0">
      <w:pPr>
        <w:widowControl/>
        <w:autoSpaceDE/>
        <w:autoSpaceDN/>
        <w:snapToGrid w:val="0"/>
        <w:spacing w:line="360" w:lineRule="auto"/>
        <w:rPr>
          <w:sz w:val="21"/>
          <w:szCs w:val="21"/>
        </w:rPr>
      </w:pPr>
      <w:r>
        <w:rPr>
          <w:sz w:val="21"/>
          <w:szCs w:val="21"/>
        </w:rPr>
        <w:br w:type="page"/>
      </w:r>
    </w:p>
    <w:p w14:paraId="6466DC80">
      <w:pPr>
        <w:pStyle w:val="6"/>
        <w:tabs>
          <w:tab w:val="left" w:pos="851"/>
        </w:tabs>
        <w:kinsoku w:val="0"/>
        <w:overflowPunct w:val="0"/>
        <w:snapToGrid w:val="0"/>
        <w:spacing w:line="360" w:lineRule="auto"/>
        <w:ind w:left="900" w:leftChars="200" w:hanging="420" w:hangingChars="200"/>
        <w:jc w:val="both"/>
        <w:rPr>
          <w:sz w:val="21"/>
          <w:szCs w:val="21"/>
        </w:rPr>
      </w:pPr>
      <w:r>
        <w:rPr>
          <w:sz w:val="21"/>
          <w:szCs w:val="21"/>
        </w:rPr>
        <w:t>2.</w:t>
      </w:r>
      <w:r>
        <w:rPr>
          <w:sz w:val="21"/>
          <w:szCs w:val="21"/>
        </w:rPr>
        <w:tab/>
      </w:r>
      <w:r>
        <w:rPr>
          <w:rFonts w:hint="eastAsia" w:hAnsi="宋体"/>
          <w:sz w:val="21"/>
          <w:szCs w:val="21"/>
        </w:rPr>
        <w:t>使用风险评估作为适用性的依据，您必须在</w:t>
      </w:r>
      <w:r>
        <w:rPr>
          <w:sz w:val="21"/>
          <w:szCs w:val="21"/>
        </w:rPr>
        <w:t>510</w:t>
      </w:r>
      <w:r>
        <w:rPr>
          <w:rFonts w:hint="eastAsia" w:hAnsi="宋体"/>
          <w:sz w:val="21"/>
          <w:szCs w:val="21"/>
        </w:rPr>
        <w:t>（</w:t>
      </w:r>
      <w:r>
        <w:rPr>
          <w:sz w:val="21"/>
          <w:szCs w:val="21"/>
        </w:rPr>
        <w:t>k</w:t>
      </w:r>
      <w:r>
        <w:rPr>
          <w:rFonts w:hint="eastAsia" w:hAnsi="宋体"/>
          <w:sz w:val="21"/>
          <w:szCs w:val="21"/>
        </w:rPr>
        <w:t>）中描述您将如何通过对辅助试剂采取必要的控制措施来降低风险。在适用的情况下，这些可能包括：</w:t>
      </w:r>
    </w:p>
    <w:p w14:paraId="10A52137">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用户标签，以确保适当使用辅助试剂（参见</w:t>
      </w:r>
      <w:r>
        <w:rPr>
          <w:sz w:val="21"/>
          <w:szCs w:val="21"/>
        </w:rPr>
        <w:t>“</w:t>
      </w:r>
      <w:r>
        <w:rPr>
          <w:rFonts w:hint="eastAsia" w:hAnsi="宋体"/>
          <w:sz w:val="21"/>
          <w:szCs w:val="21"/>
        </w:rPr>
        <w:t>标签</w:t>
      </w:r>
      <w:r>
        <w:rPr>
          <w:sz w:val="21"/>
          <w:szCs w:val="21"/>
        </w:rPr>
        <w:t>”</w:t>
      </w:r>
      <w:r>
        <w:rPr>
          <w:rFonts w:hint="eastAsia" w:hAnsi="宋体"/>
          <w:sz w:val="21"/>
          <w:szCs w:val="21"/>
        </w:rPr>
        <w:t>部分的进一步讨论）。</w:t>
      </w:r>
    </w:p>
    <w:p w14:paraId="0DBF8B53">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评估用户遵守辅助试剂的标签说明的计划。</w:t>
      </w:r>
    </w:p>
    <w:p w14:paraId="0BDF1E64">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辅助试剂的材料规格。</w:t>
      </w:r>
    </w:p>
    <w:p w14:paraId="0D1F47E8">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确认试剂批次以保证您的器械的适当性能。</w:t>
      </w:r>
    </w:p>
    <w:p w14:paraId="49F64335">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稳定性试验。</w:t>
      </w:r>
    </w:p>
    <w:p w14:paraId="6F79B42F">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投诉处理。</w:t>
      </w:r>
    </w:p>
    <w:p w14:paraId="6885805A">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纠正和预防措施。</w:t>
      </w:r>
    </w:p>
    <w:p w14:paraId="7798BCDF">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提醒用户发生涉及辅助试剂的问题将影响试验性能的计划。</w:t>
      </w:r>
    </w:p>
    <w:p w14:paraId="5C0D7ED0">
      <w:pPr>
        <w:pStyle w:val="6"/>
        <w:numPr>
          <w:ilvl w:val="0"/>
          <w:numId w:val="7"/>
        </w:numPr>
        <w:kinsoku w:val="0"/>
        <w:overflowPunct w:val="0"/>
        <w:snapToGrid w:val="0"/>
        <w:spacing w:line="360" w:lineRule="auto"/>
        <w:ind w:left="960" w:leftChars="400"/>
        <w:jc w:val="both"/>
        <w:rPr>
          <w:sz w:val="21"/>
          <w:szCs w:val="21"/>
        </w:rPr>
      </w:pPr>
      <w:r>
        <w:rPr>
          <w:rFonts w:hint="eastAsia" w:hAnsi="宋体"/>
          <w:sz w:val="21"/>
          <w:szCs w:val="21"/>
        </w:rPr>
        <w:t>根据您的器械使用说明书，为确保您的测试试剂与所确定的辅助试剂联合使用的安全性和有效性，您必须解决的任何其它问题。</w:t>
      </w:r>
    </w:p>
    <w:p w14:paraId="2B7427A6">
      <w:pPr>
        <w:pStyle w:val="6"/>
        <w:tabs>
          <w:tab w:val="left" w:pos="851"/>
        </w:tabs>
        <w:kinsoku w:val="0"/>
        <w:overflowPunct w:val="0"/>
        <w:snapToGrid w:val="0"/>
        <w:spacing w:beforeLines="50" w:afterLines="50" w:line="360" w:lineRule="auto"/>
        <w:jc w:val="both"/>
        <w:rPr>
          <w:sz w:val="21"/>
          <w:szCs w:val="21"/>
        </w:rPr>
      </w:pPr>
      <w:r>
        <w:rPr>
          <w:rFonts w:hint="eastAsia" w:hAnsi="宋体"/>
          <w:sz w:val="21"/>
          <w:szCs w:val="21"/>
        </w:rPr>
        <w:t>此外，您还必须提供测试数据，以确定您提供或推荐的质量控制足以检测用辅助试剂的性能或稳定性问题。</w:t>
      </w:r>
    </w:p>
    <w:p w14:paraId="41C5F3FE">
      <w:pPr>
        <w:pStyle w:val="6"/>
        <w:tabs>
          <w:tab w:val="left" w:pos="851"/>
        </w:tabs>
        <w:kinsoku w:val="0"/>
        <w:overflowPunct w:val="0"/>
        <w:snapToGrid w:val="0"/>
        <w:spacing w:afterLines="50" w:line="360" w:lineRule="auto"/>
        <w:jc w:val="both"/>
        <w:rPr>
          <w:sz w:val="21"/>
          <w:szCs w:val="21"/>
        </w:rPr>
      </w:pPr>
      <w:r>
        <w:rPr>
          <w:rFonts w:hint="eastAsia" w:hAnsi="宋体"/>
          <w:sz w:val="21"/>
          <w:szCs w:val="21"/>
        </w:rPr>
        <w:t>如果您有关于辅助试剂的确定、使用或控制的疑问，您可以联系</w:t>
      </w:r>
      <w:r>
        <w:rPr>
          <w:sz w:val="21"/>
          <w:szCs w:val="21"/>
        </w:rPr>
        <w:t>FDA</w:t>
      </w:r>
      <w:r>
        <w:rPr>
          <w:rFonts w:hint="eastAsia" w:hAnsi="宋体"/>
          <w:sz w:val="21"/>
          <w:szCs w:val="21"/>
        </w:rPr>
        <w:t>寻求建议。</w:t>
      </w:r>
    </w:p>
    <w:p w14:paraId="526B7A90">
      <w:pPr>
        <w:pStyle w:val="3"/>
        <w:numPr>
          <w:ilvl w:val="0"/>
          <w:numId w:val="4"/>
        </w:numPr>
        <w:kinsoku w:val="0"/>
        <w:overflowPunct w:val="0"/>
        <w:snapToGrid w:val="0"/>
        <w:spacing w:afterLines="50" w:line="360" w:lineRule="auto"/>
        <w:ind w:left="422" w:hanging="422" w:hangingChars="200"/>
        <w:jc w:val="both"/>
        <w:rPr>
          <w:sz w:val="21"/>
          <w:szCs w:val="21"/>
        </w:rPr>
      </w:pPr>
      <w:bookmarkStart w:id="23" w:name="_Toc496790168"/>
      <w:r>
        <w:rPr>
          <w:rFonts w:hint="eastAsia" w:hAnsi="宋体"/>
          <w:sz w:val="21"/>
          <w:szCs w:val="21"/>
        </w:rPr>
        <w:t>测试方法</w:t>
      </w:r>
      <w:bookmarkEnd w:id="23"/>
    </w:p>
    <w:p w14:paraId="42AEC811">
      <w:pPr>
        <w:pStyle w:val="6"/>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）提交中提供有关器械操作原理的详细说明。您必须具体描述测试条件、方法和对照，以避免出现可能导致假阳性和假阴性结果或产生生物安全危害的条件。这些包括但不限于：</w:t>
      </w:r>
    </w:p>
    <w:p w14:paraId="37F371D6">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任何外部对照和</w:t>
      </w:r>
      <w:r>
        <w:rPr>
          <w:sz w:val="21"/>
          <w:szCs w:val="21"/>
        </w:rPr>
        <w:t>/</w:t>
      </w:r>
      <w:r>
        <w:rPr>
          <w:rFonts w:hint="eastAsia" w:hAnsi="宋体"/>
          <w:sz w:val="21"/>
          <w:szCs w:val="21"/>
        </w:rPr>
        <w:t>或内部对照（例如，监测测定性能的样本阴性对照和</w:t>
      </w:r>
      <w:r>
        <w:rPr>
          <w:sz w:val="21"/>
          <w:szCs w:val="21"/>
        </w:rPr>
        <w:t>/</w:t>
      </w:r>
      <w:r>
        <w:rPr>
          <w:rFonts w:hint="eastAsia" w:hAnsi="宋体"/>
          <w:sz w:val="21"/>
          <w:szCs w:val="21"/>
        </w:rPr>
        <w:t>或内部对照）的描述或建议。</w:t>
      </w:r>
    </w:p>
    <w:p w14:paraId="516C760F">
      <w:pPr>
        <w:pStyle w:val="6"/>
        <w:numPr>
          <w:ilvl w:val="0"/>
          <w:numId w:val="6"/>
        </w:numPr>
        <w:kinsoku w:val="0"/>
        <w:overflowPunct w:val="0"/>
        <w:snapToGrid w:val="0"/>
        <w:spacing w:afterLines="50" w:line="360" w:lineRule="auto"/>
        <w:ind w:left="480" w:leftChars="200"/>
        <w:jc w:val="both"/>
        <w:rPr>
          <w:sz w:val="21"/>
          <w:szCs w:val="21"/>
        </w:rPr>
      </w:pPr>
      <w:r>
        <w:rPr>
          <w:rFonts w:hint="eastAsia" w:hAnsi="宋体"/>
          <w:sz w:val="21"/>
          <w:szCs w:val="21"/>
        </w:rPr>
        <w:t>测试方法的总体设计，包括纳入推荐测试方法的控制元素。</w:t>
      </w:r>
    </w:p>
    <w:p w14:paraId="20FEC57F">
      <w:pPr>
        <w:pStyle w:val="6"/>
        <w:numPr>
          <w:ilvl w:val="0"/>
          <w:numId w:val="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用于监测对测定性能和检测具有不利影响的程序错误或因素（如，试剂降解）的特征和附加对照。</w:t>
      </w:r>
    </w:p>
    <w:p w14:paraId="142EDA9B">
      <w:pPr>
        <w:pStyle w:val="6"/>
        <w:kinsoku w:val="0"/>
        <w:overflowPunct w:val="0"/>
        <w:snapToGrid w:val="0"/>
        <w:spacing w:afterLines="50" w:line="360" w:lineRule="auto"/>
        <w:ind w:left="0"/>
        <w:jc w:val="both"/>
        <w:rPr>
          <w:sz w:val="21"/>
          <w:szCs w:val="21"/>
        </w:rPr>
      </w:pPr>
      <w:r>
        <w:rPr>
          <w:rFonts w:hint="eastAsia" w:hAnsi="宋体"/>
          <w:sz w:val="21"/>
          <w:szCs w:val="21"/>
        </w:rPr>
        <w:t>您还必须描述使用说明中包含的降低与</w:t>
      </w:r>
      <w:r>
        <w:rPr>
          <w:sz w:val="21"/>
          <w:szCs w:val="21"/>
        </w:rPr>
        <w:t>DEN</w:t>
      </w:r>
      <w:r>
        <w:rPr>
          <w:rFonts w:hint="eastAsia" w:hAnsi="宋体"/>
          <w:sz w:val="21"/>
          <w:szCs w:val="21"/>
        </w:rPr>
        <w:t>检测相关风险的所有其它步骤、方法和操作（参见第</w:t>
      </w:r>
      <w:r>
        <w:rPr>
          <w:sz w:val="21"/>
          <w:szCs w:val="21"/>
        </w:rPr>
        <w:t>8</w:t>
      </w:r>
      <w:r>
        <w:rPr>
          <w:rFonts w:hint="eastAsia" w:hAnsi="宋体"/>
          <w:sz w:val="21"/>
          <w:szCs w:val="21"/>
        </w:rPr>
        <w:t>节</w:t>
      </w:r>
      <w:r>
        <w:rPr>
          <w:rFonts w:hint="eastAsia"/>
          <w:sz w:val="21"/>
          <w:szCs w:val="21"/>
        </w:rPr>
        <w:t>—</w:t>
      </w:r>
      <w:r>
        <w:rPr>
          <w:rFonts w:hint="eastAsia" w:hAnsi="宋体"/>
          <w:sz w:val="21"/>
          <w:szCs w:val="21"/>
        </w:rPr>
        <w:t>标签）。</w:t>
      </w:r>
    </w:p>
    <w:p w14:paraId="4B2EC365">
      <w:pPr>
        <w:pStyle w:val="3"/>
        <w:numPr>
          <w:ilvl w:val="0"/>
          <w:numId w:val="4"/>
        </w:numPr>
        <w:kinsoku w:val="0"/>
        <w:overflowPunct w:val="0"/>
        <w:snapToGrid w:val="0"/>
        <w:spacing w:afterLines="50" w:line="360" w:lineRule="auto"/>
        <w:jc w:val="both"/>
        <w:rPr>
          <w:sz w:val="21"/>
          <w:szCs w:val="21"/>
        </w:rPr>
      </w:pPr>
      <w:r>
        <w:rPr>
          <w:sz w:val="21"/>
          <w:szCs w:val="21"/>
        </w:rPr>
        <w:br w:type="page"/>
      </w:r>
      <w:bookmarkStart w:id="24" w:name="_Toc496790169"/>
      <w:r>
        <w:rPr>
          <w:rFonts w:hint="eastAsia" w:hAnsi="宋体"/>
          <w:sz w:val="21"/>
          <w:szCs w:val="21"/>
        </w:rPr>
        <w:t>样本储存和运输条件</w:t>
      </w:r>
      <w:bookmarkEnd w:id="24"/>
    </w:p>
    <w:p w14:paraId="6F7BD141">
      <w:pPr>
        <w:pStyle w:val="6"/>
        <w:kinsoku w:val="0"/>
        <w:overflowPunct w:val="0"/>
        <w:snapToGrid w:val="0"/>
        <w:spacing w:afterLines="50" w:line="360" w:lineRule="auto"/>
        <w:ind w:left="0"/>
        <w:jc w:val="both"/>
        <w:rPr>
          <w:sz w:val="21"/>
          <w:szCs w:val="21"/>
        </w:rPr>
      </w:pPr>
      <w:r>
        <w:rPr>
          <w:rFonts w:hint="eastAsia" w:hAnsi="宋体"/>
          <w:sz w:val="21"/>
          <w:szCs w:val="21"/>
        </w:rPr>
        <w:t>如果您推荐样本储存和</w:t>
      </w:r>
      <w:r>
        <w:rPr>
          <w:sz w:val="21"/>
          <w:szCs w:val="21"/>
        </w:rPr>
        <w:t>/</w:t>
      </w:r>
      <w:r>
        <w:rPr>
          <w:rFonts w:hint="eastAsia" w:hAnsi="宋体"/>
          <w:sz w:val="21"/>
          <w:szCs w:val="21"/>
        </w:rPr>
        <w:t>或运输条件，您必须证明，对于在推荐的储存期间内的多个时间点的样本以及在推荐的储存温度范围的两个端点的样本，您的器械可以产生相同的结果。您可以使用临床和实验室标准研究所（</w:t>
      </w:r>
      <w:r>
        <w:rPr>
          <w:sz w:val="21"/>
          <w:szCs w:val="21"/>
        </w:rPr>
        <w:t>CLSI</w:t>
      </w:r>
      <w:r>
        <w:rPr>
          <w:rFonts w:hint="eastAsia" w:hAnsi="宋体"/>
          <w:sz w:val="21"/>
          <w:szCs w:val="21"/>
        </w:rPr>
        <w:t>）文件</w:t>
      </w:r>
      <w:r>
        <w:rPr>
          <w:sz w:val="21"/>
          <w:szCs w:val="21"/>
        </w:rPr>
        <w:t>H18-A4“</w:t>
      </w:r>
      <w:r>
        <w:rPr>
          <w:rFonts w:hint="eastAsia" w:hAnsi="宋体"/>
          <w:sz w:val="21"/>
          <w:szCs w:val="21"/>
        </w:rPr>
        <w:t>血液样本的处理和加工方法</w:t>
      </w:r>
      <w:r>
        <w:rPr>
          <w:sz w:val="21"/>
          <w:szCs w:val="21"/>
        </w:rPr>
        <w:t>” [</w:t>
      </w:r>
      <w:r>
        <w:rPr>
          <w:rFonts w:hint="eastAsia" w:hAnsi="宋体"/>
          <w:sz w:val="21"/>
          <w:szCs w:val="21"/>
        </w:rPr>
        <w:t>参考文献</w:t>
      </w:r>
      <w:r>
        <w:rPr>
          <w:sz w:val="21"/>
          <w:szCs w:val="21"/>
        </w:rPr>
        <w:t>2]</w:t>
      </w:r>
      <w:r>
        <w:rPr>
          <w:rFonts w:hint="eastAsia" w:hAnsi="宋体"/>
          <w:sz w:val="21"/>
          <w:szCs w:val="21"/>
        </w:rPr>
        <w:t>中描述的方法。</w:t>
      </w:r>
    </w:p>
    <w:p w14:paraId="3B4AB9A8">
      <w:pPr>
        <w:pStyle w:val="3"/>
        <w:numPr>
          <w:ilvl w:val="0"/>
          <w:numId w:val="4"/>
        </w:numPr>
        <w:kinsoku w:val="0"/>
        <w:overflowPunct w:val="0"/>
        <w:snapToGrid w:val="0"/>
        <w:spacing w:afterLines="50" w:line="360" w:lineRule="auto"/>
        <w:ind w:left="422" w:hanging="422" w:hangingChars="200"/>
        <w:jc w:val="both"/>
        <w:rPr>
          <w:sz w:val="21"/>
          <w:szCs w:val="21"/>
        </w:rPr>
      </w:pPr>
      <w:bookmarkStart w:id="25" w:name="_Toc496790170"/>
      <w:r>
        <w:rPr>
          <w:rFonts w:hint="eastAsia" w:hAnsi="宋体"/>
          <w:sz w:val="21"/>
          <w:szCs w:val="21"/>
        </w:rPr>
        <w:t>测试结果的解释</w:t>
      </w:r>
      <w:r>
        <w:rPr>
          <w:sz w:val="21"/>
          <w:szCs w:val="21"/>
        </w:rPr>
        <w:t>/</w:t>
      </w:r>
      <w:r>
        <w:rPr>
          <w:rFonts w:hint="eastAsia" w:hAnsi="宋体"/>
          <w:sz w:val="21"/>
          <w:szCs w:val="21"/>
        </w:rPr>
        <w:t>报告</w:t>
      </w:r>
      <w:bookmarkEnd w:id="25"/>
    </w:p>
    <w:p w14:paraId="61BE888E">
      <w:pPr>
        <w:pStyle w:val="6"/>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）中描述如何确定阳性、阴性、不明确（如适用）或无效结果，以及如何进行解释。您必须在</w:t>
      </w:r>
      <w:r>
        <w:rPr>
          <w:sz w:val="21"/>
          <w:szCs w:val="21"/>
        </w:rPr>
        <w:t>510</w:t>
      </w:r>
      <w:r>
        <w:rPr>
          <w:rFonts w:hint="eastAsia" w:hAnsi="宋体"/>
          <w:sz w:val="21"/>
          <w:szCs w:val="21"/>
        </w:rPr>
        <w:t>（</w:t>
      </w:r>
      <w:r>
        <w:rPr>
          <w:sz w:val="21"/>
          <w:szCs w:val="21"/>
        </w:rPr>
        <w:t>k</w:t>
      </w:r>
      <w:r>
        <w:rPr>
          <w:rFonts w:hint="eastAsia" w:hAnsi="宋体"/>
          <w:sz w:val="21"/>
          <w:szCs w:val="21"/>
        </w:rPr>
        <w:t>）提交说明测定所有输出的临界值。</w:t>
      </w:r>
    </w:p>
    <w:p w14:paraId="725ECECF">
      <w:pPr>
        <w:pStyle w:val="6"/>
        <w:kinsoku w:val="0"/>
        <w:overflowPunct w:val="0"/>
        <w:snapToGrid w:val="0"/>
        <w:spacing w:afterLines="50" w:line="360" w:lineRule="auto"/>
        <w:ind w:left="0"/>
        <w:jc w:val="both"/>
        <w:rPr>
          <w:sz w:val="21"/>
          <w:szCs w:val="21"/>
        </w:rPr>
      </w:pPr>
      <w:r>
        <w:rPr>
          <w:rFonts w:hint="eastAsia" w:hAnsi="宋体"/>
          <w:sz w:val="21"/>
          <w:szCs w:val="21"/>
        </w:rPr>
        <w:t>您必须提供确定该测定的阴性结果的具体临界值。如果该测定只有两种可能的输出结果（如，阴性和阳性），则该临界值也定义了该测定的阳性结果。</w:t>
      </w:r>
    </w:p>
    <w:p w14:paraId="601B3F8B">
      <w:pPr>
        <w:pStyle w:val="6"/>
        <w:kinsoku w:val="0"/>
        <w:overflowPunct w:val="0"/>
        <w:snapToGrid w:val="0"/>
        <w:spacing w:afterLines="50" w:line="360" w:lineRule="auto"/>
        <w:ind w:left="0"/>
        <w:jc w:val="both"/>
        <w:rPr>
          <w:sz w:val="21"/>
          <w:szCs w:val="21"/>
        </w:rPr>
      </w:pPr>
      <w:r>
        <w:rPr>
          <w:rFonts w:hint="eastAsia" w:hAnsi="宋体"/>
          <w:sz w:val="21"/>
          <w:szCs w:val="21"/>
        </w:rPr>
        <w:t>如果该测定含有不明确区域，则您必须提供不明确区域的范围（限值）并提供关于用户如何跟踪不明确结果的建议。如果您对初始不明确结果的解释是需要重新检测，则您的</w:t>
      </w:r>
      <w:r>
        <w:rPr>
          <w:sz w:val="21"/>
          <w:szCs w:val="21"/>
        </w:rPr>
        <w:t>510</w:t>
      </w:r>
      <w:r>
        <w:rPr>
          <w:rFonts w:hint="eastAsia" w:hAnsi="宋体"/>
          <w:sz w:val="21"/>
          <w:szCs w:val="21"/>
        </w:rPr>
        <w:t>（</w:t>
      </w:r>
      <w:r>
        <w:rPr>
          <w:sz w:val="21"/>
          <w:szCs w:val="21"/>
        </w:rPr>
        <w:t>k</w:t>
      </w:r>
      <w:r>
        <w:rPr>
          <w:rFonts w:hint="eastAsia" w:hAnsi="宋体"/>
          <w:sz w:val="21"/>
          <w:szCs w:val="21"/>
        </w:rPr>
        <w:t>）必须说明：</w:t>
      </w:r>
    </w:p>
    <w:p w14:paraId="79ADBBBC">
      <w:pPr>
        <w:pStyle w:val="6"/>
        <w:numPr>
          <w:ilvl w:val="0"/>
          <w:numId w:val="8"/>
        </w:numPr>
        <w:tabs>
          <w:tab w:val="left" w:pos="851"/>
        </w:tabs>
        <w:kinsoku w:val="0"/>
        <w:overflowPunct w:val="0"/>
        <w:snapToGrid w:val="0"/>
        <w:spacing w:line="360" w:lineRule="auto"/>
        <w:ind w:left="480" w:leftChars="200"/>
        <w:jc w:val="both"/>
        <w:rPr>
          <w:sz w:val="21"/>
          <w:szCs w:val="21"/>
        </w:rPr>
      </w:pPr>
      <w:r>
        <w:rPr>
          <w:rFonts w:hint="eastAsia" w:hAnsi="宋体"/>
          <w:sz w:val="21"/>
          <w:szCs w:val="21"/>
        </w:rPr>
        <w:t>重新测试是否应采用同一测定法或不同的方法。</w:t>
      </w:r>
    </w:p>
    <w:p w14:paraId="595E4F4D">
      <w:pPr>
        <w:pStyle w:val="6"/>
        <w:numPr>
          <w:ilvl w:val="0"/>
          <w:numId w:val="8"/>
        </w:numPr>
        <w:tabs>
          <w:tab w:val="left" w:pos="851"/>
        </w:tabs>
        <w:kinsoku w:val="0"/>
        <w:overflowPunct w:val="0"/>
        <w:snapToGrid w:val="0"/>
        <w:spacing w:line="360" w:lineRule="auto"/>
        <w:ind w:left="480" w:leftChars="200"/>
        <w:jc w:val="both"/>
        <w:rPr>
          <w:sz w:val="21"/>
          <w:szCs w:val="21"/>
        </w:rPr>
      </w:pPr>
      <w:r>
        <w:rPr>
          <w:rFonts w:hint="eastAsia" w:hAnsi="宋体"/>
          <w:sz w:val="21"/>
          <w:szCs w:val="21"/>
        </w:rPr>
        <w:t>重新测试是否应采用同一制备样本或采用新的患者样本。</w:t>
      </w:r>
    </w:p>
    <w:p w14:paraId="1A6AD2D8">
      <w:pPr>
        <w:pStyle w:val="6"/>
        <w:numPr>
          <w:ilvl w:val="0"/>
          <w:numId w:val="8"/>
        </w:numPr>
        <w:tabs>
          <w:tab w:val="left" w:pos="851"/>
        </w:tabs>
        <w:kinsoku w:val="0"/>
        <w:overflowPunct w:val="0"/>
        <w:snapToGrid w:val="0"/>
        <w:spacing w:line="360" w:lineRule="auto"/>
        <w:ind w:left="480" w:leftChars="200"/>
        <w:jc w:val="both"/>
        <w:rPr>
          <w:sz w:val="21"/>
          <w:szCs w:val="21"/>
        </w:rPr>
      </w:pPr>
      <w:r>
        <w:rPr>
          <w:rFonts w:hint="eastAsia" w:hAnsi="宋体"/>
          <w:sz w:val="21"/>
          <w:szCs w:val="21"/>
        </w:rPr>
        <w:t>通过结合初始不明确结果和采用与初始检测相同的测定法重新测试后得到的结果来确定最终结果的算法。（这种算法必须在评价本测定法的临床性能的关键临床研究开始之前开发完成）。</w:t>
      </w:r>
    </w:p>
    <w:p w14:paraId="0CA97631">
      <w:pPr>
        <w:pStyle w:val="6"/>
        <w:kinsoku w:val="0"/>
        <w:overflowPunct w:val="0"/>
        <w:snapToGrid w:val="0"/>
        <w:spacing w:beforeLines="50" w:afterLines="50" w:line="360" w:lineRule="auto"/>
        <w:ind w:left="0"/>
        <w:jc w:val="both"/>
        <w:rPr>
          <w:sz w:val="21"/>
          <w:szCs w:val="21"/>
        </w:rPr>
      </w:pPr>
      <w:r>
        <w:rPr>
          <w:rFonts w:hint="eastAsia" w:hAnsi="宋体"/>
          <w:sz w:val="21"/>
          <w:szCs w:val="21"/>
        </w:rPr>
        <w:t>如果检测结果无效，则必须描述如何定义无效结果。如果内部控制是确定无效结果的一部分，则必须提供关于解释无效结果的每个可能的对照结果组合的建议。您必须提供如何跟踪无效结果的建议（即，结果是否应报告为无效或是否推荐重新测试）。如果建议进行重新测试，您必须提供类似于重新测试不明确结果的信息（即，重新测试是否应采用相同样本的新等分试样或新的患者样本进行）。</w:t>
      </w:r>
    </w:p>
    <w:p w14:paraId="667B92FF">
      <w:pPr>
        <w:pStyle w:val="6"/>
        <w:kinsoku w:val="0"/>
        <w:overflowPunct w:val="0"/>
        <w:snapToGrid w:val="0"/>
        <w:spacing w:afterLines="50" w:line="360" w:lineRule="auto"/>
        <w:ind w:left="0"/>
        <w:jc w:val="both"/>
        <w:rPr>
          <w:sz w:val="21"/>
          <w:szCs w:val="21"/>
          <w:highlight w:val="green"/>
        </w:rPr>
      </w:pPr>
      <w:r>
        <w:rPr>
          <w:rFonts w:hint="eastAsia" w:hAnsi="宋体"/>
          <w:sz w:val="21"/>
          <w:szCs w:val="21"/>
        </w:rPr>
        <w:t>此外，您必须描述如何监控性能结果随时间的变化，以确定由于</w:t>
      </w:r>
      <w:r>
        <w:rPr>
          <w:sz w:val="21"/>
          <w:szCs w:val="21"/>
        </w:rPr>
        <w:t>DENV</w:t>
      </w:r>
      <w:r>
        <w:rPr>
          <w:rFonts w:hint="eastAsia" w:hAnsi="宋体"/>
          <w:sz w:val="21"/>
          <w:szCs w:val="21"/>
        </w:rPr>
        <w:t>的抗原性变化、新</w:t>
      </w:r>
      <w:r>
        <w:rPr>
          <w:sz w:val="21"/>
          <w:szCs w:val="21"/>
        </w:rPr>
        <w:t>DENV</w:t>
      </w:r>
      <w:r>
        <w:rPr>
          <w:rFonts w:hint="eastAsia" w:hAnsi="宋体"/>
          <w:sz w:val="21"/>
          <w:szCs w:val="21"/>
        </w:rPr>
        <w:t>毒株的出现或由于相对于产品评价时的患病率的变化而引起的性能变化。</w:t>
      </w:r>
    </w:p>
    <w:p w14:paraId="1D31544B">
      <w:pPr>
        <w:pStyle w:val="3"/>
        <w:numPr>
          <w:ilvl w:val="0"/>
          <w:numId w:val="1"/>
        </w:numPr>
        <w:kinsoku w:val="0"/>
        <w:overflowPunct w:val="0"/>
        <w:snapToGrid w:val="0"/>
        <w:spacing w:afterLines="50" w:line="360" w:lineRule="auto"/>
        <w:ind w:left="422" w:hanging="422" w:hangingChars="200"/>
        <w:jc w:val="both"/>
        <w:rPr>
          <w:sz w:val="21"/>
          <w:szCs w:val="21"/>
        </w:rPr>
      </w:pPr>
      <w:bookmarkStart w:id="26" w:name="bookmark13"/>
      <w:bookmarkEnd w:id="26"/>
      <w:bookmarkStart w:id="27" w:name="7.__Performance_Characteristics"/>
      <w:bookmarkEnd w:id="27"/>
      <w:r>
        <w:rPr>
          <w:sz w:val="21"/>
          <w:szCs w:val="21"/>
          <w:highlight w:val="green"/>
        </w:rPr>
        <w:br w:type="page"/>
      </w:r>
      <w:bookmarkStart w:id="28" w:name="_Toc496790171"/>
      <w:r>
        <w:rPr>
          <w:rFonts w:hint="eastAsia" w:hAnsi="宋体"/>
          <w:sz w:val="21"/>
          <w:szCs w:val="21"/>
        </w:rPr>
        <w:t>性能特征</w:t>
      </w:r>
      <w:bookmarkEnd w:id="28"/>
    </w:p>
    <w:p w14:paraId="0859FFD1">
      <w:pPr>
        <w:numPr>
          <w:ilvl w:val="0"/>
          <w:numId w:val="9"/>
        </w:numPr>
        <w:kinsoku w:val="0"/>
        <w:overflowPunct w:val="0"/>
        <w:snapToGrid w:val="0"/>
        <w:spacing w:afterLines="50" w:line="360" w:lineRule="auto"/>
        <w:ind w:left="422" w:hanging="422" w:hangingChars="200"/>
        <w:jc w:val="both"/>
        <w:outlineLvl w:val="1"/>
        <w:rPr>
          <w:b/>
          <w:bCs/>
          <w:sz w:val="21"/>
          <w:szCs w:val="21"/>
        </w:rPr>
      </w:pPr>
      <w:bookmarkStart w:id="29" w:name="_Toc496790172"/>
      <w:r>
        <w:rPr>
          <w:rFonts w:hint="eastAsia" w:hAnsi="宋体"/>
          <w:b/>
          <w:bCs/>
          <w:sz w:val="21"/>
          <w:szCs w:val="21"/>
        </w:rPr>
        <w:t>一般研究建议</w:t>
      </w:r>
      <w:bookmarkEnd w:id="29"/>
    </w:p>
    <w:p w14:paraId="5C554A90">
      <w:pPr>
        <w:pStyle w:val="6"/>
        <w:kinsoku w:val="0"/>
        <w:overflowPunct w:val="0"/>
        <w:snapToGrid w:val="0"/>
        <w:spacing w:afterLines="50" w:line="360" w:lineRule="auto"/>
        <w:ind w:left="0"/>
        <w:jc w:val="both"/>
        <w:rPr>
          <w:sz w:val="21"/>
          <w:szCs w:val="21"/>
        </w:rPr>
      </w:pPr>
      <w:r>
        <w:rPr>
          <w:rFonts w:hint="eastAsia" w:hAnsi="宋体"/>
          <w:sz w:val="21"/>
          <w:szCs w:val="21"/>
        </w:rPr>
        <w:t>您提交的</w:t>
      </w:r>
      <w:r>
        <w:rPr>
          <w:sz w:val="21"/>
          <w:szCs w:val="21"/>
        </w:rPr>
        <w:t>510</w:t>
      </w:r>
      <w:r>
        <w:rPr>
          <w:rFonts w:hint="eastAsia" w:hAnsi="宋体"/>
          <w:sz w:val="21"/>
          <w:szCs w:val="21"/>
        </w:rPr>
        <w:t>（</w:t>
      </w:r>
      <w:r>
        <w:rPr>
          <w:sz w:val="21"/>
          <w:szCs w:val="21"/>
        </w:rPr>
        <w:t>k</w:t>
      </w:r>
      <w:r>
        <w:rPr>
          <w:rFonts w:hint="eastAsia" w:hAnsi="宋体"/>
          <w:sz w:val="21"/>
          <w:szCs w:val="21"/>
        </w:rPr>
        <w:t>）必须详细描述关于您为确定下面列出的每个性能特征而进行的研究。</w:t>
      </w:r>
    </w:p>
    <w:p w14:paraId="0C89B8A9">
      <w:pPr>
        <w:pStyle w:val="6"/>
        <w:kinsoku w:val="0"/>
        <w:overflowPunct w:val="0"/>
        <w:snapToGrid w:val="0"/>
        <w:spacing w:afterLines="50" w:line="360" w:lineRule="auto"/>
        <w:ind w:left="0"/>
        <w:jc w:val="both"/>
        <w:rPr>
          <w:sz w:val="21"/>
          <w:szCs w:val="21"/>
        </w:rPr>
      </w:pPr>
      <w:r>
        <w:rPr>
          <w:rFonts w:hint="eastAsia" w:hAnsi="宋体"/>
          <w:sz w:val="21"/>
          <w:szCs w:val="21"/>
        </w:rPr>
        <w:t>必须进行前瞻性临床研究，以确定在与预期用途相似的条件下的器械性能。一般来说，对于临床研究和再现性研究，您都必须在代表预期用户的</w:t>
      </w:r>
      <w:r>
        <w:rPr>
          <w:sz w:val="21"/>
          <w:szCs w:val="21"/>
        </w:rPr>
        <w:t>3</w:t>
      </w:r>
      <w:r>
        <w:rPr>
          <w:rFonts w:hint="eastAsia" w:hAnsi="宋体"/>
          <w:sz w:val="21"/>
          <w:szCs w:val="21"/>
        </w:rPr>
        <w:t>个检测机构进行测试（例如，临床实验室检测机构）。</w:t>
      </w:r>
    </w:p>
    <w:p w14:paraId="5C4B820A">
      <w:pPr>
        <w:pStyle w:val="6"/>
        <w:kinsoku w:val="0"/>
        <w:overflowPunct w:val="0"/>
        <w:snapToGrid w:val="0"/>
        <w:spacing w:afterLines="50" w:line="360" w:lineRule="auto"/>
        <w:ind w:left="0"/>
        <w:jc w:val="both"/>
        <w:rPr>
          <w:sz w:val="21"/>
          <w:szCs w:val="21"/>
        </w:rPr>
      </w:pPr>
      <w:r>
        <w:rPr>
          <w:rFonts w:hint="eastAsia" w:hAnsi="宋体"/>
          <w:sz w:val="21"/>
          <w:szCs w:val="21"/>
        </w:rPr>
        <w:t>尽管预期血清或血浆是唯一适合</w:t>
      </w:r>
      <w:r>
        <w:rPr>
          <w:sz w:val="21"/>
          <w:szCs w:val="21"/>
        </w:rPr>
        <w:t>DEN</w:t>
      </w:r>
      <w:r>
        <w:rPr>
          <w:rFonts w:hint="eastAsia" w:hAnsi="宋体"/>
          <w:sz w:val="21"/>
          <w:szCs w:val="21"/>
        </w:rPr>
        <w:t>血清学检测的样本，但如果推荐使用除血清以外的其它样本基质（例如，尿液或唾液），则您必须评价拟使用的每种可能的样本类型的测定性能。</w:t>
      </w:r>
    </w:p>
    <w:p w14:paraId="5F497A85">
      <w:pPr>
        <w:pStyle w:val="6"/>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）提交中提供适当的具体信息，描述您在测定开发期间使用的方案，以便</w:t>
      </w:r>
      <w:r>
        <w:rPr>
          <w:sz w:val="21"/>
          <w:szCs w:val="21"/>
        </w:rPr>
        <w:t>FDA</w:t>
      </w:r>
      <w:r>
        <w:rPr>
          <w:rFonts w:hint="eastAsia" w:hAnsi="宋体"/>
          <w:sz w:val="21"/>
          <w:szCs w:val="21"/>
        </w:rPr>
        <w:t>在审查期间准确地解读您的申请中包含的验收标准和数据摘要。此信息对于帮助用户了解标签中的信息也很重要。当提及</w:t>
      </w:r>
      <w:r>
        <w:rPr>
          <w:sz w:val="21"/>
          <w:szCs w:val="21"/>
        </w:rPr>
        <w:t>CLSI</w:t>
      </w:r>
      <w:r>
        <w:rPr>
          <w:rFonts w:hint="eastAsia" w:hAnsi="宋体"/>
          <w:sz w:val="21"/>
          <w:szCs w:val="21"/>
        </w:rPr>
        <w:t>（临床和实验室标准协会）方案或标准时，您必须说明遵循方案或指南的哪些具体方面。</w:t>
      </w:r>
    </w:p>
    <w:p w14:paraId="1BF3162C">
      <w:pPr>
        <w:pStyle w:val="6"/>
        <w:kinsoku w:val="0"/>
        <w:overflowPunct w:val="0"/>
        <w:snapToGrid w:val="0"/>
        <w:spacing w:afterLines="50" w:line="360" w:lineRule="auto"/>
        <w:ind w:left="0"/>
        <w:jc w:val="both"/>
        <w:rPr>
          <w:sz w:val="21"/>
          <w:szCs w:val="21"/>
        </w:rPr>
      </w:pPr>
      <w:r>
        <w:rPr>
          <w:rFonts w:hint="eastAsia" w:hAnsi="宋体"/>
          <w:sz w:val="21"/>
          <w:szCs w:val="21"/>
        </w:rPr>
        <w:t>我们建议您在开始您的临床研究计划之前联系</w:t>
      </w:r>
      <w:r>
        <w:rPr>
          <w:sz w:val="21"/>
          <w:szCs w:val="21"/>
        </w:rPr>
        <w:t>FDA</w:t>
      </w:r>
      <w:r>
        <w:rPr>
          <w:rFonts w:hint="eastAsia" w:hAnsi="宋体"/>
          <w:sz w:val="21"/>
          <w:szCs w:val="21"/>
        </w:rPr>
        <w:t>，以获得有关您计划纳入</w:t>
      </w:r>
      <w:r>
        <w:rPr>
          <w:sz w:val="21"/>
          <w:szCs w:val="21"/>
        </w:rPr>
        <w:t>510</w:t>
      </w:r>
      <w:r>
        <w:rPr>
          <w:rFonts w:hint="eastAsia" w:hAnsi="宋体"/>
          <w:sz w:val="21"/>
          <w:szCs w:val="21"/>
        </w:rPr>
        <w:t>（</w:t>
      </w:r>
      <w:r>
        <w:rPr>
          <w:sz w:val="21"/>
          <w:szCs w:val="21"/>
        </w:rPr>
        <w:t>k</w:t>
      </w:r>
      <w:r>
        <w:rPr>
          <w:rFonts w:hint="eastAsia" w:hAnsi="宋体"/>
          <w:sz w:val="21"/>
          <w:szCs w:val="21"/>
        </w:rPr>
        <w:t>）提交中的研究和预期用途的反馈意见。</w:t>
      </w:r>
    </w:p>
    <w:p w14:paraId="72B7F3F0">
      <w:pPr>
        <w:numPr>
          <w:ilvl w:val="0"/>
          <w:numId w:val="9"/>
        </w:numPr>
        <w:kinsoku w:val="0"/>
        <w:overflowPunct w:val="0"/>
        <w:snapToGrid w:val="0"/>
        <w:spacing w:line="360" w:lineRule="auto"/>
        <w:ind w:left="422" w:hanging="422" w:hangingChars="200"/>
        <w:jc w:val="both"/>
        <w:outlineLvl w:val="1"/>
        <w:rPr>
          <w:b/>
          <w:bCs/>
          <w:sz w:val="21"/>
          <w:szCs w:val="21"/>
        </w:rPr>
      </w:pPr>
      <w:bookmarkStart w:id="30" w:name="_Toc496790173"/>
      <w:r>
        <w:rPr>
          <w:rFonts w:hint="eastAsia" w:hAnsi="宋体"/>
          <w:b/>
          <w:bCs/>
          <w:sz w:val="21"/>
          <w:szCs w:val="21"/>
        </w:rPr>
        <w:t>分析研究</w:t>
      </w:r>
      <w:bookmarkEnd w:id="30"/>
    </w:p>
    <w:p w14:paraId="36EEFAEE">
      <w:pPr>
        <w:pStyle w:val="6"/>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）中确定您的</w:t>
      </w:r>
      <w:r>
        <w:rPr>
          <w:sz w:val="21"/>
          <w:szCs w:val="21"/>
        </w:rPr>
        <w:t>DEN</w:t>
      </w:r>
      <w:r>
        <w:rPr>
          <w:rFonts w:hint="eastAsia" w:hAnsi="宋体"/>
          <w:sz w:val="21"/>
          <w:szCs w:val="21"/>
        </w:rPr>
        <w:t>免疫测定的以下性能特征：</w:t>
      </w:r>
    </w:p>
    <w:p w14:paraId="08B038ED">
      <w:pPr>
        <w:pStyle w:val="3"/>
        <w:numPr>
          <w:ilvl w:val="1"/>
          <w:numId w:val="9"/>
        </w:numPr>
        <w:kinsoku w:val="0"/>
        <w:overflowPunct w:val="0"/>
        <w:snapToGrid w:val="0"/>
        <w:spacing w:afterLines="50" w:line="360" w:lineRule="auto"/>
        <w:ind w:left="902" w:leftChars="200" w:hanging="422" w:hangingChars="200"/>
        <w:jc w:val="both"/>
        <w:rPr>
          <w:sz w:val="21"/>
          <w:szCs w:val="21"/>
        </w:rPr>
      </w:pPr>
      <w:bookmarkStart w:id="31" w:name="_Toc496790174"/>
      <w:r>
        <w:rPr>
          <w:rFonts w:hint="eastAsia" w:hAnsi="宋体"/>
          <w:sz w:val="21"/>
          <w:szCs w:val="21"/>
        </w:rPr>
        <w:t>分析灵敏度</w:t>
      </w:r>
      <w:bookmarkEnd w:id="31"/>
    </w:p>
    <w:p w14:paraId="7C8F290B">
      <w:pPr>
        <w:pStyle w:val="6"/>
        <w:numPr>
          <w:ilvl w:val="2"/>
          <w:numId w:val="9"/>
        </w:numPr>
        <w:kinsoku w:val="0"/>
        <w:overflowPunct w:val="0"/>
        <w:snapToGrid w:val="0"/>
        <w:spacing w:afterLines="50" w:line="360" w:lineRule="auto"/>
        <w:ind w:left="900" w:leftChars="200" w:hanging="420" w:hangingChars="200"/>
        <w:jc w:val="both"/>
        <w:rPr>
          <w:sz w:val="21"/>
          <w:szCs w:val="21"/>
          <w:u w:val="single"/>
        </w:rPr>
      </w:pPr>
      <w:r>
        <w:rPr>
          <w:rFonts w:hint="eastAsia" w:hAnsi="宋体"/>
          <w:sz w:val="21"/>
          <w:szCs w:val="21"/>
          <w:u w:val="single"/>
        </w:rPr>
        <w:t>检测限</w:t>
      </w:r>
    </w:p>
    <w:p w14:paraId="74F2E45D">
      <w:pPr>
        <w:pStyle w:val="6"/>
        <w:kinsoku w:val="0"/>
        <w:overflowPunct w:val="0"/>
        <w:snapToGrid w:val="0"/>
        <w:spacing w:afterLines="50" w:line="360" w:lineRule="auto"/>
        <w:ind w:left="480" w:leftChars="200"/>
        <w:jc w:val="both"/>
        <w:rPr>
          <w:sz w:val="21"/>
          <w:szCs w:val="21"/>
        </w:rPr>
      </w:pPr>
      <w:r>
        <w:rPr>
          <w:rFonts w:hint="eastAsia" w:hAnsi="宋体"/>
          <w:sz w:val="21"/>
          <w:szCs w:val="21"/>
        </w:rPr>
        <w:t>目前还没有已知的</w:t>
      </w:r>
      <w:r>
        <w:rPr>
          <w:sz w:val="21"/>
          <w:szCs w:val="21"/>
        </w:rPr>
        <w:t>DEN</w:t>
      </w:r>
      <w:r>
        <w:rPr>
          <w:rFonts w:hint="eastAsia" w:hAnsi="宋体"/>
          <w:sz w:val="21"/>
          <w:szCs w:val="21"/>
        </w:rPr>
        <w:t>抗体或抗原的国际标准或制备方法。建议申办方联系</w:t>
      </w:r>
      <w:r>
        <w:rPr>
          <w:sz w:val="21"/>
          <w:szCs w:val="21"/>
        </w:rPr>
        <w:t>FDA</w:t>
      </w:r>
      <w:r>
        <w:rPr>
          <w:rFonts w:hint="eastAsia" w:hAnsi="宋体"/>
          <w:sz w:val="21"/>
          <w:szCs w:val="21"/>
        </w:rPr>
        <w:t>，探讨确定您的测定的</w:t>
      </w:r>
      <w:r>
        <w:rPr>
          <w:sz w:val="21"/>
          <w:szCs w:val="21"/>
        </w:rPr>
        <w:t>LoD</w:t>
      </w:r>
      <w:r>
        <w:rPr>
          <w:rFonts w:hint="eastAsia" w:hAnsi="宋体"/>
          <w:sz w:val="21"/>
          <w:szCs w:val="21"/>
        </w:rPr>
        <w:t>的潜在方法。</w:t>
      </w:r>
    </w:p>
    <w:p w14:paraId="5331E501">
      <w:pPr>
        <w:pStyle w:val="6"/>
        <w:numPr>
          <w:ilvl w:val="2"/>
          <w:numId w:val="9"/>
        </w:numPr>
        <w:kinsoku w:val="0"/>
        <w:overflowPunct w:val="0"/>
        <w:snapToGrid w:val="0"/>
        <w:spacing w:afterLines="50" w:line="360" w:lineRule="auto"/>
        <w:ind w:left="900" w:leftChars="200" w:hanging="420" w:hangingChars="200"/>
        <w:jc w:val="both"/>
        <w:rPr>
          <w:sz w:val="21"/>
          <w:szCs w:val="21"/>
          <w:u w:val="single"/>
        </w:rPr>
      </w:pPr>
      <w:r>
        <w:rPr>
          <w:rFonts w:hint="eastAsia" w:hAnsi="宋体"/>
          <w:sz w:val="21"/>
          <w:szCs w:val="21"/>
          <w:u w:val="single"/>
        </w:rPr>
        <w:t>分析反应性</w:t>
      </w:r>
    </w:p>
    <w:p w14:paraId="0FAC6270">
      <w:pPr>
        <w:pStyle w:val="6"/>
        <w:kinsoku w:val="0"/>
        <w:overflowPunct w:val="0"/>
        <w:snapToGrid w:val="0"/>
        <w:spacing w:afterLines="50" w:line="360" w:lineRule="auto"/>
        <w:ind w:left="480" w:leftChars="200"/>
        <w:jc w:val="both"/>
        <w:rPr>
          <w:sz w:val="21"/>
          <w:szCs w:val="21"/>
          <w:highlight w:val="green"/>
        </w:rPr>
      </w:pPr>
      <w:r>
        <w:rPr>
          <w:rFonts w:hint="eastAsia" w:hAnsi="宋体"/>
          <w:sz w:val="21"/>
          <w:szCs w:val="21"/>
        </w:rPr>
        <w:t>您必须通过您的免疫测定（如果有的话）测试一组良好表征的参考样本。例如，</w:t>
      </w:r>
      <w:r>
        <w:rPr>
          <w:sz w:val="21"/>
          <w:szCs w:val="21"/>
        </w:rPr>
        <w:t>WHO-CDC</w:t>
      </w:r>
      <w:r>
        <w:rPr>
          <w:rFonts w:hint="eastAsia" w:hAnsi="宋体"/>
          <w:sz w:val="21"/>
          <w:szCs w:val="21"/>
        </w:rPr>
        <w:t>参考样本面板是由联合国国际儿童紧急救援基金会</w:t>
      </w:r>
      <w:r>
        <w:rPr>
          <w:sz w:val="21"/>
          <w:szCs w:val="21"/>
        </w:rPr>
        <w:t>/</w:t>
      </w:r>
      <w:r>
        <w:rPr>
          <w:rFonts w:hint="eastAsia" w:hAnsi="宋体"/>
          <w:sz w:val="21"/>
          <w:szCs w:val="21"/>
        </w:rPr>
        <w:t>联合国开发计划署</w:t>
      </w:r>
      <w:r>
        <w:rPr>
          <w:sz w:val="21"/>
          <w:szCs w:val="21"/>
        </w:rPr>
        <w:t>/</w:t>
      </w:r>
      <w:r>
        <w:rPr>
          <w:rFonts w:hint="eastAsia" w:hAnsi="宋体"/>
          <w:sz w:val="21"/>
          <w:szCs w:val="21"/>
        </w:rPr>
        <w:t>世界银行</w:t>
      </w:r>
      <w:r>
        <w:rPr>
          <w:sz w:val="21"/>
          <w:szCs w:val="21"/>
        </w:rPr>
        <w:t>/</w:t>
      </w:r>
      <w:r>
        <w:rPr>
          <w:rFonts w:hint="eastAsia" w:hAnsi="宋体"/>
          <w:sz w:val="21"/>
          <w:szCs w:val="21"/>
        </w:rPr>
        <w:t>世界卫生组织热带病和儿童登革热疫苗倡议研究与培训特别计划共同努力创建的，并可用于建立您的免疫测定的分析反应性</w:t>
      </w:r>
      <w:r>
        <w:rPr>
          <w:sz w:val="21"/>
          <w:szCs w:val="21"/>
        </w:rPr>
        <w:t>[</w:t>
      </w:r>
      <w:r>
        <w:rPr>
          <w:rFonts w:hint="eastAsia" w:hAnsi="宋体"/>
          <w:sz w:val="21"/>
          <w:szCs w:val="21"/>
        </w:rPr>
        <w:t>参考文献</w:t>
      </w:r>
      <w:r>
        <w:rPr>
          <w:sz w:val="21"/>
          <w:szCs w:val="21"/>
        </w:rPr>
        <w:t>3]</w:t>
      </w:r>
      <w:r>
        <w:rPr>
          <w:rFonts w:hint="eastAsia" w:hAnsi="宋体"/>
          <w:sz w:val="21"/>
          <w:szCs w:val="21"/>
        </w:rPr>
        <w:t>。</w:t>
      </w:r>
    </w:p>
    <w:p w14:paraId="2782CD62">
      <w:pPr>
        <w:widowControl/>
        <w:autoSpaceDE/>
        <w:autoSpaceDN/>
        <w:snapToGrid w:val="0"/>
        <w:spacing w:line="360" w:lineRule="auto"/>
        <w:rPr>
          <w:sz w:val="21"/>
          <w:szCs w:val="21"/>
          <w:u w:val="single"/>
        </w:rPr>
      </w:pPr>
      <w:r>
        <w:rPr>
          <w:sz w:val="21"/>
          <w:szCs w:val="21"/>
          <w:u w:val="single"/>
        </w:rPr>
        <w:br w:type="page"/>
      </w:r>
    </w:p>
    <w:p w14:paraId="370F1D6A">
      <w:pPr>
        <w:pStyle w:val="6"/>
        <w:numPr>
          <w:ilvl w:val="2"/>
          <w:numId w:val="9"/>
        </w:numPr>
        <w:kinsoku w:val="0"/>
        <w:overflowPunct w:val="0"/>
        <w:snapToGrid w:val="0"/>
        <w:spacing w:afterLines="50" w:line="360" w:lineRule="auto"/>
        <w:ind w:left="480" w:leftChars="200" w:firstLine="0"/>
        <w:jc w:val="both"/>
        <w:rPr>
          <w:sz w:val="21"/>
          <w:szCs w:val="21"/>
          <w:u w:val="single"/>
        </w:rPr>
      </w:pPr>
      <w:r>
        <w:rPr>
          <w:rFonts w:hint="eastAsia" w:hAnsi="宋体"/>
          <w:sz w:val="21"/>
          <w:szCs w:val="21"/>
          <w:u w:val="single"/>
        </w:rPr>
        <w:t>毒株反应性</w:t>
      </w:r>
    </w:p>
    <w:p w14:paraId="426B604F">
      <w:pPr>
        <w:pStyle w:val="6"/>
        <w:kinsoku w:val="0"/>
        <w:overflowPunct w:val="0"/>
        <w:snapToGrid w:val="0"/>
        <w:spacing w:afterLines="50" w:line="360" w:lineRule="auto"/>
        <w:ind w:left="480" w:leftChars="200"/>
        <w:jc w:val="both"/>
        <w:rPr>
          <w:sz w:val="21"/>
          <w:szCs w:val="21"/>
        </w:rPr>
      </w:pPr>
      <w:r>
        <w:rPr>
          <w:rFonts w:hint="eastAsia" w:hAnsi="宋体"/>
          <w:sz w:val="21"/>
          <w:szCs w:val="21"/>
        </w:rPr>
        <w:t>必须通过您的免疫测定法来测试一组表征良好的</w:t>
      </w:r>
      <w:r>
        <w:rPr>
          <w:sz w:val="21"/>
          <w:szCs w:val="21"/>
        </w:rPr>
        <w:t>DEN</w:t>
      </w:r>
      <w:r>
        <w:rPr>
          <w:rFonts w:hint="eastAsia" w:hAnsi="宋体"/>
          <w:sz w:val="21"/>
          <w:szCs w:val="21"/>
        </w:rPr>
        <w:t>样本，以建立与</w:t>
      </w:r>
      <w:r>
        <w:rPr>
          <w:sz w:val="21"/>
          <w:szCs w:val="21"/>
        </w:rPr>
        <w:t>DENV</w:t>
      </w:r>
      <w:r>
        <w:rPr>
          <w:rFonts w:hint="eastAsia" w:hAnsi="宋体"/>
          <w:sz w:val="21"/>
          <w:szCs w:val="21"/>
        </w:rPr>
        <w:t>的不同毒株的反应性。还必须通过您的测定法检测</w:t>
      </w:r>
      <w:r>
        <w:rPr>
          <w:sz w:val="21"/>
          <w:szCs w:val="21"/>
        </w:rPr>
        <w:t>4</w:t>
      </w:r>
      <w:r>
        <w:rPr>
          <w:rFonts w:hint="eastAsia" w:hAnsi="宋体"/>
          <w:sz w:val="21"/>
          <w:szCs w:val="21"/>
        </w:rPr>
        <w:t>种</w:t>
      </w:r>
      <w:r>
        <w:rPr>
          <w:sz w:val="21"/>
          <w:szCs w:val="21"/>
        </w:rPr>
        <w:t>DEN</w:t>
      </w:r>
      <w:r>
        <w:rPr>
          <w:rFonts w:hint="eastAsia" w:hAnsi="宋体"/>
          <w:sz w:val="21"/>
          <w:szCs w:val="21"/>
        </w:rPr>
        <w:t>血清型抗体和抗原。</w:t>
      </w:r>
    </w:p>
    <w:p w14:paraId="2847E1E6">
      <w:pPr>
        <w:pStyle w:val="6"/>
        <w:kinsoku w:val="0"/>
        <w:overflowPunct w:val="0"/>
        <w:snapToGrid w:val="0"/>
        <w:spacing w:afterLines="50" w:line="360" w:lineRule="auto"/>
        <w:ind w:left="480" w:leftChars="200"/>
        <w:jc w:val="both"/>
        <w:rPr>
          <w:sz w:val="21"/>
          <w:szCs w:val="21"/>
        </w:rPr>
      </w:pPr>
      <w:r>
        <w:rPr>
          <w:rFonts w:hint="eastAsia" w:hAnsi="宋体"/>
          <w:sz w:val="21"/>
          <w:szCs w:val="21"/>
        </w:rPr>
        <w:t>您可以引用您的研究中未包含的</w:t>
      </w:r>
      <w:r>
        <w:rPr>
          <w:sz w:val="21"/>
          <w:szCs w:val="21"/>
        </w:rPr>
        <w:t>DEN</w:t>
      </w:r>
      <w:r>
        <w:rPr>
          <w:rFonts w:hint="eastAsia" w:hAnsi="宋体"/>
          <w:sz w:val="21"/>
          <w:szCs w:val="21"/>
        </w:rPr>
        <w:t>毒株的文献和</w:t>
      </w:r>
      <w:r>
        <w:rPr>
          <w:sz w:val="21"/>
          <w:szCs w:val="21"/>
        </w:rPr>
        <w:t>/</w:t>
      </w:r>
      <w:r>
        <w:rPr>
          <w:rFonts w:hint="eastAsia" w:hAnsi="宋体"/>
          <w:sz w:val="21"/>
          <w:szCs w:val="21"/>
        </w:rPr>
        <w:t>或其它证据；基于该器械开发时的临床和流行病学趋势，可以适当的纳入其它</w:t>
      </w:r>
      <w:r>
        <w:rPr>
          <w:sz w:val="21"/>
          <w:szCs w:val="21"/>
        </w:rPr>
        <w:t>DEN</w:t>
      </w:r>
      <w:r>
        <w:rPr>
          <w:rFonts w:hint="eastAsia" w:hAnsi="宋体"/>
          <w:sz w:val="21"/>
          <w:szCs w:val="21"/>
        </w:rPr>
        <w:t>毒株。</w:t>
      </w:r>
    </w:p>
    <w:p w14:paraId="2F5E861B">
      <w:pPr>
        <w:pStyle w:val="6"/>
        <w:kinsoku w:val="0"/>
        <w:overflowPunct w:val="0"/>
        <w:snapToGrid w:val="0"/>
        <w:spacing w:afterLines="50" w:line="360" w:lineRule="auto"/>
        <w:ind w:left="480" w:leftChars="200"/>
        <w:jc w:val="both"/>
        <w:rPr>
          <w:sz w:val="21"/>
          <w:szCs w:val="21"/>
        </w:rPr>
      </w:pPr>
      <w:r>
        <w:rPr>
          <w:rFonts w:hint="eastAsia" w:hAnsi="宋体"/>
          <w:sz w:val="21"/>
          <w:szCs w:val="21"/>
        </w:rPr>
        <w:t>毒株反应性测试的结果（即，通过该测定法检测到和未检测到的毒株）必须在产品标签中列出。</w:t>
      </w:r>
    </w:p>
    <w:p w14:paraId="6623F838">
      <w:pPr>
        <w:pStyle w:val="3"/>
        <w:numPr>
          <w:ilvl w:val="1"/>
          <w:numId w:val="9"/>
        </w:numPr>
        <w:kinsoku w:val="0"/>
        <w:overflowPunct w:val="0"/>
        <w:snapToGrid w:val="0"/>
        <w:spacing w:afterLines="50" w:line="360" w:lineRule="auto"/>
        <w:ind w:left="480" w:leftChars="200" w:firstLine="0"/>
        <w:jc w:val="both"/>
        <w:rPr>
          <w:sz w:val="21"/>
          <w:szCs w:val="21"/>
        </w:rPr>
      </w:pPr>
      <w:bookmarkStart w:id="32" w:name="_Toc496790175"/>
      <w:r>
        <w:rPr>
          <w:rFonts w:hint="eastAsia" w:hAnsi="宋体"/>
          <w:sz w:val="21"/>
          <w:szCs w:val="21"/>
        </w:rPr>
        <w:t>分析特异性</w:t>
      </w:r>
      <w:bookmarkEnd w:id="32"/>
    </w:p>
    <w:p w14:paraId="671BEFC6">
      <w:pPr>
        <w:pStyle w:val="6"/>
        <w:numPr>
          <w:ilvl w:val="2"/>
          <w:numId w:val="9"/>
        </w:numPr>
        <w:kinsoku w:val="0"/>
        <w:overflowPunct w:val="0"/>
        <w:snapToGrid w:val="0"/>
        <w:spacing w:line="360" w:lineRule="auto"/>
        <w:ind w:left="480" w:leftChars="200" w:firstLine="0"/>
        <w:jc w:val="both"/>
        <w:rPr>
          <w:sz w:val="21"/>
          <w:szCs w:val="21"/>
          <w:u w:val="single"/>
        </w:rPr>
      </w:pPr>
      <w:r>
        <w:rPr>
          <w:rFonts w:hint="eastAsia" w:hAnsi="宋体"/>
          <w:sz w:val="21"/>
          <w:szCs w:val="21"/>
          <w:u w:val="single"/>
        </w:rPr>
        <w:t>交叉反应性：</w:t>
      </w:r>
    </w:p>
    <w:p w14:paraId="3F3E94DC">
      <w:pPr>
        <w:pStyle w:val="6"/>
        <w:kinsoku w:val="0"/>
        <w:overflowPunct w:val="0"/>
        <w:snapToGrid w:val="0"/>
        <w:spacing w:afterLines="50" w:line="360" w:lineRule="auto"/>
        <w:ind w:left="480" w:leftChars="200"/>
        <w:jc w:val="both"/>
        <w:rPr>
          <w:sz w:val="21"/>
          <w:szCs w:val="21"/>
          <w:highlight w:val="green"/>
        </w:rPr>
      </w:pPr>
      <w:r>
        <w:rPr>
          <w:rFonts w:hint="eastAsia" w:hAnsi="宋体"/>
          <w:sz w:val="21"/>
          <w:szCs w:val="21"/>
        </w:rPr>
        <w:t>您必须测试表</w:t>
      </w:r>
      <w:r>
        <w:rPr>
          <w:sz w:val="21"/>
          <w:szCs w:val="21"/>
        </w:rPr>
        <w:t>2</w:t>
      </w:r>
      <w:r>
        <w:rPr>
          <w:rFonts w:hint="eastAsia" w:hAnsi="宋体"/>
          <w:sz w:val="21"/>
          <w:szCs w:val="21"/>
        </w:rPr>
        <w:t>中列出的可能引起发热性疾病的病原体的潜在交叉反应性。特别是必须进行研究以表征在其它黄病毒（例如，圣路易斯脑炎、西尼罗河、黄热病、日本脑炎）、甲病毒（例如，东方马脑炎）和引起发烧和皮疹症状的其它病毒和细菌（如肠道病毒，单纯疱疹）的抗体存在下的性能。对于抗原交叉反应性，必须在医学相关的病毒和细菌水平（</w:t>
      </w:r>
      <w:r>
        <w:rPr>
          <w:rFonts w:hint="eastAsia" w:hAnsi="宋体"/>
          <w:iCs/>
          <w:sz w:val="21"/>
          <w:szCs w:val="21"/>
        </w:rPr>
        <w:t>细菌通常为</w:t>
      </w:r>
      <w:r>
        <w:rPr>
          <w:iCs/>
          <w:sz w:val="21"/>
          <w:szCs w:val="21"/>
        </w:rPr>
        <w:t>10</w:t>
      </w:r>
      <w:r>
        <w:rPr>
          <w:iCs/>
          <w:sz w:val="21"/>
          <w:szCs w:val="21"/>
          <w:vertAlign w:val="superscript"/>
        </w:rPr>
        <w:t xml:space="preserve">6 </w:t>
      </w:r>
      <w:r>
        <w:rPr>
          <w:sz w:val="21"/>
          <w:szCs w:val="21"/>
        </w:rPr>
        <w:t>cfu/ml</w:t>
      </w:r>
      <w:r>
        <w:rPr>
          <w:rFonts w:hint="eastAsia" w:hAnsi="宋体"/>
          <w:iCs/>
          <w:sz w:val="21"/>
          <w:szCs w:val="21"/>
        </w:rPr>
        <w:t>或更高，病毒为</w:t>
      </w:r>
      <w:r>
        <w:rPr>
          <w:iCs/>
          <w:sz w:val="21"/>
          <w:szCs w:val="21"/>
        </w:rPr>
        <w:t>10</w:t>
      </w:r>
      <w:r>
        <w:rPr>
          <w:iCs/>
          <w:sz w:val="21"/>
          <w:szCs w:val="21"/>
          <w:vertAlign w:val="superscript"/>
        </w:rPr>
        <w:t>5</w:t>
      </w:r>
      <w:r>
        <w:rPr>
          <w:sz w:val="21"/>
          <w:szCs w:val="21"/>
        </w:rPr>
        <w:t>pfu/ml</w:t>
      </w:r>
      <w:r>
        <w:rPr>
          <w:rFonts w:hint="eastAsia" w:hAnsi="宋体"/>
          <w:iCs/>
          <w:sz w:val="21"/>
          <w:szCs w:val="21"/>
        </w:rPr>
        <w:t>或更高</w:t>
      </w:r>
      <w:r>
        <w:rPr>
          <w:rFonts w:hint="eastAsia" w:hAnsi="宋体"/>
          <w:sz w:val="21"/>
          <w:szCs w:val="21"/>
        </w:rPr>
        <w:t>）下测试相同的微生物。用于交叉反应性研究的病毒和细菌分离株的特征和滴度必须在测试前进行确认。</w:t>
      </w:r>
    </w:p>
    <w:p w14:paraId="1DA8D745">
      <w:pPr>
        <w:widowControl/>
        <w:autoSpaceDE/>
        <w:autoSpaceDN/>
        <w:snapToGrid w:val="0"/>
        <w:spacing w:line="360" w:lineRule="auto"/>
        <w:jc w:val="center"/>
        <w:rPr>
          <w:b/>
          <w:sz w:val="21"/>
          <w:szCs w:val="21"/>
          <w:highlight w:val="green"/>
        </w:rPr>
      </w:pPr>
      <w:r>
        <w:rPr>
          <w:b/>
          <w:bCs/>
          <w:sz w:val="21"/>
          <w:szCs w:val="21"/>
          <w:highlight w:val="green"/>
        </w:rPr>
        <w:br w:type="page"/>
      </w:r>
      <w:r>
        <w:rPr>
          <w:rFonts w:hint="eastAsia" w:hAnsi="宋体"/>
          <w:b/>
          <w:sz w:val="21"/>
          <w:szCs w:val="21"/>
        </w:rPr>
        <w:t>表</w:t>
      </w:r>
      <w:r>
        <w:rPr>
          <w:b/>
          <w:sz w:val="21"/>
          <w:szCs w:val="21"/>
        </w:rPr>
        <w:t xml:space="preserve">2. </w:t>
      </w:r>
      <w:r>
        <w:rPr>
          <w:rFonts w:hint="eastAsia" w:hAnsi="宋体"/>
          <w:b/>
          <w:sz w:val="21"/>
          <w:szCs w:val="21"/>
        </w:rPr>
        <w:t>用于交叉反应性研究的微生物</w:t>
      </w:r>
    </w:p>
    <w:tbl>
      <w:tblPr>
        <w:tblStyle w:val="12"/>
        <w:tblW w:w="0" w:type="auto"/>
        <w:jc w:val="center"/>
        <w:tblLayout w:type="fixed"/>
        <w:tblCellMar>
          <w:top w:w="0" w:type="dxa"/>
          <w:left w:w="0" w:type="dxa"/>
          <w:bottom w:w="0" w:type="dxa"/>
          <w:right w:w="0" w:type="dxa"/>
        </w:tblCellMar>
      </w:tblPr>
      <w:tblGrid>
        <w:gridCol w:w="3685"/>
      </w:tblGrid>
      <w:tr w14:paraId="22469171">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6641A5AB">
            <w:pPr>
              <w:pStyle w:val="22"/>
              <w:kinsoku w:val="0"/>
              <w:overflowPunct w:val="0"/>
              <w:snapToGrid w:val="0"/>
              <w:spacing w:line="360" w:lineRule="auto"/>
              <w:jc w:val="center"/>
              <w:rPr>
                <w:sz w:val="18"/>
                <w:szCs w:val="18"/>
              </w:rPr>
            </w:pPr>
            <w:r>
              <w:rPr>
                <w:rFonts w:hint="eastAsia" w:hAnsi="宋体"/>
                <w:b/>
                <w:bCs/>
                <w:sz w:val="18"/>
                <w:szCs w:val="18"/>
              </w:rPr>
              <w:t>测试微生物</w:t>
            </w:r>
          </w:p>
        </w:tc>
      </w:tr>
      <w:tr w14:paraId="3CFCA903">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6796C80E">
            <w:pPr>
              <w:snapToGrid w:val="0"/>
              <w:spacing w:line="360" w:lineRule="auto"/>
              <w:rPr>
                <w:sz w:val="18"/>
                <w:szCs w:val="18"/>
              </w:rPr>
            </w:pPr>
            <w:r>
              <w:rPr>
                <w:rFonts w:hint="eastAsia" w:hAnsi="宋体"/>
                <w:sz w:val="18"/>
                <w:szCs w:val="18"/>
              </w:rPr>
              <w:t>西尼罗病毒</w:t>
            </w:r>
          </w:p>
        </w:tc>
      </w:tr>
      <w:tr w14:paraId="4A5A8C87">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094D60E0">
            <w:pPr>
              <w:snapToGrid w:val="0"/>
              <w:spacing w:line="360" w:lineRule="auto"/>
              <w:rPr>
                <w:sz w:val="18"/>
                <w:szCs w:val="18"/>
              </w:rPr>
            </w:pPr>
            <w:r>
              <w:rPr>
                <w:rFonts w:hint="eastAsia" w:hAnsi="宋体"/>
                <w:sz w:val="18"/>
                <w:szCs w:val="18"/>
              </w:rPr>
              <w:t>日本脑炎病毒</w:t>
            </w:r>
          </w:p>
        </w:tc>
      </w:tr>
      <w:tr w14:paraId="08D0BF47">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4E90CA5E">
            <w:pPr>
              <w:snapToGrid w:val="0"/>
              <w:spacing w:line="360" w:lineRule="auto"/>
              <w:rPr>
                <w:sz w:val="18"/>
                <w:szCs w:val="18"/>
              </w:rPr>
            </w:pPr>
            <w:r>
              <w:rPr>
                <w:rFonts w:hint="eastAsia" w:hAnsi="宋体"/>
                <w:sz w:val="18"/>
                <w:szCs w:val="18"/>
              </w:rPr>
              <w:t>圣路易脑炎病毒</w:t>
            </w:r>
          </w:p>
        </w:tc>
      </w:tr>
      <w:tr w14:paraId="1C830ACB">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58B8CBA">
            <w:pPr>
              <w:snapToGrid w:val="0"/>
              <w:spacing w:line="360" w:lineRule="auto"/>
              <w:rPr>
                <w:sz w:val="18"/>
                <w:szCs w:val="18"/>
              </w:rPr>
            </w:pPr>
            <w:r>
              <w:rPr>
                <w:rFonts w:hint="eastAsia" w:hAnsi="宋体"/>
                <w:sz w:val="18"/>
                <w:szCs w:val="18"/>
              </w:rPr>
              <w:t>黄热病毒</w:t>
            </w:r>
          </w:p>
        </w:tc>
      </w:tr>
      <w:tr w14:paraId="2E2B1174">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A1BFE6D">
            <w:pPr>
              <w:snapToGrid w:val="0"/>
              <w:spacing w:line="360" w:lineRule="auto"/>
              <w:rPr>
                <w:sz w:val="18"/>
                <w:szCs w:val="18"/>
              </w:rPr>
            </w:pPr>
            <w:r>
              <w:rPr>
                <w:rFonts w:hint="eastAsia" w:hAnsi="宋体"/>
                <w:sz w:val="18"/>
                <w:szCs w:val="18"/>
              </w:rPr>
              <w:t>甲型肝炎病毒</w:t>
            </w:r>
          </w:p>
        </w:tc>
      </w:tr>
      <w:tr w14:paraId="14FCD79C">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24329C30">
            <w:pPr>
              <w:snapToGrid w:val="0"/>
              <w:spacing w:line="360" w:lineRule="auto"/>
              <w:rPr>
                <w:sz w:val="18"/>
                <w:szCs w:val="18"/>
              </w:rPr>
            </w:pPr>
            <w:r>
              <w:rPr>
                <w:rFonts w:hint="eastAsia" w:hAnsi="宋体"/>
                <w:sz w:val="18"/>
                <w:szCs w:val="18"/>
              </w:rPr>
              <w:t>乙型肝炎病毒</w:t>
            </w:r>
          </w:p>
        </w:tc>
      </w:tr>
      <w:tr w14:paraId="343ECB52">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0AA297D">
            <w:pPr>
              <w:snapToGrid w:val="0"/>
              <w:spacing w:line="360" w:lineRule="auto"/>
              <w:rPr>
                <w:sz w:val="18"/>
                <w:szCs w:val="18"/>
              </w:rPr>
            </w:pPr>
            <w:r>
              <w:rPr>
                <w:rFonts w:hint="eastAsia" w:hAnsi="宋体"/>
                <w:sz w:val="18"/>
                <w:szCs w:val="18"/>
              </w:rPr>
              <w:t>丙型肝炎病毒</w:t>
            </w:r>
          </w:p>
        </w:tc>
      </w:tr>
      <w:tr w14:paraId="1F62FF17">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096ED744">
            <w:pPr>
              <w:snapToGrid w:val="0"/>
              <w:spacing w:line="360" w:lineRule="auto"/>
              <w:rPr>
                <w:sz w:val="18"/>
                <w:szCs w:val="18"/>
              </w:rPr>
            </w:pPr>
            <w:r>
              <w:rPr>
                <w:rFonts w:hint="eastAsia" w:hAnsi="宋体"/>
                <w:sz w:val="18"/>
                <w:szCs w:val="18"/>
              </w:rPr>
              <w:t>爱泼斯坦巴尔病毒</w:t>
            </w:r>
          </w:p>
        </w:tc>
      </w:tr>
      <w:tr w14:paraId="5B15900A">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69C3C69B">
            <w:pPr>
              <w:snapToGrid w:val="0"/>
              <w:spacing w:line="360" w:lineRule="auto"/>
              <w:rPr>
                <w:sz w:val="18"/>
                <w:szCs w:val="18"/>
              </w:rPr>
            </w:pPr>
            <w:r>
              <w:rPr>
                <w:rFonts w:hint="eastAsia" w:hAnsi="宋体"/>
                <w:sz w:val="18"/>
                <w:szCs w:val="18"/>
              </w:rPr>
              <w:t>博氏疏螺旋体</w:t>
            </w:r>
          </w:p>
        </w:tc>
      </w:tr>
      <w:tr w14:paraId="6B384B60">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79BA1133">
            <w:pPr>
              <w:snapToGrid w:val="0"/>
              <w:spacing w:line="360" w:lineRule="auto"/>
              <w:rPr>
                <w:sz w:val="18"/>
                <w:szCs w:val="18"/>
              </w:rPr>
            </w:pPr>
            <w:r>
              <w:rPr>
                <w:rFonts w:hint="eastAsia" w:hAnsi="宋体"/>
                <w:sz w:val="18"/>
                <w:szCs w:val="18"/>
              </w:rPr>
              <w:t>钩端螺旋体病</w:t>
            </w:r>
          </w:p>
        </w:tc>
      </w:tr>
      <w:tr w14:paraId="072DCE69">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2DAAB729">
            <w:pPr>
              <w:snapToGrid w:val="0"/>
              <w:spacing w:line="360" w:lineRule="auto"/>
              <w:rPr>
                <w:sz w:val="18"/>
                <w:szCs w:val="18"/>
              </w:rPr>
            </w:pPr>
            <w:r>
              <w:rPr>
                <w:rFonts w:hint="eastAsia" w:hAnsi="宋体"/>
                <w:sz w:val="18"/>
                <w:szCs w:val="18"/>
              </w:rPr>
              <w:t>巨细胞病毒</w:t>
            </w:r>
          </w:p>
        </w:tc>
      </w:tr>
      <w:tr w14:paraId="31444654">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7FF4F31C">
            <w:pPr>
              <w:snapToGrid w:val="0"/>
              <w:spacing w:line="360" w:lineRule="auto"/>
              <w:rPr>
                <w:sz w:val="18"/>
                <w:szCs w:val="18"/>
              </w:rPr>
            </w:pPr>
            <w:r>
              <w:rPr>
                <w:rFonts w:hint="eastAsia" w:hAnsi="宋体"/>
                <w:sz w:val="18"/>
                <w:szCs w:val="18"/>
              </w:rPr>
              <w:t>类风湿因子</w:t>
            </w:r>
          </w:p>
        </w:tc>
      </w:tr>
      <w:tr w14:paraId="0B39D2F3">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47B79BBF">
            <w:pPr>
              <w:snapToGrid w:val="0"/>
              <w:spacing w:line="360" w:lineRule="auto"/>
              <w:rPr>
                <w:sz w:val="18"/>
                <w:szCs w:val="18"/>
              </w:rPr>
            </w:pPr>
            <w:r>
              <w:rPr>
                <w:rFonts w:hint="eastAsia" w:hAnsi="宋体"/>
                <w:sz w:val="18"/>
                <w:szCs w:val="18"/>
              </w:rPr>
              <w:t>抗核抗体</w:t>
            </w:r>
          </w:p>
        </w:tc>
      </w:tr>
      <w:tr w14:paraId="4560CEA6">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2E18F4D6">
            <w:pPr>
              <w:snapToGrid w:val="0"/>
              <w:spacing w:line="360" w:lineRule="auto"/>
              <w:rPr>
                <w:sz w:val="18"/>
                <w:szCs w:val="18"/>
              </w:rPr>
            </w:pPr>
            <w:r>
              <w:rPr>
                <w:rFonts w:hint="eastAsia" w:hAnsi="宋体"/>
                <w:sz w:val="18"/>
                <w:szCs w:val="18"/>
              </w:rPr>
              <w:t>东方马脑炎病毒</w:t>
            </w:r>
          </w:p>
        </w:tc>
      </w:tr>
      <w:tr w14:paraId="71ED2BCE">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512AF3C">
            <w:pPr>
              <w:snapToGrid w:val="0"/>
              <w:spacing w:line="360" w:lineRule="auto"/>
              <w:rPr>
                <w:sz w:val="18"/>
                <w:szCs w:val="18"/>
              </w:rPr>
            </w:pPr>
            <w:r>
              <w:rPr>
                <w:rFonts w:hint="eastAsia" w:hAnsi="宋体"/>
                <w:sz w:val="18"/>
                <w:szCs w:val="18"/>
              </w:rPr>
              <w:t>基孔肯雅病毒</w:t>
            </w:r>
          </w:p>
        </w:tc>
      </w:tr>
      <w:tr w14:paraId="38FF7C95">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0E606DAD">
            <w:pPr>
              <w:snapToGrid w:val="0"/>
              <w:spacing w:line="360" w:lineRule="auto"/>
              <w:rPr>
                <w:sz w:val="18"/>
                <w:szCs w:val="18"/>
              </w:rPr>
            </w:pPr>
            <w:r>
              <w:rPr>
                <w:rFonts w:hint="eastAsia" w:hAnsi="宋体"/>
                <w:sz w:val="18"/>
                <w:szCs w:val="18"/>
              </w:rPr>
              <w:t>甲型和乙型流感病毒</w:t>
            </w:r>
          </w:p>
        </w:tc>
      </w:tr>
      <w:tr w14:paraId="2A5E0F1B">
        <w:tblPrEx>
          <w:tblCellMar>
            <w:top w:w="0" w:type="dxa"/>
            <w:left w:w="0" w:type="dxa"/>
            <w:bottom w:w="0" w:type="dxa"/>
            <w:right w:w="0" w:type="dxa"/>
          </w:tblCellMar>
        </w:tblPrEx>
        <w:trPr>
          <w:jc w:val="center"/>
        </w:trPr>
        <w:tc>
          <w:tcPr>
            <w:tcW w:w="3685" w:type="dxa"/>
            <w:tcBorders>
              <w:top w:val="single" w:color="000000" w:sz="4" w:space="0"/>
              <w:left w:val="single" w:color="000000" w:sz="4" w:space="0"/>
              <w:bottom w:val="single" w:color="000000" w:sz="4" w:space="0"/>
              <w:right w:val="single" w:color="000000" w:sz="4" w:space="0"/>
            </w:tcBorders>
            <w:tcMar>
              <w:left w:w="85" w:type="dxa"/>
              <w:right w:w="85" w:type="dxa"/>
            </w:tcMar>
          </w:tcPr>
          <w:p w14:paraId="40BD0F51">
            <w:pPr>
              <w:snapToGrid w:val="0"/>
              <w:spacing w:line="360" w:lineRule="auto"/>
              <w:rPr>
                <w:sz w:val="18"/>
                <w:szCs w:val="18"/>
              </w:rPr>
            </w:pPr>
            <w:r>
              <w:rPr>
                <w:rFonts w:hint="eastAsia" w:hAnsi="宋体"/>
                <w:sz w:val="18"/>
                <w:szCs w:val="18"/>
              </w:rPr>
              <w:t>麻疹病毒</w:t>
            </w:r>
          </w:p>
        </w:tc>
      </w:tr>
    </w:tbl>
    <w:p w14:paraId="64F3DA75">
      <w:pPr>
        <w:kinsoku w:val="0"/>
        <w:overflowPunct w:val="0"/>
        <w:snapToGrid w:val="0"/>
        <w:spacing w:afterLines="50" w:line="360" w:lineRule="auto"/>
        <w:jc w:val="both"/>
        <w:rPr>
          <w:sz w:val="21"/>
          <w:szCs w:val="21"/>
          <w:highlight w:val="green"/>
        </w:rPr>
      </w:pPr>
    </w:p>
    <w:p w14:paraId="6662EC59">
      <w:pPr>
        <w:pStyle w:val="6"/>
        <w:numPr>
          <w:ilvl w:val="2"/>
          <w:numId w:val="9"/>
        </w:numPr>
        <w:kinsoku w:val="0"/>
        <w:overflowPunct w:val="0"/>
        <w:snapToGrid w:val="0"/>
        <w:spacing w:afterLines="50" w:line="360" w:lineRule="auto"/>
        <w:ind w:left="420" w:hanging="420" w:hangingChars="200"/>
        <w:jc w:val="both"/>
        <w:rPr>
          <w:sz w:val="21"/>
          <w:szCs w:val="21"/>
          <w:u w:val="single"/>
        </w:rPr>
      </w:pPr>
      <w:r>
        <w:rPr>
          <w:rFonts w:hint="eastAsia" w:hAnsi="宋体"/>
          <w:sz w:val="21"/>
          <w:szCs w:val="21"/>
          <w:u w:val="single"/>
        </w:rPr>
        <w:t>干扰</w:t>
      </w:r>
    </w:p>
    <w:p w14:paraId="2764B923">
      <w:pPr>
        <w:pStyle w:val="3"/>
        <w:kinsoku w:val="0"/>
        <w:overflowPunct w:val="0"/>
        <w:snapToGrid w:val="0"/>
        <w:spacing w:afterLines="50" w:line="360" w:lineRule="auto"/>
        <w:ind w:left="0" w:firstLine="0"/>
        <w:jc w:val="both"/>
        <w:rPr>
          <w:rFonts w:hAnsi="宋体"/>
          <w:b w:val="0"/>
          <w:sz w:val="21"/>
          <w:szCs w:val="21"/>
        </w:rPr>
      </w:pPr>
      <w:bookmarkStart w:id="33" w:name="_Toc496790176"/>
      <w:r>
        <w:rPr>
          <w:rFonts w:hint="eastAsia" w:hAnsi="宋体"/>
          <w:b w:val="0"/>
          <w:sz w:val="21"/>
          <w:szCs w:val="21"/>
        </w:rPr>
        <w:t>您必须对您的器械进行全面的干预研究。潜在的干扰物质包括但不限于所选择的样本的其它组分（例如，白细胞、蛋白质、全血、血红蛋白）以及加标到样本中用于对照的对照品或试剂。您必须在本测定的临界值附近检测干扰。您必须在潜在最高浓度（</w:t>
      </w:r>
      <w:r>
        <w:rPr>
          <w:b w:val="0"/>
          <w:sz w:val="21"/>
          <w:szCs w:val="21"/>
        </w:rPr>
        <w:t>“</w:t>
      </w:r>
      <w:r>
        <w:rPr>
          <w:rFonts w:hint="eastAsia" w:hAnsi="宋体"/>
          <w:b w:val="0"/>
          <w:sz w:val="21"/>
          <w:szCs w:val="21"/>
        </w:rPr>
        <w:t>最坏情况</w:t>
      </w:r>
      <w:r>
        <w:rPr>
          <w:b w:val="0"/>
          <w:sz w:val="21"/>
          <w:szCs w:val="21"/>
        </w:rPr>
        <w:t>”</w:t>
      </w:r>
      <w:r>
        <w:rPr>
          <w:rFonts w:hint="eastAsia" w:hAnsi="宋体"/>
          <w:b w:val="0"/>
          <w:sz w:val="21"/>
          <w:szCs w:val="21"/>
        </w:rPr>
        <w:t>）下评价每种干扰物。如果没有观察到显著的临床影响，则不需要进一步测试。我们建议您参考</w:t>
      </w:r>
      <w:r>
        <w:rPr>
          <w:b w:val="0"/>
          <w:sz w:val="21"/>
          <w:szCs w:val="21"/>
        </w:rPr>
        <w:t>CLSI</w:t>
      </w:r>
      <w:r>
        <w:rPr>
          <w:rFonts w:hint="eastAsia" w:hAnsi="宋体"/>
          <w:b w:val="0"/>
          <w:sz w:val="21"/>
          <w:szCs w:val="21"/>
        </w:rPr>
        <w:t>文件</w:t>
      </w:r>
      <w:r>
        <w:rPr>
          <w:b w:val="0"/>
          <w:sz w:val="21"/>
          <w:szCs w:val="21"/>
        </w:rPr>
        <w:t>“</w:t>
      </w:r>
      <w:r>
        <w:rPr>
          <w:rFonts w:hint="eastAsia" w:hAnsi="宋体"/>
          <w:b w:val="0"/>
          <w:sz w:val="21"/>
          <w:szCs w:val="21"/>
        </w:rPr>
        <w:t>临床化学中的干扰测试</w:t>
      </w:r>
      <w:r>
        <w:rPr>
          <w:b w:val="0"/>
          <w:sz w:val="21"/>
          <w:szCs w:val="21"/>
        </w:rPr>
        <w:t>”EP7-A2 [</w:t>
      </w:r>
      <w:r>
        <w:rPr>
          <w:rFonts w:hint="eastAsia" w:hAnsi="宋体"/>
          <w:b w:val="0"/>
          <w:sz w:val="21"/>
          <w:szCs w:val="21"/>
        </w:rPr>
        <w:t>参考文献</w:t>
      </w:r>
      <w:r>
        <w:rPr>
          <w:b w:val="0"/>
          <w:sz w:val="21"/>
          <w:szCs w:val="21"/>
        </w:rPr>
        <w:t>4]</w:t>
      </w:r>
      <w:r>
        <w:rPr>
          <w:rFonts w:hint="eastAsia" w:hAnsi="宋体"/>
          <w:b w:val="0"/>
          <w:sz w:val="21"/>
          <w:szCs w:val="21"/>
        </w:rPr>
        <w:t>了解更多信息。其它潜在的干扰物质包括但不限于以下：</w:t>
      </w:r>
      <w:bookmarkEnd w:id="33"/>
    </w:p>
    <w:p w14:paraId="4D8E97C4">
      <w:pPr>
        <w:pStyle w:val="3"/>
        <w:kinsoku w:val="0"/>
        <w:overflowPunct w:val="0"/>
        <w:snapToGrid w:val="0"/>
        <w:spacing w:afterLines="50" w:line="360" w:lineRule="auto"/>
        <w:ind w:left="0" w:firstLine="0"/>
        <w:jc w:val="both"/>
        <w:rPr>
          <w:b w:val="0"/>
          <w:bCs w:val="0"/>
          <w:sz w:val="21"/>
          <w:szCs w:val="21"/>
          <w:highlight w:val="green"/>
        </w:rPr>
      </w:pPr>
      <w:r>
        <w:rPr>
          <w:b w:val="0"/>
          <w:bCs w:val="0"/>
          <w:sz w:val="21"/>
          <w:szCs w:val="21"/>
        </w:rPr>
        <w:br w:type="page"/>
      </w:r>
    </w:p>
    <w:p w14:paraId="3DCFAB01">
      <w:pPr>
        <w:kinsoku w:val="0"/>
        <w:overflowPunct w:val="0"/>
        <w:snapToGrid w:val="0"/>
        <w:spacing w:afterLines="50" w:line="360" w:lineRule="auto"/>
        <w:jc w:val="center"/>
        <w:rPr>
          <w:b/>
          <w:sz w:val="21"/>
          <w:szCs w:val="21"/>
        </w:rPr>
      </w:pPr>
      <w:r>
        <w:rPr>
          <w:rFonts w:hint="eastAsia" w:hAnsi="宋体"/>
          <w:b/>
          <w:sz w:val="21"/>
          <w:szCs w:val="21"/>
        </w:rPr>
        <w:t>表</w:t>
      </w:r>
      <w:r>
        <w:rPr>
          <w:b/>
          <w:sz w:val="21"/>
          <w:szCs w:val="21"/>
        </w:rPr>
        <w:t xml:space="preserve">3. </w:t>
      </w:r>
      <w:r>
        <w:rPr>
          <w:rFonts w:hint="eastAsia" w:hAnsi="宋体"/>
          <w:b/>
          <w:sz w:val="21"/>
          <w:szCs w:val="21"/>
        </w:rPr>
        <w:t>用于干扰研究的物质</w:t>
      </w:r>
    </w:p>
    <w:tbl>
      <w:tblPr>
        <w:tblStyle w:val="12"/>
        <w:tblW w:w="0" w:type="auto"/>
        <w:jc w:val="center"/>
        <w:tblLayout w:type="fixed"/>
        <w:tblCellMar>
          <w:top w:w="0" w:type="dxa"/>
          <w:left w:w="0" w:type="dxa"/>
          <w:bottom w:w="0" w:type="dxa"/>
          <w:right w:w="0" w:type="dxa"/>
        </w:tblCellMar>
      </w:tblPr>
      <w:tblGrid>
        <w:gridCol w:w="3727"/>
      </w:tblGrid>
      <w:tr w14:paraId="3F58368A">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10FC9711">
            <w:pPr>
              <w:pStyle w:val="22"/>
              <w:kinsoku w:val="0"/>
              <w:overflowPunct w:val="0"/>
              <w:snapToGrid w:val="0"/>
              <w:spacing w:line="360" w:lineRule="auto"/>
              <w:jc w:val="center"/>
              <w:rPr>
                <w:sz w:val="18"/>
                <w:szCs w:val="18"/>
              </w:rPr>
            </w:pPr>
            <w:r>
              <w:rPr>
                <w:rFonts w:hint="eastAsia" w:hAnsi="宋体"/>
                <w:b/>
                <w:bCs/>
                <w:sz w:val="18"/>
                <w:szCs w:val="18"/>
              </w:rPr>
              <w:t>物质</w:t>
            </w:r>
          </w:p>
        </w:tc>
      </w:tr>
      <w:tr w14:paraId="54A0CEBA">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DEC8651">
            <w:pPr>
              <w:snapToGrid w:val="0"/>
              <w:spacing w:line="360" w:lineRule="auto"/>
              <w:rPr>
                <w:sz w:val="18"/>
                <w:szCs w:val="18"/>
              </w:rPr>
            </w:pPr>
            <w:r>
              <w:rPr>
                <w:rFonts w:hint="eastAsia" w:hAnsi="宋体"/>
                <w:sz w:val="18"/>
                <w:szCs w:val="18"/>
              </w:rPr>
              <w:t>胆红素</w:t>
            </w:r>
          </w:p>
        </w:tc>
      </w:tr>
      <w:tr w14:paraId="4F8B34EB">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7F71E6C8">
            <w:pPr>
              <w:snapToGrid w:val="0"/>
              <w:spacing w:line="360" w:lineRule="auto"/>
              <w:rPr>
                <w:sz w:val="18"/>
                <w:szCs w:val="18"/>
              </w:rPr>
            </w:pPr>
            <w:r>
              <w:rPr>
                <w:rFonts w:hint="eastAsia" w:hAnsi="宋体"/>
                <w:sz w:val="18"/>
                <w:szCs w:val="18"/>
              </w:rPr>
              <w:t>胆固醇</w:t>
            </w:r>
          </w:p>
        </w:tc>
      </w:tr>
      <w:tr w14:paraId="10FCDBB5">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6680A8EC">
            <w:pPr>
              <w:snapToGrid w:val="0"/>
              <w:spacing w:line="360" w:lineRule="auto"/>
              <w:rPr>
                <w:sz w:val="18"/>
                <w:szCs w:val="18"/>
              </w:rPr>
            </w:pPr>
            <w:r>
              <w:rPr>
                <w:rFonts w:hint="eastAsia" w:hAnsi="宋体"/>
                <w:sz w:val="18"/>
                <w:szCs w:val="18"/>
              </w:rPr>
              <w:t>脂质</w:t>
            </w:r>
          </w:p>
        </w:tc>
      </w:tr>
      <w:tr w14:paraId="09C4F686">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3913CD92">
            <w:pPr>
              <w:pStyle w:val="22"/>
              <w:kinsoku w:val="0"/>
              <w:overflowPunct w:val="0"/>
              <w:snapToGrid w:val="0"/>
              <w:spacing w:line="360" w:lineRule="auto"/>
              <w:rPr>
                <w:sz w:val="18"/>
                <w:szCs w:val="18"/>
              </w:rPr>
            </w:pPr>
            <w:r>
              <w:rPr>
                <w:rFonts w:hint="eastAsia" w:hAnsi="宋体"/>
                <w:sz w:val="18"/>
                <w:szCs w:val="18"/>
              </w:rPr>
              <w:t>肝素</w:t>
            </w:r>
          </w:p>
        </w:tc>
      </w:tr>
      <w:tr w14:paraId="63B611BF">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DAECBB9">
            <w:pPr>
              <w:pStyle w:val="22"/>
              <w:kinsoku w:val="0"/>
              <w:overflowPunct w:val="0"/>
              <w:snapToGrid w:val="0"/>
              <w:spacing w:line="360" w:lineRule="auto"/>
              <w:rPr>
                <w:sz w:val="18"/>
                <w:szCs w:val="18"/>
              </w:rPr>
            </w:pPr>
            <w:r>
              <w:rPr>
                <w:rFonts w:hint="eastAsia" w:hAnsi="宋体"/>
                <w:sz w:val="18"/>
                <w:szCs w:val="18"/>
              </w:rPr>
              <w:t>柠檬酸钠</w:t>
            </w:r>
          </w:p>
        </w:tc>
      </w:tr>
      <w:tr w14:paraId="5ECDB9CE">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7C5B355D">
            <w:pPr>
              <w:snapToGrid w:val="0"/>
              <w:spacing w:line="360" w:lineRule="auto"/>
              <w:rPr>
                <w:sz w:val="18"/>
                <w:szCs w:val="18"/>
              </w:rPr>
            </w:pPr>
            <w:r>
              <w:rPr>
                <w:sz w:val="18"/>
                <w:szCs w:val="18"/>
              </w:rPr>
              <w:t>EDTA</w:t>
            </w:r>
          </w:p>
        </w:tc>
      </w:tr>
      <w:tr w14:paraId="0E7114F2">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2A55B125">
            <w:pPr>
              <w:snapToGrid w:val="0"/>
              <w:spacing w:line="360" w:lineRule="auto"/>
              <w:rPr>
                <w:sz w:val="18"/>
                <w:szCs w:val="18"/>
              </w:rPr>
            </w:pPr>
            <w:r>
              <w:rPr>
                <w:rFonts w:hint="eastAsia" w:hAnsi="宋体"/>
                <w:sz w:val="18"/>
                <w:szCs w:val="18"/>
              </w:rPr>
              <w:t>白蛋白</w:t>
            </w:r>
          </w:p>
        </w:tc>
      </w:tr>
      <w:tr w14:paraId="00236AB4">
        <w:tblPrEx>
          <w:tblCellMar>
            <w:top w:w="0" w:type="dxa"/>
            <w:left w:w="0" w:type="dxa"/>
            <w:bottom w:w="0" w:type="dxa"/>
            <w:right w:w="0" w:type="dxa"/>
          </w:tblCellMar>
        </w:tblPrEx>
        <w:trPr>
          <w:jc w:val="center"/>
        </w:trPr>
        <w:tc>
          <w:tcPr>
            <w:tcW w:w="3727" w:type="dxa"/>
            <w:tcBorders>
              <w:top w:val="single" w:color="000000" w:sz="4" w:space="0"/>
              <w:left w:val="single" w:color="000000" w:sz="4" w:space="0"/>
              <w:bottom w:val="single" w:color="000000" w:sz="4" w:space="0"/>
              <w:right w:val="single" w:color="000000" w:sz="4" w:space="0"/>
            </w:tcBorders>
            <w:tcMar>
              <w:left w:w="85" w:type="dxa"/>
              <w:right w:w="85" w:type="dxa"/>
            </w:tcMar>
          </w:tcPr>
          <w:p w14:paraId="394DCB67">
            <w:pPr>
              <w:snapToGrid w:val="0"/>
              <w:spacing w:line="360" w:lineRule="auto"/>
              <w:rPr>
                <w:sz w:val="18"/>
                <w:szCs w:val="18"/>
              </w:rPr>
            </w:pPr>
            <w:r>
              <w:rPr>
                <w:rFonts w:hint="eastAsia" w:hAnsi="宋体"/>
                <w:sz w:val="18"/>
                <w:szCs w:val="18"/>
              </w:rPr>
              <w:t>血红蛋白</w:t>
            </w:r>
          </w:p>
        </w:tc>
      </w:tr>
    </w:tbl>
    <w:p w14:paraId="28E900DA">
      <w:pPr>
        <w:kinsoku w:val="0"/>
        <w:overflowPunct w:val="0"/>
        <w:snapToGrid w:val="0"/>
        <w:spacing w:afterLines="50" w:line="360" w:lineRule="auto"/>
        <w:jc w:val="both"/>
        <w:rPr>
          <w:sz w:val="21"/>
          <w:szCs w:val="21"/>
          <w:highlight w:val="green"/>
        </w:rPr>
      </w:pPr>
    </w:p>
    <w:p w14:paraId="5B5003A5">
      <w:pPr>
        <w:numPr>
          <w:ilvl w:val="1"/>
          <w:numId w:val="9"/>
        </w:numPr>
        <w:kinsoku w:val="0"/>
        <w:overflowPunct w:val="0"/>
        <w:snapToGrid w:val="0"/>
        <w:spacing w:afterLines="50" w:line="360" w:lineRule="auto"/>
        <w:ind w:left="422" w:hanging="422" w:hangingChars="200"/>
        <w:jc w:val="both"/>
        <w:rPr>
          <w:sz w:val="21"/>
          <w:szCs w:val="21"/>
        </w:rPr>
      </w:pPr>
      <w:r>
        <w:rPr>
          <w:rFonts w:hint="eastAsia" w:hAnsi="宋体"/>
          <w:b/>
          <w:bCs/>
          <w:sz w:val="21"/>
          <w:szCs w:val="21"/>
        </w:rPr>
        <w:t>精密度</w:t>
      </w:r>
    </w:p>
    <w:p w14:paraId="7B0E5CAB">
      <w:pPr>
        <w:pStyle w:val="6"/>
        <w:numPr>
          <w:ilvl w:val="2"/>
          <w:numId w:val="9"/>
        </w:numPr>
        <w:kinsoku w:val="0"/>
        <w:overflowPunct w:val="0"/>
        <w:snapToGrid w:val="0"/>
        <w:spacing w:afterLines="50" w:line="360" w:lineRule="auto"/>
        <w:ind w:left="420" w:hanging="420" w:hangingChars="200"/>
        <w:jc w:val="both"/>
        <w:rPr>
          <w:sz w:val="21"/>
          <w:szCs w:val="21"/>
          <w:u w:val="single"/>
        </w:rPr>
      </w:pPr>
      <w:r>
        <w:rPr>
          <w:rFonts w:hint="eastAsia" w:hAnsi="宋体"/>
          <w:sz w:val="21"/>
          <w:szCs w:val="21"/>
          <w:u w:val="single"/>
        </w:rPr>
        <w:t>实验室内精密度</w:t>
      </w:r>
      <w:r>
        <w:rPr>
          <w:sz w:val="21"/>
          <w:szCs w:val="21"/>
          <w:u w:val="single"/>
        </w:rPr>
        <w:t>/</w:t>
      </w:r>
      <w:r>
        <w:rPr>
          <w:rFonts w:hint="eastAsia" w:hAnsi="宋体"/>
          <w:sz w:val="21"/>
          <w:szCs w:val="21"/>
          <w:u w:val="single"/>
        </w:rPr>
        <w:t>重复性</w:t>
      </w:r>
    </w:p>
    <w:p w14:paraId="1AAC6D10">
      <w:pPr>
        <w:pStyle w:val="6"/>
        <w:kinsoku w:val="0"/>
        <w:overflowPunct w:val="0"/>
        <w:snapToGrid w:val="0"/>
        <w:spacing w:afterLines="50" w:line="360" w:lineRule="auto"/>
        <w:ind w:left="0"/>
        <w:jc w:val="both"/>
        <w:rPr>
          <w:sz w:val="21"/>
          <w:szCs w:val="21"/>
        </w:rPr>
      </w:pPr>
      <w:r>
        <w:rPr>
          <w:rFonts w:hint="eastAsia" w:hAnsi="宋体"/>
          <w:sz w:val="21"/>
          <w:szCs w:val="21"/>
        </w:rPr>
        <w:t>您必须进行测定内、测定间和批次间的精密度研究。您必须测试至少</w:t>
      </w:r>
      <w:r>
        <w:rPr>
          <w:sz w:val="21"/>
          <w:szCs w:val="21"/>
        </w:rPr>
        <w:t>12</w:t>
      </w:r>
      <w:r>
        <w:rPr>
          <w:rFonts w:hint="eastAsia" w:hAnsi="宋体"/>
          <w:sz w:val="21"/>
          <w:szCs w:val="21"/>
        </w:rPr>
        <w:t>天（不一定是连续的）的变异性来源（例如，操作员、操作日、测定运行），每次运行每个样本的</w:t>
      </w:r>
      <w:r>
        <w:rPr>
          <w:sz w:val="21"/>
          <w:szCs w:val="21"/>
        </w:rPr>
        <w:t>3</w:t>
      </w:r>
      <w:r>
        <w:rPr>
          <w:rFonts w:hint="eastAsia" w:hAnsi="宋体"/>
          <w:sz w:val="21"/>
          <w:szCs w:val="21"/>
        </w:rPr>
        <w:t>个平行试样，每天由两名操作员运行两次。测试面板必须由至少四个样本组成，涵盖整个医学相关分析物浓度范围。对于您的批次间评价，您必须至少包含</w:t>
      </w:r>
      <w:r>
        <w:rPr>
          <w:sz w:val="21"/>
          <w:szCs w:val="21"/>
        </w:rPr>
        <w:t>3</w:t>
      </w:r>
      <w:r>
        <w:rPr>
          <w:rFonts w:hint="eastAsia" w:hAnsi="宋体"/>
          <w:sz w:val="21"/>
          <w:szCs w:val="21"/>
        </w:rPr>
        <w:t>个批次（如适用）。您的重复性研究报告必须包括以下信息：运行天数和运行次数，批次数，操作员数量和本研究使用的验收标准。您可以在内部进行这些研究，即在您自己的公司机构内进行。</w:t>
      </w:r>
    </w:p>
    <w:p w14:paraId="46289B7D">
      <w:pPr>
        <w:pStyle w:val="6"/>
        <w:kinsoku w:val="0"/>
        <w:overflowPunct w:val="0"/>
        <w:snapToGrid w:val="0"/>
        <w:spacing w:afterLines="50" w:line="360" w:lineRule="auto"/>
        <w:ind w:left="0"/>
        <w:jc w:val="both"/>
        <w:rPr>
          <w:sz w:val="21"/>
          <w:szCs w:val="21"/>
        </w:rPr>
      </w:pPr>
      <w:r>
        <w:rPr>
          <w:rFonts w:hint="eastAsia" w:hAnsi="宋体"/>
          <w:sz w:val="21"/>
          <w:szCs w:val="21"/>
        </w:rPr>
        <w:t>对于不需要使用仪器的定性测试（例如，免疫色谱测试或侧向流动装置），通常不需要进行重复性研究。</w:t>
      </w:r>
    </w:p>
    <w:p w14:paraId="15836FF9">
      <w:pPr>
        <w:pStyle w:val="6"/>
        <w:numPr>
          <w:ilvl w:val="2"/>
          <w:numId w:val="9"/>
        </w:numPr>
        <w:kinsoku w:val="0"/>
        <w:overflowPunct w:val="0"/>
        <w:snapToGrid w:val="0"/>
        <w:spacing w:line="360" w:lineRule="auto"/>
        <w:ind w:left="420" w:hanging="420" w:hangingChars="200"/>
        <w:jc w:val="both"/>
        <w:rPr>
          <w:sz w:val="21"/>
          <w:szCs w:val="21"/>
          <w:u w:val="single"/>
        </w:rPr>
      </w:pPr>
      <w:r>
        <w:rPr>
          <w:rFonts w:hint="eastAsia" w:hAnsi="宋体"/>
          <w:sz w:val="21"/>
          <w:szCs w:val="21"/>
          <w:u w:val="single"/>
        </w:rPr>
        <w:t>实验室间精密度</w:t>
      </w:r>
      <w:r>
        <w:rPr>
          <w:sz w:val="21"/>
          <w:szCs w:val="21"/>
          <w:u w:val="single"/>
        </w:rPr>
        <w:t>/</w:t>
      </w:r>
      <w:r>
        <w:rPr>
          <w:rFonts w:hint="eastAsia" w:hAnsi="宋体"/>
          <w:sz w:val="21"/>
          <w:szCs w:val="21"/>
          <w:u w:val="single"/>
        </w:rPr>
        <w:t>再现性</w:t>
      </w:r>
    </w:p>
    <w:p w14:paraId="29B4CFEE">
      <w:pPr>
        <w:pStyle w:val="6"/>
        <w:kinsoku w:val="0"/>
        <w:overflowPunct w:val="0"/>
        <w:snapToGrid w:val="0"/>
        <w:spacing w:afterLines="50" w:line="360" w:lineRule="auto"/>
        <w:ind w:left="0"/>
        <w:jc w:val="both"/>
        <w:rPr>
          <w:sz w:val="21"/>
          <w:szCs w:val="21"/>
        </w:rPr>
      </w:pPr>
      <w:r>
        <w:rPr>
          <w:rFonts w:hint="eastAsia" w:hAnsi="宋体"/>
          <w:sz w:val="21"/>
          <w:szCs w:val="21"/>
        </w:rPr>
        <w:t>再现性研究方案可能会因测定形式而略有不同，尽管样本面板必须与下文重复性研究所述相同。一般来说，您必须使用以下方法进行再现性研究：</w:t>
      </w:r>
    </w:p>
    <w:p w14:paraId="1B80EF5D">
      <w:pPr>
        <w:pStyle w:val="6"/>
        <w:numPr>
          <w:ilvl w:val="0"/>
          <w:numId w:val="10"/>
        </w:numPr>
        <w:tabs>
          <w:tab w:val="left" w:pos="924"/>
        </w:tabs>
        <w:kinsoku w:val="0"/>
        <w:overflowPunct w:val="0"/>
        <w:snapToGrid w:val="0"/>
        <w:spacing w:line="360" w:lineRule="auto"/>
        <w:ind w:left="480" w:leftChars="200"/>
        <w:jc w:val="both"/>
        <w:rPr>
          <w:sz w:val="21"/>
          <w:szCs w:val="21"/>
        </w:rPr>
      </w:pPr>
      <w:r>
        <w:rPr>
          <w:rFonts w:hint="eastAsia" w:hAnsi="宋体"/>
          <w:sz w:val="21"/>
          <w:szCs w:val="21"/>
        </w:rPr>
        <w:t>在三个测试机构评价您的测试的再现性（可以包括两个外部测试机构和一个内部测试机构或三个外部测试机构）。</w:t>
      </w:r>
    </w:p>
    <w:p w14:paraId="27D71457">
      <w:pPr>
        <w:pStyle w:val="6"/>
        <w:numPr>
          <w:ilvl w:val="0"/>
          <w:numId w:val="10"/>
        </w:numPr>
        <w:tabs>
          <w:tab w:val="left" w:pos="924"/>
        </w:tabs>
        <w:kinsoku w:val="0"/>
        <w:overflowPunct w:val="0"/>
        <w:snapToGrid w:val="0"/>
        <w:spacing w:line="360" w:lineRule="auto"/>
        <w:ind w:left="480" w:leftChars="200"/>
        <w:jc w:val="both"/>
        <w:rPr>
          <w:sz w:val="21"/>
          <w:szCs w:val="21"/>
        </w:rPr>
      </w:pPr>
      <w:r>
        <w:rPr>
          <w:rFonts w:hint="eastAsia" w:hAnsi="宋体"/>
          <w:sz w:val="21"/>
          <w:szCs w:val="21"/>
        </w:rPr>
        <w:t>使用五天测试方案，每天至少运行两次（除非测定设计排除每天多次运行），每次运行每个面板</w:t>
      </w:r>
      <w:r>
        <w:rPr>
          <w:sz w:val="21"/>
          <w:szCs w:val="21"/>
        </w:rPr>
        <w:t>​​</w:t>
      </w:r>
      <w:r>
        <w:rPr>
          <w:rFonts w:hint="eastAsia" w:hAnsi="宋体"/>
          <w:sz w:val="21"/>
          <w:szCs w:val="21"/>
        </w:rPr>
        <w:t>样本的</w:t>
      </w:r>
      <w:r>
        <w:rPr>
          <w:sz w:val="21"/>
          <w:szCs w:val="21"/>
        </w:rPr>
        <w:t>3</w:t>
      </w:r>
      <w:r>
        <w:rPr>
          <w:rFonts w:hint="eastAsia" w:hAnsi="宋体"/>
          <w:sz w:val="21"/>
          <w:szCs w:val="21"/>
        </w:rPr>
        <w:t>个平行试样。</w:t>
      </w:r>
    </w:p>
    <w:p w14:paraId="137FD422">
      <w:pPr>
        <w:pStyle w:val="6"/>
        <w:numPr>
          <w:ilvl w:val="0"/>
          <w:numId w:val="10"/>
        </w:numPr>
        <w:kinsoku w:val="0"/>
        <w:overflowPunct w:val="0"/>
        <w:snapToGrid w:val="0"/>
        <w:spacing w:afterLines="50" w:line="360" w:lineRule="auto"/>
        <w:ind w:left="480" w:leftChars="200"/>
        <w:jc w:val="both"/>
        <w:rPr>
          <w:sz w:val="21"/>
          <w:szCs w:val="21"/>
        </w:rPr>
      </w:pPr>
      <w:r>
        <w:rPr>
          <w:sz w:val="21"/>
          <w:szCs w:val="21"/>
          <w:highlight w:val="green"/>
        </w:rPr>
        <w:br w:type="page"/>
      </w:r>
      <w:r>
        <w:rPr>
          <w:rFonts w:hint="eastAsia" w:hAnsi="宋体"/>
          <w:sz w:val="21"/>
          <w:szCs w:val="21"/>
        </w:rPr>
        <w:t>每个测试机构每天至少由两名操作员进行测试。您必须对操作员进行培训，培训的程度与该测试试剂盒上市后拟对用户进行的培训程度相同。</w:t>
      </w:r>
    </w:p>
    <w:p w14:paraId="494A62FB">
      <w:pPr>
        <w:pStyle w:val="6"/>
        <w:kinsoku w:val="0"/>
        <w:overflowPunct w:val="0"/>
        <w:snapToGrid w:val="0"/>
        <w:spacing w:afterLines="50" w:line="360" w:lineRule="auto"/>
        <w:ind w:left="0"/>
        <w:jc w:val="both"/>
        <w:rPr>
          <w:sz w:val="21"/>
          <w:szCs w:val="21"/>
          <w:highlight w:val="green"/>
        </w:rPr>
      </w:pPr>
      <w:r>
        <w:rPr>
          <w:rFonts w:hint="eastAsia" w:hAnsi="宋体"/>
          <w:sz w:val="21"/>
          <w:szCs w:val="21"/>
        </w:rPr>
        <w:t>对于您的测试，您必须至少包含</w:t>
      </w:r>
      <w:r>
        <w:rPr>
          <w:sz w:val="21"/>
          <w:szCs w:val="21"/>
        </w:rPr>
        <w:t>2</w:t>
      </w:r>
      <w:r>
        <w:rPr>
          <w:rFonts w:hint="eastAsia" w:hAnsi="宋体"/>
          <w:sz w:val="21"/>
          <w:szCs w:val="21"/>
        </w:rPr>
        <w:t>至</w:t>
      </w:r>
      <w:r>
        <w:rPr>
          <w:sz w:val="21"/>
          <w:szCs w:val="21"/>
        </w:rPr>
        <w:t>3</w:t>
      </w:r>
      <w:r>
        <w:rPr>
          <w:rFonts w:hint="eastAsia" w:hAnsi="宋体"/>
          <w:sz w:val="21"/>
          <w:szCs w:val="21"/>
        </w:rPr>
        <w:t>种</w:t>
      </w:r>
      <w:r>
        <w:rPr>
          <w:sz w:val="21"/>
          <w:szCs w:val="21"/>
        </w:rPr>
        <w:t>DEN</w:t>
      </w:r>
      <w:r>
        <w:rPr>
          <w:rFonts w:hint="eastAsia" w:hAnsi="宋体"/>
          <w:sz w:val="21"/>
          <w:szCs w:val="21"/>
        </w:rPr>
        <w:t>血清型抗体或抗原，包括接近测定临界值的至少</w:t>
      </w:r>
      <w:r>
        <w:rPr>
          <w:sz w:val="21"/>
          <w:szCs w:val="21"/>
        </w:rPr>
        <w:t>4</w:t>
      </w:r>
      <w:r>
        <w:rPr>
          <w:rFonts w:hint="eastAsia" w:hAnsi="宋体"/>
          <w:sz w:val="21"/>
          <w:szCs w:val="21"/>
        </w:rPr>
        <w:t>个分析物或输出浓度水平，即：</w:t>
      </w:r>
    </w:p>
    <w:p w14:paraId="4301B4DD">
      <w:pPr>
        <w:pStyle w:val="6"/>
        <w:numPr>
          <w:ilvl w:val="0"/>
          <w:numId w:val="11"/>
        </w:numPr>
        <w:kinsoku w:val="0"/>
        <w:overflowPunct w:val="0"/>
        <w:snapToGrid w:val="0"/>
        <w:spacing w:afterLines="50" w:line="360" w:lineRule="auto"/>
        <w:ind w:left="480" w:leftChars="200"/>
        <w:jc w:val="both"/>
        <w:rPr>
          <w:sz w:val="21"/>
          <w:szCs w:val="21"/>
        </w:rPr>
      </w:pPr>
      <w:r>
        <w:rPr>
          <w:sz w:val="21"/>
          <w:szCs w:val="21"/>
        </w:rPr>
        <w:t>“</w:t>
      </w:r>
      <w:r>
        <w:rPr>
          <w:rFonts w:hint="eastAsia" w:hAnsi="宋体"/>
          <w:sz w:val="21"/>
          <w:szCs w:val="21"/>
        </w:rPr>
        <w:t>阴性</w:t>
      </w:r>
      <w:r>
        <w:rPr>
          <w:sz w:val="21"/>
          <w:szCs w:val="21"/>
        </w:rPr>
        <w:t>”</w:t>
      </w:r>
      <w:r>
        <w:rPr>
          <w:rFonts w:hint="eastAsia" w:hAnsi="宋体"/>
          <w:sz w:val="21"/>
          <w:szCs w:val="21"/>
        </w:rPr>
        <w:t>样本：分析物浓度低于临床临界值，使得该样本的重复测试结果在</w:t>
      </w:r>
      <w:r>
        <w:rPr>
          <w:sz w:val="21"/>
          <w:szCs w:val="21"/>
        </w:rPr>
        <w:t>100</w:t>
      </w:r>
      <w:r>
        <w:rPr>
          <w:rFonts w:hint="eastAsia" w:hAnsi="宋体"/>
          <w:sz w:val="21"/>
          <w:szCs w:val="21"/>
        </w:rPr>
        <w:t>％的时间为阴性的样本。</w:t>
      </w:r>
    </w:p>
    <w:p w14:paraId="30FCF558">
      <w:pPr>
        <w:pStyle w:val="6"/>
        <w:numPr>
          <w:ilvl w:val="0"/>
          <w:numId w:val="11"/>
        </w:numPr>
        <w:kinsoku w:val="0"/>
        <w:overflowPunct w:val="0"/>
        <w:snapToGrid w:val="0"/>
        <w:spacing w:afterLines="50" w:line="360" w:lineRule="auto"/>
        <w:ind w:left="480" w:leftChars="200"/>
        <w:jc w:val="both"/>
        <w:rPr>
          <w:sz w:val="21"/>
          <w:szCs w:val="21"/>
        </w:rPr>
      </w:pPr>
      <w:r>
        <w:rPr>
          <w:sz w:val="21"/>
          <w:szCs w:val="21"/>
        </w:rPr>
        <w:t>“</w:t>
      </w:r>
      <w:r>
        <w:rPr>
          <w:rFonts w:hint="eastAsia" w:hAnsi="宋体"/>
          <w:sz w:val="21"/>
          <w:szCs w:val="21"/>
        </w:rPr>
        <w:t>高阴性</w:t>
      </w:r>
      <w:r>
        <w:rPr>
          <w:sz w:val="21"/>
          <w:szCs w:val="21"/>
        </w:rPr>
        <w:t>”</w:t>
      </w:r>
      <w:r>
        <w:rPr>
          <w:rFonts w:hint="eastAsia" w:hAnsi="宋体"/>
          <w:sz w:val="21"/>
          <w:szCs w:val="21"/>
        </w:rPr>
        <w:t>样本：分析物浓度低于临床临界值，使得该样本的重复测试结果在约</w:t>
      </w:r>
      <w:r>
        <w:rPr>
          <w:sz w:val="21"/>
          <w:szCs w:val="21"/>
        </w:rPr>
        <w:t>95%</w:t>
      </w:r>
      <w:r>
        <w:rPr>
          <w:rFonts w:hint="eastAsia" w:hAnsi="宋体"/>
          <w:sz w:val="21"/>
          <w:szCs w:val="21"/>
        </w:rPr>
        <w:t>的时间为阴性的样本（即，在</w:t>
      </w:r>
      <w:r>
        <w:rPr>
          <w:sz w:val="21"/>
          <w:szCs w:val="21"/>
        </w:rPr>
        <w:t>5%</w:t>
      </w:r>
      <w:r>
        <w:rPr>
          <w:rFonts w:hint="eastAsia" w:hAnsi="宋体"/>
          <w:sz w:val="21"/>
          <w:szCs w:val="21"/>
        </w:rPr>
        <w:t>的时间的结果为阳性）。</w:t>
      </w:r>
    </w:p>
    <w:p w14:paraId="0AF7BA6D">
      <w:pPr>
        <w:pStyle w:val="5"/>
        <w:keepNext w:val="0"/>
        <w:keepLines w:val="0"/>
        <w:numPr>
          <w:ilvl w:val="0"/>
          <w:numId w:val="12"/>
        </w:numPr>
        <w:kinsoku w:val="0"/>
        <w:overflowPunct w:val="0"/>
        <w:snapToGrid w:val="0"/>
        <w:spacing w:before="0" w:afterLines="50" w:line="360" w:lineRule="auto"/>
        <w:ind w:left="480" w:leftChars="200"/>
        <w:jc w:val="both"/>
        <w:rPr>
          <w:rFonts w:ascii="Times New Roman" w:hAnsi="Times New Roman"/>
          <w:b w:val="0"/>
          <w:bCs w:val="0"/>
          <w:sz w:val="21"/>
          <w:szCs w:val="21"/>
        </w:rPr>
      </w:pPr>
      <w:r>
        <w:rPr>
          <w:rFonts w:ascii="Times New Roman" w:hAnsi="Times New Roman"/>
          <w:b w:val="0"/>
          <w:sz w:val="21"/>
          <w:szCs w:val="21"/>
        </w:rPr>
        <w:t>“</w:t>
      </w:r>
      <w:r>
        <w:rPr>
          <w:rFonts w:hint="eastAsia" w:ascii="Times New Roman" w:hAnsi="宋体"/>
          <w:b w:val="0"/>
          <w:bCs w:val="0"/>
          <w:sz w:val="21"/>
          <w:szCs w:val="21"/>
        </w:rPr>
        <w:t>低阳性</w:t>
      </w:r>
      <w:r>
        <w:rPr>
          <w:rFonts w:ascii="Times New Roman" w:hAnsi="Times New Roman"/>
          <w:b w:val="0"/>
          <w:bCs w:val="0"/>
          <w:sz w:val="21"/>
          <w:szCs w:val="21"/>
        </w:rPr>
        <w:t>”</w:t>
      </w:r>
      <w:r>
        <w:rPr>
          <w:rFonts w:hint="eastAsia" w:ascii="Times New Roman" w:hAnsi="宋体"/>
          <w:b w:val="0"/>
          <w:bCs w:val="0"/>
          <w:sz w:val="21"/>
          <w:szCs w:val="21"/>
        </w:rPr>
        <w:t>样本：分析物浓度正好高于临床临界值，使得该样本的重复测试结果在约</w:t>
      </w:r>
      <w:r>
        <w:rPr>
          <w:rFonts w:ascii="Times New Roman" w:hAnsi="Times New Roman"/>
          <w:b w:val="0"/>
          <w:bCs w:val="0"/>
          <w:sz w:val="21"/>
          <w:szCs w:val="21"/>
        </w:rPr>
        <w:t>95</w:t>
      </w:r>
      <w:r>
        <w:rPr>
          <w:rFonts w:hint="eastAsia" w:ascii="Times New Roman" w:hAnsi="宋体"/>
          <w:b w:val="0"/>
          <w:bCs w:val="0"/>
          <w:sz w:val="21"/>
          <w:szCs w:val="21"/>
        </w:rPr>
        <w:t>％的时间为阳性的样本。</w:t>
      </w:r>
    </w:p>
    <w:p w14:paraId="4108E158">
      <w:pPr>
        <w:pStyle w:val="6"/>
        <w:numPr>
          <w:ilvl w:val="0"/>
          <w:numId w:val="10"/>
        </w:numPr>
        <w:kinsoku w:val="0"/>
        <w:overflowPunct w:val="0"/>
        <w:snapToGrid w:val="0"/>
        <w:spacing w:afterLines="50" w:line="360" w:lineRule="auto"/>
        <w:ind w:left="480" w:leftChars="200"/>
        <w:jc w:val="both"/>
        <w:rPr>
          <w:sz w:val="21"/>
          <w:szCs w:val="21"/>
        </w:rPr>
      </w:pPr>
      <w:r>
        <w:rPr>
          <w:sz w:val="21"/>
          <w:szCs w:val="21"/>
        </w:rPr>
        <w:t>“</w:t>
      </w:r>
      <w:r>
        <w:rPr>
          <w:rFonts w:hint="eastAsia" w:hAnsi="宋体"/>
          <w:sz w:val="21"/>
          <w:szCs w:val="21"/>
        </w:rPr>
        <w:t>中度阳性</w:t>
      </w:r>
      <w:r>
        <w:rPr>
          <w:sz w:val="21"/>
          <w:szCs w:val="21"/>
        </w:rPr>
        <w:t>”</w:t>
      </w:r>
      <w:r>
        <w:rPr>
          <w:rFonts w:hint="eastAsia" w:hAnsi="宋体"/>
          <w:sz w:val="21"/>
          <w:szCs w:val="21"/>
        </w:rPr>
        <w:t>样本：理想反映临床相关浓度的样本。在该浓度下，预期大约</w:t>
      </w:r>
      <w:r>
        <w:rPr>
          <w:sz w:val="21"/>
          <w:szCs w:val="21"/>
        </w:rPr>
        <w:t>100</w:t>
      </w:r>
      <w:r>
        <w:rPr>
          <w:rFonts w:hint="eastAsia" w:hAnsi="宋体"/>
          <w:sz w:val="21"/>
          <w:szCs w:val="21"/>
        </w:rPr>
        <w:t>％时间可以得到阳性结果，例如临床临界浓度的约</w:t>
      </w:r>
      <w:r>
        <w:rPr>
          <w:sz w:val="21"/>
          <w:szCs w:val="21"/>
        </w:rPr>
        <w:t>2</w:t>
      </w:r>
      <w:r>
        <w:rPr>
          <w:rFonts w:hint="eastAsia" w:hAnsi="宋体"/>
          <w:sz w:val="21"/>
          <w:szCs w:val="21"/>
        </w:rPr>
        <w:t>至</w:t>
      </w:r>
      <w:r>
        <w:rPr>
          <w:sz w:val="21"/>
          <w:szCs w:val="21"/>
        </w:rPr>
        <w:t>3</w:t>
      </w:r>
      <w:r>
        <w:rPr>
          <w:rFonts w:hint="eastAsia" w:hAnsi="宋体"/>
          <w:sz w:val="21"/>
          <w:szCs w:val="21"/>
        </w:rPr>
        <w:t>倍。</w:t>
      </w:r>
    </w:p>
    <w:p w14:paraId="15B465C6">
      <w:pPr>
        <w:pStyle w:val="6"/>
        <w:kinsoku w:val="0"/>
        <w:overflowPunct w:val="0"/>
        <w:snapToGrid w:val="0"/>
        <w:spacing w:afterLines="50" w:line="360" w:lineRule="auto"/>
        <w:ind w:left="480" w:leftChars="200"/>
        <w:jc w:val="both"/>
        <w:rPr>
          <w:sz w:val="21"/>
          <w:szCs w:val="21"/>
        </w:rPr>
      </w:pPr>
      <w:r>
        <w:rPr>
          <w:rFonts w:hint="eastAsia" w:hAnsi="宋体"/>
          <w:sz w:val="21"/>
          <w:szCs w:val="21"/>
        </w:rPr>
        <w:t>关于再现性研究设计的指导，您可以参考</w:t>
      </w:r>
      <w:r>
        <w:rPr>
          <w:sz w:val="21"/>
          <w:szCs w:val="21"/>
        </w:rPr>
        <w:t>CLSI</w:t>
      </w:r>
      <w:r>
        <w:rPr>
          <w:rFonts w:hint="eastAsia" w:hAnsi="宋体"/>
          <w:sz w:val="21"/>
          <w:szCs w:val="21"/>
        </w:rPr>
        <w:t>文件</w:t>
      </w:r>
      <w:r>
        <w:rPr>
          <w:sz w:val="21"/>
          <w:szCs w:val="21"/>
        </w:rPr>
        <w:t>EP15-A2 [</w:t>
      </w:r>
      <w:r>
        <w:rPr>
          <w:rFonts w:hint="eastAsia" w:hAnsi="宋体"/>
          <w:sz w:val="21"/>
          <w:szCs w:val="21"/>
        </w:rPr>
        <w:t>参考文献</w:t>
      </w:r>
      <w:r>
        <w:rPr>
          <w:sz w:val="21"/>
          <w:szCs w:val="21"/>
        </w:rPr>
        <w:t>5]</w:t>
      </w:r>
      <w:r>
        <w:rPr>
          <w:rFonts w:hint="eastAsia" w:hAnsi="宋体"/>
          <w:sz w:val="21"/>
          <w:szCs w:val="21"/>
        </w:rPr>
        <w:t>、</w:t>
      </w:r>
      <w:r>
        <w:rPr>
          <w:sz w:val="21"/>
          <w:szCs w:val="21"/>
        </w:rPr>
        <w:t>EP05-A2 [</w:t>
      </w:r>
      <w:r>
        <w:rPr>
          <w:rFonts w:hint="eastAsia" w:hAnsi="宋体"/>
          <w:sz w:val="21"/>
          <w:szCs w:val="21"/>
        </w:rPr>
        <w:t>参考文献</w:t>
      </w:r>
      <w:r>
        <w:rPr>
          <w:sz w:val="21"/>
          <w:szCs w:val="21"/>
        </w:rPr>
        <w:t>6]</w:t>
      </w:r>
      <w:r>
        <w:rPr>
          <w:rFonts w:hint="eastAsia" w:hAnsi="宋体"/>
          <w:sz w:val="21"/>
          <w:szCs w:val="21"/>
        </w:rPr>
        <w:t>和</w:t>
      </w:r>
      <w:r>
        <w:rPr>
          <w:sz w:val="21"/>
          <w:szCs w:val="21"/>
        </w:rPr>
        <w:t>EP12-A2 [</w:t>
      </w:r>
      <w:r>
        <w:rPr>
          <w:rFonts w:hint="eastAsia" w:hAnsi="宋体"/>
          <w:sz w:val="21"/>
          <w:szCs w:val="21"/>
        </w:rPr>
        <w:t>参考文献</w:t>
      </w:r>
      <w:r>
        <w:rPr>
          <w:sz w:val="21"/>
          <w:szCs w:val="21"/>
        </w:rPr>
        <w:t>7]</w:t>
      </w:r>
      <w:r>
        <w:rPr>
          <w:rFonts w:hint="eastAsia" w:hAnsi="宋体"/>
          <w:sz w:val="21"/>
          <w:szCs w:val="21"/>
        </w:rPr>
        <w:t>。</w:t>
      </w:r>
    </w:p>
    <w:p w14:paraId="2E246CD5">
      <w:pPr>
        <w:pStyle w:val="3"/>
        <w:numPr>
          <w:ilvl w:val="0"/>
          <w:numId w:val="9"/>
        </w:numPr>
        <w:kinsoku w:val="0"/>
        <w:overflowPunct w:val="0"/>
        <w:snapToGrid w:val="0"/>
        <w:spacing w:afterLines="50" w:line="360" w:lineRule="auto"/>
        <w:ind w:left="422" w:hanging="422" w:hangingChars="200"/>
        <w:jc w:val="both"/>
        <w:rPr>
          <w:sz w:val="21"/>
          <w:szCs w:val="21"/>
        </w:rPr>
      </w:pPr>
      <w:bookmarkStart w:id="34" w:name="_Toc496790177"/>
      <w:r>
        <w:rPr>
          <w:rFonts w:hint="eastAsia" w:hAnsi="宋体"/>
          <w:sz w:val="21"/>
          <w:szCs w:val="21"/>
        </w:rPr>
        <w:t>对照品</w:t>
      </w:r>
      <w:bookmarkEnd w:id="34"/>
    </w:p>
    <w:p w14:paraId="5EA20771">
      <w:pPr>
        <w:pStyle w:val="6"/>
        <w:kinsoku w:val="0"/>
        <w:overflowPunct w:val="0"/>
        <w:snapToGrid w:val="0"/>
        <w:spacing w:afterLines="50" w:line="360" w:lineRule="auto"/>
        <w:ind w:left="480" w:leftChars="200"/>
        <w:jc w:val="both"/>
        <w:rPr>
          <w:sz w:val="21"/>
          <w:szCs w:val="21"/>
        </w:rPr>
      </w:pPr>
      <w:r>
        <w:rPr>
          <w:rFonts w:hint="eastAsia" w:hAnsi="宋体"/>
          <w:sz w:val="21"/>
          <w:szCs w:val="21"/>
        </w:rPr>
        <w:t>您在每次进行分析和临床研究时，都必须运行适当的对照品。您可以联系</w:t>
      </w:r>
      <w:r>
        <w:rPr>
          <w:sz w:val="21"/>
          <w:szCs w:val="21"/>
        </w:rPr>
        <w:t>FDA</w:t>
      </w:r>
      <w:r>
        <w:rPr>
          <w:rFonts w:hint="eastAsia" w:hAnsi="宋体"/>
          <w:sz w:val="21"/>
          <w:szCs w:val="21"/>
        </w:rPr>
        <w:t>了解有关适当对照品的更多信息。一般来说，您必须包括以下类型的对照品：</w:t>
      </w:r>
    </w:p>
    <w:p w14:paraId="22C81C52">
      <w:pPr>
        <w:pStyle w:val="3"/>
        <w:numPr>
          <w:ilvl w:val="1"/>
          <w:numId w:val="13"/>
        </w:numPr>
        <w:kinsoku w:val="0"/>
        <w:overflowPunct w:val="0"/>
        <w:snapToGrid w:val="0"/>
        <w:spacing w:afterLines="50" w:line="360" w:lineRule="auto"/>
        <w:ind w:left="840" w:leftChars="200"/>
        <w:jc w:val="both"/>
        <w:rPr>
          <w:sz w:val="21"/>
          <w:szCs w:val="21"/>
        </w:rPr>
      </w:pPr>
      <w:r>
        <w:rPr>
          <w:rFonts w:hAnsi="宋体"/>
          <w:sz w:val="21"/>
          <w:szCs w:val="21"/>
        </w:rPr>
        <w:tab/>
      </w:r>
      <w:bookmarkStart w:id="35" w:name="_Toc496790178"/>
      <w:r>
        <w:rPr>
          <w:rFonts w:hint="eastAsia" w:hAnsi="宋体"/>
          <w:sz w:val="21"/>
          <w:szCs w:val="21"/>
        </w:rPr>
        <w:t>阴性对照</w:t>
      </w:r>
      <w:bookmarkEnd w:id="35"/>
    </w:p>
    <w:p w14:paraId="48C9E116">
      <w:pPr>
        <w:pStyle w:val="6"/>
        <w:kinsoku w:val="0"/>
        <w:overflowPunct w:val="0"/>
        <w:snapToGrid w:val="0"/>
        <w:spacing w:afterLines="50" w:line="360" w:lineRule="auto"/>
        <w:ind w:left="480" w:leftChars="200"/>
        <w:jc w:val="both"/>
        <w:rPr>
          <w:sz w:val="21"/>
          <w:szCs w:val="21"/>
          <w:highlight w:val="green"/>
        </w:rPr>
      </w:pPr>
      <w:r>
        <w:rPr>
          <w:rFonts w:hint="eastAsia" w:hAnsi="宋体"/>
          <w:sz w:val="21"/>
          <w:szCs w:val="21"/>
        </w:rPr>
        <w:t>可以以阴性样本作为阴性对照；阴性对照用于排除测试反应中的污染或增加的背景。</w:t>
      </w:r>
    </w:p>
    <w:p w14:paraId="4C221BCD">
      <w:pPr>
        <w:pStyle w:val="3"/>
        <w:numPr>
          <w:ilvl w:val="1"/>
          <w:numId w:val="13"/>
        </w:numPr>
        <w:kinsoku w:val="0"/>
        <w:overflowPunct w:val="0"/>
        <w:snapToGrid w:val="0"/>
        <w:spacing w:afterLines="50" w:line="360" w:lineRule="auto"/>
        <w:ind w:left="840" w:leftChars="200"/>
        <w:jc w:val="both"/>
        <w:rPr>
          <w:sz w:val="21"/>
          <w:szCs w:val="21"/>
        </w:rPr>
      </w:pPr>
      <w:r>
        <w:rPr>
          <w:rFonts w:hAnsi="宋体"/>
          <w:sz w:val="21"/>
          <w:szCs w:val="21"/>
        </w:rPr>
        <w:tab/>
      </w:r>
      <w:bookmarkStart w:id="36" w:name="_Toc496790179"/>
      <w:r>
        <w:rPr>
          <w:rFonts w:hint="eastAsia" w:hAnsi="宋体"/>
          <w:sz w:val="21"/>
          <w:szCs w:val="21"/>
        </w:rPr>
        <w:t>阳性对照</w:t>
      </w:r>
      <w:bookmarkEnd w:id="36"/>
    </w:p>
    <w:p w14:paraId="79CB2BC9">
      <w:pPr>
        <w:pStyle w:val="6"/>
        <w:kinsoku w:val="0"/>
        <w:overflowPunct w:val="0"/>
        <w:snapToGrid w:val="0"/>
        <w:spacing w:afterLines="50" w:line="360" w:lineRule="auto"/>
        <w:ind w:left="480" w:leftChars="200"/>
        <w:jc w:val="both"/>
        <w:rPr>
          <w:sz w:val="21"/>
          <w:szCs w:val="21"/>
        </w:rPr>
      </w:pPr>
      <w:r>
        <w:rPr>
          <w:rFonts w:hint="eastAsia" w:hAnsi="宋体"/>
          <w:sz w:val="21"/>
          <w:szCs w:val="21"/>
        </w:rPr>
        <w:t>阳性对照必须包含接近测定临界浓度的</w:t>
      </w:r>
      <w:r>
        <w:rPr>
          <w:sz w:val="21"/>
          <w:szCs w:val="21"/>
        </w:rPr>
        <w:t>DEN</w:t>
      </w:r>
      <w:r>
        <w:rPr>
          <w:rFonts w:hint="eastAsia" w:hAnsi="宋体"/>
          <w:sz w:val="21"/>
          <w:szCs w:val="21"/>
        </w:rPr>
        <w:t>抗原或抗体，并且必须用作整个测定过程（包括提取过程，如果适用）的对照。阳性对照必须设计为模拟患者样本，应作为测定的一部分运行，或以实验室质量体系（</w:t>
      </w:r>
      <w:r>
        <w:rPr>
          <w:sz w:val="21"/>
          <w:szCs w:val="21"/>
        </w:rPr>
        <w:t>QS</w:t>
      </w:r>
      <w:r>
        <w:rPr>
          <w:rFonts w:hint="eastAsia" w:hAnsi="宋体"/>
          <w:sz w:val="21"/>
          <w:szCs w:val="21"/>
        </w:rPr>
        <w:t>）确定的频率同时与患者样本一起单独运行。可接受的阳性测定对照材料的实例包括：</w:t>
      </w:r>
    </w:p>
    <w:p w14:paraId="7487093E">
      <w:pPr>
        <w:pStyle w:val="6"/>
        <w:numPr>
          <w:ilvl w:val="0"/>
          <w:numId w:val="10"/>
        </w:numPr>
        <w:kinsoku w:val="0"/>
        <w:overflowPunct w:val="0"/>
        <w:snapToGrid w:val="0"/>
        <w:spacing w:line="360" w:lineRule="auto"/>
        <w:ind w:left="480" w:leftChars="200" w:firstLine="0"/>
        <w:jc w:val="both"/>
        <w:rPr>
          <w:sz w:val="21"/>
          <w:szCs w:val="21"/>
        </w:rPr>
      </w:pPr>
      <w:r>
        <w:rPr>
          <w:sz w:val="21"/>
          <w:szCs w:val="21"/>
          <w:highlight w:val="green"/>
        </w:rPr>
        <w:br w:type="page"/>
      </w:r>
      <w:r>
        <w:rPr>
          <w:rFonts w:hint="eastAsia" w:hAnsi="宋体"/>
          <w:sz w:val="21"/>
          <w:szCs w:val="21"/>
        </w:rPr>
        <w:t>来自</w:t>
      </w:r>
      <w:r>
        <w:rPr>
          <w:sz w:val="21"/>
          <w:szCs w:val="21"/>
        </w:rPr>
        <w:t>DEN</w:t>
      </w:r>
      <w:r>
        <w:rPr>
          <w:rFonts w:hint="eastAsia" w:hAnsi="宋体"/>
          <w:sz w:val="21"/>
          <w:szCs w:val="21"/>
        </w:rPr>
        <w:t>感染或康复者的样本。</w:t>
      </w:r>
    </w:p>
    <w:p w14:paraId="720FC346">
      <w:pPr>
        <w:pStyle w:val="6"/>
        <w:numPr>
          <w:ilvl w:val="0"/>
          <w:numId w:val="10"/>
        </w:numPr>
        <w:kinsoku w:val="0"/>
        <w:overflowPunct w:val="0"/>
        <w:snapToGrid w:val="0"/>
        <w:spacing w:afterLines="50" w:line="360" w:lineRule="auto"/>
        <w:ind w:left="480" w:leftChars="200" w:firstLine="0"/>
        <w:jc w:val="both"/>
        <w:rPr>
          <w:sz w:val="21"/>
          <w:szCs w:val="21"/>
        </w:rPr>
      </w:pPr>
      <w:r>
        <w:rPr>
          <w:rFonts w:hint="eastAsia" w:hAnsi="宋体"/>
          <w:sz w:val="21"/>
          <w:szCs w:val="21"/>
        </w:rPr>
        <w:t>经过处理和校准的市售</w:t>
      </w:r>
      <w:r>
        <w:rPr>
          <w:sz w:val="21"/>
          <w:szCs w:val="21"/>
        </w:rPr>
        <w:t>DEN</w:t>
      </w:r>
      <w:r>
        <w:rPr>
          <w:rFonts w:hint="eastAsia" w:hAnsi="宋体"/>
          <w:sz w:val="21"/>
          <w:szCs w:val="21"/>
        </w:rPr>
        <w:t>抗体或抗原。</w:t>
      </w:r>
    </w:p>
    <w:p w14:paraId="68A17400">
      <w:pPr>
        <w:pStyle w:val="3"/>
        <w:numPr>
          <w:ilvl w:val="1"/>
          <w:numId w:val="13"/>
        </w:numPr>
        <w:kinsoku w:val="0"/>
        <w:overflowPunct w:val="0"/>
        <w:snapToGrid w:val="0"/>
        <w:spacing w:afterLines="50" w:line="360" w:lineRule="auto"/>
        <w:ind w:left="902" w:leftChars="200" w:hanging="422" w:hangingChars="200"/>
        <w:jc w:val="both"/>
        <w:rPr>
          <w:sz w:val="21"/>
          <w:szCs w:val="21"/>
        </w:rPr>
      </w:pPr>
      <w:r>
        <w:rPr>
          <w:rFonts w:hAnsi="宋体"/>
          <w:sz w:val="21"/>
          <w:szCs w:val="21"/>
        </w:rPr>
        <w:tab/>
      </w:r>
      <w:bookmarkStart w:id="37" w:name="_Toc496790180"/>
      <w:r>
        <w:rPr>
          <w:rFonts w:hint="eastAsia" w:hAnsi="宋体"/>
          <w:sz w:val="21"/>
          <w:szCs w:val="21"/>
        </w:rPr>
        <w:t>内部对照</w:t>
      </w:r>
      <w:bookmarkEnd w:id="37"/>
    </w:p>
    <w:p w14:paraId="045F78E3">
      <w:pPr>
        <w:pStyle w:val="6"/>
        <w:kinsoku w:val="0"/>
        <w:overflowPunct w:val="0"/>
        <w:snapToGrid w:val="0"/>
        <w:spacing w:afterLines="50" w:line="360" w:lineRule="auto"/>
        <w:ind w:left="480" w:leftChars="200"/>
        <w:jc w:val="both"/>
        <w:rPr>
          <w:sz w:val="21"/>
          <w:szCs w:val="21"/>
          <w:highlight w:val="green"/>
        </w:rPr>
      </w:pPr>
      <w:r>
        <w:rPr>
          <w:rFonts w:hint="eastAsia" w:hAnsi="宋体"/>
          <w:sz w:val="21"/>
          <w:szCs w:val="21"/>
        </w:rPr>
        <w:t>内部对照监测试剂的完整性、是否正确遵循检测方法、以及样本中是否存在抑制剂。可接受的内部对照材料的实例包括：抗小鼠</w:t>
      </w:r>
      <w:r>
        <w:rPr>
          <w:sz w:val="21"/>
          <w:szCs w:val="21"/>
        </w:rPr>
        <w:t>IgG</w:t>
      </w:r>
      <w:r>
        <w:rPr>
          <w:rFonts w:hint="eastAsia" w:hAnsi="宋体"/>
          <w:sz w:val="21"/>
          <w:szCs w:val="21"/>
        </w:rPr>
        <w:t>抗体，生物素，链霉亲和素和抗过氧化物酶。只有在一次性试剂盒或管中进行单次测定时才需要使用内部对照。</w:t>
      </w:r>
    </w:p>
    <w:p w14:paraId="6BF6661C">
      <w:pPr>
        <w:pStyle w:val="3"/>
        <w:numPr>
          <w:ilvl w:val="0"/>
          <w:numId w:val="14"/>
        </w:numPr>
        <w:kinsoku w:val="0"/>
        <w:overflowPunct w:val="0"/>
        <w:snapToGrid w:val="0"/>
        <w:spacing w:afterLines="50" w:line="360" w:lineRule="auto"/>
        <w:ind w:left="357" w:hanging="357"/>
        <w:jc w:val="both"/>
        <w:rPr>
          <w:sz w:val="21"/>
          <w:szCs w:val="21"/>
        </w:rPr>
      </w:pPr>
      <w:bookmarkStart w:id="38" w:name="_Toc496790181"/>
      <w:r>
        <w:rPr>
          <w:rFonts w:hint="eastAsia" w:hAnsi="宋体"/>
          <w:sz w:val="21"/>
          <w:szCs w:val="21"/>
        </w:rPr>
        <w:t>样本收集和处理</w:t>
      </w:r>
      <w:bookmarkEnd w:id="38"/>
    </w:p>
    <w:p w14:paraId="7577AAD6">
      <w:pPr>
        <w:pStyle w:val="6"/>
        <w:kinsoku w:val="0"/>
        <w:overflowPunct w:val="0"/>
        <w:snapToGrid w:val="0"/>
        <w:spacing w:afterLines="50" w:line="360" w:lineRule="auto"/>
        <w:ind w:left="0"/>
        <w:jc w:val="both"/>
        <w:rPr>
          <w:sz w:val="21"/>
          <w:szCs w:val="21"/>
        </w:rPr>
      </w:pPr>
      <w:r>
        <w:rPr>
          <w:rFonts w:hint="eastAsia" w:hAnsi="宋体"/>
          <w:sz w:val="21"/>
          <w:szCs w:val="21"/>
        </w:rPr>
        <w:t>您必须具体说明您的测定适用的样本类型。应在疾病过程中可能从样本中分离出</w:t>
      </w:r>
      <w:r>
        <w:rPr>
          <w:sz w:val="21"/>
          <w:szCs w:val="21"/>
        </w:rPr>
        <w:t>DENV</w:t>
      </w:r>
      <w:r>
        <w:rPr>
          <w:rFonts w:hint="eastAsia" w:hAnsi="宋体"/>
          <w:sz w:val="21"/>
          <w:szCs w:val="21"/>
        </w:rPr>
        <w:t>抗原或抗体的时候，从适当的解剖部位或来源收集样本。</w:t>
      </w:r>
    </w:p>
    <w:p w14:paraId="1E7038C3">
      <w:pPr>
        <w:pStyle w:val="6"/>
        <w:kinsoku w:val="0"/>
        <w:overflowPunct w:val="0"/>
        <w:snapToGrid w:val="0"/>
        <w:spacing w:afterLines="50" w:line="360" w:lineRule="auto"/>
        <w:ind w:left="0"/>
        <w:jc w:val="both"/>
        <w:rPr>
          <w:sz w:val="21"/>
          <w:szCs w:val="21"/>
          <w:highlight w:val="green"/>
        </w:rPr>
      </w:pPr>
      <w:r>
        <w:rPr>
          <w:rFonts w:hint="eastAsia" w:hAnsi="宋体"/>
          <w:sz w:val="21"/>
          <w:szCs w:val="21"/>
        </w:rPr>
        <w:t>目标分析物的质量和数量可以高度依赖于诸如样本来源、收集方法、处理（例如运输和储存时间和温度）等因素。您在</w:t>
      </w:r>
      <w:r>
        <w:rPr>
          <w:sz w:val="21"/>
          <w:szCs w:val="21"/>
        </w:rPr>
        <w:t>510</w:t>
      </w:r>
      <w:r>
        <w:rPr>
          <w:rFonts w:hint="eastAsia" w:hAnsi="宋体"/>
          <w:sz w:val="21"/>
          <w:szCs w:val="21"/>
        </w:rPr>
        <w:t>（</w:t>
      </w:r>
      <w:r>
        <w:rPr>
          <w:sz w:val="21"/>
          <w:szCs w:val="21"/>
        </w:rPr>
        <w:t>k</w:t>
      </w:r>
      <w:r>
        <w:rPr>
          <w:rFonts w:hint="eastAsia" w:hAnsi="宋体"/>
          <w:sz w:val="21"/>
          <w:szCs w:val="21"/>
        </w:rPr>
        <w:t>）中提供的测试结果必须验证器械在标签中建议的所有条件下都能保持可接受的性能（例如，准确性、再现性）。例如，您必须使用在推荐的时间和温度条件下储存和</w:t>
      </w:r>
      <w:r>
        <w:rPr>
          <w:sz w:val="21"/>
          <w:szCs w:val="21"/>
        </w:rPr>
        <w:t>/</w:t>
      </w:r>
      <w:r>
        <w:rPr>
          <w:rFonts w:hint="eastAsia" w:hAnsi="宋体"/>
          <w:sz w:val="21"/>
          <w:szCs w:val="21"/>
        </w:rPr>
        <w:t>或运输的样本的等分试样来评价推荐的储存时间和温度（包括冻融循环）对样本稳定性的影响。您必须说明所有样本收集和处理条件和稳定性参数的验收标准。</w:t>
      </w:r>
    </w:p>
    <w:p w14:paraId="7AB7AB4C">
      <w:pPr>
        <w:pStyle w:val="6"/>
        <w:kinsoku w:val="0"/>
        <w:overflowPunct w:val="0"/>
        <w:snapToGrid w:val="0"/>
        <w:spacing w:afterLines="50" w:line="360" w:lineRule="auto"/>
        <w:ind w:left="0"/>
        <w:jc w:val="both"/>
        <w:rPr>
          <w:sz w:val="21"/>
          <w:szCs w:val="21"/>
          <w:highlight w:val="green"/>
        </w:rPr>
      </w:pPr>
      <w:r>
        <w:rPr>
          <w:rFonts w:hint="eastAsia" w:hAnsi="宋体"/>
          <w:sz w:val="21"/>
          <w:szCs w:val="21"/>
        </w:rPr>
        <w:t>应遵循关于用于鉴定病原体的样本的收集和处置的所有适用的州和联邦生物安全指南。有关样本处理的标准预防措施，请参阅相关临床和实验室标准协会（</w:t>
      </w:r>
      <w:r>
        <w:rPr>
          <w:sz w:val="21"/>
          <w:szCs w:val="21"/>
        </w:rPr>
        <w:t>CLSI</w:t>
      </w:r>
      <w:r>
        <w:rPr>
          <w:rFonts w:hint="eastAsia" w:hAnsi="宋体"/>
          <w:sz w:val="21"/>
          <w:szCs w:val="21"/>
        </w:rPr>
        <w:t>）文件的最新版本</w:t>
      </w:r>
      <w:r>
        <w:rPr>
          <w:sz w:val="21"/>
          <w:szCs w:val="21"/>
        </w:rPr>
        <w:t>[</w:t>
      </w:r>
      <w:r>
        <w:rPr>
          <w:rFonts w:hint="eastAsia" w:hAnsi="宋体"/>
          <w:sz w:val="21"/>
          <w:szCs w:val="21"/>
        </w:rPr>
        <w:t>参考文献</w:t>
      </w:r>
      <w:r>
        <w:rPr>
          <w:sz w:val="21"/>
          <w:szCs w:val="21"/>
        </w:rPr>
        <w:t>8]</w:t>
      </w:r>
      <w:r>
        <w:rPr>
          <w:rFonts w:hint="eastAsia" w:hAnsi="宋体"/>
          <w:sz w:val="21"/>
          <w:szCs w:val="21"/>
        </w:rPr>
        <w:t>。</w:t>
      </w:r>
    </w:p>
    <w:p w14:paraId="196A980E">
      <w:pPr>
        <w:pStyle w:val="3"/>
        <w:numPr>
          <w:ilvl w:val="0"/>
          <w:numId w:val="14"/>
        </w:numPr>
        <w:kinsoku w:val="0"/>
        <w:overflowPunct w:val="0"/>
        <w:snapToGrid w:val="0"/>
        <w:spacing w:afterLines="50" w:line="360" w:lineRule="auto"/>
        <w:ind w:left="357" w:hanging="357"/>
        <w:jc w:val="both"/>
        <w:rPr>
          <w:sz w:val="21"/>
          <w:szCs w:val="21"/>
        </w:rPr>
      </w:pPr>
      <w:bookmarkStart w:id="39" w:name="_Toc496790182"/>
      <w:r>
        <w:rPr>
          <w:rFonts w:hint="eastAsia" w:hAnsi="宋体"/>
          <w:sz w:val="21"/>
          <w:szCs w:val="21"/>
        </w:rPr>
        <w:t>测定临界值</w:t>
      </w:r>
      <w:bookmarkEnd w:id="39"/>
    </w:p>
    <w:p w14:paraId="0E16F6C2">
      <w:pPr>
        <w:pStyle w:val="6"/>
        <w:kinsoku w:val="0"/>
        <w:overflowPunct w:val="0"/>
        <w:snapToGrid w:val="0"/>
        <w:spacing w:afterLines="50" w:line="360" w:lineRule="auto"/>
        <w:ind w:left="0"/>
        <w:jc w:val="both"/>
        <w:rPr>
          <w:sz w:val="21"/>
          <w:szCs w:val="21"/>
          <w:highlight w:val="green"/>
        </w:rPr>
      </w:pPr>
      <w:r>
        <w:rPr>
          <w:rFonts w:hint="eastAsia" w:hAnsi="宋体"/>
          <w:sz w:val="21"/>
          <w:szCs w:val="21"/>
        </w:rPr>
        <w:t>您的</w:t>
      </w:r>
      <w:r>
        <w:rPr>
          <w:sz w:val="21"/>
          <w:szCs w:val="21"/>
        </w:rPr>
        <w:t>510</w:t>
      </w:r>
      <w:r>
        <w:rPr>
          <w:rFonts w:hint="eastAsia" w:hAnsi="宋体"/>
          <w:sz w:val="21"/>
          <w:szCs w:val="21"/>
        </w:rPr>
        <w:t>（</w:t>
      </w:r>
      <w:r>
        <w:rPr>
          <w:sz w:val="21"/>
          <w:szCs w:val="21"/>
        </w:rPr>
        <w:t>k</w:t>
      </w:r>
      <w:r>
        <w:rPr>
          <w:rFonts w:hint="eastAsia" w:hAnsi="宋体"/>
          <w:sz w:val="21"/>
          <w:szCs w:val="21"/>
        </w:rPr>
        <w:t>）提交必须解释如何确定测定临界值（亦可见第</w:t>
      </w:r>
      <w:r>
        <w:rPr>
          <w:sz w:val="21"/>
          <w:szCs w:val="21"/>
        </w:rPr>
        <w:t>8.g</w:t>
      </w:r>
      <w:r>
        <w:rPr>
          <w:rFonts w:hint="eastAsia" w:hAnsi="宋体"/>
          <w:sz w:val="21"/>
          <w:szCs w:val="21"/>
        </w:rPr>
        <w:t>节</w:t>
      </w:r>
      <w:r>
        <w:rPr>
          <w:sz w:val="21"/>
          <w:szCs w:val="21"/>
        </w:rPr>
        <w:t xml:space="preserve"> - </w:t>
      </w:r>
      <w:r>
        <w:rPr>
          <w:rFonts w:hint="eastAsia" w:hAnsi="宋体"/>
          <w:sz w:val="21"/>
          <w:szCs w:val="21"/>
        </w:rPr>
        <w:t>测试结果）。</w:t>
      </w:r>
      <w:r>
        <w:rPr>
          <w:rFonts w:hint="eastAsia" w:hAnsi="宋体"/>
          <w:iCs/>
          <w:sz w:val="21"/>
          <w:szCs w:val="21"/>
        </w:rPr>
        <w:t>可根据临床样本的试点研究的接收者操作曲线（</w:t>
      </w:r>
      <w:r>
        <w:rPr>
          <w:iCs/>
          <w:sz w:val="21"/>
          <w:szCs w:val="21"/>
        </w:rPr>
        <w:t>ROC</w:t>
      </w:r>
      <w:r>
        <w:rPr>
          <w:rFonts w:hint="eastAsia" w:hAnsi="宋体"/>
          <w:iCs/>
          <w:sz w:val="21"/>
          <w:szCs w:val="21"/>
        </w:rPr>
        <w:t>）分析的灵敏度和特异性的相关水平来证明所选择的临界值的适当性</w:t>
      </w:r>
      <w:r>
        <w:rPr>
          <w:rFonts w:hint="eastAsia" w:hAnsi="宋体"/>
          <w:sz w:val="21"/>
          <w:szCs w:val="21"/>
        </w:rPr>
        <w:t>；关于</w:t>
      </w:r>
      <w:r>
        <w:rPr>
          <w:sz w:val="21"/>
          <w:szCs w:val="21"/>
        </w:rPr>
        <w:t>ROC</w:t>
      </w:r>
      <w:r>
        <w:rPr>
          <w:rFonts w:hint="eastAsia" w:hAnsi="宋体"/>
          <w:sz w:val="21"/>
          <w:szCs w:val="21"/>
        </w:rPr>
        <w:t>分析的详细信息请参阅</w:t>
      </w:r>
      <w:r>
        <w:rPr>
          <w:sz w:val="21"/>
          <w:szCs w:val="21"/>
        </w:rPr>
        <w:t>CLSI</w:t>
      </w:r>
      <w:r>
        <w:rPr>
          <w:rFonts w:hint="eastAsia" w:hAnsi="宋体"/>
          <w:sz w:val="21"/>
          <w:szCs w:val="21"/>
        </w:rPr>
        <w:t>文件</w:t>
      </w:r>
      <w:r>
        <w:rPr>
          <w:sz w:val="21"/>
          <w:szCs w:val="21"/>
        </w:rPr>
        <w:t>GP-10A [</w:t>
      </w:r>
      <w:r>
        <w:rPr>
          <w:rFonts w:hint="eastAsia" w:hAnsi="宋体"/>
          <w:sz w:val="21"/>
          <w:szCs w:val="21"/>
        </w:rPr>
        <w:t>参考文献</w:t>
      </w:r>
      <w:r>
        <w:rPr>
          <w:sz w:val="21"/>
          <w:szCs w:val="21"/>
        </w:rPr>
        <w:t>9]</w:t>
      </w:r>
      <w:r>
        <w:rPr>
          <w:rFonts w:hint="eastAsia" w:hAnsi="宋体"/>
          <w:sz w:val="21"/>
          <w:szCs w:val="21"/>
        </w:rPr>
        <w:t>。必须在与您的器械规定的预期用途一致的独立人群中验证您的器械使用预先确定的临界值（和不明确区域，如果适用）的性能（亦可见第</w:t>
      </w:r>
      <w:r>
        <w:rPr>
          <w:sz w:val="21"/>
          <w:szCs w:val="21"/>
        </w:rPr>
        <w:t>7.f</w:t>
      </w:r>
      <w:r>
        <w:rPr>
          <w:rFonts w:hint="eastAsia" w:hAnsi="宋体"/>
          <w:sz w:val="21"/>
          <w:szCs w:val="21"/>
        </w:rPr>
        <w:t>节</w:t>
      </w:r>
      <w:r>
        <w:rPr>
          <w:rFonts w:hint="eastAsia"/>
          <w:sz w:val="21"/>
          <w:szCs w:val="21"/>
        </w:rPr>
        <w:t>—</w:t>
      </w:r>
      <w:r>
        <w:rPr>
          <w:rFonts w:hint="eastAsia" w:hAnsi="宋体"/>
          <w:sz w:val="21"/>
          <w:szCs w:val="21"/>
        </w:rPr>
        <w:t>临床研究）。</w:t>
      </w:r>
    </w:p>
    <w:p w14:paraId="3937CCDD">
      <w:pPr>
        <w:pStyle w:val="3"/>
        <w:numPr>
          <w:ilvl w:val="0"/>
          <w:numId w:val="14"/>
        </w:numPr>
        <w:kinsoku w:val="0"/>
        <w:overflowPunct w:val="0"/>
        <w:snapToGrid w:val="0"/>
        <w:spacing w:afterLines="50" w:line="360" w:lineRule="auto"/>
        <w:ind w:left="357" w:hanging="357"/>
        <w:jc w:val="both"/>
        <w:rPr>
          <w:sz w:val="21"/>
          <w:szCs w:val="21"/>
        </w:rPr>
      </w:pPr>
      <w:bookmarkStart w:id="40" w:name="bookmark19"/>
      <w:bookmarkEnd w:id="40"/>
      <w:bookmarkStart w:id="41" w:name="f._Clinical_Studies"/>
      <w:bookmarkEnd w:id="41"/>
      <w:r>
        <w:rPr>
          <w:sz w:val="21"/>
          <w:szCs w:val="21"/>
          <w:highlight w:val="green"/>
        </w:rPr>
        <w:br w:type="page"/>
      </w:r>
      <w:bookmarkStart w:id="42" w:name="_Toc496790183"/>
      <w:r>
        <w:rPr>
          <w:rFonts w:hint="eastAsia" w:hAnsi="宋体"/>
          <w:sz w:val="21"/>
          <w:szCs w:val="21"/>
        </w:rPr>
        <w:t>临床研究</w:t>
      </w:r>
      <w:bookmarkEnd w:id="42"/>
    </w:p>
    <w:p w14:paraId="75008B89">
      <w:pPr>
        <w:pStyle w:val="6"/>
        <w:tabs>
          <w:tab w:val="left" w:pos="851"/>
        </w:tabs>
        <w:kinsoku w:val="0"/>
        <w:overflowPunct w:val="0"/>
        <w:snapToGrid w:val="0"/>
        <w:spacing w:afterLines="50" w:line="360" w:lineRule="auto"/>
        <w:ind w:left="0"/>
        <w:jc w:val="both"/>
        <w:rPr>
          <w:sz w:val="21"/>
          <w:szCs w:val="21"/>
          <w:highlight w:val="green"/>
        </w:rPr>
      </w:pPr>
      <w:r>
        <w:rPr>
          <w:rFonts w:hint="eastAsia" w:hAnsi="宋体"/>
          <w:sz w:val="21"/>
          <w:szCs w:val="21"/>
        </w:rPr>
        <w:t>您必须进行临床研究以确定您的器械用于具体预期用途的测定性能。样本收集方法可能会有所不同，取决于预期用途是用于辅助诊断特定个体或辅助调查疑似</w:t>
      </w:r>
      <w:r>
        <w:rPr>
          <w:sz w:val="21"/>
          <w:szCs w:val="21"/>
        </w:rPr>
        <w:t>DENV</w:t>
      </w:r>
      <w:r>
        <w:rPr>
          <w:rFonts w:hint="eastAsia" w:hAnsi="宋体"/>
          <w:sz w:val="21"/>
          <w:szCs w:val="21"/>
        </w:rPr>
        <w:t>疫情。对于个体患者的诊断，必须前瞻性地从预期使用人群（即，具有与</w:t>
      </w:r>
      <w:r>
        <w:rPr>
          <w:sz w:val="21"/>
          <w:szCs w:val="21"/>
        </w:rPr>
        <w:t>DF</w:t>
      </w:r>
      <w:r>
        <w:rPr>
          <w:rFonts w:hint="eastAsia" w:hAnsi="宋体"/>
          <w:sz w:val="21"/>
          <w:szCs w:val="21"/>
        </w:rPr>
        <w:t>或</w:t>
      </w:r>
      <w:r>
        <w:rPr>
          <w:sz w:val="21"/>
          <w:szCs w:val="21"/>
        </w:rPr>
        <w:t>DHF</w:t>
      </w:r>
      <w:r>
        <w:rPr>
          <w:rFonts w:hint="eastAsia" w:hAnsi="宋体"/>
          <w:sz w:val="21"/>
          <w:szCs w:val="21"/>
        </w:rPr>
        <w:t>一致的指征和症状的患者）收集样本并进行测试。新鲜样本是这些研究的首选，尽管可能用前瞻性收集的存档样本来补充新鲜样本。</w:t>
      </w:r>
      <w:r>
        <w:rPr>
          <w:sz w:val="21"/>
          <w:szCs w:val="21"/>
          <w:vertAlign w:val="superscript"/>
        </w:rPr>
        <w:t>2</w:t>
      </w:r>
      <w:r>
        <w:rPr>
          <w:rFonts w:hint="eastAsia" w:hAnsi="宋体"/>
          <w:sz w:val="21"/>
          <w:szCs w:val="21"/>
        </w:rPr>
        <w:t>为使用前瞻性收集的存档样本来评价您的器械，您必须证明样本冷冻或其它保存技术不会影响分析物的稳定性，并且选择了适当的样本存档方法，并采取适当措施来识别和消除或缓解研究间的任何偏倚。如果您使用存档样本来评价该测定法，则您必须确保没有选择性地使用样本（即，对所有样本都进行测试）。测试过程中必须对样本设盲，以避免可能的偏倚。如果同时对新鲜和存档</w:t>
      </w:r>
      <w:r>
        <w:rPr>
          <w:sz w:val="21"/>
          <w:szCs w:val="21"/>
        </w:rPr>
        <w:t>/</w:t>
      </w:r>
      <w:r>
        <w:rPr>
          <w:rFonts w:hint="eastAsia" w:hAnsi="宋体"/>
          <w:sz w:val="21"/>
          <w:szCs w:val="21"/>
        </w:rPr>
        <w:t>冷冻样本进行测试，那么您必须分别分析这两个样本组的数据。</w:t>
      </w:r>
    </w:p>
    <w:p w14:paraId="6FCC590C">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每项临床研究的方案都必须列入</w:t>
      </w:r>
      <w:r>
        <w:rPr>
          <w:sz w:val="21"/>
          <w:szCs w:val="21"/>
        </w:rPr>
        <w:t>510</w:t>
      </w:r>
      <w:r>
        <w:rPr>
          <w:rFonts w:hint="eastAsia" w:hAnsi="宋体"/>
          <w:sz w:val="21"/>
          <w:szCs w:val="21"/>
        </w:rPr>
        <w:t>（</w:t>
      </w:r>
      <w:r>
        <w:rPr>
          <w:sz w:val="21"/>
          <w:szCs w:val="21"/>
        </w:rPr>
        <w:t>k</w:t>
      </w:r>
      <w:r>
        <w:rPr>
          <w:rFonts w:hint="eastAsia" w:hAnsi="宋体"/>
          <w:sz w:val="21"/>
          <w:szCs w:val="21"/>
        </w:rPr>
        <w:t>）提交中。强烈鼓励申办方在开展临床研究前与</w:t>
      </w:r>
      <w:r>
        <w:rPr>
          <w:sz w:val="21"/>
          <w:szCs w:val="21"/>
        </w:rPr>
        <w:t>FDA</w:t>
      </w:r>
      <w:r>
        <w:rPr>
          <w:rFonts w:hint="eastAsia" w:hAnsi="宋体"/>
          <w:sz w:val="21"/>
          <w:szCs w:val="21"/>
        </w:rPr>
        <w:t>讨论研究方案。</w:t>
      </w:r>
    </w:p>
    <w:p w14:paraId="0FA3B26C">
      <w:pPr>
        <w:pStyle w:val="6"/>
        <w:tabs>
          <w:tab w:val="left" w:pos="851"/>
        </w:tabs>
        <w:kinsoku w:val="0"/>
        <w:overflowPunct w:val="0"/>
        <w:snapToGrid w:val="0"/>
        <w:spacing w:afterLines="50" w:line="360" w:lineRule="auto"/>
        <w:ind w:left="0"/>
        <w:jc w:val="both"/>
        <w:rPr>
          <w:sz w:val="21"/>
          <w:szCs w:val="21"/>
        </w:rPr>
      </w:pPr>
      <w:r>
        <w:rPr>
          <w:rFonts w:hint="eastAsia" w:hAnsi="宋体"/>
          <w:sz w:val="21"/>
          <w:szCs w:val="21"/>
        </w:rPr>
        <w:t>在您的临床研究设计过程中，还必须解决以下问题：</w:t>
      </w:r>
    </w:p>
    <w:p w14:paraId="37C4194C">
      <w:pPr>
        <w:pStyle w:val="3"/>
        <w:numPr>
          <w:ilvl w:val="1"/>
          <w:numId w:val="15"/>
        </w:numPr>
        <w:tabs>
          <w:tab w:val="left" w:pos="851"/>
        </w:tabs>
        <w:kinsoku w:val="0"/>
        <w:overflowPunct w:val="0"/>
        <w:snapToGrid w:val="0"/>
        <w:spacing w:afterLines="50" w:line="360" w:lineRule="auto"/>
        <w:ind w:left="360" w:leftChars="150" w:firstLine="0"/>
        <w:jc w:val="both"/>
        <w:rPr>
          <w:sz w:val="21"/>
          <w:szCs w:val="21"/>
        </w:rPr>
      </w:pPr>
      <w:bookmarkStart w:id="43" w:name="_Toc496790184"/>
      <w:r>
        <w:rPr>
          <w:rFonts w:hint="eastAsia" w:hAnsi="宋体"/>
          <w:sz w:val="21"/>
          <w:szCs w:val="21"/>
        </w:rPr>
        <w:t>研究方案</w:t>
      </w:r>
      <w:bookmarkEnd w:id="43"/>
    </w:p>
    <w:p w14:paraId="0D4207EA">
      <w:pPr>
        <w:pStyle w:val="3"/>
        <w:tabs>
          <w:tab w:val="left" w:pos="851"/>
        </w:tabs>
        <w:kinsoku w:val="0"/>
        <w:overflowPunct w:val="0"/>
        <w:snapToGrid w:val="0"/>
        <w:spacing w:afterLines="50" w:line="360" w:lineRule="auto"/>
        <w:ind w:left="360" w:firstLine="0"/>
        <w:jc w:val="both"/>
        <w:rPr>
          <w:b w:val="0"/>
          <w:sz w:val="21"/>
          <w:szCs w:val="21"/>
        </w:rPr>
      </w:pPr>
      <w:bookmarkStart w:id="44" w:name="_Toc496790185"/>
      <w:r>
        <w:rPr>
          <w:rFonts w:hint="eastAsia" w:hAnsi="宋体"/>
          <w:b w:val="0"/>
          <w:sz w:val="21"/>
          <w:szCs w:val="21"/>
        </w:rPr>
        <w:t>临床研究方案必须在研究开始之前由主要研究者完成并进行审查。研究方案至少必须包括完整的患者入选和排除标准、所需样本的类型和数量、研究方法和详细的统计分析计划。您的</w:t>
      </w:r>
      <w:r>
        <w:rPr>
          <w:b w:val="0"/>
          <w:sz w:val="21"/>
          <w:szCs w:val="21"/>
        </w:rPr>
        <w:t>510</w:t>
      </w:r>
      <w:r>
        <w:rPr>
          <w:rFonts w:hint="eastAsia" w:hAnsi="宋体"/>
          <w:b w:val="0"/>
          <w:sz w:val="21"/>
          <w:szCs w:val="21"/>
        </w:rPr>
        <w:t>（</w:t>
      </w:r>
      <w:r>
        <w:rPr>
          <w:b w:val="0"/>
          <w:sz w:val="21"/>
          <w:szCs w:val="21"/>
        </w:rPr>
        <w:t>k</w:t>
      </w:r>
      <w:r>
        <w:rPr>
          <w:rFonts w:hint="eastAsia" w:hAnsi="宋体"/>
          <w:b w:val="0"/>
          <w:sz w:val="21"/>
          <w:szCs w:val="21"/>
        </w:rPr>
        <w:t>）提交文件必须包含原始研究方案、方案修正案和任何其它相关研究信息的副本。</w:t>
      </w:r>
      <w:bookmarkEnd w:id="44"/>
    </w:p>
    <w:p w14:paraId="2FF0FAAA">
      <w:pPr>
        <w:pStyle w:val="3"/>
        <w:tabs>
          <w:tab w:val="left" w:pos="851"/>
        </w:tabs>
        <w:kinsoku w:val="0"/>
        <w:overflowPunct w:val="0"/>
        <w:snapToGrid w:val="0"/>
        <w:spacing w:afterLines="50" w:line="360" w:lineRule="auto"/>
        <w:ind w:left="360" w:firstLine="0"/>
        <w:jc w:val="both"/>
        <w:rPr>
          <w:sz w:val="21"/>
          <w:szCs w:val="21"/>
        </w:rPr>
      </w:pPr>
      <w:bookmarkStart w:id="45" w:name="_Toc496790186"/>
      <w:r>
        <w:rPr>
          <w:rFonts w:hint="eastAsia" w:hAnsi="宋体"/>
          <w:b w:val="0"/>
          <w:sz w:val="21"/>
          <w:szCs w:val="21"/>
        </w:rPr>
        <w:t>作为提交前审查过程的一部分，我们鼓励申办方联系</w:t>
      </w:r>
      <w:r>
        <w:rPr>
          <w:b w:val="0"/>
          <w:sz w:val="21"/>
          <w:szCs w:val="21"/>
        </w:rPr>
        <w:t>FDA</w:t>
      </w:r>
      <w:r>
        <w:rPr>
          <w:rFonts w:hint="eastAsia" w:hAnsi="宋体"/>
          <w:b w:val="0"/>
          <w:sz w:val="21"/>
          <w:szCs w:val="21"/>
        </w:rPr>
        <w:t>，请求审查他们提出的研究方案和样本类型的选择。对于可能研究不同的测试预期用途，或者申办方计划首次提交</w:t>
      </w:r>
      <w:r>
        <w:rPr>
          <w:b w:val="0"/>
          <w:sz w:val="21"/>
          <w:szCs w:val="21"/>
        </w:rPr>
        <w:t>510</w:t>
      </w:r>
      <w:r>
        <w:rPr>
          <w:rFonts w:hint="eastAsia" w:hAnsi="宋体"/>
          <w:b w:val="0"/>
          <w:sz w:val="21"/>
          <w:szCs w:val="21"/>
        </w:rPr>
        <w:t>（</w:t>
      </w:r>
      <w:r>
        <w:rPr>
          <w:b w:val="0"/>
          <w:sz w:val="21"/>
          <w:szCs w:val="21"/>
        </w:rPr>
        <w:t>k</w:t>
      </w:r>
      <w:r>
        <w:rPr>
          <w:rFonts w:hint="eastAsia" w:hAnsi="宋体"/>
          <w:b w:val="0"/>
          <w:sz w:val="21"/>
          <w:szCs w:val="21"/>
        </w:rPr>
        <w:t>）的情况，特别建议您联系</w:t>
      </w:r>
      <w:r>
        <w:rPr>
          <w:b w:val="0"/>
          <w:sz w:val="21"/>
          <w:szCs w:val="21"/>
        </w:rPr>
        <w:t>FDA</w:t>
      </w:r>
      <w:r>
        <w:rPr>
          <w:rFonts w:hint="eastAsia" w:hAnsi="宋体"/>
          <w:b w:val="0"/>
          <w:sz w:val="21"/>
          <w:szCs w:val="21"/>
        </w:rPr>
        <w:t>。</w:t>
      </w:r>
      <w:bookmarkEnd w:id="45"/>
    </w:p>
    <w:p w14:paraId="20E2BD1C">
      <w:pPr>
        <w:pStyle w:val="3"/>
        <w:numPr>
          <w:ilvl w:val="1"/>
          <w:numId w:val="15"/>
        </w:numPr>
        <w:tabs>
          <w:tab w:val="left" w:pos="851"/>
        </w:tabs>
        <w:kinsoku w:val="0"/>
        <w:overflowPunct w:val="0"/>
        <w:snapToGrid w:val="0"/>
        <w:spacing w:afterLines="50" w:line="360" w:lineRule="auto"/>
        <w:ind w:left="360" w:leftChars="150" w:firstLine="0"/>
        <w:jc w:val="both"/>
        <w:rPr>
          <w:sz w:val="21"/>
          <w:szCs w:val="21"/>
        </w:rPr>
      </w:pPr>
      <w:bookmarkStart w:id="46" w:name="_Toc496790187"/>
      <w:r>
        <w:rPr>
          <w:rFonts w:hint="eastAsia" w:hAnsi="宋体"/>
          <w:sz w:val="21"/>
          <w:szCs w:val="21"/>
        </w:rPr>
        <w:t>样本类型</w:t>
      </w:r>
      <w:bookmarkEnd w:id="46"/>
    </w:p>
    <w:p w14:paraId="2DABA044">
      <w:pPr>
        <w:pStyle w:val="6"/>
        <w:tabs>
          <w:tab w:val="left" w:pos="851"/>
        </w:tabs>
        <w:kinsoku w:val="0"/>
        <w:overflowPunct w:val="0"/>
        <w:snapToGrid w:val="0"/>
        <w:spacing w:afterLines="50" w:line="360" w:lineRule="auto"/>
        <w:ind w:left="360" w:leftChars="150"/>
        <w:jc w:val="both"/>
        <w:rPr>
          <w:sz w:val="21"/>
          <w:szCs w:val="21"/>
          <w:highlight w:val="green"/>
        </w:rPr>
      </w:pPr>
      <w:r>
        <w:rPr>
          <w:rFonts w:hint="eastAsia" w:hAnsi="宋体"/>
          <w:sz w:val="21"/>
          <w:szCs w:val="21"/>
        </w:rPr>
        <w:t>血清和血浆样本是该器械的适当样本基质。如果要研究其它样本类型，建议您联系</w:t>
      </w:r>
      <w:r>
        <w:rPr>
          <w:sz w:val="21"/>
          <w:szCs w:val="21"/>
        </w:rPr>
        <w:t>FDA</w:t>
      </w:r>
      <w:r>
        <w:rPr>
          <w:rFonts w:hint="eastAsia" w:hAnsi="宋体"/>
          <w:sz w:val="21"/>
          <w:szCs w:val="21"/>
        </w:rPr>
        <w:t>。必须从每个研究机构的符合特定研究纳入标准的所有患者中顺序收集样本。您在研究中必须包括的样本总量将取决于预期的测定性能和研究人群中</w:t>
      </w:r>
      <w:r>
        <w:rPr>
          <w:sz w:val="21"/>
          <w:szCs w:val="21"/>
        </w:rPr>
        <w:t>DENV</w:t>
      </w:r>
      <w:r>
        <w:rPr>
          <w:rFonts w:hint="eastAsia" w:hAnsi="宋体"/>
          <w:sz w:val="21"/>
          <w:szCs w:val="21"/>
        </w:rPr>
        <w:t>感染的患病率。</w:t>
      </w:r>
    </w:p>
    <w:p w14:paraId="4F1280BF">
      <w:pPr>
        <w:pStyle w:val="3"/>
        <w:numPr>
          <w:ilvl w:val="1"/>
          <w:numId w:val="15"/>
        </w:numPr>
        <w:tabs>
          <w:tab w:val="left" w:pos="851"/>
        </w:tabs>
        <w:kinsoku w:val="0"/>
        <w:overflowPunct w:val="0"/>
        <w:snapToGrid w:val="0"/>
        <w:spacing w:afterLines="50" w:line="360" w:lineRule="auto"/>
        <w:ind w:left="360" w:leftChars="150" w:firstLine="0"/>
        <w:jc w:val="both"/>
        <w:rPr>
          <w:sz w:val="21"/>
          <w:szCs w:val="21"/>
        </w:rPr>
      </w:pPr>
      <w:r>
        <w:rPr>
          <w:sz w:val="21"/>
          <w:szCs w:val="21"/>
          <w:highlight w:val="green"/>
        </w:rPr>
        <w:br w:type="page"/>
      </w:r>
      <w:bookmarkStart w:id="47" w:name="_Toc496790188"/>
      <w:r>
        <w:rPr>
          <w:rFonts w:hint="eastAsia" w:hAnsi="宋体"/>
          <w:sz w:val="21"/>
          <w:szCs w:val="21"/>
        </w:rPr>
        <w:t>研究机构</w:t>
      </w:r>
      <w:bookmarkEnd w:id="47"/>
    </w:p>
    <w:p w14:paraId="5FB01EFF">
      <w:pPr>
        <w:pStyle w:val="6"/>
        <w:tabs>
          <w:tab w:val="left" w:pos="851"/>
        </w:tabs>
        <w:kinsoku w:val="0"/>
        <w:overflowPunct w:val="0"/>
        <w:snapToGrid w:val="0"/>
        <w:spacing w:afterLines="50" w:line="360" w:lineRule="auto"/>
        <w:ind w:left="360" w:leftChars="150"/>
        <w:jc w:val="both"/>
        <w:rPr>
          <w:sz w:val="21"/>
          <w:szCs w:val="21"/>
          <w:highlight w:val="green"/>
        </w:rPr>
      </w:pPr>
      <w:r>
        <w:rPr>
          <w:rFonts w:hint="eastAsia" w:hAnsi="宋体"/>
          <w:sz w:val="21"/>
          <w:szCs w:val="21"/>
        </w:rPr>
        <w:t>对于单个患者诊断的预期用途，您必须在代表该器械最终使用的测试环境（例如临床实验室）的至少三个不同地理位置的研究机构，由临床实践中可能进行该测试的实验室人员进行测试。至少应有一个研究机构位于美国。建议申办方在开始研究之前，与</w:t>
      </w:r>
      <w:r>
        <w:rPr>
          <w:sz w:val="21"/>
          <w:szCs w:val="21"/>
        </w:rPr>
        <w:t>FDA</w:t>
      </w:r>
      <w:r>
        <w:rPr>
          <w:rFonts w:hint="eastAsia" w:hAnsi="宋体"/>
          <w:sz w:val="21"/>
          <w:szCs w:val="21"/>
        </w:rPr>
        <w:t>探讨疫情爆发调查预期用途的适当研究机构，因为这些研究更可能需要使用前瞻性存档的样本。</w:t>
      </w:r>
      <w:r>
        <w:rPr>
          <w:sz w:val="21"/>
          <w:szCs w:val="21"/>
          <w:vertAlign w:val="superscript"/>
        </w:rPr>
        <w:t>3</w:t>
      </w:r>
    </w:p>
    <w:p w14:paraId="632E452E">
      <w:pPr>
        <w:pStyle w:val="3"/>
        <w:numPr>
          <w:ilvl w:val="1"/>
          <w:numId w:val="15"/>
        </w:numPr>
        <w:tabs>
          <w:tab w:val="left" w:pos="851"/>
        </w:tabs>
        <w:kinsoku w:val="0"/>
        <w:overflowPunct w:val="0"/>
        <w:snapToGrid w:val="0"/>
        <w:spacing w:afterLines="50" w:line="360" w:lineRule="auto"/>
        <w:ind w:left="360" w:leftChars="150" w:firstLine="0"/>
        <w:jc w:val="both"/>
        <w:rPr>
          <w:sz w:val="21"/>
          <w:szCs w:val="21"/>
        </w:rPr>
      </w:pPr>
      <w:bookmarkStart w:id="48" w:name="_Toc496790189"/>
      <w:r>
        <w:rPr>
          <w:rFonts w:hint="eastAsia" w:hAnsi="宋体"/>
          <w:sz w:val="21"/>
          <w:szCs w:val="21"/>
        </w:rPr>
        <w:t>研究人群</w:t>
      </w:r>
      <w:bookmarkEnd w:id="48"/>
    </w:p>
    <w:p w14:paraId="52996D0A">
      <w:pPr>
        <w:pStyle w:val="6"/>
        <w:tabs>
          <w:tab w:val="left" w:pos="851"/>
        </w:tabs>
        <w:kinsoku w:val="0"/>
        <w:overflowPunct w:val="0"/>
        <w:snapToGrid w:val="0"/>
        <w:spacing w:afterLines="50" w:line="360" w:lineRule="auto"/>
        <w:ind w:left="360" w:leftChars="150"/>
        <w:jc w:val="both"/>
        <w:rPr>
          <w:sz w:val="21"/>
          <w:szCs w:val="21"/>
          <w:highlight w:val="green"/>
        </w:rPr>
      </w:pPr>
      <w:r>
        <w:rPr>
          <w:sz w:val="21"/>
          <w:szCs w:val="21"/>
        </w:rPr>
        <w:t>DEN</w:t>
      </w:r>
      <w:r>
        <w:rPr>
          <w:rFonts w:hint="eastAsia" w:hAnsi="宋体"/>
          <w:sz w:val="21"/>
          <w:szCs w:val="21"/>
        </w:rPr>
        <w:t>血清学检测必须用于出现或最近出现</w:t>
      </w:r>
      <w:r>
        <w:rPr>
          <w:sz w:val="21"/>
          <w:szCs w:val="21"/>
        </w:rPr>
        <w:t>DF</w:t>
      </w:r>
      <w:r>
        <w:rPr>
          <w:rFonts w:hint="eastAsia" w:hAnsi="宋体"/>
          <w:sz w:val="21"/>
          <w:szCs w:val="21"/>
        </w:rPr>
        <w:t>或</w:t>
      </w:r>
      <w:r>
        <w:rPr>
          <w:sz w:val="21"/>
          <w:szCs w:val="21"/>
        </w:rPr>
        <w:t>DHF</w:t>
      </w:r>
      <w:r>
        <w:rPr>
          <w:rFonts w:hint="eastAsia" w:hAnsi="宋体"/>
          <w:sz w:val="21"/>
          <w:szCs w:val="21"/>
        </w:rPr>
        <w:t>指征的个体。</w:t>
      </w:r>
      <w:r>
        <w:rPr>
          <w:sz w:val="21"/>
          <w:szCs w:val="21"/>
        </w:rPr>
        <w:t>DF</w:t>
      </w:r>
      <w:r>
        <w:rPr>
          <w:rFonts w:hint="eastAsia" w:hAnsi="宋体"/>
          <w:sz w:val="21"/>
          <w:szCs w:val="21"/>
        </w:rPr>
        <w:t>症状包括：突发性发烧，严重头痛，眼后疼痛，身体和肌肉疼痛以及关节疼痛，恶心和呕吐。有时可能在发烧</w:t>
      </w:r>
      <w:r>
        <w:rPr>
          <w:sz w:val="21"/>
          <w:szCs w:val="21"/>
        </w:rPr>
        <w:t>3</w:t>
      </w:r>
      <w:r>
        <w:rPr>
          <w:rFonts w:hint="eastAsia" w:hAnsi="宋体"/>
          <w:sz w:val="21"/>
          <w:szCs w:val="21"/>
        </w:rPr>
        <w:t>-</w:t>
      </w:r>
      <w:r>
        <w:rPr>
          <w:sz w:val="21"/>
          <w:szCs w:val="21"/>
        </w:rPr>
        <w:t>5</w:t>
      </w:r>
      <w:r>
        <w:rPr>
          <w:rFonts w:hint="eastAsia" w:hAnsi="宋体"/>
          <w:sz w:val="21"/>
          <w:szCs w:val="21"/>
        </w:rPr>
        <w:t>天后发生称为</w:t>
      </w:r>
      <w:r>
        <w:rPr>
          <w:sz w:val="21"/>
          <w:szCs w:val="21"/>
        </w:rPr>
        <w:t>DHF</w:t>
      </w:r>
      <w:r>
        <w:rPr>
          <w:rFonts w:hint="eastAsia" w:hAnsi="宋体"/>
          <w:sz w:val="21"/>
          <w:szCs w:val="21"/>
        </w:rPr>
        <w:t>或</w:t>
      </w:r>
      <w:r>
        <w:rPr>
          <w:sz w:val="21"/>
          <w:szCs w:val="21"/>
        </w:rPr>
        <w:t>DSS</w:t>
      </w:r>
      <w:r>
        <w:rPr>
          <w:rFonts w:hint="eastAsia" w:hAnsi="宋体"/>
          <w:sz w:val="21"/>
          <w:szCs w:val="21"/>
        </w:rPr>
        <w:t>的严重形式的疾病。</w:t>
      </w:r>
      <w:r>
        <w:rPr>
          <w:sz w:val="21"/>
          <w:szCs w:val="21"/>
        </w:rPr>
        <w:t>DHF</w:t>
      </w:r>
      <w:r>
        <w:rPr>
          <w:rFonts w:hint="eastAsia" w:hAnsi="宋体"/>
          <w:sz w:val="21"/>
          <w:szCs w:val="21"/>
        </w:rPr>
        <w:t>的特征在于血管通透性增加、血容量过低和异常凝血机制。</w:t>
      </w:r>
      <w:r>
        <w:rPr>
          <w:sz w:val="21"/>
          <w:szCs w:val="21"/>
        </w:rPr>
        <w:t>DHF</w:t>
      </w:r>
      <w:r>
        <w:rPr>
          <w:rFonts w:hint="eastAsia" w:hAnsi="宋体"/>
          <w:sz w:val="21"/>
          <w:szCs w:val="21"/>
        </w:rPr>
        <w:t>是一种潜在的更致命的病症，类似于</w:t>
      </w:r>
      <w:r>
        <w:rPr>
          <w:sz w:val="21"/>
          <w:szCs w:val="21"/>
        </w:rPr>
        <w:t>DF</w:t>
      </w:r>
      <w:r>
        <w:rPr>
          <w:rFonts w:hint="eastAsia" w:hAnsi="宋体"/>
          <w:sz w:val="21"/>
          <w:szCs w:val="21"/>
        </w:rPr>
        <w:t>，但数天后，患者会变得易怒、不安和冒汗，并且病情可能发展为血浆外漏和大出血。</w:t>
      </w:r>
    </w:p>
    <w:p w14:paraId="0E042FDC">
      <w:pPr>
        <w:pStyle w:val="3"/>
        <w:numPr>
          <w:ilvl w:val="1"/>
          <w:numId w:val="15"/>
        </w:numPr>
        <w:tabs>
          <w:tab w:val="left" w:pos="851"/>
        </w:tabs>
        <w:kinsoku w:val="0"/>
        <w:overflowPunct w:val="0"/>
        <w:snapToGrid w:val="0"/>
        <w:spacing w:afterLines="50" w:line="360" w:lineRule="auto"/>
        <w:ind w:left="360" w:leftChars="150" w:firstLine="0"/>
        <w:jc w:val="both"/>
        <w:rPr>
          <w:sz w:val="21"/>
          <w:szCs w:val="21"/>
        </w:rPr>
      </w:pPr>
      <w:bookmarkStart w:id="49" w:name="_Toc496790190"/>
      <w:r>
        <w:rPr>
          <w:rFonts w:hint="eastAsia" w:hAnsi="宋体"/>
          <w:sz w:val="21"/>
          <w:szCs w:val="21"/>
        </w:rPr>
        <w:t>参考方法</w:t>
      </w:r>
      <w:bookmarkEnd w:id="49"/>
    </w:p>
    <w:p w14:paraId="7F404713">
      <w:pPr>
        <w:pStyle w:val="6"/>
        <w:tabs>
          <w:tab w:val="left" w:pos="851"/>
        </w:tabs>
        <w:kinsoku w:val="0"/>
        <w:overflowPunct w:val="0"/>
        <w:snapToGrid w:val="0"/>
        <w:spacing w:afterLines="50" w:line="360" w:lineRule="auto"/>
        <w:ind w:left="360" w:leftChars="150"/>
        <w:jc w:val="both"/>
        <w:rPr>
          <w:sz w:val="21"/>
          <w:szCs w:val="21"/>
        </w:rPr>
      </w:pPr>
      <w:r>
        <w:rPr>
          <w:rFonts w:hint="eastAsia" w:hAnsi="宋体"/>
          <w:sz w:val="21"/>
          <w:szCs w:val="21"/>
        </w:rPr>
        <w:t>您必须评估并比较您的器械的性能与适当的参考方法或基于复合参考方法预先确定的算法（即，将多个测定结果（例如，</w:t>
      </w:r>
      <w:r>
        <w:rPr>
          <w:sz w:val="21"/>
          <w:szCs w:val="21"/>
        </w:rPr>
        <w:t>DEN IgM</w:t>
      </w:r>
      <w:r>
        <w:rPr>
          <w:rFonts w:hint="eastAsia" w:hAnsi="宋体"/>
          <w:sz w:val="21"/>
          <w:szCs w:val="21"/>
        </w:rPr>
        <w:t>酶联免疫吸附测定（</w:t>
      </w:r>
      <w:r>
        <w:rPr>
          <w:sz w:val="21"/>
          <w:szCs w:val="21"/>
        </w:rPr>
        <w:t>ELISA</w:t>
      </w:r>
      <w:r>
        <w:rPr>
          <w:rFonts w:hint="eastAsia" w:hAnsi="宋体"/>
          <w:sz w:val="21"/>
          <w:szCs w:val="21"/>
        </w:rPr>
        <w:t>）和</w:t>
      </w:r>
      <w:r>
        <w:rPr>
          <w:sz w:val="21"/>
          <w:szCs w:val="21"/>
        </w:rPr>
        <w:t>/</w:t>
      </w:r>
      <w:r>
        <w:rPr>
          <w:rFonts w:hint="eastAsia" w:hAnsi="宋体"/>
          <w:sz w:val="21"/>
          <w:szCs w:val="21"/>
        </w:rPr>
        <w:t>或血细胞凝集抑制（</w:t>
      </w:r>
      <w:r>
        <w:rPr>
          <w:sz w:val="21"/>
          <w:szCs w:val="21"/>
        </w:rPr>
        <w:t>HAI</w:t>
      </w:r>
      <w:r>
        <w:rPr>
          <w:rFonts w:hint="eastAsia" w:hAnsi="宋体"/>
          <w:sz w:val="21"/>
          <w:szCs w:val="21"/>
        </w:rPr>
        <w:t>））作为参考方法的一部分，</w:t>
      </w:r>
      <w:r>
        <w:rPr>
          <w:sz w:val="21"/>
          <w:szCs w:val="21"/>
        </w:rPr>
        <w:t>RT-PCR</w:t>
      </w:r>
      <w:r>
        <w:rPr>
          <w:rFonts w:hint="eastAsia" w:hAnsi="宋体"/>
          <w:sz w:val="21"/>
          <w:szCs w:val="21"/>
        </w:rPr>
        <w:t>可能是最合适的参考方法）的性能。</w:t>
      </w:r>
    </w:p>
    <w:p w14:paraId="0D5BCBE1">
      <w:pPr>
        <w:pStyle w:val="6"/>
        <w:tabs>
          <w:tab w:val="left" w:pos="851"/>
        </w:tabs>
        <w:kinsoku w:val="0"/>
        <w:overflowPunct w:val="0"/>
        <w:snapToGrid w:val="0"/>
        <w:spacing w:afterLines="50" w:line="360" w:lineRule="auto"/>
        <w:ind w:left="360" w:leftChars="150"/>
        <w:jc w:val="both"/>
        <w:rPr>
          <w:sz w:val="21"/>
          <w:szCs w:val="21"/>
          <w:highlight w:val="green"/>
        </w:rPr>
      </w:pPr>
      <w:r>
        <w:rPr>
          <w:rFonts w:hint="eastAsia" w:hAnsi="宋体"/>
          <w:sz w:val="21"/>
          <w:szCs w:val="21"/>
        </w:rPr>
        <w:t>必须对参考或复合方法进行良好表征和验证。您必须提供已发表的文献或实验室数据，以支持</w:t>
      </w:r>
      <w:r>
        <w:rPr>
          <w:sz w:val="21"/>
          <w:szCs w:val="21"/>
        </w:rPr>
        <w:t>DEN</w:t>
      </w:r>
      <w:r>
        <w:rPr>
          <w:rFonts w:hint="eastAsia" w:hAnsi="宋体"/>
          <w:sz w:val="21"/>
          <w:szCs w:val="21"/>
        </w:rPr>
        <w:t>血清型的鉴别的验证。验证必须包括</w:t>
      </w:r>
      <w:r>
        <w:rPr>
          <w:sz w:val="21"/>
          <w:szCs w:val="21"/>
        </w:rPr>
        <w:t>LoD</w:t>
      </w:r>
      <w:r>
        <w:rPr>
          <w:rFonts w:hint="eastAsia" w:hAnsi="宋体"/>
          <w:sz w:val="21"/>
          <w:szCs w:val="21"/>
        </w:rPr>
        <w:t>和分析反应性数据。参考测定法的</w:t>
      </w:r>
      <w:r>
        <w:rPr>
          <w:sz w:val="21"/>
          <w:szCs w:val="21"/>
        </w:rPr>
        <w:t>LoD</w:t>
      </w:r>
      <w:r>
        <w:rPr>
          <w:rFonts w:hint="eastAsia" w:hAnsi="宋体"/>
          <w:sz w:val="21"/>
          <w:szCs w:val="21"/>
        </w:rPr>
        <w:t>必须与所提交的器械的分析灵敏度相似。</w:t>
      </w:r>
    </w:p>
    <w:p w14:paraId="56194A4B">
      <w:pPr>
        <w:kinsoku w:val="0"/>
        <w:overflowPunct w:val="0"/>
        <w:snapToGrid w:val="0"/>
        <w:spacing w:afterLines="50" w:line="360" w:lineRule="auto"/>
        <w:jc w:val="both"/>
        <w:rPr>
          <w:sz w:val="21"/>
          <w:szCs w:val="21"/>
          <w:vertAlign w:val="superscript"/>
        </w:rPr>
      </w:pPr>
    </w:p>
    <w:p w14:paraId="1AFFA38B">
      <w:pPr>
        <w:kinsoku w:val="0"/>
        <w:overflowPunct w:val="0"/>
        <w:snapToGrid w:val="0"/>
        <w:spacing w:afterLines="50" w:line="360" w:lineRule="auto"/>
        <w:jc w:val="both"/>
        <w:rPr>
          <w:sz w:val="21"/>
          <w:szCs w:val="21"/>
        </w:rPr>
      </w:pPr>
    </w:p>
    <w:p w14:paraId="40CA292F">
      <w:pPr>
        <w:kinsoku w:val="0"/>
        <w:overflowPunct w:val="0"/>
        <w:snapToGrid w:val="0"/>
        <w:spacing w:afterLines="50" w:line="360" w:lineRule="auto"/>
        <w:jc w:val="both"/>
        <w:rPr>
          <w:sz w:val="21"/>
          <w:szCs w:val="21"/>
        </w:rPr>
      </w:pPr>
    </w:p>
    <w:p w14:paraId="16A7C8F4">
      <w:pPr>
        <w:kinsoku w:val="0"/>
        <w:overflowPunct w:val="0"/>
        <w:snapToGrid w:val="0"/>
        <w:spacing w:afterLines="50" w:line="360" w:lineRule="auto"/>
        <w:jc w:val="both"/>
        <w:rPr>
          <w:sz w:val="21"/>
          <w:szCs w:val="21"/>
        </w:rPr>
      </w:pPr>
    </w:p>
    <w:p w14:paraId="5817FE76">
      <w:pPr>
        <w:kinsoku w:val="0"/>
        <w:overflowPunct w:val="0"/>
        <w:snapToGrid w:val="0"/>
        <w:spacing w:afterLines="50" w:line="360" w:lineRule="auto"/>
        <w:jc w:val="both"/>
        <w:rPr>
          <w:sz w:val="21"/>
          <w:szCs w:val="21"/>
        </w:rPr>
      </w:pPr>
    </w:p>
    <w:p w14:paraId="496AC182">
      <w:pPr>
        <w:kinsoku w:val="0"/>
        <w:overflowPunct w:val="0"/>
        <w:snapToGrid w:val="0"/>
        <w:spacing w:afterLines="50" w:line="360" w:lineRule="auto"/>
        <w:jc w:val="both"/>
        <w:rPr>
          <w:sz w:val="21"/>
          <w:szCs w:val="21"/>
        </w:rPr>
      </w:pPr>
    </w:p>
    <w:p w14:paraId="2A75037D">
      <w:pPr>
        <w:kinsoku w:val="0"/>
        <w:overflowPunct w:val="0"/>
        <w:snapToGrid w:val="0"/>
        <w:spacing w:afterLines="50" w:line="360" w:lineRule="auto"/>
        <w:jc w:val="both"/>
        <w:rPr>
          <w:sz w:val="21"/>
          <w:szCs w:val="21"/>
        </w:rPr>
      </w:pPr>
    </w:p>
    <w:p w14:paraId="4E97DEEF">
      <w:pPr>
        <w:kinsoku w:val="0"/>
        <w:overflowPunct w:val="0"/>
        <w:snapToGrid w:val="0"/>
        <w:spacing w:afterLines="50" w:line="360" w:lineRule="auto"/>
        <w:jc w:val="both"/>
        <w:rPr>
          <w:sz w:val="21"/>
          <w:szCs w:val="21"/>
        </w:rPr>
      </w:pPr>
      <w:r>
        <w:rPr>
          <w:sz w:val="21"/>
          <w:szCs w:val="21"/>
        </w:rPr>
        <w:t>___________________</w:t>
      </w:r>
    </w:p>
    <w:p w14:paraId="46946B83">
      <w:pPr>
        <w:kinsoku w:val="0"/>
        <w:overflowPunct w:val="0"/>
        <w:snapToGrid w:val="0"/>
        <w:spacing w:afterLines="50" w:line="360" w:lineRule="auto"/>
        <w:ind w:left="360"/>
        <w:jc w:val="both"/>
        <w:rPr>
          <w:sz w:val="18"/>
          <w:szCs w:val="18"/>
        </w:rPr>
      </w:pPr>
      <w:bookmarkStart w:id="50" w:name="bookmark20"/>
      <w:bookmarkEnd w:id="50"/>
      <w:r>
        <w:rPr>
          <w:rFonts w:hint="eastAsia" w:hAnsi="宋体"/>
          <w:sz w:val="18"/>
          <w:szCs w:val="18"/>
          <w:vertAlign w:val="superscript"/>
        </w:rPr>
        <w:t>3</w:t>
      </w:r>
      <w:r>
        <w:rPr>
          <w:rFonts w:hint="eastAsia" w:hAnsi="宋体"/>
          <w:sz w:val="18"/>
          <w:szCs w:val="18"/>
        </w:rPr>
        <w:tab/>
      </w:r>
      <w:r>
        <w:rPr>
          <w:rFonts w:hint="eastAsia" w:hAnsi="宋体"/>
          <w:sz w:val="18"/>
          <w:szCs w:val="18"/>
        </w:rPr>
        <w:t>本文件中，我们将前瞻性收集的存档样本定义为从符合研究入选标准的所有患者顺序收集的样本；不可根据已知的结果选择性地选取样本，并且所有测试都必须由对以前的结果或患者特征完全不了解的研究者进行。样本必须尽可能新鲜或适当储存。</w:t>
      </w:r>
    </w:p>
    <w:p w14:paraId="21879705">
      <w:pPr>
        <w:pStyle w:val="6"/>
        <w:tabs>
          <w:tab w:val="left" w:pos="851"/>
        </w:tabs>
        <w:kinsoku w:val="0"/>
        <w:overflowPunct w:val="0"/>
        <w:snapToGrid w:val="0"/>
        <w:spacing w:afterLines="50" w:line="360" w:lineRule="auto"/>
        <w:ind w:left="360" w:leftChars="150"/>
        <w:jc w:val="both"/>
        <w:rPr>
          <w:sz w:val="21"/>
          <w:szCs w:val="21"/>
          <w:highlight w:val="green"/>
        </w:rPr>
      </w:pPr>
      <w:r>
        <w:rPr>
          <w:sz w:val="21"/>
          <w:szCs w:val="21"/>
          <w:highlight w:val="green"/>
        </w:rPr>
        <w:br w:type="page"/>
      </w:r>
      <w:r>
        <w:rPr>
          <w:rFonts w:hint="eastAsia" w:hAnsi="宋体"/>
          <w:sz w:val="21"/>
          <w:szCs w:val="21"/>
        </w:rPr>
        <w:t>如果您将您的器械与</w:t>
      </w:r>
      <w:r>
        <w:rPr>
          <w:sz w:val="21"/>
          <w:szCs w:val="21"/>
        </w:rPr>
        <w:t>RT-PCR</w:t>
      </w:r>
      <w:r>
        <w:rPr>
          <w:rFonts w:hint="eastAsia" w:hAnsi="宋体"/>
          <w:sz w:val="21"/>
          <w:szCs w:val="21"/>
        </w:rPr>
        <w:t>测定进行比较，则您必须遵循</w:t>
      </w:r>
      <w:r>
        <w:rPr>
          <w:sz w:val="21"/>
          <w:szCs w:val="21"/>
        </w:rPr>
        <w:t>DEN</w:t>
      </w:r>
      <w:r>
        <w:rPr>
          <w:rFonts w:hint="eastAsia" w:hAnsi="宋体"/>
          <w:sz w:val="21"/>
          <w:szCs w:val="21"/>
        </w:rPr>
        <w:t>血清型鉴定的靶向扩增子的双向测序。必须对扩增子的两条链都进行测序（即，双向测序），必须证明所生成的序列至少含有可接受的</w:t>
      </w:r>
      <w:r>
        <w:rPr>
          <w:sz w:val="21"/>
          <w:szCs w:val="21"/>
        </w:rPr>
        <w:t>200</w:t>
      </w:r>
      <w:r>
        <w:rPr>
          <w:rFonts w:hint="eastAsia" w:hAnsi="宋体"/>
          <w:sz w:val="21"/>
          <w:szCs w:val="21"/>
        </w:rPr>
        <w:t>个碱基对（例如，通过</w:t>
      </w:r>
      <w:r>
        <w:rPr>
          <w:sz w:val="21"/>
          <w:szCs w:val="21"/>
        </w:rPr>
        <w:t>PHRED</w:t>
      </w:r>
      <w:r>
        <w:rPr>
          <w:rFonts w:hint="eastAsia" w:hAnsi="宋体"/>
          <w:sz w:val="21"/>
          <w:szCs w:val="21"/>
        </w:rPr>
        <w:t>或类似的软件包测量的质量评分为</w:t>
      </w:r>
      <w:r>
        <w:rPr>
          <w:sz w:val="21"/>
          <w:szCs w:val="21"/>
        </w:rPr>
        <w:t>40</w:t>
      </w:r>
      <w:r>
        <w:rPr>
          <w:rFonts w:hint="eastAsia" w:hAnsi="宋体"/>
          <w:sz w:val="21"/>
          <w:szCs w:val="21"/>
        </w:rPr>
        <w:t>或更高），并且必须证明它与参考或共享序列匹配</w:t>
      </w:r>
      <w:r>
        <w:rPr>
          <w:sz w:val="21"/>
          <w:szCs w:val="21"/>
        </w:rPr>
        <w:t>[</w:t>
      </w:r>
      <w:r>
        <w:rPr>
          <w:rFonts w:hint="eastAsia" w:hAnsi="宋体"/>
          <w:sz w:val="21"/>
          <w:szCs w:val="21"/>
        </w:rPr>
        <w:t>参考文献</w:t>
      </w:r>
      <w:r>
        <w:rPr>
          <w:sz w:val="21"/>
          <w:szCs w:val="21"/>
        </w:rPr>
        <w:t xml:space="preserve"> 10&amp;11]</w:t>
      </w:r>
      <w:r>
        <w:rPr>
          <w:rFonts w:hint="eastAsia" w:hAnsi="宋体"/>
          <w:sz w:val="21"/>
          <w:szCs w:val="21"/>
        </w:rPr>
        <w:t>。</w:t>
      </w:r>
    </w:p>
    <w:p w14:paraId="6F23A2CD">
      <w:pPr>
        <w:pStyle w:val="6"/>
        <w:tabs>
          <w:tab w:val="left" w:pos="851"/>
        </w:tabs>
        <w:kinsoku w:val="0"/>
        <w:overflowPunct w:val="0"/>
        <w:snapToGrid w:val="0"/>
        <w:spacing w:afterLines="50" w:line="360" w:lineRule="auto"/>
        <w:ind w:left="360" w:leftChars="150"/>
        <w:jc w:val="both"/>
        <w:rPr>
          <w:sz w:val="21"/>
          <w:szCs w:val="21"/>
        </w:rPr>
      </w:pPr>
      <w:r>
        <w:rPr>
          <w:rFonts w:hint="eastAsia" w:hAnsi="宋体"/>
          <w:sz w:val="21"/>
          <w:szCs w:val="21"/>
        </w:rPr>
        <w:t>建议您联系</w:t>
      </w:r>
      <w:r>
        <w:rPr>
          <w:sz w:val="21"/>
          <w:szCs w:val="21"/>
        </w:rPr>
        <w:t>FDA</w:t>
      </w:r>
      <w:r>
        <w:rPr>
          <w:rFonts w:hint="eastAsia" w:hAnsi="宋体"/>
          <w:sz w:val="21"/>
          <w:szCs w:val="21"/>
        </w:rPr>
        <w:t>了解有关使用核酸扩增测试（</w:t>
      </w:r>
      <w:r>
        <w:rPr>
          <w:sz w:val="21"/>
          <w:szCs w:val="21"/>
        </w:rPr>
        <w:t>NAAT</w:t>
      </w:r>
      <w:r>
        <w:rPr>
          <w:rFonts w:hint="eastAsia" w:hAnsi="宋体"/>
          <w:sz w:val="21"/>
          <w:szCs w:val="21"/>
        </w:rPr>
        <w:t>）参考测定法的更多信息，并建立使用复合参考方法的预定算法。</w:t>
      </w:r>
    </w:p>
    <w:p w14:paraId="3444CADE">
      <w:pPr>
        <w:pStyle w:val="3"/>
        <w:numPr>
          <w:ilvl w:val="1"/>
          <w:numId w:val="15"/>
        </w:numPr>
        <w:tabs>
          <w:tab w:val="left" w:pos="851"/>
        </w:tabs>
        <w:kinsoku w:val="0"/>
        <w:overflowPunct w:val="0"/>
        <w:snapToGrid w:val="0"/>
        <w:spacing w:afterLines="50" w:line="360" w:lineRule="auto"/>
        <w:ind w:left="360" w:leftChars="150" w:firstLine="0"/>
        <w:jc w:val="both"/>
        <w:rPr>
          <w:sz w:val="21"/>
          <w:szCs w:val="21"/>
        </w:rPr>
      </w:pPr>
      <w:bookmarkStart w:id="51" w:name="_Toc496790191"/>
      <w:r>
        <w:rPr>
          <w:rFonts w:hint="eastAsia" w:hAnsi="宋体"/>
          <w:sz w:val="21"/>
          <w:szCs w:val="21"/>
        </w:rPr>
        <w:t>临床研究结果的呈现</w:t>
      </w:r>
      <w:bookmarkEnd w:id="51"/>
    </w:p>
    <w:p w14:paraId="329215B9">
      <w:pPr>
        <w:pStyle w:val="6"/>
        <w:tabs>
          <w:tab w:val="left" w:pos="851"/>
        </w:tabs>
        <w:kinsoku w:val="0"/>
        <w:overflowPunct w:val="0"/>
        <w:snapToGrid w:val="0"/>
        <w:spacing w:afterLines="50" w:line="360" w:lineRule="auto"/>
        <w:ind w:left="360" w:leftChars="150"/>
        <w:jc w:val="both"/>
        <w:rPr>
          <w:sz w:val="21"/>
          <w:szCs w:val="21"/>
        </w:rPr>
      </w:pPr>
      <w:r>
        <w:rPr>
          <w:rFonts w:hint="eastAsia" w:hAnsi="宋体"/>
          <w:sz w:val="21"/>
          <w:szCs w:val="21"/>
        </w:rPr>
        <w:t>分析必须基于预期用途（即，分析单位必须是单个样本或通过测试患病个体的急性和恢复期样本）。</w:t>
      </w:r>
    </w:p>
    <w:p w14:paraId="271BEECD">
      <w:pPr>
        <w:pStyle w:val="6"/>
        <w:kinsoku w:val="0"/>
        <w:overflowPunct w:val="0"/>
        <w:snapToGrid w:val="0"/>
        <w:spacing w:afterLines="50" w:line="360" w:lineRule="auto"/>
        <w:ind w:left="360" w:leftChars="150"/>
        <w:jc w:val="both"/>
        <w:rPr>
          <w:sz w:val="21"/>
          <w:szCs w:val="21"/>
          <w:highlight w:val="green"/>
        </w:rPr>
      </w:pPr>
      <w:r>
        <w:rPr>
          <w:rFonts w:hint="eastAsia" w:hAnsi="宋体"/>
          <w:sz w:val="21"/>
          <w:szCs w:val="21"/>
        </w:rPr>
        <w:t>研究分析必须考虑收集的所有样本。器械性能与参考标准的比较必须表示为</w:t>
      </w:r>
      <w:r>
        <w:rPr>
          <w:sz w:val="21"/>
          <w:szCs w:val="21"/>
        </w:rPr>
        <w:t>2</w:t>
      </w:r>
      <w:r>
        <w:rPr>
          <w:rFonts w:hint="eastAsia" w:hAnsi="宋体"/>
          <w:sz w:val="21"/>
          <w:szCs w:val="21"/>
        </w:rPr>
        <w:t>行</w:t>
      </w:r>
      <w:r>
        <w:rPr>
          <w:sz w:val="21"/>
          <w:szCs w:val="21"/>
        </w:rPr>
        <w:t>2</w:t>
      </w:r>
      <w:r>
        <w:rPr>
          <w:rFonts w:hint="eastAsia" w:hAnsi="宋体"/>
          <w:sz w:val="21"/>
          <w:szCs w:val="21"/>
        </w:rPr>
        <w:t>列的表格。必须包括器械性能与患者特征（例如：受试者年龄，相对于发病时间的样本收集时间，研究机构等）的相关性的附加分析。在结合新鲜样本和存档样本的研究中，分析必须比较每种样本类型各自的性能，然后再进行组合分析。</w:t>
      </w:r>
    </w:p>
    <w:p w14:paraId="649BC0E1">
      <w:pPr>
        <w:pStyle w:val="6"/>
        <w:kinsoku w:val="0"/>
        <w:overflowPunct w:val="0"/>
        <w:snapToGrid w:val="0"/>
        <w:spacing w:afterLines="50" w:line="360" w:lineRule="auto"/>
        <w:ind w:left="360" w:leftChars="150"/>
        <w:jc w:val="both"/>
        <w:rPr>
          <w:sz w:val="21"/>
          <w:szCs w:val="21"/>
        </w:rPr>
      </w:pPr>
      <w:r>
        <w:rPr>
          <w:sz w:val="21"/>
          <w:szCs w:val="21"/>
        </w:rPr>
        <w:t>510</w:t>
      </w:r>
      <w:r>
        <w:rPr>
          <w:rFonts w:hint="eastAsia" w:hAnsi="宋体"/>
          <w:sz w:val="21"/>
          <w:szCs w:val="21"/>
        </w:rPr>
        <w:t>（</w:t>
      </w:r>
      <w:r>
        <w:rPr>
          <w:sz w:val="21"/>
          <w:szCs w:val="21"/>
        </w:rPr>
        <w:t>k</w:t>
      </w:r>
      <w:r>
        <w:rPr>
          <w:rFonts w:hint="eastAsia" w:hAnsi="宋体"/>
          <w:sz w:val="21"/>
          <w:szCs w:val="21"/>
        </w:rPr>
        <w:t>）提交中的所有研究数据都必须以</w:t>
      </w:r>
      <w:r>
        <w:rPr>
          <w:sz w:val="21"/>
          <w:szCs w:val="21"/>
        </w:rPr>
        <w:t>Microsoft Excel</w:t>
      </w:r>
      <w:r>
        <w:rPr>
          <w:rFonts w:hint="eastAsia" w:hAnsi="宋体"/>
          <w:sz w:val="21"/>
          <w:szCs w:val="21"/>
        </w:rPr>
        <w:t>、分隔文本或</w:t>
      </w:r>
      <w:r>
        <w:rPr>
          <w:sz w:val="21"/>
          <w:szCs w:val="21"/>
        </w:rPr>
        <w:t>SAS</w:t>
      </w:r>
      <w:r>
        <w:rPr>
          <w:rFonts w:hint="eastAsia" w:hAnsi="宋体"/>
          <w:sz w:val="21"/>
          <w:szCs w:val="21"/>
        </w:rPr>
        <w:t>传输文件的形式提供。数据文件必须包括适当的注释或单独的码本，并且必须包括所有主要和派生的变量，例如用于确定</w:t>
      </w:r>
      <w:r>
        <w:rPr>
          <w:sz w:val="21"/>
          <w:szCs w:val="21"/>
        </w:rPr>
        <w:t>DEN</w:t>
      </w:r>
      <w:r>
        <w:rPr>
          <w:rFonts w:hint="eastAsia" w:hAnsi="宋体"/>
          <w:sz w:val="21"/>
          <w:szCs w:val="21"/>
        </w:rPr>
        <w:t>诊断的临床参考算法的结果。应用于数据集的统计方法的描述必须足够详细，以便解释可能是可接受的阳性一致性的较低估计值，并可以在开始临床研究之前与</w:t>
      </w:r>
      <w:r>
        <w:rPr>
          <w:sz w:val="21"/>
          <w:szCs w:val="21"/>
        </w:rPr>
        <w:t>FDA</w:t>
      </w:r>
      <w:r>
        <w:rPr>
          <w:rFonts w:hint="eastAsia" w:hAnsi="宋体"/>
          <w:sz w:val="21"/>
          <w:szCs w:val="21"/>
        </w:rPr>
        <w:t>探讨。</w:t>
      </w:r>
    </w:p>
    <w:p w14:paraId="206A1736">
      <w:pPr>
        <w:pStyle w:val="3"/>
        <w:numPr>
          <w:ilvl w:val="0"/>
          <w:numId w:val="1"/>
        </w:numPr>
        <w:kinsoku w:val="0"/>
        <w:overflowPunct w:val="0"/>
        <w:snapToGrid w:val="0"/>
        <w:spacing w:afterLines="50" w:line="360" w:lineRule="auto"/>
        <w:ind w:left="422" w:hanging="422" w:hangingChars="200"/>
        <w:jc w:val="both"/>
        <w:rPr>
          <w:b w:val="0"/>
          <w:bCs w:val="0"/>
          <w:sz w:val="21"/>
          <w:szCs w:val="21"/>
        </w:rPr>
      </w:pPr>
      <w:bookmarkStart w:id="52" w:name="_Toc496790192"/>
      <w:r>
        <w:rPr>
          <w:rFonts w:hint="eastAsia" w:hAnsi="宋体"/>
          <w:sz w:val="21"/>
          <w:szCs w:val="21"/>
        </w:rPr>
        <w:t>标签</w:t>
      </w:r>
      <w:bookmarkEnd w:id="52"/>
    </w:p>
    <w:p w14:paraId="4A699BA1">
      <w:pPr>
        <w:pStyle w:val="6"/>
        <w:kinsoku w:val="0"/>
        <w:overflowPunct w:val="0"/>
        <w:snapToGrid w:val="0"/>
        <w:spacing w:afterLines="50" w:line="360" w:lineRule="auto"/>
        <w:ind w:left="0"/>
        <w:jc w:val="both"/>
        <w:rPr>
          <w:sz w:val="21"/>
          <w:szCs w:val="21"/>
        </w:rPr>
      </w:pPr>
      <w:r>
        <w:rPr>
          <w:sz w:val="21"/>
          <w:szCs w:val="21"/>
        </w:rPr>
        <w:t>DENV NAAT</w:t>
      </w:r>
      <w:r>
        <w:rPr>
          <w:rFonts w:hint="eastAsia" w:hAnsi="宋体"/>
          <w:sz w:val="21"/>
          <w:szCs w:val="21"/>
        </w:rPr>
        <w:t>试剂与其它器械一样，受法定的标签要求（包括</w:t>
      </w:r>
      <w:r>
        <w:rPr>
          <w:sz w:val="21"/>
          <w:szCs w:val="21"/>
        </w:rPr>
        <w:t>FD</w:t>
      </w:r>
      <w:r>
        <w:rPr>
          <w:rFonts w:hint="eastAsia" w:hAnsi="宋体"/>
          <w:sz w:val="21"/>
          <w:szCs w:val="21"/>
        </w:rPr>
        <w:t>＆</w:t>
      </w:r>
      <w:r>
        <w:rPr>
          <w:sz w:val="21"/>
          <w:szCs w:val="21"/>
        </w:rPr>
        <w:t>C</w:t>
      </w:r>
      <w:r>
        <w:rPr>
          <w:rFonts w:hint="eastAsia" w:hAnsi="宋体"/>
          <w:sz w:val="21"/>
          <w:szCs w:val="21"/>
        </w:rPr>
        <w:t>法案第</w:t>
      </w:r>
      <w:r>
        <w:rPr>
          <w:sz w:val="21"/>
          <w:szCs w:val="21"/>
        </w:rPr>
        <w:t xml:space="preserve">201(n) </w:t>
      </w:r>
      <w:r>
        <w:rPr>
          <w:rFonts w:hint="eastAsia" w:hAnsi="宋体"/>
          <w:sz w:val="21"/>
          <w:szCs w:val="21"/>
        </w:rPr>
        <w:t>和</w:t>
      </w:r>
      <w:r>
        <w:rPr>
          <w:sz w:val="21"/>
          <w:szCs w:val="21"/>
        </w:rPr>
        <w:t>502(a)</w:t>
      </w:r>
      <w:r>
        <w:rPr>
          <w:rFonts w:hint="eastAsia" w:hAnsi="宋体"/>
          <w:sz w:val="21"/>
          <w:szCs w:val="21"/>
        </w:rPr>
        <w:t>节；</w:t>
      </w:r>
      <w:r>
        <w:rPr>
          <w:sz w:val="21"/>
          <w:szCs w:val="21"/>
        </w:rPr>
        <w:t>21 USC § 321(n)</w:t>
      </w:r>
      <w:r>
        <w:rPr>
          <w:rFonts w:hint="eastAsia" w:hAnsi="宋体"/>
          <w:sz w:val="21"/>
          <w:szCs w:val="21"/>
        </w:rPr>
        <w:t>和</w:t>
      </w:r>
      <w:r>
        <w:rPr>
          <w:sz w:val="21"/>
          <w:szCs w:val="21"/>
        </w:rPr>
        <w:t>352(a)</w:t>
      </w:r>
      <w:r>
        <w:rPr>
          <w:rFonts w:hint="eastAsia" w:hAnsi="宋体"/>
          <w:sz w:val="21"/>
          <w:szCs w:val="21"/>
        </w:rPr>
        <w:t>）的约束。这些</w:t>
      </w:r>
      <w:r>
        <w:rPr>
          <w:sz w:val="21"/>
          <w:szCs w:val="21"/>
        </w:rPr>
        <w:t>IVD</w:t>
      </w:r>
      <w:r>
        <w:rPr>
          <w:rFonts w:hint="eastAsia" w:hAnsi="宋体"/>
          <w:sz w:val="21"/>
          <w:szCs w:val="21"/>
        </w:rPr>
        <w:t>器械必须提供详细的使用说明和适当的警告和注意事项（</w:t>
      </w:r>
      <w:r>
        <w:rPr>
          <w:sz w:val="21"/>
          <w:szCs w:val="21"/>
        </w:rPr>
        <w:t>FD</w:t>
      </w:r>
      <w:r>
        <w:rPr>
          <w:rFonts w:hint="eastAsia" w:hAnsi="宋体"/>
          <w:sz w:val="21"/>
          <w:szCs w:val="21"/>
        </w:rPr>
        <w:t>＆</w:t>
      </w:r>
      <w:r>
        <w:rPr>
          <w:sz w:val="21"/>
          <w:szCs w:val="21"/>
        </w:rPr>
        <w:t>C</w:t>
      </w:r>
      <w:r>
        <w:rPr>
          <w:rFonts w:hint="eastAsia" w:hAnsi="宋体"/>
          <w:sz w:val="21"/>
          <w:szCs w:val="21"/>
        </w:rPr>
        <w:t>法案第</w:t>
      </w:r>
      <w:r>
        <w:rPr>
          <w:sz w:val="21"/>
          <w:szCs w:val="21"/>
        </w:rPr>
        <w:t>502(f)</w:t>
      </w:r>
      <w:r>
        <w:rPr>
          <w:rFonts w:hint="eastAsia" w:hAnsi="宋体"/>
          <w:sz w:val="21"/>
          <w:szCs w:val="21"/>
        </w:rPr>
        <w:t>节；</w:t>
      </w:r>
      <w:r>
        <w:rPr>
          <w:sz w:val="21"/>
          <w:szCs w:val="21"/>
        </w:rPr>
        <w:t>21 USC § 352(f)</w:t>
      </w:r>
      <w:r>
        <w:rPr>
          <w:rFonts w:hint="eastAsia" w:hAnsi="宋体"/>
          <w:sz w:val="21"/>
          <w:szCs w:val="21"/>
        </w:rPr>
        <w:t>）。所有</w:t>
      </w:r>
      <w:r>
        <w:rPr>
          <w:sz w:val="21"/>
          <w:szCs w:val="21"/>
        </w:rPr>
        <w:t>IVD</w:t>
      </w:r>
      <w:r>
        <w:rPr>
          <w:rFonts w:hint="eastAsia" w:hAnsi="宋体"/>
          <w:sz w:val="21"/>
          <w:szCs w:val="21"/>
        </w:rPr>
        <w:t>器械的具体标签要求见</w:t>
      </w:r>
      <w:r>
        <w:rPr>
          <w:sz w:val="21"/>
          <w:szCs w:val="21"/>
        </w:rPr>
        <w:t>21 CFR 809.10</w:t>
      </w:r>
      <w:r>
        <w:rPr>
          <w:rFonts w:hint="eastAsia" w:hAnsi="宋体"/>
          <w:sz w:val="21"/>
          <w:szCs w:val="21"/>
        </w:rPr>
        <w:t>；亦可见</w:t>
      </w:r>
      <w:r>
        <w:rPr>
          <w:sz w:val="21"/>
          <w:szCs w:val="21"/>
        </w:rPr>
        <w:t>21 CFR 801.119</w:t>
      </w:r>
      <w:r>
        <w:rPr>
          <w:rFonts w:hint="eastAsia" w:hAnsi="宋体"/>
          <w:sz w:val="21"/>
          <w:szCs w:val="21"/>
        </w:rPr>
        <w:t>，其中指出根据</w:t>
      </w:r>
      <w:r>
        <w:rPr>
          <w:sz w:val="21"/>
          <w:szCs w:val="21"/>
        </w:rPr>
        <w:t>21 CFR 809.10</w:t>
      </w:r>
      <w:r>
        <w:rPr>
          <w:rFonts w:hint="eastAsia" w:hAnsi="宋体"/>
          <w:sz w:val="21"/>
          <w:szCs w:val="21"/>
        </w:rPr>
        <w:t>标记的</w:t>
      </w:r>
      <w:r>
        <w:rPr>
          <w:sz w:val="21"/>
          <w:szCs w:val="21"/>
        </w:rPr>
        <w:t>IVD</w:t>
      </w:r>
      <w:r>
        <w:rPr>
          <w:rFonts w:hint="eastAsia" w:hAnsi="宋体"/>
          <w:sz w:val="21"/>
          <w:szCs w:val="21"/>
        </w:rPr>
        <w:t>被认为符合第</w:t>
      </w:r>
      <w:r>
        <w:rPr>
          <w:sz w:val="21"/>
          <w:szCs w:val="21"/>
        </w:rPr>
        <w:t>502(f)(1)</w:t>
      </w:r>
      <w:r>
        <w:rPr>
          <w:rFonts w:hint="eastAsia" w:hAnsi="宋体"/>
          <w:sz w:val="21"/>
          <w:szCs w:val="21"/>
        </w:rPr>
        <w:t>节和</w:t>
      </w:r>
      <w:r>
        <w:rPr>
          <w:sz w:val="21"/>
          <w:szCs w:val="21"/>
        </w:rPr>
        <w:t>21 CFR</w:t>
      </w:r>
      <w:r>
        <w:rPr>
          <w:rFonts w:hint="eastAsia" w:hAnsi="宋体"/>
          <w:sz w:val="21"/>
          <w:szCs w:val="21"/>
        </w:rPr>
        <w:t>第</w:t>
      </w:r>
      <w:r>
        <w:rPr>
          <w:sz w:val="21"/>
          <w:szCs w:val="21"/>
        </w:rPr>
        <w:t>801</w:t>
      </w:r>
      <w:r>
        <w:rPr>
          <w:rFonts w:hint="eastAsia" w:hAnsi="宋体"/>
          <w:sz w:val="21"/>
          <w:szCs w:val="21"/>
        </w:rPr>
        <w:t>部分。</w:t>
      </w:r>
    </w:p>
    <w:p w14:paraId="7C62B25C">
      <w:pPr>
        <w:pStyle w:val="6"/>
        <w:kinsoku w:val="0"/>
        <w:overflowPunct w:val="0"/>
        <w:snapToGrid w:val="0"/>
        <w:spacing w:afterLines="50" w:line="360" w:lineRule="auto"/>
        <w:ind w:left="0"/>
        <w:jc w:val="both"/>
        <w:rPr>
          <w:sz w:val="21"/>
          <w:szCs w:val="21"/>
        </w:rPr>
      </w:pPr>
      <w:r>
        <w:rPr>
          <w:sz w:val="21"/>
          <w:szCs w:val="21"/>
          <w:highlight w:val="green"/>
        </w:rPr>
        <w:br w:type="page"/>
      </w:r>
      <w:r>
        <w:rPr>
          <w:rFonts w:hint="eastAsia" w:hAnsi="宋体"/>
          <w:sz w:val="21"/>
          <w:szCs w:val="21"/>
        </w:rPr>
        <w:t>您的符合</w:t>
      </w:r>
      <w:r>
        <w:rPr>
          <w:sz w:val="21"/>
          <w:szCs w:val="21"/>
        </w:rPr>
        <w:t>21 CFR 809.10</w:t>
      </w:r>
      <w:r>
        <w:rPr>
          <w:rFonts w:hint="eastAsia" w:hAnsi="宋体"/>
          <w:sz w:val="21"/>
          <w:szCs w:val="21"/>
        </w:rPr>
        <w:t>（</w:t>
      </w:r>
      <w:r>
        <w:rPr>
          <w:sz w:val="21"/>
          <w:szCs w:val="21"/>
        </w:rPr>
        <w:t>b</w:t>
      </w:r>
      <w:r>
        <w:rPr>
          <w:rFonts w:hint="eastAsia" w:hAnsi="宋体"/>
          <w:sz w:val="21"/>
          <w:szCs w:val="21"/>
        </w:rPr>
        <w:t>）标准的</w:t>
      </w:r>
      <w:r>
        <w:rPr>
          <w:sz w:val="21"/>
          <w:szCs w:val="21"/>
        </w:rPr>
        <w:t>DENV</w:t>
      </w:r>
      <w:r>
        <w:rPr>
          <w:rFonts w:hint="eastAsia" w:hAnsi="宋体"/>
          <w:sz w:val="21"/>
          <w:szCs w:val="21"/>
        </w:rPr>
        <w:t>血清学试剂标签还必须包括以下信息。此标签信息有助于缓解本指南前面确定的风险，以确保安全有效地使用这些器械。器械标签必须符合</w:t>
      </w:r>
      <w:r>
        <w:rPr>
          <w:sz w:val="21"/>
          <w:szCs w:val="21"/>
        </w:rPr>
        <w:t>21 CFR 809.10</w:t>
      </w:r>
      <w:r>
        <w:rPr>
          <w:rFonts w:hint="eastAsia" w:hAnsi="宋体"/>
          <w:sz w:val="21"/>
          <w:szCs w:val="21"/>
        </w:rPr>
        <w:t>的所有要求，即使下面没有提及。</w:t>
      </w:r>
    </w:p>
    <w:p w14:paraId="592A4F6A">
      <w:pPr>
        <w:pStyle w:val="3"/>
        <w:numPr>
          <w:ilvl w:val="1"/>
          <w:numId w:val="1"/>
        </w:numPr>
        <w:kinsoku w:val="0"/>
        <w:overflowPunct w:val="0"/>
        <w:snapToGrid w:val="0"/>
        <w:spacing w:afterLines="50" w:line="360" w:lineRule="auto"/>
        <w:ind w:left="422" w:hanging="422" w:hangingChars="200"/>
        <w:jc w:val="both"/>
        <w:rPr>
          <w:sz w:val="21"/>
          <w:szCs w:val="21"/>
        </w:rPr>
      </w:pPr>
      <w:bookmarkStart w:id="53" w:name="_Toc496790193"/>
      <w:r>
        <w:rPr>
          <w:rFonts w:hint="eastAsia" w:hAnsi="宋体"/>
          <w:sz w:val="21"/>
          <w:szCs w:val="21"/>
        </w:rPr>
        <w:t>预期用途</w:t>
      </w:r>
      <w:bookmarkEnd w:id="53"/>
    </w:p>
    <w:p w14:paraId="3B1AF34E">
      <w:pPr>
        <w:pStyle w:val="6"/>
        <w:kinsoku w:val="0"/>
        <w:overflowPunct w:val="0"/>
        <w:snapToGrid w:val="0"/>
        <w:spacing w:afterLines="50" w:line="360" w:lineRule="auto"/>
        <w:ind w:left="0"/>
        <w:jc w:val="both"/>
        <w:rPr>
          <w:sz w:val="21"/>
          <w:szCs w:val="21"/>
        </w:rPr>
      </w:pPr>
      <w:r>
        <w:rPr>
          <w:rFonts w:hint="eastAsia" w:hAnsi="宋体"/>
          <w:sz w:val="21"/>
          <w:szCs w:val="21"/>
        </w:rPr>
        <w:t>预期用途必须指明该器械是诊断</w:t>
      </w:r>
      <w:r>
        <w:rPr>
          <w:sz w:val="21"/>
          <w:szCs w:val="21"/>
        </w:rPr>
        <w:t>DENV</w:t>
      </w:r>
      <w:r>
        <w:rPr>
          <w:rFonts w:hint="eastAsia" w:hAnsi="宋体"/>
          <w:sz w:val="21"/>
          <w:szCs w:val="21"/>
        </w:rPr>
        <w:t>感染的辅助手段。您还必须指明您的测定所能检测到的</w:t>
      </w:r>
      <w:r>
        <w:rPr>
          <w:sz w:val="21"/>
          <w:szCs w:val="21"/>
        </w:rPr>
        <w:t>DENV</w:t>
      </w:r>
      <w:r>
        <w:rPr>
          <w:rFonts w:hint="eastAsia" w:hAnsi="宋体"/>
          <w:sz w:val="21"/>
          <w:szCs w:val="21"/>
        </w:rPr>
        <w:t>血清型，以及如果您的测试是推定的，需要采取哪些附加的具体确认措施来确认您的测试结果。预期用途必须说明该测试适用的样本类型和具体人群。</w:t>
      </w:r>
    </w:p>
    <w:p w14:paraId="7BF5416A">
      <w:pPr>
        <w:pStyle w:val="3"/>
        <w:numPr>
          <w:ilvl w:val="1"/>
          <w:numId w:val="1"/>
        </w:numPr>
        <w:kinsoku w:val="0"/>
        <w:overflowPunct w:val="0"/>
        <w:snapToGrid w:val="0"/>
        <w:spacing w:afterLines="50" w:line="360" w:lineRule="auto"/>
        <w:ind w:left="422" w:hanging="422" w:hangingChars="200"/>
        <w:jc w:val="both"/>
        <w:rPr>
          <w:sz w:val="21"/>
          <w:szCs w:val="21"/>
        </w:rPr>
      </w:pPr>
      <w:bookmarkStart w:id="54" w:name="_Toc496790194"/>
      <w:r>
        <w:rPr>
          <w:rFonts w:hint="eastAsia" w:hAnsi="宋体"/>
          <w:sz w:val="21"/>
          <w:szCs w:val="21"/>
        </w:rPr>
        <w:t>器械描述</w:t>
      </w:r>
      <w:bookmarkEnd w:id="54"/>
    </w:p>
    <w:p w14:paraId="389E7444">
      <w:pPr>
        <w:pStyle w:val="6"/>
        <w:kinsoku w:val="0"/>
        <w:overflowPunct w:val="0"/>
        <w:snapToGrid w:val="0"/>
        <w:spacing w:afterLines="50" w:line="360" w:lineRule="auto"/>
        <w:ind w:left="0"/>
        <w:jc w:val="both"/>
        <w:rPr>
          <w:sz w:val="21"/>
          <w:szCs w:val="21"/>
        </w:rPr>
      </w:pPr>
      <w:r>
        <w:rPr>
          <w:rFonts w:hint="eastAsia" w:hAnsi="宋体"/>
          <w:sz w:val="21"/>
          <w:szCs w:val="21"/>
        </w:rPr>
        <w:t>您必须在器械描述中简要介绍此类型器械使用的测定方法和原理。</w:t>
      </w:r>
    </w:p>
    <w:p w14:paraId="31EC7CA6">
      <w:pPr>
        <w:pStyle w:val="3"/>
        <w:numPr>
          <w:ilvl w:val="1"/>
          <w:numId w:val="1"/>
        </w:numPr>
        <w:kinsoku w:val="0"/>
        <w:overflowPunct w:val="0"/>
        <w:snapToGrid w:val="0"/>
        <w:spacing w:afterLines="50" w:line="360" w:lineRule="auto"/>
        <w:ind w:left="422" w:hanging="422" w:hangingChars="200"/>
        <w:jc w:val="both"/>
        <w:rPr>
          <w:sz w:val="21"/>
          <w:szCs w:val="21"/>
        </w:rPr>
      </w:pPr>
      <w:bookmarkStart w:id="55" w:name="_Toc496790195"/>
      <w:r>
        <w:rPr>
          <w:rFonts w:hint="eastAsia" w:hAnsi="宋体"/>
          <w:sz w:val="21"/>
          <w:szCs w:val="21"/>
        </w:rPr>
        <w:t>使用步骤</w:t>
      </w:r>
      <w:bookmarkEnd w:id="55"/>
    </w:p>
    <w:p w14:paraId="3088C370">
      <w:pPr>
        <w:pStyle w:val="6"/>
        <w:kinsoku w:val="0"/>
        <w:overflowPunct w:val="0"/>
        <w:snapToGrid w:val="0"/>
        <w:spacing w:afterLines="50" w:line="360" w:lineRule="auto"/>
        <w:jc w:val="both"/>
        <w:rPr>
          <w:sz w:val="21"/>
          <w:szCs w:val="21"/>
        </w:rPr>
      </w:pPr>
      <w:r>
        <w:rPr>
          <w:rFonts w:hint="eastAsia" w:hAnsi="宋体"/>
          <w:sz w:val="21"/>
          <w:szCs w:val="21"/>
        </w:rPr>
        <w:t>本节必须包括整个分析过程的总体描述，从患者样本的收集到结果报告。</w:t>
      </w:r>
    </w:p>
    <w:p w14:paraId="64B8F008">
      <w:pPr>
        <w:pStyle w:val="3"/>
        <w:numPr>
          <w:ilvl w:val="1"/>
          <w:numId w:val="1"/>
        </w:numPr>
        <w:kinsoku w:val="0"/>
        <w:overflowPunct w:val="0"/>
        <w:snapToGrid w:val="0"/>
        <w:spacing w:afterLines="50" w:line="360" w:lineRule="auto"/>
        <w:ind w:left="422" w:hanging="422" w:hangingChars="200"/>
        <w:jc w:val="both"/>
        <w:rPr>
          <w:sz w:val="21"/>
          <w:szCs w:val="21"/>
        </w:rPr>
      </w:pPr>
      <w:bookmarkStart w:id="56" w:name="_Toc496790196"/>
      <w:r>
        <w:rPr>
          <w:rFonts w:hint="eastAsia" w:hAnsi="宋体"/>
          <w:sz w:val="21"/>
          <w:szCs w:val="21"/>
        </w:rPr>
        <w:t>使用说明</w:t>
      </w:r>
      <w:bookmarkEnd w:id="56"/>
    </w:p>
    <w:p w14:paraId="64750E58">
      <w:pPr>
        <w:pStyle w:val="6"/>
        <w:kinsoku w:val="0"/>
        <w:overflowPunct w:val="0"/>
        <w:snapToGrid w:val="0"/>
        <w:spacing w:afterLines="50" w:line="360" w:lineRule="auto"/>
        <w:ind w:left="0"/>
        <w:jc w:val="both"/>
        <w:rPr>
          <w:sz w:val="21"/>
          <w:szCs w:val="21"/>
        </w:rPr>
      </w:pPr>
      <w:r>
        <w:rPr>
          <w:rFonts w:hint="eastAsia" w:hAnsi="宋体"/>
          <w:sz w:val="21"/>
          <w:szCs w:val="21"/>
        </w:rPr>
        <w:t>您必须提供清晰简明的说明，描述使用该器械的步骤，以及将不准确结果风险将至最低的对照类型。说明必须鼓励使用额外的对照措施和测试对照材料，以确保安全有效地使用。</w:t>
      </w:r>
    </w:p>
    <w:p w14:paraId="4DAEE202">
      <w:pPr>
        <w:pStyle w:val="3"/>
        <w:numPr>
          <w:ilvl w:val="1"/>
          <w:numId w:val="1"/>
        </w:numPr>
        <w:kinsoku w:val="0"/>
        <w:overflowPunct w:val="0"/>
        <w:snapToGrid w:val="0"/>
        <w:spacing w:afterLines="50" w:line="360" w:lineRule="auto"/>
        <w:ind w:left="422" w:hanging="422" w:hangingChars="200"/>
        <w:jc w:val="both"/>
        <w:rPr>
          <w:sz w:val="21"/>
          <w:szCs w:val="21"/>
        </w:rPr>
      </w:pPr>
      <w:bookmarkStart w:id="57" w:name="_Toc496790197"/>
      <w:r>
        <w:rPr>
          <w:rFonts w:hint="eastAsia" w:hAnsi="宋体"/>
          <w:sz w:val="21"/>
          <w:szCs w:val="21"/>
        </w:rPr>
        <w:t>警告、注意事项和局限性</w:t>
      </w:r>
      <w:bookmarkEnd w:id="57"/>
    </w:p>
    <w:p w14:paraId="5872DE4D">
      <w:pPr>
        <w:pStyle w:val="3"/>
        <w:kinsoku w:val="0"/>
        <w:overflowPunct w:val="0"/>
        <w:snapToGrid w:val="0"/>
        <w:spacing w:afterLines="50" w:line="360" w:lineRule="auto"/>
        <w:ind w:left="0" w:firstLine="0"/>
        <w:jc w:val="both"/>
        <w:rPr>
          <w:b w:val="0"/>
          <w:sz w:val="21"/>
          <w:szCs w:val="21"/>
        </w:rPr>
      </w:pPr>
      <w:bookmarkStart w:id="58" w:name="_Toc496790198"/>
      <w:r>
        <w:rPr>
          <w:rFonts w:hint="eastAsia" w:hAnsi="宋体"/>
          <w:b w:val="0"/>
          <w:sz w:val="21"/>
          <w:szCs w:val="21"/>
        </w:rPr>
        <w:t>除了与您的特定测定相关的任何其它局限性和警告外，您还必须在局限性中包括以下声明（如适用）：</w:t>
      </w:r>
      <w:bookmarkEnd w:id="58"/>
    </w:p>
    <w:p w14:paraId="0A8F8DCA">
      <w:pPr>
        <w:pStyle w:val="6"/>
        <w:numPr>
          <w:ilvl w:val="0"/>
          <w:numId w:val="16"/>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该器械不能区分不同的黄病毒抗体或抗原。</w:t>
      </w:r>
    </w:p>
    <w:p w14:paraId="3433B4BA">
      <w:pPr>
        <w:pStyle w:val="6"/>
        <w:numPr>
          <w:ilvl w:val="0"/>
          <w:numId w:val="16"/>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血清学检测结果是推定的，需要通过斑块减少中和试验或目前的</w:t>
      </w:r>
      <w:r>
        <w:rPr>
          <w:sz w:val="21"/>
          <w:szCs w:val="21"/>
        </w:rPr>
        <w:t>CDC</w:t>
      </w:r>
      <w:r>
        <w:rPr>
          <w:rFonts w:hint="eastAsia" w:hAnsi="宋体"/>
          <w:sz w:val="21"/>
          <w:szCs w:val="21"/>
        </w:rPr>
        <w:t>指南中推荐的诊断这种疾病的其它方法进行确认。</w:t>
      </w:r>
    </w:p>
    <w:p w14:paraId="1C914F24">
      <w:pPr>
        <w:pStyle w:val="6"/>
        <w:numPr>
          <w:ilvl w:val="0"/>
          <w:numId w:val="16"/>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只能对临床症状与登革热或出血性登革热一致的患者进行检测。</w:t>
      </w:r>
    </w:p>
    <w:p w14:paraId="4A071551">
      <w:pPr>
        <w:pStyle w:val="6"/>
        <w:numPr>
          <w:ilvl w:val="0"/>
          <w:numId w:val="16"/>
        </w:numPr>
        <w:tabs>
          <w:tab w:val="left" w:pos="882"/>
        </w:tabs>
        <w:kinsoku w:val="0"/>
        <w:overflowPunct w:val="0"/>
        <w:snapToGrid w:val="0"/>
        <w:spacing w:afterLines="50" w:line="360" w:lineRule="auto"/>
        <w:ind w:left="480" w:leftChars="200"/>
        <w:jc w:val="both"/>
        <w:rPr>
          <w:rFonts w:hAnsi="宋体"/>
          <w:sz w:val="21"/>
          <w:szCs w:val="21"/>
        </w:rPr>
      </w:pPr>
      <w:r>
        <w:rPr>
          <w:sz w:val="21"/>
          <w:szCs w:val="21"/>
          <w:highlight w:val="green"/>
        </w:rPr>
        <w:br w:type="page"/>
      </w:r>
      <w:r>
        <w:rPr>
          <w:rFonts w:hint="eastAsia" w:hAnsi="宋体"/>
          <w:sz w:val="21"/>
          <w:szCs w:val="21"/>
        </w:rPr>
        <w:t>该检测不适用于产前检查，也不适用于无登革热症状的一般人群的筛查。该检测不是</w:t>
      </w:r>
      <w:r>
        <w:rPr>
          <w:rFonts w:hAnsi="宋体"/>
          <w:sz w:val="21"/>
          <w:szCs w:val="21"/>
        </w:rPr>
        <w:t>FDA</w:t>
      </w:r>
      <w:r>
        <w:rPr>
          <w:rFonts w:hint="eastAsia" w:hAnsi="宋体"/>
          <w:sz w:val="21"/>
          <w:szCs w:val="21"/>
        </w:rPr>
        <w:t>批准的用于筛选血液或血浆供体的方法。</w:t>
      </w:r>
    </w:p>
    <w:p w14:paraId="6203DAAE">
      <w:pPr>
        <w:pStyle w:val="6"/>
        <w:numPr>
          <w:ilvl w:val="0"/>
          <w:numId w:val="16"/>
        </w:numPr>
        <w:tabs>
          <w:tab w:val="left" w:pos="882"/>
        </w:tabs>
        <w:kinsoku w:val="0"/>
        <w:overflowPunct w:val="0"/>
        <w:snapToGrid w:val="0"/>
        <w:spacing w:afterLines="50" w:line="360" w:lineRule="auto"/>
        <w:ind w:left="480" w:leftChars="200"/>
        <w:jc w:val="both"/>
        <w:rPr>
          <w:rFonts w:hAnsi="宋体"/>
          <w:sz w:val="21"/>
          <w:szCs w:val="21"/>
        </w:rPr>
      </w:pPr>
      <w:r>
        <w:rPr>
          <w:rFonts w:hint="eastAsia" w:hAnsi="宋体"/>
          <w:sz w:val="21"/>
          <w:szCs w:val="21"/>
        </w:rPr>
        <w:t>尚未确定该测试用于监测登革热治疗的性能。</w:t>
      </w:r>
    </w:p>
    <w:p w14:paraId="4B19DE41">
      <w:pPr>
        <w:pStyle w:val="6"/>
        <w:numPr>
          <w:ilvl w:val="0"/>
          <w:numId w:val="16"/>
        </w:numPr>
        <w:tabs>
          <w:tab w:val="left" w:pos="882"/>
        </w:tabs>
        <w:kinsoku w:val="0"/>
        <w:overflowPunct w:val="0"/>
        <w:snapToGrid w:val="0"/>
        <w:spacing w:afterLines="50" w:line="360" w:lineRule="auto"/>
        <w:ind w:left="480" w:leftChars="200"/>
        <w:jc w:val="both"/>
        <w:rPr>
          <w:rFonts w:hAnsi="宋体"/>
          <w:sz w:val="21"/>
          <w:szCs w:val="21"/>
        </w:rPr>
      </w:pPr>
      <w:r>
        <w:rPr>
          <w:rFonts w:hint="eastAsia" w:hAnsi="宋体"/>
          <w:sz w:val="21"/>
          <w:szCs w:val="21"/>
        </w:rPr>
        <w:t>阳性预测值取决于病毒存在的可能性。</w:t>
      </w:r>
    </w:p>
    <w:p w14:paraId="4DF74AF7">
      <w:pPr>
        <w:pStyle w:val="6"/>
        <w:numPr>
          <w:ilvl w:val="0"/>
          <w:numId w:val="16"/>
        </w:numPr>
        <w:tabs>
          <w:tab w:val="left" w:pos="882"/>
        </w:tabs>
        <w:kinsoku w:val="0"/>
        <w:overflowPunct w:val="0"/>
        <w:snapToGrid w:val="0"/>
        <w:spacing w:afterLines="50" w:line="360" w:lineRule="auto"/>
        <w:ind w:left="480" w:leftChars="200"/>
        <w:jc w:val="both"/>
        <w:rPr>
          <w:rFonts w:hAnsi="宋体"/>
          <w:sz w:val="21"/>
          <w:szCs w:val="21"/>
        </w:rPr>
      </w:pPr>
      <w:r>
        <w:rPr>
          <w:rFonts w:hint="eastAsia" w:hAnsi="宋体"/>
          <w:sz w:val="21"/>
          <w:szCs w:val="21"/>
        </w:rPr>
        <w:t>免疫抑制患者的结果必须谨慎解释。</w:t>
      </w:r>
    </w:p>
    <w:p w14:paraId="7623E994">
      <w:pPr>
        <w:pStyle w:val="6"/>
        <w:numPr>
          <w:ilvl w:val="0"/>
          <w:numId w:val="16"/>
        </w:numPr>
        <w:tabs>
          <w:tab w:val="left" w:pos="882"/>
        </w:tabs>
        <w:kinsoku w:val="0"/>
        <w:overflowPunct w:val="0"/>
        <w:snapToGrid w:val="0"/>
        <w:spacing w:afterLines="50" w:line="360" w:lineRule="auto"/>
        <w:ind w:left="480" w:leftChars="200"/>
        <w:jc w:val="both"/>
        <w:rPr>
          <w:rFonts w:hAnsi="宋体"/>
          <w:sz w:val="21"/>
          <w:szCs w:val="21"/>
        </w:rPr>
      </w:pPr>
      <w:r>
        <w:rPr>
          <w:rFonts w:hint="eastAsia" w:hAnsi="宋体"/>
          <w:sz w:val="21"/>
          <w:szCs w:val="21"/>
        </w:rPr>
        <w:t>常见黄病毒组内（即，西尼罗、圣路易斯脑炎、墨累山谷脑炎、日本脑炎和黄热病毒之间）的血清学交叉反应。</w:t>
      </w:r>
    </w:p>
    <w:p w14:paraId="47FC1363">
      <w:pPr>
        <w:pStyle w:val="6"/>
        <w:numPr>
          <w:ilvl w:val="0"/>
          <w:numId w:val="16"/>
        </w:numPr>
        <w:tabs>
          <w:tab w:val="left" w:pos="882"/>
        </w:tabs>
        <w:kinsoku w:val="0"/>
        <w:overflowPunct w:val="0"/>
        <w:snapToGrid w:val="0"/>
        <w:spacing w:afterLines="50" w:line="360" w:lineRule="auto"/>
        <w:ind w:left="480" w:leftChars="200"/>
        <w:jc w:val="both"/>
        <w:rPr>
          <w:rFonts w:hAnsi="宋体"/>
          <w:sz w:val="21"/>
          <w:szCs w:val="21"/>
        </w:rPr>
      </w:pPr>
      <w:r>
        <w:rPr>
          <w:rFonts w:hint="eastAsia" w:hAnsi="宋体"/>
          <w:sz w:val="21"/>
          <w:szCs w:val="21"/>
        </w:rPr>
        <w:t>感染痊愈后抗登革热的</w:t>
      </w:r>
      <w:r>
        <w:rPr>
          <w:rFonts w:hAnsi="宋体"/>
          <w:sz w:val="21"/>
          <w:szCs w:val="21"/>
        </w:rPr>
        <w:t>IgM</w:t>
      </w:r>
      <w:r>
        <w:rPr>
          <w:rFonts w:hint="eastAsia" w:hAnsi="宋体"/>
          <w:sz w:val="21"/>
          <w:szCs w:val="21"/>
        </w:rPr>
        <w:t>抗体可能持续数月。</w:t>
      </w:r>
    </w:p>
    <w:p w14:paraId="3F95FE38">
      <w:pPr>
        <w:pStyle w:val="6"/>
        <w:numPr>
          <w:ilvl w:val="0"/>
          <w:numId w:val="16"/>
        </w:numPr>
        <w:tabs>
          <w:tab w:val="left" w:pos="882"/>
        </w:tabs>
        <w:kinsoku w:val="0"/>
        <w:overflowPunct w:val="0"/>
        <w:snapToGrid w:val="0"/>
        <w:spacing w:afterLines="50" w:line="360" w:lineRule="auto"/>
        <w:ind w:left="480" w:leftChars="200"/>
        <w:jc w:val="both"/>
        <w:rPr>
          <w:rFonts w:hAnsi="宋体"/>
          <w:sz w:val="21"/>
          <w:szCs w:val="21"/>
        </w:rPr>
      </w:pPr>
      <w:r>
        <w:rPr>
          <w:rFonts w:hint="eastAsia" w:hAnsi="宋体"/>
          <w:sz w:val="21"/>
          <w:szCs w:val="21"/>
        </w:rPr>
        <w:t>阳性结果的解释应结合临床和其它实验室检查结果，并且可能不指示活跃的登革热病毒诱导的疾病。</w:t>
      </w:r>
    </w:p>
    <w:p w14:paraId="0F2E2B43">
      <w:pPr>
        <w:pStyle w:val="6"/>
        <w:numPr>
          <w:ilvl w:val="0"/>
          <w:numId w:val="16"/>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测定结果的解释应结合其它实验室检查结果和患者的总体临床状况。</w:t>
      </w:r>
    </w:p>
    <w:p w14:paraId="7E1AC373">
      <w:pPr>
        <w:pStyle w:val="3"/>
        <w:numPr>
          <w:ilvl w:val="1"/>
          <w:numId w:val="1"/>
        </w:numPr>
        <w:kinsoku w:val="0"/>
        <w:overflowPunct w:val="0"/>
        <w:snapToGrid w:val="0"/>
        <w:spacing w:afterLines="50" w:line="360" w:lineRule="auto"/>
        <w:ind w:left="422" w:hanging="422" w:hangingChars="200"/>
        <w:jc w:val="both"/>
        <w:rPr>
          <w:sz w:val="21"/>
          <w:szCs w:val="21"/>
        </w:rPr>
      </w:pPr>
      <w:bookmarkStart w:id="59" w:name="_Toc496790199"/>
      <w:r>
        <w:rPr>
          <w:rFonts w:hint="eastAsia" w:hAnsi="宋体"/>
          <w:sz w:val="21"/>
          <w:szCs w:val="21"/>
        </w:rPr>
        <w:t>样本收集</w:t>
      </w:r>
      <w:bookmarkEnd w:id="59"/>
    </w:p>
    <w:p w14:paraId="73AF40EC">
      <w:pPr>
        <w:pStyle w:val="6"/>
        <w:kinsoku w:val="0"/>
        <w:overflowPunct w:val="0"/>
        <w:snapToGrid w:val="0"/>
        <w:spacing w:afterLines="50" w:line="360" w:lineRule="auto"/>
        <w:ind w:left="0"/>
        <w:jc w:val="both"/>
        <w:rPr>
          <w:sz w:val="21"/>
          <w:szCs w:val="21"/>
        </w:rPr>
      </w:pPr>
      <w:r>
        <w:rPr>
          <w:rFonts w:hint="eastAsia" w:hAnsi="宋体"/>
          <w:sz w:val="21"/>
          <w:szCs w:val="21"/>
        </w:rPr>
        <w:t>您必须提供关于应使用什么类型的样本以及样本（抗原或抗体）收集的最佳时间或窗口期的指导。您必须说明在本测定中是否有不适用的样本。您还必须提供样本储存、冻融循环次数以及您的器械的最佳</w:t>
      </w:r>
      <w:r>
        <w:rPr>
          <w:sz w:val="21"/>
          <w:szCs w:val="21"/>
        </w:rPr>
        <w:t>/</w:t>
      </w:r>
      <w:r>
        <w:rPr>
          <w:rFonts w:hint="eastAsia" w:hAnsi="宋体"/>
          <w:sz w:val="21"/>
          <w:szCs w:val="21"/>
        </w:rPr>
        <w:t>可接受运输条件的建议。对于病毒或抗原检测，还必须在标签中注明样本应在症状发作后尽快收集。用于抗体检测的样本通常在发生发烧后的第</w:t>
      </w:r>
      <w:r>
        <w:rPr>
          <w:sz w:val="21"/>
          <w:szCs w:val="21"/>
        </w:rPr>
        <w:t>3-5</w:t>
      </w:r>
      <w:r>
        <w:rPr>
          <w:rFonts w:hint="eastAsia" w:hAnsi="宋体"/>
          <w:sz w:val="21"/>
          <w:szCs w:val="21"/>
        </w:rPr>
        <w:t>天收集。</w:t>
      </w:r>
    </w:p>
    <w:p w14:paraId="13B281C6">
      <w:pPr>
        <w:pStyle w:val="3"/>
        <w:numPr>
          <w:ilvl w:val="1"/>
          <w:numId w:val="1"/>
        </w:numPr>
        <w:kinsoku w:val="0"/>
        <w:overflowPunct w:val="0"/>
        <w:snapToGrid w:val="0"/>
        <w:spacing w:afterLines="50" w:line="360" w:lineRule="auto"/>
        <w:ind w:left="422" w:hanging="422" w:hangingChars="200"/>
        <w:jc w:val="both"/>
        <w:rPr>
          <w:sz w:val="21"/>
          <w:szCs w:val="21"/>
        </w:rPr>
      </w:pPr>
      <w:bookmarkStart w:id="60" w:name="_Toc496790200"/>
      <w:r>
        <w:rPr>
          <w:rFonts w:hint="eastAsia" w:hAnsi="宋体"/>
          <w:sz w:val="21"/>
          <w:szCs w:val="21"/>
        </w:rPr>
        <w:t>测试结果的解释</w:t>
      </w:r>
      <w:bookmarkEnd w:id="60"/>
    </w:p>
    <w:p w14:paraId="11F5B39C">
      <w:pPr>
        <w:pStyle w:val="6"/>
        <w:kinsoku w:val="0"/>
        <w:overflowPunct w:val="0"/>
        <w:snapToGrid w:val="0"/>
        <w:spacing w:afterLines="50" w:line="360" w:lineRule="auto"/>
        <w:ind w:left="0"/>
        <w:jc w:val="both"/>
        <w:rPr>
          <w:sz w:val="21"/>
          <w:szCs w:val="21"/>
          <w:highlight w:val="green"/>
        </w:rPr>
      </w:pPr>
      <w:r>
        <w:rPr>
          <w:rFonts w:hint="eastAsia" w:hAnsi="宋体"/>
          <w:sz w:val="21"/>
          <w:szCs w:val="21"/>
        </w:rPr>
        <w:t>包装说明书中测试结果部分的解释必须列出所有可能的测定输出，以及存在或不存在</w:t>
      </w:r>
      <w:r>
        <w:rPr>
          <w:sz w:val="21"/>
          <w:szCs w:val="21"/>
        </w:rPr>
        <w:t>DENV</w:t>
      </w:r>
      <w:r>
        <w:rPr>
          <w:rFonts w:hint="eastAsia" w:hAnsi="宋体"/>
          <w:sz w:val="21"/>
          <w:szCs w:val="21"/>
        </w:rPr>
        <w:t>抗原或抗体的确定和测定对照的预期结果。如果内部对照是确定有效的阳性和阴性结果的一部分，则您必须提供每个可能的对照结果的解释以及如何跟踪任何无效或不确定结果的建议。</w:t>
      </w:r>
    </w:p>
    <w:p w14:paraId="24AC4D64">
      <w:pPr>
        <w:pStyle w:val="6"/>
        <w:kinsoku w:val="0"/>
        <w:overflowPunct w:val="0"/>
        <w:snapToGrid w:val="0"/>
        <w:spacing w:afterLines="50" w:line="360" w:lineRule="auto"/>
        <w:ind w:left="0"/>
        <w:jc w:val="both"/>
        <w:rPr>
          <w:sz w:val="21"/>
          <w:szCs w:val="21"/>
        </w:rPr>
      </w:pPr>
      <w:r>
        <w:rPr>
          <w:rFonts w:hint="eastAsia" w:hAnsi="宋体"/>
          <w:sz w:val="21"/>
          <w:szCs w:val="21"/>
        </w:rPr>
        <w:t>如果您的测定具有不明确的区域，您必须提供解释并建议如何跟踪不明确的结果。（例如，是否应该报告不明确的结果，还是应重复测试）。如果您将无效或不明确的结果解释为需要重新测试，则必须提供是否应重新测试以及应如何进行重新测试的建议（例如，采用同一患者的相同或不同的样本）。</w:t>
      </w:r>
    </w:p>
    <w:p w14:paraId="31DDD144">
      <w:pPr>
        <w:widowControl/>
        <w:autoSpaceDE/>
        <w:autoSpaceDN/>
        <w:snapToGrid w:val="0"/>
        <w:spacing w:line="360" w:lineRule="auto"/>
        <w:rPr>
          <w:sz w:val="21"/>
          <w:szCs w:val="21"/>
        </w:rPr>
      </w:pPr>
      <w:r>
        <w:rPr>
          <w:sz w:val="21"/>
          <w:szCs w:val="21"/>
        </w:rPr>
        <w:br w:type="page"/>
      </w:r>
      <w:r>
        <w:rPr>
          <w:rFonts w:hint="eastAsia" w:hAnsi="宋体"/>
          <w:sz w:val="21"/>
          <w:szCs w:val="21"/>
        </w:rPr>
        <w:t>最终测定结果必须报告为阳性、阴性或不明确（适用时）。根据测试性能或其它器械特定因素，可能需要额外的要求。</w:t>
      </w:r>
    </w:p>
    <w:p w14:paraId="04D03D19">
      <w:pPr>
        <w:pStyle w:val="3"/>
        <w:numPr>
          <w:ilvl w:val="0"/>
          <w:numId w:val="1"/>
        </w:numPr>
        <w:kinsoku w:val="0"/>
        <w:overflowPunct w:val="0"/>
        <w:snapToGrid w:val="0"/>
        <w:spacing w:afterLines="50" w:line="360" w:lineRule="auto"/>
        <w:ind w:left="422" w:hanging="422" w:hangingChars="200"/>
        <w:jc w:val="both"/>
        <w:rPr>
          <w:sz w:val="21"/>
          <w:szCs w:val="21"/>
        </w:rPr>
      </w:pPr>
      <w:bookmarkStart w:id="61" w:name="_Toc496790201"/>
      <w:r>
        <w:rPr>
          <w:rFonts w:hint="eastAsia" w:hAnsi="宋体"/>
          <w:sz w:val="21"/>
          <w:szCs w:val="21"/>
        </w:rPr>
        <w:t>上市后措施</w:t>
      </w:r>
      <w:bookmarkEnd w:id="61"/>
    </w:p>
    <w:p w14:paraId="3A77289B">
      <w:pPr>
        <w:pStyle w:val="6"/>
        <w:kinsoku w:val="0"/>
        <w:overflowPunct w:val="0"/>
        <w:snapToGrid w:val="0"/>
        <w:spacing w:afterLines="50" w:line="360" w:lineRule="auto"/>
        <w:ind w:left="0"/>
        <w:jc w:val="both"/>
        <w:rPr>
          <w:sz w:val="21"/>
          <w:szCs w:val="21"/>
        </w:rPr>
      </w:pPr>
      <w:r>
        <w:rPr>
          <w:rFonts w:hint="eastAsia" w:hAnsi="宋体"/>
          <w:sz w:val="21"/>
          <w:szCs w:val="21"/>
        </w:rPr>
        <w:t>作为遵循</w:t>
      </w:r>
      <w:r>
        <w:rPr>
          <w:sz w:val="21"/>
          <w:szCs w:val="21"/>
        </w:rPr>
        <w:t>21 CFR</w:t>
      </w:r>
      <w:r>
        <w:rPr>
          <w:rFonts w:hint="eastAsia" w:hAnsi="宋体"/>
          <w:sz w:val="21"/>
          <w:szCs w:val="21"/>
        </w:rPr>
        <w:t>第</w:t>
      </w:r>
      <w:r>
        <w:rPr>
          <w:sz w:val="21"/>
          <w:szCs w:val="21"/>
        </w:rPr>
        <w:t>820</w:t>
      </w:r>
      <w:r>
        <w:rPr>
          <w:rFonts w:hint="eastAsia" w:hAnsi="宋体"/>
          <w:sz w:val="21"/>
          <w:szCs w:val="21"/>
        </w:rPr>
        <w:t>部分的质量体系法规的药物生产质量管理规范的一部分，您必须每年获取并分析上市后数据，以确保您的器械用于检测可能随时间发生进化的不同</w:t>
      </w:r>
      <w:r>
        <w:rPr>
          <w:sz w:val="21"/>
          <w:szCs w:val="21"/>
        </w:rPr>
        <w:t>DENV</w:t>
      </w:r>
      <w:r>
        <w:rPr>
          <w:rFonts w:hint="eastAsia" w:hAnsi="宋体"/>
          <w:sz w:val="21"/>
          <w:szCs w:val="21"/>
        </w:rPr>
        <w:t>毒株和血清型的持续可靠性。如果出现新的</w:t>
      </w:r>
      <w:r>
        <w:rPr>
          <w:sz w:val="21"/>
          <w:szCs w:val="21"/>
        </w:rPr>
        <w:t>DENV</w:t>
      </w:r>
      <w:r>
        <w:rPr>
          <w:rFonts w:hint="eastAsia" w:hAnsi="宋体"/>
          <w:sz w:val="21"/>
          <w:szCs w:val="21"/>
        </w:rPr>
        <w:t>毒株，或者如果在该器械批准时较不常见的</w:t>
      </w:r>
      <w:r>
        <w:rPr>
          <w:sz w:val="21"/>
          <w:szCs w:val="21"/>
        </w:rPr>
        <w:t>DENV</w:t>
      </w:r>
      <w:r>
        <w:rPr>
          <w:rFonts w:hint="eastAsia" w:hAnsi="宋体"/>
          <w:sz w:val="21"/>
          <w:szCs w:val="21"/>
        </w:rPr>
        <w:t>变得更加普遍时，这一点尤其重要。上市后数据必须阐述您的器械对于新</w:t>
      </w:r>
      <w:r>
        <w:rPr>
          <w:sz w:val="21"/>
          <w:szCs w:val="21"/>
        </w:rPr>
        <w:t>DENV</w:t>
      </w:r>
      <w:r>
        <w:rPr>
          <w:rFonts w:hint="eastAsia" w:hAnsi="宋体"/>
          <w:sz w:val="21"/>
          <w:szCs w:val="21"/>
        </w:rPr>
        <w:t>毒株的临床性能。</w:t>
      </w:r>
    </w:p>
    <w:p w14:paraId="4D88C1DD">
      <w:pPr>
        <w:snapToGrid w:val="0"/>
        <w:spacing w:line="360" w:lineRule="auto"/>
        <w:rPr>
          <w:sz w:val="21"/>
          <w:szCs w:val="21"/>
        </w:rPr>
      </w:pPr>
      <w:r>
        <w:rPr>
          <w:rFonts w:hint="eastAsia" w:hAnsi="宋体"/>
          <w:sz w:val="21"/>
          <w:szCs w:val="21"/>
        </w:rPr>
        <w:t>为证明您将如何解决特殊控制的这一方面，您必须提供</w:t>
      </w:r>
      <w:r>
        <w:rPr>
          <w:sz w:val="21"/>
          <w:szCs w:val="21"/>
        </w:rPr>
        <w:t>510</w:t>
      </w:r>
      <w:r>
        <w:rPr>
          <w:rFonts w:hint="eastAsia" w:hAnsi="宋体"/>
          <w:sz w:val="21"/>
          <w:szCs w:val="21"/>
        </w:rPr>
        <w:t>（</w:t>
      </w:r>
      <w:r>
        <w:rPr>
          <w:sz w:val="21"/>
          <w:szCs w:val="21"/>
        </w:rPr>
        <w:t>k</w:t>
      </w:r>
      <w:r>
        <w:rPr>
          <w:rFonts w:hint="eastAsia" w:hAnsi="宋体"/>
          <w:sz w:val="21"/>
          <w:szCs w:val="21"/>
        </w:rPr>
        <w:t>）的计划，描述您打算如何确保您的器械的性能特性不会随时间发生变化。该计划可能包括在您的器械规定的时间间隔内定期测试高度流行的</w:t>
      </w:r>
      <w:r>
        <w:rPr>
          <w:sz w:val="21"/>
          <w:szCs w:val="21"/>
        </w:rPr>
        <w:t>DENV</w:t>
      </w:r>
      <w:r>
        <w:rPr>
          <w:rFonts w:hint="eastAsia" w:hAnsi="宋体"/>
          <w:sz w:val="21"/>
          <w:szCs w:val="21"/>
        </w:rPr>
        <w:t>毒株。</w:t>
      </w:r>
      <w:r>
        <w:rPr>
          <w:sz w:val="21"/>
          <w:szCs w:val="21"/>
        </w:rPr>
        <w:t>FDA</w:t>
      </w:r>
      <w:r>
        <w:rPr>
          <w:rFonts w:hint="eastAsia" w:hAnsi="宋体"/>
          <w:sz w:val="21"/>
          <w:szCs w:val="21"/>
        </w:rPr>
        <w:t>将评价此计划是否有助于缓解器械所带来的风险，从而有助于对该器械的安全性和有效性提供合理保证。</w:t>
      </w:r>
    </w:p>
    <w:p w14:paraId="7B2F72C3">
      <w:pPr>
        <w:pStyle w:val="3"/>
        <w:numPr>
          <w:ilvl w:val="0"/>
          <w:numId w:val="1"/>
        </w:numPr>
        <w:kinsoku w:val="0"/>
        <w:overflowPunct w:val="0"/>
        <w:snapToGrid w:val="0"/>
        <w:spacing w:afterLines="50" w:line="360" w:lineRule="auto"/>
        <w:ind w:left="422" w:hanging="422" w:hangingChars="200"/>
        <w:jc w:val="both"/>
        <w:rPr>
          <w:sz w:val="21"/>
          <w:szCs w:val="21"/>
        </w:rPr>
      </w:pPr>
      <w:bookmarkStart w:id="62" w:name="_Toc496790202"/>
      <w:r>
        <w:rPr>
          <w:rFonts w:hint="eastAsia" w:hAnsi="宋体"/>
          <w:sz w:val="21"/>
          <w:szCs w:val="21"/>
        </w:rPr>
        <w:t>参考文献</w:t>
      </w:r>
      <w:bookmarkEnd w:id="62"/>
    </w:p>
    <w:p w14:paraId="72268B48">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Hunter’s Tropical Medicine, Viral Febrile Illnesses, Thomas P. Monath , Edition 7, pg. 202, 1988.</w:t>
      </w:r>
    </w:p>
    <w:p w14:paraId="5A460462">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Laboratory Standards Institute (CLSI). Procedures for Handling and Processing of Blood Specimens; Approved Guideline, CLSI Document H18-A4 (ISBN 1-56238-555-0) CLSI, 940 West Valley Road, Suite 1400, Wayne, Pennsylvania 19087-1898 USA, 2004.</w:t>
      </w:r>
    </w:p>
    <w:p w14:paraId="34C29591">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Emerging Infectious Diseases, Evaluation of Commercially Available Anti–dengue Virus Immunoglobulin M Test, Hunsperger EA, Yoksan S, Buchy P, Nguyen VC, Sekaran SD, Enria DA, et al., 15:436-440, 2009.</w:t>
      </w:r>
    </w:p>
    <w:p w14:paraId="20C4691A">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Laboratory Standards Institute (CLSI). Interference Testing in Clinical Chemistry; Approved Guideline, CLSI document EP07-A2 (ISBN 1-56238-584-4) CLSI, 940 West Valley Road, Suite 1400, Wayne, Pennsylvania 19087-1898 USA, 2005.</w:t>
      </w:r>
    </w:p>
    <w:p w14:paraId="21625A66">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Laboratory Standards Institute (CLSI). User Verification of Performance for Precision and Trueness; Approved Guideline, CLSI document EP15-A2 (ISBN 1-56238- 574-7) CLSI, 940 West Valley Road, Suite 1400, Wayne, Pennsylvania 19087-1898 USA, 2005.</w:t>
      </w:r>
    </w:p>
    <w:p w14:paraId="35A45881">
      <w:pPr>
        <w:pStyle w:val="6"/>
        <w:numPr>
          <w:ilvl w:val="0"/>
          <w:numId w:val="17"/>
        </w:numPr>
        <w:kinsoku w:val="0"/>
        <w:overflowPunct w:val="0"/>
        <w:snapToGrid w:val="0"/>
        <w:spacing w:afterLines="50" w:line="360" w:lineRule="auto"/>
        <w:ind w:left="424" w:hanging="424" w:hangingChars="202"/>
        <w:jc w:val="both"/>
        <w:rPr>
          <w:sz w:val="18"/>
          <w:szCs w:val="18"/>
        </w:rPr>
      </w:pPr>
      <w:r>
        <w:rPr>
          <w:sz w:val="21"/>
          <w:szCs w:val="21"/>
        </w:rPr>
        <w:br w:type="page"/>
      </w:r>
      <w:r>
        <w:rPr>
          <w:sz w:val="18"/>
          <w:szCs w:val="18"/>
        </w:rPr>
        <w:t>Clinical Laboratory Standards Institute (CLSI). Evaluation of Precision Performance of Quantitative Measurement Methods; Approved Guideline, CLSI document EP05-A2 (ISBN 1-56238-542-9) CLSI, 940 West Valley Road, Suite 1400, Wayne, Pennsylvania 19087-1898 USA, 2004.</w:t>
      </w:r>
    </w:p>
    <w:p w14:paraId="7D7DBAFF">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Laboratory Standards Institute (CLSI). User Verification of Performance for Precision and Trueness; Approved Guideline, CLSI document EP15-A2 (ISBN 1-56238- 574-7) CLSI, 940 West Valley Road, Suite 1400, Wayne, Pennsylvania 19087-1898 USA, 2005.</w:t>
      </w:r>
    </w:p>
    <w:p w14:paraId="428DDB74">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and Laboratory Standards Institute (CLSI). Protection of Laboratory Workers from Infectious Disease Transmitted by Blood, Body Fluids, and Tissue. CLSI document M29-A. CLSI, Wayne Pennsylvania 1997.</w:t>
      </w:r>
    </w:p>
    <w:p w14:paraId="612C47CB">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and Laboratory Standards Institute (CLSI).. Assessment of the Clinical Accuracy of Laboratory Tests Using Receiver Operating Characteristics (ROC) Plots; Approved Guideline CLSI document GP10-A. CLSI, Wayne Pennsylvania 1997.</w:t>
      </w:r>
    </w:p>
    <w:p w14:paraId="24E4CC9C">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and Laboratory Standards Institute. 2004. Nucleic Acid Sequencing Methods in diagnostic Laboratory Medicine; Approved Guideline. CLSI document MM9-A [ISBN 1- 56238-558-5] CLSI, Wayne Pennsylvania 2004.</w:t>
      </w:r>
    </w:p>
    <w:p w14:paraId="04F7EB9F">
      <w:pPr>
        <w:pStyle w:val="6"/>
        <w:numPr>
          <w:ilvl w:val="0"/>
          <w:numId w:val="17"/>
        </w:numPr>
        <w:kinsoku w:val="0"/>
        <w:overflowPunct w:val="0"/>
        <w:snapToGrid w:val="0"/>
        <w:spacing w:afterLines="50" w:line="360" w:lineRule="auto"/>
        <w:ind w:left="364" w:hanging="363" w:hangingChars="202"/>
        <w:jc w:val="both"/>
        <w:rPr>
          <w:sz w:val="18"/>
          <w:szCs w:val="18"/>
        </w:rPr>
      </w:pPr>
      <w:r>
        <w:rPr>
          <w:sz w:val="18"/>
          <w:szCs w:val="18"/>
        </w:rPr>
        <w:t>Clinical and Laboratory Standards Institute. 2006. Molecular Diagnostic Methods for Infectious Disease; Approved Guideline. CLSI document MM3-A2 [ISBN 1-56238-596-8] CLSI, Wayne Pennsylvania 2006.</w:t>
      </w:r>
    </w:p>
    <w:p w14:paraId="3FC8F76B">
      <w:pPr>
        <w:snapToGrid w:val="0"/>
        <w:spacing w:line="360" w:lineRule="auto"/>
        <w:rPr>
          <w:sz w:val="18"/>
          <w:szCs w:val="18"/>
        </w:rPr>
      </w:pPr>
    </w:p>
    <w:p w14:paraId="4075F8D2">
      <w:pPr>
        <w:pStyle w:val="2"/>
        <w:pBdr>
          <w:bottom w:val="single" w:color="auto" w:sz="4" w:space="1"/>
        </w:pBdr>
        <w:kinsoku w:val="0"/>
        <w:overflowPunct w:val="0"/>
        <w:snapToGrid w:val="0"/>
        <w:spacing w:before="0" w:afterLines="50" w:line="360" w:lineRule="auto"/>
        <w:ind w:left="0" w:firstLine="0"/>
        <w:jc w:val="center"/>
        <w:rPr>
          <w:rFonts w:hint="eastAsia" w:eastAsia="宋体"/>
          <w:lang w:eastAsia="zh-CN"/>
        </w:rPr>
      </w:pPr>
    </w:p>
    <w:p w14:paraId="1E4D0F24">
      <w:pPr>
        <w:pStyle w:val="2"/>
        <w:pBdr>
          <w:bottom w:val="single" w:color="auto" w:sz="4" w:space="1"/>
        </w:pBdr>
        <w:kinsoku w:val="0"/>
        <w:overflowPunct w:val="0"/>
        <w:snapToGrid w:val="0"/>
        <w:spacing w:before="0" w:afterLines="50" w:line="360" w:lineRule="auto"/>
        <w:ind w:left="0" w:firstLine="0"/>
        <w:jc w:val="center"/>
        <w:rPr>
          <w:rFonts w:hint="eastAsia" w:eastAsia="宋体"/>
          <w:lang w:eastAsia="zh-CN"/>
        </w:rPr>
      </w:pPr>
    </w:p>
    <w:p w14:paraId="7266DEC0">
      <w:pPr>
        <w:pStyle w:val="2"/>
        <w:pBdr>
          <w:bottom w:val="single" w:color="auto" w:sz="4" w:space="1"/>
        </w:pBdr>
        <w:kinsoku w:val="0"/>
        <w:overflowPunct w:val="0"/>
        <w:snapToGrid w:val="0"/>
        <w:spacing w:before="0" w:afterLines="50" w:line="360" w:lineRule="auto"/>
        <w:ind w:lef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40" w:right="1797" w:bottom="1440" w:left="1797"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206E">
    <w:pPr>
      <w:kinsoku w:val="0"/>
      <w:overflowPunct w:val="0"/>
      <w:spacing w:line="244" w:lineRule="exact"/>
      <w:ind w:left="40"/>
      <w:jc w:val="center"/>
      <w:rPr>
        <w:sz w:val="18"/>
        <w:szCs w:val="18"/>
      </w:rPr>
    </w:pPr>
    <w:r>
      <w:rPr>
        <w:w w:val="105"/>
        <w:sz w:val="18"/>
        <w:szCs w:val="18"/>
      </w:rPr>
      <w:fldChar w:fldCharType="begin"/>
    </w:r>
    <w:r>
      <w:rPr>
        <w:w w:val="105"/>
        <w:sz w:val="18"/>
        <w:szCs w:val="18"/>
      </w:rPr>
      <w:instrText xml:space="preserve"> PAGE </w:instrText>
    </w:r>
    <w:r>
      <w:rPr>
        <w:w w:val="105"/>
        <w:sz w:val="18"/>
        <w:szCs w:val="18"/>
      </w:rPr>
      <w:fldChar w:fldCharType="separate"/>
    </w:r>
    <w:r>
      <w:rPr>
        <w:w w:val="105"/>
        <w:sz w:val="18"/>
        <w:szCs w:val="18"/>
      </w:rPr>
      <w:t>1</w:t>
    </w:r>
    <w:r>
      <w:rPr>
        <w:w w:val="105"/>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6FF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5"/>
    <w:multiLevelType w:val="multilevel"/>
    <w:tmpl w:val="00000405"/>
    <w:lvl w:ilvl="0" w:tentative="0">
      <w:start w:val="1"/>
      <w:numFmt w:val="decimal"/>
      <w:lvlText w:val="%1."/>
      <w:lvlJc w:val="left"/>
      <w:pPr>
        <w:ind w:hanging="360"/>
      </w:pPr>
      <w:rPr>
        <w:rFonts w:ascii="Times New Roman" w:hAnsi="Times New Roman" w:cs="Times New Roman"/>
        <w:b/>
        <w:bCs/>
        <w:spacing w:val="-1"/>
        <w:w w:val="104"/>
        <w:sz w:val="21"/>
        <w:szCs w:val="21"/>
      </w:rPr>
    </w:lvl>
    <w:lvl w:ilvl="1" w:tentative="0">
      <w:start w:val="1"/>
      <w:numFmt w:val="lowerLetter"/>
      <w:lvlText w:val="%2."/>
      <w:lvlJc w:val="left"/>
      <w:pPr>
        <w:ind w:hanging="291"/>
      </w:pPr>
      <w:rPr>
        <w:rFonts w:ascii="Times New Roman" w:hAnsi="Times New Roman" w:cs="Times New Roman"/>
        <w:b/>
        <w:bCs/>
        <w:spacing w:val="-7"/>
        <w:w w:val="104"/>
        <w:sz w:val="21"/>
        <w:szCs w:val="21"/>
      </w:rPr>
    </w:lvl>
    <w:lvl w:ilvl="2" w:tentative="0">
      <w:start w:val="0"/>
      <w:numFmt w:val="bullet"/>
      <w:lvlText w:val="•"/>
      <w:lvlJc w:val="left"/>
      <w:pPr>
        <w:ind w:hanging="360"/>
      </w:pPr>
      <w:rPr>
        <w:rFonts w:ascii="Arial" w:hAnsi="Arial"/>
        <w:b w:val="0"/>
        <w:w w:val="138"/>
        <w:sz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6"/>
    <w:multiLevelType w:val="multilevel"/>
    <w:tmpl w:val="00000406"/>
    <w:lvl w:ilvl="0" w:tentative="0">
      <w:start w:val="1"/>
      <w:numFmt w:val="decimal"/>
      <w:lvlText w:val="%1"/>
      <w:lvlJc w:val="left"/>
      <w:pPr>
        <w:ind w:hanging="112"/>
      </w:pPr>
      <w:rPr>
        <w:rFonts w:ascii="Calibri" w:hAnsi="Calibri" w:cs="Calibri"/>
        <w:b w:val="0"/>
        <w:bCs w:val="0"/>
        <w:w w:val="99"/>
        <w:position w:val="10"/>
        <w:sz w:val="13"/>
        <w:szCs w:val="13"/>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7"/>
    <w:multiLevelType w:val="multilevel"/>
    <w:tmpl w:val="00000407"/>
    <w:lvl w:ilvl="0" w:tentative="0">
      <w:start w:val="1"/>
      <w:numFmt w:val="lowerLetter"/>
      <w:lvlText w:val="%1."/>
      <w:lvlJc w:val="left"/>
      <w:pPr>
        <w:ind w:hanging="360"/>
      </w:pPr>
      <w:rPr>
        <w:rFonts w:ascii="Times New Roman" w:hAnsi="Times New Roman" w:cs="Times New Roman"/>
        <w:b/>
        <w:bCs/>
        <w:w w:val="103"/>
        <w:sz w:val="21"/>
        <w:szCs w:val="21"/>
      </w:rPr>
    </w:lvl>
    <w:lvl w:ilvl="1" w:tentative="0">
      <w:start w:val="0"/>
      <w:numFmt w:val="bullet"/>
      <w:lvlText w:val="•"/>
      <w:lvlJc w:val="left"/>
      <w:pPr>
        <w:ind w:hanging="353"/>
      </w:pPr>
      <w:rPr>
        <w:rFonts w:ascii="Arial" w:hAnsi="Arial"/>
        <w:b w:val="0"/>
        <w:w w:val="138"/>
        <w:sz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09"/>
    <w:multiLevelType w:val="multilevel"/>
    <w:tmpl w:val="00000409"/>
    <w:lvl w:ilvl="0" w:tentative="0">
      <w:start w:val="1"/>
      <w:numFmt w:val="lowerLetter"/>
      <w:lvlText w:val="%1."/>
      <w:lvlJc w:val="left"/>
      <w:pPr>
        <w:ind w:hanging="360"/>
      </w:pPr>
      <w:rPr>
        <w:rFonts w:ascii="Times New Roman" w:hAnsi="Times New Roman" w:cs="Times New Roman"/>
        <w:b/>
        <w:bCs/>
        <w:spacing w:val="-3"/>
        <w:w w:val="103"/>
        <w:sz w:val="21"/>
        <w:szCs w:val="21"/>
      </w:rPr>
    </w:lvl>
    <w:lvl w:ilvl="1" w:tentative="0">
      <w:start w:val="1"/>
      <w:numFmt w:val="decimal"/>
      <w:lvlText w:val="(%2)"/>
      <w:lvlJc w:val="left"/>
      <w:pPr>
        <w:ind w:hanging="340"/>
      </w:pPr>
      <w:rPr>
        <w:rFonts w:ascii="Times New Roman" w:hAnsi="Times New Roman" w:cs="Times New Roman"/>
        <w:b/>
        <w:bCs/>
        <w:spacing w:val="-5"/>
        <w:w w:val="104"/>
        <w:sz w:val="21"/>
        <w:szCs w:val="21"/>
      </w:rPr>
    </w:lvl>
    <w:lvl w:ilvl="2" w:tentative="0">
      <w:start w:val="1"/>
      <w:numFmt w:val="lowerLetter"/>
      <w:lvlText w:val="(%3)"/>
      <w:lvlJc w:val="left"/>
      <w:pPr>
        <w:ind w:hanging="319"/>
      </w:pPr>
      <w:rPr>
        <w:rFonts w:ascii="Times New Roman" w:hAnsi="Times New Roman" w:cs="Times New Roman"/>
        <w:b w:val="0"/>
        <w:bCs w:val="0"/>
        <w:spacing w:val="-7"/>
        <w:w w:val="105"/>
        <w:sz w:val="21"/>
        <w:szCs w:val="21"/>
      </w:rPr>
    </w:lvl>
    <w:lvl w:ilvl="3" w:tentative="0">
      <w:start w:val="0"/>
      <w:numFmt w:val="bullet"/>
      <w:lvlText w:val="•"/>
      <w:lvlJc w:val="left"/>
      <w:pPr>
        <w:ind w:hanging="354"/>
      </w:pPr>
      <w:rPr>
        <w:rFonts w:ascii="Arial" w:hAnsi="Arial"/>
        <w:b w:val="0"/>
        <w:w w:val="138"/>
        <w:sz w:val="24"/>
      </w:rPr>
    </w:lvl>
    <w:lvl w:ilvl="4" w:tentative="0">
      <w:start w:val="0"/>
      <w:numFmt w:val="bullet"/>
      <w:lvlText w:val="•"/>
      <w:lvlJc w:val="left"/>
      <w:pPr>
        <w:ind w:hanging="353"/>
      </w:pPr>
      <w:rPr>
        <w:rFonts w:ascii="Arial" w:hAnsi="Arial"/>
        <w:b w:val="0"/>
        <w:w w:val="138"/>
        <w:sz w:val="24"/>
      </w:rPr>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0B"/>
    <w:multiLevelType w:val="multilevel"/>
    <w:tmpl w:val="0000040B"/>
    <w:lvl w:ilvl="0" w:tentative="0">
      <w:start w:val="1"/>
      <w:numFmt w:val="decimal"/>
      <w:lvlText w:val="%1."/>
      <w:lvlJc w:val="left"/>
      <w:pPr>
        <w:ind w:hanging="300"/>
      </w:pPr>
      <w:rPr>
        <w:rFonts w:ascii="Times New Roman" w:hAnsi="Times New Roman" w:cs="Times New Roman"/>
        <w:b w:val="0"/>
        <w:bCs w:val="0"/>
        <w:sz w:val="18"/>
        <w:szCs w:val="18"/>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0000040C"/>
    <w:multiLevelType w:val="multilevel"/>
    <w:tmpl w:val="0000040C"/>
    <w:lvl w:ilvl="0" w:tentative="0">
      <w:start w:val="1"/>
      <w:numFmt w:val="lowerLetter"/>
      <w:lvlText w:val="(%1)"/>
      <w:lvlJc w:val="left"/>
      <w:pPr>
        <w:ind w:hanging="328"/>
      </w:pPr>
      <w:rPr>
        <w:rFonts w:ascii="Times New Roman" w:hAnsi="Times New Roman" w:cs="Times New Roman"/>
        <w:b w:val="0"/>
        <w:bCs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03FB61B1"/>
    <w:multiLevelType w:val="multilevel"/>
    <w:tmpl w:val="03FB61B1"/>
    <w:lvl w:ilvl="0" w:tentative="0">
      <w:start w:val="2"/>
      <w:numFmt w:val="lowerLetter"/>
      <w:lvlText w:val="%1."/>
      <w:lvlJc w:val="left"/>
      <w:pPr>
        <w:ind w:hanging="360"/>
      </w:pPr>
      <w:rPr>
        <w:rFonts w:hint="eastAsia" w:ascii="Times New Roman" w:hAnsi="Times New Roman" w:cs="Times New Roman"/>
        <w:b/>
        <w:bCs/>
        <w:spacing w:val="-3"/>
        <w:w w:val="103"/>
        <w:sz w:val="21"/>
        <w:szCs w:val="21"/>
      </w:rPr>
    </w:lvl>
    <w:lvl w:ilvl="1" w:tentative="0">
      <w:start w:val="1"/>
      <w:numFmt w:val="decimal"/>
      <w:lvlText w:val="(%2)"/>
      <w:lvlJc w:val="left"/>
      <w:pPr>
        <w:ind w:hanging="340"/>
      </w:pPr>
      <w:rPr>
        <w:rFonts w:hint="eastAsia" w:ascii="Times New Roman" w:hAnsi="Times New Roman" w:cs="Times New Roman"/>
        <w:b/>
        <w:bCs/>
        <w:spacing w:val="-5"/>
        <w:w w:val="104"/>
        <w:sz w:val="21"/>
        <w:szCs w:val="21"/>
      </w:rPr>
    </w:lvl>
    <w:lvl w:ilvl="2" w:tentative="0">
      <w:start w:val="1"/>
      <w:numFmt w:val="lowerLetter"/>
      <w:lvlText w:val="(%3)"/>
      <w:lvlJc w:val="left"/>
      <w:pPr>
        <w:ind w:hanging="319"/>
      </w:pPr>
      <w:rPr>
        <w:rFonts w:hint="eastAsia" w:ascii="Times New Roman" w:hAnsi="Times New Roman" w:cs="Times New Roman"/>
        <w:b w:val="0"/>
        <w:bCs w:val="0"/>
        <w:spacing w:val="-7"/>
        <w:w w:val="105"/>
        <w:sz w:val="21"/>
        <w:szCs w:val="21"/>
      </w:rPr>
    </w:lvl>
    <w:lvl w:ilvl="3" w:tentative="0">
      <w:start w:val="0"/>
      <w:numFmt w:val="bullet"/>
      <w:lvlText w:val="•"/>
      <w:lvlJc w:val="left"/>
      <w:pPr>
        <w:ind w:hanging="354"/>
      </w:pPr>
      <w:rPr>
        <w:rFonts w:hint="eastAsia" w:ascii="Arial" w:hAnsi="Arial"/>
        <w:b w:val="0"/>
        <w:w w:val="138"/>
        <w:sz w:val="24"/>
      </w:rPr>
    </w:lvl>
    <w:lvl w:ilvl="4" w:tentative="0">
      <w:start w:val="0"/>
      <w:numFmt w:val="bullet"/>
      <w:lvlText w:val="•"/>
      <w:lvlJc w:val="left"/>
      <w:pPr>
        <w:ind w:hanging="353"/>
      </w:pPr>
      <w:rPr>
        <w:rFonts w:hint="eastAsia" w:ascii="Arial" w:hAnsi="Arial"/>
        <w:b w:val="0"/>
        <w:w w:val="138"/>
        <w:sz w:val="24"/>
      </w:rPr>
    </w:lvl>
    <w:lvl w:ilvl="5" w:tentative="0">
      <w:start w:val="0"/>
      <w:numFmt w:val="bullet"/>
      <w:lvlText w:val="•"/>
      <w:lvlJc w:val="left"/>
      <w:rPr>
        <w:rFonts w:hint="eastAsia"/>
      </w:rPr>
    </w:lvl>
    <w:lvl w:ilvl="6" w:tentative="0">
      <w:start w:val="0"/>
      <w:numFmt w:val="bullet"/>
      <w:lvlText w:val="•"/>
      <w:lvlJc w:val="left"/>
      <w:rPr>
        <w:rFonts w:hint="eastAsia"/>
      </w:rPr>
    </w:lvl>
    <w:lvl w:ilvl="7" w:tentative="0">
      <w:start w:val="0"/>
      <w:numFmt w:val="bullet"/>
      <w:lvlText w:val="•"/>
      <w:lvlJc w:val="left"/>
      <w:rPr>
        <w:rFonts w:hint="eastAsia"/>
      </w:rPr>
    </w:lvl>
    <w:lvl w:ilvl="8" w:tentative="0">
      <w:start w:val="0"/>
      <w:numFmt w:val="bullet"/>
      <w:lvlText w:val="•"/>
      <w:lvlJc w:val="left"/>
      <w:rPr>
        <w:rFonts w:hint="eastAsia"/>
      </w:rPr>
    </w:lvl>
  </w:abstractNum>
  <w:abstractNum w:abstractNumId="7">
    <w:nsid w:val="0B4B7097"/>
    <w:multiLevelType w:val="multilevel"/>
    <w:tmpl w:val="0B4B70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0C45F28"/>
    <w:multiLevelType w:val="multilevel"/>
    <w:tmpl w:val="10C45F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FED5523"/>
    <w:multiLevelType w:val="multilevel"/>
    <w:tmpl w:val="2FED55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9980FEE"/>
    <w:multiLevelType w:val="multilevel"/>
    <w:tmpl w:val="49980F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E236813"/>
    <w:multiLevelType w:val="multilevel"/>
    <w:tmpl w:val="4E2368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A2A4DC7"/>
    <w:multiLevelType w:val="multilevel"/>
    <w:tmpl w:val="5A2A4DC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2DC55DA"/>
    <w:multiLevelType w:val="multilevel"/>
    <w:tmpl w:val="62DC55DA"/>
    <w:lvl w:ilvl="0" w:tentative="0">
      <w:start w:val="4"/>
      <w:numFmt w:val="lowerLetter"/>
      <w:lvlText w:val="%1."/>
      <w:lvlJc w:val="left"/>
      <w:pPr>
        <w:ind w:hanging="360"/>
      </w:pPr>
      <w:rPr>
        <w:rFonts w:hint="eastAsia" w:ascii="Times New Roman" w:hAnsi="Times New Roman" w:cs="Times New Roman"/>
        <w:b/>
        <w:bCs/>
        <w:spacing w:val="-3"/>
        <w:w w:val="103"/>
        <w:sz w:val="21"/>
        <w:szCs w:val="21"/>
      </w:rPr>
    </w:lvl>
    <w:lvl w:ilvl="1" w:tentative="0">
      <w:start w:val="3"/>
      <w:numFmt w:val="decimal"/>
      <w:lvlText w:val="(%2)"/>
      <w:lvlJc w:val="left"/>
      <w:pPr>
        <w:ind w:hanging="340"/>
      </w:pPr>
      <w:rPr>
        <w:rFonts w:hint="eastAsia" w:ascii="Times New Roman" w:hAnsi="Times New Roman" w:cs="Times New Roman"/>
        <w:b/>
        <w:bCs/>
        <w:spacing w:val="-5"/>
        <w:w w:val="104"/>
        <w:sz w:val="21"/>
        <w:szCs w:val="21"/>
      </w:rPr>
    </w:lvl>
    <w:lvl w:ilvl="2" w:tentative="0">
      <w:start w:val="1"/>
      <w:numFmt w:val="lowerLetter"/>
      <w:lvlText w:val="(%3)"/>
      <w:lvlJc w:val="left"/>
      <w:pPr>
        <w:ind w:hanging="319"/>
      </w:pPr>
      <w:rPr>
        <w:rFonts w:hint="eastAsia" w:ascii="Times New Roman" w:hAnsi="Times New Roman" w:cs="Times New Roman"/>
        <w:b w:val="0"/>
        <w:bCs w:val="0"/>
        <w:spacing w:val="-7"/>
        <w:w w:val="105"/>
        <w:sz w:val="21"/>
        <w:szCs w:val="21"/>
      </w:rPr>
    </w:lvl>
    <w:lvl w:ilvl="3" w:tentative="0">
      <w:start w:val="0"/>
      <w:numFmt w:val="bullet"/>
      <w:lvlText w:val="•"/>
      <w:lvlJc w:val="left"/>
      <w:pPr>
        <w:ind w:hanging="354"/>
      </w:pPr>
      <w:rPr>
        <w:rFonts w:hint="eastAsia" w:ascii="Arial" w:hAnsi="Arial"/>
        <w:b w:val="0"/>
        <w:w w:val="138"/>
        <w:sz w:val="24"/>
      </w:rPr>
    </w:lvl>
    <w:lvl w:ilvl="4" w:tentative="0">
      <w:start w:val="0"/>
      <w:numFmt w:val="bullet"/>
      <w:lvlText w:val="•"/>
      <w:lvlJc w:val="left"/>
      <w:pPr>
        <w:ind w:hanging="353"/>
      </w:pPr>
      <w:rPr>
        <w:rFonts w:hint="eastAsia" w:ascii="Arial" w:hAnsi="Arial"/>
        <w:b w:val="0"/>
        <w:w w:val="138"/>
        <w:sz w:val="24"/>
      </w:rPr>
    </w:lvl>
    <w:lvl w:ilvl="5" w:tentative="0">
      <w:start w:val="0"/>
      <w:numFmt w:val="bullet"/>
      <w:lvlText w:val="•"/>
      <w:lvlJc w:val="left"/>
      <w:rPr>
        <w:rFonts w:hint="eastAsia"/>
      </w:rPr>
    </w:lvl>
    <w:lvl w:ilvl="6" w:tentative="0">
      <w:start w:val="0"/>
      <w:numFmt w:val="bullet"/>
      <w:lvlText w:val="•"/>
      <w:lvlJc w:val="left"/>
      <w:rPr>
        <w:rFonts w:hint="eastAsia"/>
      </w:rPr>
    </w:lvl>
    <w:lvl w:ilvl="7" w:tentative="0">
      <w:start w:val="0"/>
      <w:numFmt w:val="bullet"/>
      <w:lvlText w:val="•"/>
      <w:lvlJc w:val="left"/>
      <w:rPr>
        <w:rFonts w:hint="eastAsia"/>
      </w:rPr>
    </w:lvl>
    <w:lvl w:ilvl="8" w:tentative="0">
      <w:start w:val="0"/>
      <w:numFmt w:val="bullet"/>
      <w:lvlText w:val="•"/>
      <w:lvlJc w:val="left"/>
      <w:rPr>
        <w:rFonts w:hint="eastAsia"/>
      </w:rPr>
    </w:lvl>
  </w:abstractNum>
  <w:abstractNum w:abstractNumId="14">
    <w:nsid w:val="715F0D7B"/>
    <w:multiLevelType w:val="multilevel"/>
    <w:tmpl w:val="715F0D7B"/>
    <w:lvl w:ilvl="0" w:tentative="0">
      <w:start w:val="2"/>
      <w:numFmt w:val="lowerLetter"/>
      <w:lvlText w:val="%1."/>
      <w:lvlJc w:val="left"/>
      <w:pPr>
        <w:ind w:hanging="360"/>
      </w:pPr>
      <w:rPr>
        <w:rFonts w:hint="eastAsia" w:ascii="Times New Roman" w:hAnsi="Times New Roman" w:cs="Times New Roman"/>
        <w:b/>
        <w:bCs/>
        <w:spacing w:val="-3"/>
        <w:w w:val="103"/>
        <w:sz w:val="21"/>
        <w:szCs w:val="21"/>
      </w:rPr>
    </w:lvl>
    <w:lvl w:ilvl="1" w:tentative="0">
      <w:start w:val="1"/>
      <w:numFmt w:val="decimal"/>
      <w:lvlText w:val="(%2)"/>
      <w:lvlJc w:val="left"/>
      <w:pPr>
        <w:ind w:hanging="340"/>
      </w:pPr>
      <w:rPr>
        <w:rFonts w:hint="eastAsia" w:ascii="Times New Roman" w:hAnsi="Times New Roman" w:cs="Times New Roman"/>
        <w:b/>
        <w:bCs/>
        <w:spacing w:val="-5"/>
        <w:w w:val="104"/>
        <w:sz w:val="21"/>
        <w:szCs w:val="21"/>
      </w:rPr>
    </w:lvl>
    <w:lvl w:ilvl="2" w:tentative="0">
      <w:start w:val="1"/>
      <w:numFmt w:val="lowerLetter"/>
      <w:lvlText w:val="(%3)"/>
      <w:lvlJc w:val="left"/>
      <w:pPr>
        <w:ind w:hanging="319"/>
      </w:pPr>
      <w:rPr>
        <w:rFonts w:hint="eastAsia" w:ascii="Times New Roman" w:hAnsi="Times New Roman" w:cs="Times New Roman"/>
        <w:b w:val="0"/>
        <w:bCs w:val="0"/>
        <w:spacing w:val="-7"/>
        <w:w w:val="105"/>
        <w:sz w:val="21"/>
        <w:szCs w:val="21"/>
      </w:rPr>
    </w:lvl>
    <w:lvl w:ilvl="3" w:tentative="0">
      <w:start w:val="0"/>
      <w:numFmt w:val="bullet"/>
      <w:lvlText w:val="•"/>
      <w:lvlJc w:val="left"/>
      <w:pPr>
        <w:ind w:hanging="354"/>
      </w:pPr>
      <w:rPr>
        <w:rFonts w:hint="eastAsia" w:ascii="Arial" w:hAnsi="Arial"/>
        <w:b w:val="0"/>
        <w:w w:val="138"/>
        <w:sz w:val="24"/>
      </w:rPr>
    </w:lvl>
    <w:lvl w:ilvl="4" w:tentative="0">
      <w:start w:val="0"/>
      <w:numFmt w:val="bullet"/>
      <w:lvlText w:val="•"/>
      <w:lvlJc w:val="left"/>
      <w:pPr>
        <w:ind w:hanging="353"/>
      </w:pPr>
      <w:rPr>
        <w:rFonts w:hint="eastAsia" w:ascii="Arial" w:hAnsi="Arial"/>
        <w:b w:val="0"/>
        <w:w w:val="138"/>
        <w:sz w:val="24"/>
      </w:rPr>
    </w:lvl>
    <w:lvl w:ilvl="5" w:tentative="0">
      <w:start w:val="0"/>
      <w:numFmt w:val="bullet"/>
      <w:lvlText w:val="•"/>
      <w:lvlJc w:val="left"/>
      <w:rPr>
        <w:rFonts w:hint="eastAsia"/>
      </w:rPr>
    </w:lvl>
    <w:lvl w:ilvl="6" w:tentative="0">
      <w:start w:val="0"/>
      <w:numFmt w:val="bullet"/>
      <w:lvlText w:val="•"/>
      <w:lvlJc w:val="left"/>
      <w:rPr>
        <w:rFonts w:hint="eastAsia"/>
      </w:rPr>
    </w:lvl>
    <w:lvl w:ilvl="7" w:tentative="0">
      <w:start w:val="0"/>
      <w:numFmt w:val="bullet"/>
      <w:lvlText w:val="•"/>
      <w:lvlJc w:val="left"/>
      <w:rPr>
        <w:rFonts w:hint="eastAsia"/>
      </w:rPr>
    </w:lvl>
    <w:lvl w:ilvl="8" w:tentative="0">
      <w:start w:val="0"/>
      <w:numFmt w:val="bullet"/>
      <w:lvlText w:val="•"/>
      <w:lvlJc w:val="left"/>
      <w:rPr>
        <w:rFonts w:hint="eastAsia"/>
      </w:rPr>
    </w:lvl>
  </w:abstractNum>
  <w:abstractNum w:abstractNumId="15">
    <w:nsid w:val="72CA7419"/>
    <w:multiLevelType w:val="multilevel"/>
    <w:tmpl w:val="72CA74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053E1E"/>
    <w:multiLevelType w:val="multilevel"/>
    <w:tmpl w:val="74053E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1"/>
  </w:num>
  <w:num w:numId="4">
    <w:abstractNumId w:val="2"/>
  </w:num>
  <w:num w:numId="5">
    <w:abstractNumId w:val="8"/>
  </w:num>
  <w:num w:numId="6">
    <w:abstractNumId w:val="9"/>
  </w:num>
  <w:num w:numId="7">
    <w:abstractNumId w:val="10"/>
  </w:num>
  <w:num w:numId="8">
    <w:abstractNumId w:val="15"/>
  </w:num>
  <w:num w:numId="9">
    <w:abstractNumId w:val="3"/>
  </w:num>
  <w:num w:numId="10">
    <w:abstractNumId w:val="11"/>
  </w:num>
  <w:num w:numId="11">
    <w:abstractNumId w:val="16"/>
  </w:num>
  <w:num w:numId="12">
    <w:abstractNumId w:val="7"/>
  </w:num>
  <w:num w:numId="13">
    <w:abstractNumId w:val="6"/>
  </w:num>
  <w:num w:numId="14">
    <w:abstractNumId w:val="13"/>
  </w:num>
  <w:num w:numId="15">
    <w:abstractNumId w:val="14"/>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noLineBreaksAfter w:lang="zh-CN" w:val="$([{£¥·‘“〈《「『【〔〖〝﹙﹛﹝＄（．［｛￡￥"/>
  <w:noLineBreaksBefore w:lang="zh-CN" w:val="!%),.:;&gt;?]}¢¨°·ˇˉ―‖’”…‰′″›℃∶、。〃〉》」』】〕〗〞︶︺︾﹀﹄﹚﹜﹞！＂％＇），．：；？］｀｜｝～￠"/>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EE3A00"/>
    <w:rsid w:val="0000687F"/>
    <w:rsid w:val="00007631"/>
    <w:rsid w:val="00014119"/>
    <w:rsid w:val="00014D3B"/>
    <w:rsid w:val="000167DD"/>
    <w:rsid w:val="0002505A"/>
    <w:rsid w:val="0004790D"/>
    <w:rsid w:val="00047C99"/>
    <w:rsid w:val="00076D95"/>
    <w:rsid w:val="000863D0"/>
    <w:rsid w:val="0008747C"/>
    <w:rsid w:val="00087F1C"/>
    <w:rsid w:val="0009156C"/>
    <w:rsid w:val="000A78F2"/>
    <w:rsid w:val="000B5A81"/>
    <w:rsid w:val="000C633E"/>
    <w:rsid w:val="000D256E"/>
    <w:rsid w:val="000E06CF"/>
    <w:rsid w:val="001008CE"/>
    <w:rsid w:val="00106B84"/>
    <w:rsid w:val="00124992"/>
    <w:rsid w:val="0015523C"/>
    <w:rsid w:val="00162EA6"/>
    <w:rsid w:val="00171628"/>
    <w:rsid w:val="00172FC6"/>
    <w:rsid w:val="00174CC4"/>
    <w:rsid w:val="001760A7"/>
    <w:rsid w:val="001849AE"/>
    <w:rsid w:val="00185C89"/>
    <w:rsid w:val="00191C1F"/>
    <w:rsid w:val="001A7A25"/>
    <w:rsid w:val="001B1137"/>
    <w:rsid w:val="001B3E89"/>
    <w:rsid w:val="001B685F"/>
    <w:rsid w:val="001C3A80"/>
    <w:rsid w:val="001D3404"/>
    <w:rsid w:val="001E1AEF"/>
    <w:rsid w:val="001F1576"/>
    <w:rsid w:val="001F4089"/>
    <w:rsid w:val="001F6CBE"/>
    <w:rsid w:val="002007E8"/>
    <w:rsid w:val="0021542B"/>
    <w:rsid w:val="002456BC"/>
    <w:rsid w:val="0025190C"/>
    <w:rsid w:val="002558B0"/>
    <w:rsid w:val="00274D2A"/>
    <w:rsid w:val="00275844"/>
    <w:rsid w:val="002824C9"/>
    <w:rsid w:val="002C3273"/>
    <w:rsid w:val="002F22C4"/>
    <w:rsid w:val="002F29A3"/>
    <w:rsid w:val="002F2FFF"/>
    <w:rsid w:val="002F36D2"/>
    <w:rsid w:val="002F382A"/>
    <w:rsid w:val="0030245F"/>
    <w:rsid w:val="003048AA"/>
    <w:rsid w:val="00305EEA"/>
    <w:rsid w:val="0031369C"/>
    <w:rsid w:val="00334FA2"/>
    <w:rsid w:val="00335398"/>
    <w:rsid w:val="00353C60"/>
    <w:rsid w:val="0036170E"/>
    <w:rsid w:val="0036488B"/>
    <w:rsid w:val="00370E7A"/>
    <w:rsid w:val="00382449"/>
    <w:rsid w:val="003A1999"/>
    <w:rsid w:val="003A3591"/>
    <w:rsid w:val="003A4F35"/>
    <w:rsid w:val="003B6AB9"/>
    <w:rsid w:val="003C55CA"/>
    <w:rsid w:val="003E2ACD"/>
    <w:rsid w:val="003E4F2F"/>
    <w:rsid w:val="003E7FE2"/>
    <w:rsid w:val="003F3B7F"/>
    <w:rsid w:val="00404592"/>
    <w:rsid w:val="0040725A"/>
    <w:rsid w:val="004415E0"/>
    <w:rsid w:val="00442F2B"/>
    <w:rsid w:val="00457D48"/>
    <w:rsid w:val="004611A8"/>
    <w:rsid w:val="004614FF"/>
    <w:rsid w:val="004761CD"/>
    <w:rsid w:val="004825E2"/>
    <w:rsid w:val="00494ED1"/>
    <w:rsid w:val="004B70C7"/>
    <w:rsid w:val="004C3E20"/>
    <w:rsid w:val="004C4435"/>
    <w:rsid w:val="004C7231"/>
    <w:rsid w:val="004E0059"/>
    <w:rsid w:val="004E1A26"/>
    <w:rsid w:val="004E588F"/>
    <w:rsid w:val="004F43F3"/>
    <w:rsid w:val="00501006"/>
    <w:rsid w:val="0050725E"/>
    <w:rsid w:val="00527BF6"/>
    <w:rsid w:val="00530A29"/>
    <w:rsid w:val="00543A5D"/>
    <w:rsid w:val="005541EF"/>
    <w:rsid w:val="00554D4E"/>
    <w:rsid w:val="00567F3B"/>
    <w:rsid w:val="00571A92"/>
    <w:rsid w:val="005805FE"/>
    <w:rsid w:val="005808A8"/>
    <w:rsid w:val="00583552"/>
    <w:rsid w:val="005D0565"/>
    <w:rsid w:val="006058BD"/>
    <w:rsid w:val="0060749F"/>
    <w:rsid w:val="00623E14"/>
    <w:rsid w:val="006268DF"/>
    <w:rsid w:val="00636C01"/>
    <w:rsid w:val="00657E96"/>
    <w:rsid w:val="00667A6A"/>
    <w:rsid w:val="006834A2"/>
    <w:rsid w:val="0069071F"/>
    <w:rsid w:val="00691D9D"/>
    <w:rsid w:val="00693B2E"/>
    <w:rsid w:val="0069521F"/>
    <w:rsid w:val="006974C7"/>
    <w:rsid w:val="006C4711"/>
    <w:rsid w:val="006C6FFB"/>
    <w:rsid w:val="006D22B0"/>
    <w:rsid w:val="006D5278"/>
    <w:rsid w:val="006D7A9C"/>
    <w:rsid w:val="006E5F62"/>
    <w:rsid w:val="006F0738"/>
    <w:rsid w:val="006F3CD2"/>
    <w:rsid w:val="00720908"/>
    <w:rsid w:val="00725EFC"/>
    <w:rsid w:val="007276D2"/>
    <w:rsid w:val="00737554"/>
    <w:rsid w:val="007441AE"/>
    <w:rsid w:val="00781456"/>
    <w:rsid w:val="00781BA5"/>
    <w:rsid w:val="00783213"/>
    <w:rsid w:val="007C0EAB"/>
    <w:rsid w:val="007C1915"/>
    <w:rsid w:val="007C702A"/>
    <w:rsid w:val="007D7092"/>
    <w:rsid w:val="007D715E"/>
    <w:rsid w:val="007E126B"/>
    <w:rsid w:val="007E3A11"/>
    <w:rsid w:val="007E51AE"/>
    <w:rsid w:val="007F19B8"/>
    <w:rsid w:val="007F480A"/>
    <w:rsid w:val="007F7E4A"/>
    <w:rsid w:val="00802106"/>
    <w:rsid w:val="00814E29"/>
    <w:rsid w:val="008205F9"/>
    <w:rsid w:val="00832BBA"/>
    <w:rsid w:val="008442E0"/>
    <w:rsid w:val="0085114D"/>
    <w:rsid w:val="00851E86"/>
    <w:rsid w:val="0085270B"/>
    <w:rsid w:val="0085301A"/>
    <w:rsid w:val="008627BA"/>
    <w:rsid w:val="0089093D"/>
    <w:rsid w:val="008967F6"/>
    <w:rsid w:val="008A3083"/>
    <w:rsid w:val="008C3EB5"/>
    <w:rsid w:val="008C5CD4"/>
    <w:rsid w:val="008D52B0"/>
    <w:rsid w:val="008F56C3"/>
    <w:rsid w:val="009067BA"/>
    <w:rsid w:val="00934333"/>
    <w:rsid w:val="00936294"/>
    <w:rsid w:val="009645F6"/>
    <w:rsid w:val="00994A19"/>
    <w:rsid w:val="009B4739"/>
    <w:rsid w:val="009B7855"/>
    <w:rsid w:val="009C503A"/>
    <w:rsid w:val="009C6414"/>
    <w:rsid w:val="009D5CA3"/>
    <w:rsid w:val="009F241A"/>
    <w:rsid w:val="009F3926"/>
    <w:rsid w:val="00A027E6"/>
    <w:rsid w:val="00A04E93"/>
    <w:rsid w:val="00A23262"/>
    <w:rsid w:val="00A346EC"/>
    <w:rsid w:val="00A42D55"/>
    <w:rsid w:val="00A604E5"/>
    <w:rsid w:val="00A66CC0"/>
    <w:rsid w:val="00AA28B6"/>
    <w:rsid w:val="00AA3B1E"/>
    <w:rsid w:val="00AA497C"/>
    <w:rsid w:val="00AA581E"/>
    <w:rsid w:val="00AB08BC"/>
    <w:rsid w:val="00AB18D2"/>
    <w:rsid w:val="00AC1438"/>
    <w:rsid w:val="00AD170F"/>
    <w:rsid w:val="00AD31A8"/>
    <w:rsid w:val="00AE2318"/>
    <w:rsid w:val="00AE5679"/>
    <w:rsid w:val="00AE7B4E"/>
    <w:rsid w:val="00AF0CED"/>
    <w:rsid w:val="00AF1B6F"/>
    <w:rsid w:val="00B01168"/>
    <w:rsid w:val="00B04FD5"/>
    <w:rsid w:val="00B05CFA"/>
    <w:rsid w:val="00B07A21"/>
    <w:rsid w:val="00B1790E"/>
    <w:rsid w:val="00B328AE"/>
    <w:rsid w:val="00B4685F"/>
    <w:rsid w:val="00B53553"/>
    <w:rsid w:val="00B57539"/>
    <w:rsid w:val="00B61012"/>
    <w:rsid w:val="00B72800"/>
    <w:rsid w:val="00B756E5"/>
    <w:rsid w:val="00B865E1"/>
    <w:rsid w:val="00B91429"/>
    <w:rsid w:val="00BA131D"/>
    <w:rsid w:val="00BB06E3"/>
    <w:rsid w:val="00BB40D8"/>
    <w:rsid w:val="00BD2BED"/>
    <w:rsid w:val="00BE0AF9"/>
    <w:rsid w:val="00C11038"/>
    <w:rsid w:val="00C4103C"/>
    <w:rsid w:val="00C509AE"/>
    <w:rsid w:val="00C52BFC"/>
    <w:rsid w:val="00C7724B"/>
    <w:rsid w:val="00C85E81"/>
    <w:rsid w:val="00C85F8D"/>
    <w:rsid w:val="00C933E0"/>
    <w:rsid w:val="00C954D7"/>
    <w:rsid w:val="00C9558C"/>
    <w:rsid w:val="00C95B7E"/>
    <w:rsid w:val="00CA1CC0"/>
    <w:rsid w:val="00CC2681"/>
    <w:rsid w:val="00CC2E25"/>
    <w:rsid w:val="00CC326A"/>
    <w:rsid w:val="00CC73A4"/>
    <w:rsid w:val="00CF1307"/>
    <w:rsid w:val="00CF4387"/>
    <w:rsid w:val="00CF6815"/>
    <w:rsid w:val="00D00BF0"/>
    <w:rsid w:val="00D13CE8"/>
    <w:rsid w:val="00D164BE"/>
    <w:rsid w:val="00D173A3"/>
    <w:rsid w:val="00D35501"/>
    <w:rsid w:val="00D4272F"/>
    <w:rsid w:val="00D504E3"/>
    <w:rsid w:val="00D70FA2"/>
    <w:rsid w:val="00D868DD"/>
    <w:rsid w:val="00D906EA"/>
    <w:rsid w:val="00D97BA9"/>
    <w:rsid w:val="00DA200C"/>
    <w:rsid w:val="00DA2981"/>
    <w:rsid w:val="00DA52B7"/>
    <w:rsid w:val="00DB430F"/>
    <w:rsid w:val="00DE0D04"/>
    <w:rsid w:val="00DE6AF8"/>
    <w:rsid w:val="00DF0152"/>
    <w:rsid w:val="00DF414D"/>
    <w:rsid w:val="00E0019E"/>
    <w:rsid w:val="00E00D59"/>
    <w:rsid w:val="00E17576"/>
    <w:rsid w:val="00E179AD"/>
    <w:rsid w:val="00E209D4"/>
    <w:rsid w:val="00E2614C"/>
    <w:rsid w:val="00E54669"/>
    <w:rsid w:val="00E6079F"/>
    <w:rsid w:val="00E736C8"/>
    <w:rsid w:val="00E86A49"/>
    <w:rsid w:val="00EA5EA1"/>
    <w:rsid w:val="00EB56FF"/>
    <w:rsid w:val="00EC163A"/>
    <w:rsid w:val="00EC471C"/>
    <w:rsid w:val="00EC4976"/>
    <w:rsid w:val="00ED5F16"/>
    <w:rsid w:val="00EE0306"/>
    <w:rsid w:val="00EE3A00"/>
    <w:rsid w:val="00EF3C05"/>
    <w:rsid w:val="00F13634"/>
    <w:rsid w:val="00F201C6"/>
    <w:rsid w:val="00F52D1C"/>
    <w:rsid w:val="00FA24EE"/>
    <w:rsid w:val="00FA2FDB"/>
    <w:rsid w:val="00FB1B81"/>
    <w:rsid w:val="00FC7F9F"/>
    <w:rsid w:val="00FD4897"/>
    <w:rsid w:val="00FF4994"/>
    <w:rsid w:val="00FF55F7"/>
    <w:rsid w:val="77A25C4B"/>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unhideWhenUsed="0"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link w:val="16"/>
    <w:qFormat/>
    <w:uiPriority w:val="99"/>
    <w:pPr>
      <w:spacing w:before="19"/>
      <w:ind w:left="307" w:hanging="101"/>
      <w:outlineLvl w:val="0"/>
    </w:pPr>
    <w:rPr>
      <w:b/>
      <w:bCs/>
      <w:sz w:val="56"/>
      <w:szCs w:val="56"/>
    </w:rPr>
  </w:style>
  <w:style w:type="paragraph" w:styleId="3">
    <w:name w:val="heading 2"/>
    <w:basedOn w:val="1"/>
    <w:link w:val="17"/>
    <w:qFormat/>
    <w:uiPriority w:val="99"/>
    <w:pPr>
      <w:ind w:left="468" w:hanging="360"/>
      <w:outlineLvl w:val="1"/>
    </w:pPr>
    <w:rPr>
      <w:b/>
      <w:bCs/>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paragraph" w:styleId="5">
    <w:name w:val="heading 4"/>
    <w:basedOn w:val="1"/>
    <w:next w:val="1"/>
    <w:link w:val="19"/>
    <w:qFormat/>
    <w:uiPriority w:val="9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0"/>
    <w:uiPriority w:val="99"/>
    <w:pPr>
      <w:ind w:left="108"/>
    </w:pPr>
  </w:style>
  <w:style w:type="paragraph" w:styleId="7">
    <w:name w:val="Balloon Text"/>
    <w:basedOn w:val="1"/>
    <w:link w:val="25"/>
    <w:semiHidden/>
    <w:uiPriority w:val="99"/>
    <w:rPr>
      <w:sz w:val="18"/>
      <w:szCs w:val="18"/>
    </w:rPr>
  </w:style>
  <w:style w:type="paragraph" w:styleId="8">
    <w:name w:val="footer"/>
    <w:basedOn w:val="1"/>
    <w:link w:val="24"/>
    <w:uiPriority w:val="99"/>
    <w:pPr>
      <w:tabs>
        <w:tab w:val="center" w:pos="4153"/>
        <w:tab w:val="right" w:pos="8306"/>
      </w:tabs>
      <w:snapToGrid w:val="0"/>
    </w:pPr>
    <w:rPr>
      <w:sz w:val="18"/>
      <w:szCs w:val="18"/>
    </w:rPr>
  </w:style>
  <w:style w:type="paragraph" w:styleId="9">
    <w:name w:val="header"/>
    <w:basedOn w:val="1"/>
    <w:link w:val="23"/>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locked/>
    <w:uiPriority w:val="99"/>
  </w:style>
  <w:style w:type="paragraph" w:styleId="11">
    <w:name w:val="toc 2"/>
    <w:basedOn w:val="1"/>
    <w:next w:val="1"/>
    <w:autoRedefine/>
    <w:semiHidden/>
    <w:qFormat/>
    <w:locked/>
    <w:uiPriority w:val="99"/>
    <w:pPr>
      <w:ind w:left="420" w:leftChars="200"/>
    </w:p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rFonts w:cs="Times New Roman"/>
      <w:color w:val="0000FF"/>
      <w:u w:val="single"/>
    </w:rPr>
  </w:style>
  <w:style w:type="character" w:customStyle="1" w:styleId="16">
    <w:name w:val="标题 1 Char"/>
    <w:link w:val="2"/>
    <w:locked/>
    <w:uiPriority w:val="99"/>
    <w:rPr>
      <w:rFonts w:ascii="Times New Roman" w:hAnsi="Times New Roman" w:cs="Times New Roman"/>
      <w:b/>
      <w:bCs/>
      <w:kern w:val="44"/>
      <w:sz w:val="44"/>
      <w:szCs w:val="44"/>
    </w:rPr>
  </w:style>
  <w:style w:type="character" w:customStyle="1" w:styleId="17">
    <w:name w:val="标题 2 Char"/>
    <w:link w:val="3"/>
    <w:semiHidden/>
    <w:locked/>
    <w:uiPriority w:val="99"/>
    <w:rPr>
      <w:rFonts w:ascii="Cambria" w:hAnsi="Cambria" w:eastAsia="宋体" w:cs="Times New Roman"/>
      <w:b/>
      <w:bCs/>
      <w:kern w:val="0"/>
      <w:sz w:val="32"/>
      <w:szCs w:val="32"/>
    </w:rPr>
  </w:style>
  <w:style w:type="character" w:customStyle="1" w:styleId="18">
    <w:name w:val="标题 3 Char"/>
    <w:link w:val="4"/>
    <w:semiHidden/>
    <w:locked/>
    <w:uiPriority w:val="99"/>
    <w:rPr>
      <w:rFonts w:ascii="Times New Roman" w:hAnsi="Times New Roman" w:cs="Times New Roman"/>
      <w:b/>
      <w:bCs/>
      <w:kern w:val="0"/>
      <w:sz w:val="32"/>
      <w:szCs w:val="32"/>
    </w:rPr>
  </w:style>
  <w:style w:type="character" w:customStyle="1" w:styleId="19">
    <w:name w:val="标题 4 Char"/>
    <w:link w:val="5"/>
    <w:qFormat/>
    <w:locked/>
    <w:uiPriority w:val="99"/>
    <w:rPr>
      <w:rFonts w:ascii="Cambria" w:hAnsi="Cambria" w:eastAsia="宋体" w:cs="Times New Roman"/>
      <w:b/>
      <w:bCs/>
      <w:kern w:val="0"/>
      <w:sz w:val="28"/>
      <w:szCs w:val="28"/>
    </w:rPr>
  </w:style>
  <w:style w:type="character" w:customStyle="1" w:styleId="20">
    <w:name w:val="正文文本 Char"/>
    <w:link w:val="6"/>
    <w:semiHidden/>
    <w:qFormat/>
    <w:locked/>
    <w:uiPriority w:val="99"/>
    <w:rPr>
      <w:rFonts w:ascii="Times New Roman" w:hAnsi="Times New Roman" w:cs="Times New Roman"/>
      <w:kern w:val="0"/>
      <w:sz w:val="24"/>
      <w:szCs w:val="24"/>
    </w:rPr>
  </w:style>
  <w:style w:type="paragraph" w:styleId="21">
    <w:name w:val="List Paragraph"/>
    <w:basedOn w:val="1"/>
    <w:qFormat/>
    <w:uiPriority w:val="99"/>
  </w:style>
  <w:style w:type="paragraph" w:customStyle="1" w:styleId="22">
    <w:name w:val="Table Paragraph"/>
    <w:basedOn w:val="1"/>
    <w:uiPriority w:val="99"/>
  </w:style>
  <w:style w:type="character" w:customStyle="1" w:styleId="23">
    <w:name w:val="页眉 Char"/>
    <w:link w:val="9"/>
    <w:locked/>
    <w:uiPriority w:val="99"/>
    <w:rPr>
      <w:rFonts w:ascii="Times New Roman" w:hAnsi="Times New Roman" w:cs="Times New Roman"/>
      <w:kern w:val="0"/>
      <w:sz w:val="18"/>
      <w:szCs w:val="18"/>
    </w:rPr>
  </w:style>
  <w:style w:type="character" w:customStyle="1" w:styleId="24">
    <w:name w:val="页脚 Char"/>
    <w:link w:val="8"/>
    <w:locked/>
    <w:uiPriority w:val="99"/>
    <w:rPr>
      <w:rFonts w:ascii="Times New Roman" w:hAnsi="Times New Roman" w:cs="Times New Roman"/>
      <w:kern w:val="0"/>
      <w:sz w:val="18"/>
      <w:szCs w:val="18"/>
    </w:rPr>
  </w:style>
  <w:style w:type="character" w:customStyle="1" w:styleId="25">
    <w:name w:val="批注框文本 Char"/>
    <w:link w:val="7"/>
    <w:semiHidden/>
    <w:qFormat/>
    <w:locked/>
    <w:uiPriority w:val="99"/>
    <w:rPr>
      <w:rFonts w:ascii="Times New Roman" w:hAnsi="Times New Roman" w:cs="Times New Roman"/>
      <w:kern w:val="0"/>
      <w:sz w:val="18"/>
      <w:szCs w:val="18"/>
    </w:rPr>
  </w:style>
  <w:style w:type="character" w:customStyle="1" w:styleId="26">
    <w:name w:val="未处理的提及1"/>
    <w:semiHidden/>
    <w:uiPriority w:val="99"/>
    <w:rPr>
      <w:rFonts w:cs="Times New Roman"/>
      <w:color w:val="808080"/>
      <w:shd w:val="clear" w:color="auto" w:fill="E6E6E6"/>
    </w:rPr>
  </w:style>
  <w:style w:type="paragraph" w:customStyle="1" w:styleId="27">
    <w:name w:val="CM23"/>
    <w:basedOn w:val="1"/>
    <w:next w:val="1"/>
    <w:qFormat/>
    <w:uiPriority w:val="99"/>
    <w:pPr>
      <w:spacing w:after="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24</Pages>
  <Words>12813</Words>
  <Characters>15856</Characters>
  <Lines>130</Lines>
  <Paragraphs>36</Paragraphs>
  <TotalTime>18</TotalTime>
  <ScaleCrop>false</ScaleCrop>
  <LinksUpToDate>false</LinksUpToDate>
  <CharactersWithSpaces>16283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2017-10-28T08:30:00Z</dcterms:created>
  <dc:creator>xlmedtrans</dc:creator>
  <cp:lastModifiedBy>太极箫客</cp:lastModifiedBy>
  <dcterms:modified xsi:type="dcterms:W3CDTF">2025-08-14T06:17:44Z</dcterms:modified>
  <dc:title>Draft Guidance for Industry and Food and Drug Administration Staff</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7A71F85DBE87415E98AEB09D9A4208DC_12</vt:lpwstr>
  </property>
</Properties>
</file>