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ABFB4">
      <w:pPr>
        <w:snapToGrid w:val="0"/>
        <w:spacing w:line="300" w:lineRule="auto"/>
        <w:jc w:val="center"/>
        <w:rPr>
          <w:rFonts w:ascii="Arial" w:hAnsi="Arial" w:eastAsia="宋体" w:cs="Arial"/>
          <w:b/>
          <w:sz w:val="32"/>
          <w:szCs w:val="32"/>
        </w:rPr>
      </w:pPr>
      <w:bookmarkStart w:id="0" w:name="OLE_LINK24"/>
      <w:bookmarkStart w:id="50" w:name="_GoBack"/>
      <w:bookmarkEnd w:id="50"/>
      <w:r>
        <w:rPr>
          <w:rFonts w:ascii="Arial" w:hAnsi="Arial" w:eastAsia="宋体" w:cs="Arial"/>
          <w:b/>
          <w:sz w:val="32"/>
          <w:szCs w:val="32"/>
        </w:rPr>
        <w:t>行业和食品药品监督管理局工作人员指南</w:t>
      </w:r>
    </w:p>
    <w:p w14:paraId="3F50835F">
      <w:pPr>
        <w:snapToGrid w:val="0"/>
        <w:spacing w:line="300" w:lineRule="auto"/>
        <w:jc w:val="center"/>
        <w:rPr>
          <w:rFonts w:ascii="Arial" w:hAnsi="Arial" w:eastAsia="宋体" w:cs="Arial"/>
          <w:sz w:val="32"/>
          <w:szCs w:val="32"/>
        </w:rPr>
      </w:pPr>
    </w:p>
    <w:p w14:paraId="70A17AC9">
      <w:pPr>
        <w:snapToGrid w:val="0"/>
        <w:spacing w:line="300" w:lineRule="auto"/>
        <w:jc w:val="center"/>
        <w:rPr>
          <w:rFonts w:ascii="Arial" w:hAnsi="Arial" w:eastAsia="宋体" w:cs="Arial"/>
          <w:b/>
          <w:sz w:val="32"/>
          <w:szCs w:val="32"/>
        </w:rPr>
      </w:pPr>
      <w:r>
        <w:rPr>
          <w:rFonts w:ascii="Arial" w:hAnsi="Arial" w:eastAsia="宋体" w:cs="Arial"/>
          <w:b/>
          <w:sz w:val="32"/>
          <w:szCs w:val="32"/>
        </w:rPr>
        <w:t>II类特殊控制指南：</w:t>
      </w:r>
      <w:bookmarkStart w:id="1" w:name="OLE_LINK5"/>
      <w:bookmarkStart w:id="2" w:name="OLE_LINK6"/>
      <w:r>
        <w:rPr>
          <w:rFonts w:ascii="Arial" w:hAnsi="Arial" w:eastAsia="宋体" w:cs="Arial"/>
          <w:b/>
          <w:sz w:val="32"/>
          <w:szCs w:val="32"/>
        </w:rPr>
        <w:t>特定新型甲型流感病毒检测试剂</w:t>
      </w:r>
      <w:bookmarkEnd w:id="1"/>
      <w:bookmarkEnd w:id="2"/>
    </w:p>
    <w:p w14:paraId="429DE4D9">
      <w:pPr>
        <w:snapToGrid w:val="0"/>
        <w:spacing w:line="300" w:lineRule="auto"/>
        <w:rPr>
          <w:rFonts w:ascii="Arial" w:hAnsi="Arial" w:eastAsia="宋体" w:cs="Arial"/>
        </w:rPr>
      </w:pPr>
    </w:p>
    <w:p w14:paraId="53035304">
      <w:pPr>
        <w:snapToGrid w:val="0"/>
        <w:spacing w:line="300" w:lineRule="auto"/>
        <w:rPr>
          <w:rFonts w:ascii="Arial" w:hAnsi="Arial" w:eastAsia="宋体" w:cs="Arial"/>
          <w:b/>
        </w:rPr>
      </w:pPr>
      <w:r>
        <w:rPr>
          <w:rFonts w:ascii="Arial" w:hAnsi="Arial" w:eastAsia="宋体" w:cs="Arial"/>
          <w:b/>
        </w:rPr>
        <w:t>1. 前言</w:t>
      </w:r>
    </w:p>
    <w:p w14:paraId="3AB49993">
      <w:pPr>
        <w:snapToGrid w:val="0"/>
        <w:spacing w:line="300" w:lineRule="auto"/>
        <w:rPr>
          <w:rFonts w:ascii="Arial" w:hAnsi="Arial" w:eastAsia="宋体" w:cs="Arial"/>
        </w:rPr>
      </w:pPr>
    </w:p>
    <w:p w14:paraId="66A85C91">
      <w:pPr>
        <w:snapToGrid w:val="0"/>
        <w:spacing w:line="300" w:lineRule="auto"/>
        <w:rPr>
          <w:rFonts w:ascii="Arial" w:hAnsi="Arial" w:eastAsia="宋体" w:cs="Arial"/>
        </w:rPr>
      </w:pPr>
      <w:r>
        <w:rPr>
          <w:rFonts w:ascii="Arial" w:hAnsi="Arial" w:eastAsia="宋体" w:cs="Arial"/>
        </w:rPr>
        <w:t>本文件是作为特殊控制指导而编制的，目的是支持将</w:t>
      </w:r>
      <w:bookmarkStart w:id="3" w:name="OLE_LINK19"/>
      <w:bookmarkStart w:id="4" w:name="OLE_LINK17"/>
      <w:bookmarkStart w:id="5" w:name="OLE_LINK18"/>
      <w:bookmarkStart w:id="6" w:name="OLE_LINK90"/>
      <w:r>
        <w:rPr>
          <w:rFonts w:ascii="Arial" w:hAnsi="Arial" w:eastAsia="宋体" w:cs="Arial"/>
        </w:rPr>
        <w:t>特定新型甲型流感病毒检测试剂</w:t>
      </w:r>
      <w:bookmarkEnd w:id="3"/>
      <w:bookmarkEnd w:id="4"/>
      <w:bookmarkEnd w:id="5"/>
      <w:bookmarkEnd w:id="6"/>
      <w:r>
        <w:rPr>
          <w:rFonts w:ascii="Arial" w:hAnsi="Arial" w:eastAsia="宋体" w:cs="Arial"/>
        </w:rPr>
        <w:t>归入II类器械（特殊控制）。</w:t>
      </w:r>
      <w:bookmarkStart w:id="7" w:name="OLE_LINK106"/>
      <w:bookmarkStart w:id="8" w:name="OLE_LINK105"/>
      <w:r>
        <w:rPr>
          <w:rFonts w:ascii="Arial" w:hAnsi="Arial" w:eastAsia="宋体" w:cs="Arial"/>
        </w:rPr>
        <w:t>特定新型甲型流感病毒检测试剂是拟用于核酸扩增实验直接检测人体呼吸道标本或病毒培养物中特定病毒RNA的器械。</w:t>
      </w:r>
      <w:bookmarkEnd w:id="7"/>
      <w:bookmarkEnd w:id="8"/>
      <w:bookmarkStart w:id="9" w:name="OLE_LINK107"/>
      <w:bookmarkStart w:id="10" w:name="OLE_LINK108"/>
      <w:r>
        <w:rPr>
          <w:rFonts w:ascii="Arial" w:hAnsi="Arial" w:eastAsia="宋体" w:cs="Arial"/>
        </w:rPr>
        <w:t>病毒RNA检测有助于在具有特定新型甲型流感病毒感染临床风险的患者中对这些病毒引起的流感做出诊断，亦有助于对特定新型甲型流感病毒的推断性实验室鉴定，从而提供流感的流行病学信息。这些试剂包括引物、探针和特定甲型流感病毒对照。这些器械与用于一般检测甲型流感病毒但不检测具体甲型流感病毒的器械截然不同，它们是用来检测某种具体的甲型流感病毒（如某种特殊亚型或世系）的。</w:t>
      </w:r>
    </w:p>
    <w:bookmarkEnd w:id="9"/>
    <w:bookmarkEnd w:id="10"/>
    <w:p w14:paraId="1A4203CE">
      <w:pPr>
        <w:snapToGrid w:val="0"/>
        <w:spacing w:line="300" w:lineRule="auto"/>
        <w:rPr>
          <w:rFonts w:ascii="Arial" w:hAnsi="Arial" w:eastAsia="宋体" w:cs="Arial"/>
        </w:rPr>
      </w:pPr>
    </w:p>
    <w:p w14:paraId="66BA2AFB">
      <w:pPr>
        <w:snapToGrid w:val="0"/>
        <w:spacing w:line="300" w:lineRule="auto"/>
        <w:rPr>
          <w:rFonts w:ascii="Arial" w:hAnsi="Arial" w:eastAsia="宋体" w:cs="Arial"/>
        </w:rPr>
      </w:pPr>
      <w:r>
        <w:rPr>
          <w:rFonts w:ascii="Arial" w:hAnsi="Arial" w:eastAsia="宋体" w:cs="Arial"/>
        </w:rPr>
        <w:t>新型甲型流感病毒是引起人类疾病病例或病例簇的甲型流感病毒新型或再现性人类株。它们与经常处于循环状态、引起季节性流感且人群对其存在残留或有限免疫力（既可由接种疫苗产生亦可由既往感染产生）的那些人类株截然不同。</w:t>
      </w:r>
    </w:p>
    <w:p w14:paraId="04031F0A">
      <w:pPr>
        <w:snapToGrid w:val="0"/>
        <w:spacing w:line="300" w:lineRule="auto"/>
        <w:rPr>
          <w:rFonts w:ascii="Arial" w:hAnsi="Arial" w:eastAsia="宋体" w:cs="Arial"/>
        </w:rPr>
      </w:pPr>
    </w:p>
    <w:p w14:paraId="2E44ED32">
      <w:pPr>
        <w:snapToGrid w:val="0"/>
        <w:spacing w:line="300" w:lineRule="auto"/>
        <w:rPr>
          <w:rFonts w:ascii="Arial" w:hAnsi="Arial" w:eastAsia="宋体" w:cs="Arial"/>
        </w:rPr>
      </w:pPr>
      <w:r>
        <w:rPr>
          <w:rFonts w:ascii="Arial" w:hAnsi="Arial" w:eastAsia="宋体" w:cs="Arial"/>
        </w:rPr>
        <w:t>本指南与联邦公报的通告同时发布，籍此宣布</w:t>
      </w:r>
      <w:bookmarkStart w:id="11" w:name="OLE_LINK50"/>
      <w:bookmarkStart w:id="12" w:name="OLE_LINK49"/>
      <w:r>
        <w:rPr>
          <w:rFonts w:ascii="Arial" w:hAnsi="Arial" w:eastAsia="宋体" w:cs="Arial"/>
        </w:rPr>
        <w:t>特定新型甲型流感病毒检测试剂</w:t>
      </w:r>
      <w:bookmarkEnd w:id="11"/>
      <w:bookmarkEnd w:id="12"/>
      <w:r>
        <w:rPr>
          <w:rFonts w:ascii="Arial" w:hAnsi="Arial" w:eastAsia="宋体" w:cs="Arial"/>
        </w:rPr>
        <w:t>的分类。提交特定新型甲型流感病毒检测试剂510（k）上市前通告提交资料的任何公司均需对本特殊控制指南所包含的问题予以妥善解决。然而，公司仅需说明其器械符合本指南的推荐规范或以某些其它方式提供安全性和有效性的等同保证。另外，该器械必须符合分类规则规定的附加特殊控制要求（见</w:t>
      </w:r>
      <w:r>
        <w:rPr>
          <w:rFonts w:ascii="Helvetica" w:hAnsi="Helvetica" w:eastAsia="宋体" w:cs="Helvetica"/>
          <w:color w:val="005F9F"/>
          <w:kern w:val="0"/>
          <w:szCs w:val="21"/>
          <w:u w:val="single"/>
        </w:rPr>
        <w:t>第3节－适用范围</w:t>
      </w:r>
      <w:r>
        <w:rPr>
          <w:rFonts w:ascii="Arial" w:hAnsi="Arial" w:eastAsia="宋体" w:cs="Arial"/>
        </w:rPr>
        <w:t>）。</w:t>
      </w:r>
    </w:p>
    <w:p w14:paraId="339C3B39">
      <w:pPr>
        <w:snapToGrid w:val="0"/>
        <w:spacing w:line="300" w:lineRule="auto"/>
        <w:rPr>
          <w:rFonts w:ascii="Arial" w:hAnsi="Arial" w:eastAsia="宋体" w:cs="Arial"/>
        </w:rPr>
      </w:pPr>
    </w:p>
    <w:p w14:paraId="427EDA83">
      <w:pPr>
        <w:snapToGrid w:val="0"/>
        <w:spacing w:line="300" w:lineRule="auto"/>
        <w:rPr>
          <w:rFonts w:ascii="Arial" w:hAnsi="Arial" w:eastAsia="宋体" w:cs="Arial"/>
        </w:rPr>
      </w:pPr>
      <w:r>
        <w:rPr>
          <w:rFonts w:ascii="Arial" w:hAnsi="Arial" w:eastAsia="宋体" w:cs="Arial"/>
        </w:rPr>
        <w:t>公司必须说明其器械解决了本指南确认的安全性和有效性问题。其解决问题的方式既可遵从本指南提供的推荐规范，亦可采用能提供安全性和有效性等同保证的某些其它方法。</w:t>
      </w:r>
    </w:p>
    <w:p w14:paraId="2BCE0629">
      <w:pPr>
        <w:snapToGrid w:val="0"/>
        <w:spacing w:line="300" w:lineRule="auto"/>
        <w:rPr>
          <w:rFonts w:ascii="Arial" w:hAnsi="Arial" w:eastAsia="宋体" w:cs="Arial"/>
        </w:rPr>
      </w:pPr>
    </w:p>
    <w:p w14:paraId="4B0B6213">
      <w:pPr>
        <w:widowControl/>
        <w:jc w:val="left"/>
        <w:rPr>
          <w:rFonts w:ascii="Arial" w:hAnsi="Arial" w:eastAsia="宋体" w:cs="Arial"/>
          <w:b/>
        </w:rPr>
      </w:pPr>
      <w:bookmarkStart w:id="13" w:name="OLE_LINK65"/>
      <w:bookmarkStart w:id="14" w:name="OLE_LINK66"/>
      <w:r>
        <w:rPr>
          <w:rFonts w:ascii="Arial" w:hAnsi="Arial" w:eastAsia="宋体" w:cs="Arial"/>
          <w:b/>
        </w:rPr>
        <w:br w:type="page"/>
      </w:r>
    </w:p>
    <w:p w14:paraId="217DB1BE">
      <w:pPr>
        <w:snapToGrid w:val="0"/>
        <w:spacing w:line="300" w:lineRule="auto"/>
        <w:rPr>
          <w:rFonts w:ascii="Arial" w:hAnsi="Arial" w:eastAsia="宋体" w:cs="Arial"/>
          <w:b/>
        </w:rPr>
      </w:pPr>
      <w:r>
        <w:rPr>
          <w:rFonts w:ascii="Arial" w:hAnsi="Arial" w:eastAsia="宋体" w:cs="Arial"/>
          <w:b/>
        </w:rPr>
        <w:t>最小负担法</w:t>
      </w:r>
    </w:p>
    <w:p w14:paraId="78FF5FBC">
      <w:pPr>
        <w:snapToGrid w:val="0"/>
        <w:spacing w:line="300" w:lineRule="auto"/>
        <w:rPr>
          <w:rFonts w:ascii="Arial" w:hAnsi="Arial" w:eastAsia="宋体" w:cs="Arial"/>
        </w:rPr>
      </w:pPr>
    </w:p>
    <w:p w14:paraId="56858CF5">
      <w:pPr>
        <w:snapToGrid w:val="0"/>
        <w:spacing w:line="300" w:lineRule="auto"/>
        <w:rPr>
          <w:rFonts w:ascii="Arial" w:hAnsi="Arial" w:eastAsia="宋体" w:cs="Arial"/>
        </w:rPr>
      </w:pPr>
      <w:r>
        <w:rPr>
          <w:rFonts w:ascii="Arial" w:hAnsi="Arial" w:eastAsia="宋体" w:cs="Arial"/>
        </w:rPr>
        <w:t>本指南确认的问题是我们认为贵公司的器械上市前必须解决的问题。在编制本指南的过程中，我们仔细斟酌了本局决策采用的相关法定标准。另外，我们还斟酌了贵公司在努力遵从本指南并解决我们所确认问题的过程中可能产生的负担。我们认为我们已考虑采用最小负担法解决本指南呈现的问题。然而，如果贵公司认为有负担更小的方法可用于解决这些问题，应遵守“</w:t>
      </w:r>
      <w:r>
        <w:rPr>
          <w:rFonts w:ascii="Arial" w:hAnsi="Arial" w:eastAsia="宋体" w:cs="Arial"/>
          <w:color w:val="005F9F"/>
          <w:u w:val="single"/>
        </w:rPr>
        <w:t>解决最小负担问题的一个建议方法</w:t>
      </w:r>
      <w:r>
        <w:rPr>
          <w:rFonts w:ascii="Arial" w:hAnsi="Arial" w:eastAsia="宋体" w:cs="Arial"/>
        </w:rPr>
        <w:t>”文件中描述的规程予以实施。</w:t>
      </w:r>
    </w:p>
    <w:bookmarkEnd w:id="13"/>
    <w:bookmarkEnd w:id="14"/>
    <w:p w14:paraId="1E2F6DFA">
      <w:pPr>
        <w:snapToGrid w:val="0"/>
        <w:spacing w:line="300" w:lineRule="auto"/>
        <w:rPr>
          <w:rFonts w:ascii="Arial" w:hAnsi="Arial" w:eastAsia="宋体" w:cs="Arial"/>
        </w:rPr>
      </w:pPr>
    </w:p>
    <w:p w14:paraId="4BD6EC30">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1" name="图片 1"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035758F3">
      <w:pPr>
        <w:snapToGrid w:val="0"/>
        <w:spacing w:line="300" w:lineRule="auto"/>
        <w:rPr>
          <w:rFonts w:ascii="Arial" w:hAnsi="Arial" w:eastAsia="宋体" w:cs="Arial"/>
        </w:rPr>
      </w:pPr>
    </w:p>
    <w:p w14:paraId="5C25F4D6">
      <w:pPr>
        <w:snapToGrid w:val="0"/>
        <w:spacing w:line="300" w:lineRule="auto"/>
        <w:rPr>
          <w:rFonts w:ascii="Arial" w:hAnsi="Arial" w:eastAsia="宋体" w:cs="Arial"/>
          <w:b/>
        </w:rPr>
      </w:pPr>
      <w:r>
        <w:rPr>
          <w:rFonts w:ascii="Arial" w:hAnsi="Arial" w:eastAsia="宋体" w:cs="Arial"/>
          <w:b/>
        </w:rPr>
        <w:t>2. 背景</w:t>
      </w:r>
    </w:p>
    <w:p w14:paraId="6C00D867">
      <w:pPr>
        <w:snapToGrid w:val="0"/>
        <w:spacing w:line="300" w:lineRule="auto"/>
        <w:rPr>
          <w:rFonts w:ascii="Arial" w:hAnsi="Arial" w:eastAsia="宋体" w:cs="Arial"/>
        </w:rPr>
      </w:pPr>
    </w:p>
    <w:p w14:paraId="71FCA65D">
      <w:pPr>
        <w:snapToGrid w:val="0"/>
        <w:spacing w:line="300" w:lineRule="auto"/>
        <w:rPr>
          <w:rFonts w:ascii="Arial" w:hAnsi="Arial" w:eastAsia="宋体" w:cs="Arial"/>
        </w:rPr>
      </w:pPr>
      <w:r>
        <w:rPr>
          <w:rFonts w:ascii="Arial" w:hAnsi="Arial" w:eastAsia="宋体" w:cs="Arial"/>
        </w:rPr>
        <w:t>食品药品监督管理局认为，特殊控制措施与通用控制措施相结合足以对</w:t>
      </w:r>
      <w:bookmarkStart w:id="15" w:name="OLE_LINK92"/>
      <w:bookmarkStart w:id="16" w:name="OLE_LINK91"/>
      <w:bookmarkStart w:id="17" w:name="OLE_LINK98"/>
      <w:r>
        <w:rPr>
          <w:rFonts w:ascii="Arial" w:hAnsi="Arial" w:eastAsia="宋体" w:cs="Arial"/>
        </w:rPr>
        <w:t>特定新型甲型流感病毒检测试剂</w:t>
      </w:r>
      <w:bookmarkEnd w:id="15"/>
      <w:bookmarkEnd w:id="16"/>
      <w:bookmarkEnd w:id="17"/>
      <w:r>
        <w:rPr>
          <w:rFonts w:ascii="Arial" w:hAnsi="Arial" w:eastAsia="宋体" w:cs="Arial"/>
        </w:rPr>
        <w:t>的安全性和有效性提供合理保证。拟销售该类器械的制造商应（1）遵从联邦食品、药品和化妆品法案（简称法案）规定的通用控制要求，包括</w:t>
      </w:r>
      <w:r>
        <w:rPr>
          <w:rFonts w:ascii="Arial" w:hAnsi="Arial" w:eastAsia="宋体" w:cs="Arial"/>
          <w:color w:val="005F9F"/>
          <w:u w:val="single"/>
        </w:rPr>
        <w:t>21 CFR 第807部</w:t>
      </w:r>
      <w:r>
        <w:rPr>
          <w:rFonts w:ascii="Arial" w:hAnsi="Arial" w:eastAsia="宋体" w:cs="Arial"/>
        </w:rPr>
        <w:t>E亚部描述的上市前通告要求，（2）解决本指南确认的与特定新型甲型流感病毒检测试剂有关的特定健康风险，（3）满足21 CFR 866.3332指定的其它特殊控制要求中关于该类器械的分类规则，（4）于销售该器械前获得食品药品监督管理局做出的实质等同认定。</w:t>
      </w:r>
    </w:p>
    <w:p w14:paraId="63D71793">
      <w:pPr>
        <w:snapToGrid w:val="0"/>
        <w:spacing w:line="300" w:lineRule="auto"/>
        <w:rPr>
          <w:rFonts w:ascii="Arial" w:hAnsi="Arial" w:eastAsia="宋体" w:cs="Arial"/>
        </w:rPr>
      </w:pPr>
    </w:p>
    <w:p w14:paraId="5187C597">
      <w:pPr>
        <w:snapToGrid w:val="0"/>
        <w:spacing w:line="300" w:lineRule="auto"/>
        <w:rPr>
          <w:rFonts w:ascii="Arial" w:hAnsi="Arial" w:eastAsia="宋体" w:cs="Arial"/>
        </w:rPr>
      </w:pPr>
      <w:r>
        <w:rPr>
          <w:rFonts w:ascii="Arial" w:hAnsi="Arial" w:eastAsia="宋体" w:cs="Arial"/>
        </w:rPr>
        <w:t>本指南确认了</w:t>
      </w:r>
      <w:bookmarkStart w:id="18" w:name="OLE_LINK103"/>
      <w:bookmarkStart w:id="19" w:name="OLE_LINK104"/>
      <w:r>
        <w:rPr>
          <w:rFonts w:ascii="Arial" w:hAnsi="Arial" w:eastAsia="宋体" w:cs="Arial"/>
        </w:rPr>
        <w:t>特定新型甲型流感病毒检测试剂</w:t>
      </w:r>
      <w:bookmarkEnd w:id="18"/>
      <w:bookmarkEnd w:id="19"/>
      <w:r>
        <w:rPr>
          <w:rFonts w:ascii="Arial" w:hAnsi="Arial" w:eastAsia="宋体" w:cs="Arial"/>
        </w:rPr>
        <w:t>的分类规则和产品代码（参考第3节－</w:t>
      </w:r>
      <w:r>
        <w:rPr>
          <w:rFonts w:ascii="Arial" w:hAnsi="Arial" w:eastAsia="宋体" w:cs="Arial"/>
          <w:color w:val="005F9F"/>
          <w:u w:val="single"/>
        </w:rPr>
        <w:t>适用范围</w:t>
      </w:r>
      <w:r>
        <w:rPr>
          <w:rFonts w:ascii="Arial" w:hAnsi="Arial" w:eastAsia="宋体" w:cs="Arial"/>
        </w:rPr>
        <w:t>）。另外，本指南在其它部分列出了经食品药品监督管理局确认的健康风险并描述了相应的控制措施。制造商若遵从这些措施并与通用控制措施和为该类器械指定的其它特殊控制措施相结合，通常可解决与这些检测器械相关的健康风险并可使510（k）上市前通告提交资料及时获得审查和许可。本指南在上市前通告提交资料具体内容要求方面弥补了食品药品监督管理局其它文件的不足之处。贵公司还应参考</w:t>
      </w:r>
      <w:r>
        <w:rPr>
          <w:rFonts w:ascii="Arial" w:hAnsi="Arial" w:eastAsia="宋体" w:cs="Arial"/>
          <w:color w:val="005F9F"/>
          <w:u w:val="single"/>
        </w:rPr>
        <w:t>21 CFR 807.87</w:t>
      </w:r>
      <w:r>
        <w:rPr>
          <w:rFonts w:ascii="Arial" w:hAnsi="Arial" w:eastAsia="宋体" w:cs="Arial"/>
        </w:rPr>
        <w:t>和食品药品监督管理局关于该主题的其它文件，如“</w:t>
      </w:r>
      <w:r>
        <w:rPr>
          <w:rFonts w:ascii="Arial" w:hAnsi="Arial" w:eastAsia="宋体" w:cs="Arial"/>
          <w:color w:val="005F9F"/>
          <w:u w:val="single"/>
        </w:rPr>
        <w:t>上市前通告510（k）</w:t>
      </w:r>
      <w:r>
        <w:rPr>
          <w:rFonts w:ascii="Arial" w:hAnsi="Arial" w:eastAsia="宋体" w:cs="Arial"/>
        </w:rPr>
        <w:t>”。</w:t>
      </w:r>
    </w:p>
    <w:p w14:paraId="010236EC">
      <w:pPr>
        <w:snapToGrid w:val="0"/>
        <w:spacing w:line="300" w:lineRule="auto"/>
        <w:rPr>
          <w:rFonts w:ascii="Arial" w:hAnsi="Arial" w:eastAsia="宋体" w:cs="Arial"/>
        </w:rPr>
      </w:pPr>
    </w:p>
    <w:p w14:paraId="627A4BED">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2" name="图片 2"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773B507F">
      <w:pPr>
        <w:snapToGrid w:val="0"/>
        <w:spacing w:line="300" w:lineRule="auto"/>
        <w:rPr>
          <w:rFonts w:ascii="Arial" w:hAnsi="Arial" w:eastAsia="宋体" w:cs="Arial"/>
        </w:rPr>
      </w:pPr>
    </w:p>
    <w:p w14:paraId="41C825E4">
      <w:pPr>
        <w:widowControl/>
        <w:jc w:val="left"/>
        <w:rPr>
          <w:rFonts w:ascii="Arial" w:hAnsi="Arial" w:eastAsia="宋体" w:cs="Arial"/>
          <w:b/>
        </w:rPr>
      </w:pPr>
      <w:r>
        <w:rPr>
          <w:rFonts w:ascii="Arial" w:hAnsi="Arial" w:eastAsia="宋体" w:cs="Arial"/>
          <w:b/>
        </w:rPr>
        <w:br w:type="page"/>
      </w:r>
    </w:p>
    <w:p w14:paraId="341B6940">
      <w:pPr>
        <w:snapToGrid w:val="0"/>
        <w:spacing w:line="300" w:lineRule="auto"/>
        <w:rPr>
          <w:rFonts w:ascii="Arial" w:hAnsi="Arial" w:eastAsia="宋体" w:cs="Arial"/>
          <w:b/>
        </w:rPr>
      </w:pPr>
      <w:r>
        <w:rPr>
          <w:rFonts w:ascii="Arial" w:hAnsi="Arial" w:eastAsia="宋体" w:cs="Arial"/>
          <w:b/>
        </w:rPr>
        <w:t>3. 适用范围</w:t>
      </w:r>
    </w:p>
    <w:p w14:paraId="788E11D3">
      <w:pPr>
        <w:snapToGrid w:val="0"/>
        <w:spacing w:line="300" w:lineRule="auto"/>
        <w:rPr>
          <w:rFonts w:ascii="Arial" w:hAnsi="Arial" w:eastAsia="宋体" w:cs="Arial"/>
        </w:rPr>
      </w:pPr>
    </w:p>
    <w:p w14:paraId="250F2B69">
      <w:pPr>
        <w:snapToGrid w:val="0"/>
        <w:spacing w:line="300" w:lineRule="auto"/>
        <w:rPr>
          <w:rFonts w:ascii="Arial" w:hAnsi="Arial" w:eastAsia="宋体" w:cs="Arial"/>
        </w:rPr>
      </w:pPr>
      <w:r>
        <w:rPr>
          <w:rFonts w:ascii="Arial" w:hAnsi="Arial" w:eastAsia="宋体" w:cs="Arial"/>
        </w:rPr>
        <w:t>本文件的适用范围限于在21 CFR 866.3332中描述的下列器械（产品代码：NXD）：</w:t>
      </w:r>
    </w:p>
    <w:p w14:paraId="28856CBD">
      <w:pPr>
        <w:snapToGrid w:val="0"/>
        <w:spacing w:line="300" w:lineRule="auto"/>
        <w:rPr>
          <w:rFonts w:ascii="Arial" w:hAnsi="Arial" w:eastAsia="宋体" w:cs="Arial"/>
        </w:rPr>
      </w:pPr>
    </w:p>
    <w:p w14:paraId="623C79EE">
      <w:pPr>
        <w:snapToGrid w:val="0"/>
        <w:spacing w:line="300" w:lineRule="auto"/>
        <w:rPr>
          <w:rFonts w:ascii="Arial" w:hAnsi="Arial" w:eastAsia="宋体" w:cs="Arial"/>
        </w:rPr>
      </w:pPr>
      <w:r>
        <w:rPr>
          <w:rFonts w:ascii="Arial" w:hAnsi="Arial" w:eastAsia="宋体" w:cs="Arial"/>
          <w:b/>
        </w:rPr>
        <w:t>21 CFR 866.3332</w:t>
      </w:r>
      <w:r>
        <w:rPr>
          <w:rFonts w:ascii="Arial" w:hAnsi="Arial" w:eastAsia="宋体" w:cs="Arial"/>
        </w:rPr>
        <w:t>－特定新型甲型流感病毒检测试剂。</w:t>
      </w:r>
    </w:p>
    <w:p w14:paraId="726258B9">
      <w:pPr>
        <w:snapToGrid w:val="0"/>
        <w:spacing w:line="300" w:lineRule="auto"/>
        <w:rPr>
          <w:rFonts w:ascii="Arial" w:hAnsi="Arial" w:eastAsia="宋体" w:cs="Arial"/>
        </w:rPr>
      </w:pPr>
    </w:p>
    <w:p w14:paraId="5475FA47">
      <w:pPr>
        <w:snapToGrid w:val="0"/>
        <w:spacing w:line="300" w:lineRule="auto"/>
        <w:rPr>
          <w:rFonts w:ascii="Arial" w:hAnsi="Arial" w:eastAsia="宋体" w:cs="Arial"/>
        </w:rPr>
      </w:pPr>
      <w:r>
        <w:rPr>
          <w:rFonts w:ascii="Arial" w:hAnsi="Arial" w:eastAsia="宋体" w:cs="Arial"/>
        </w:rPr>
        <w:t>（a）鉴定。</w:t>
      </w:r>
      <w:bookmarkStart w:id="20" w:name="OLE_LINK4"/>
      <w:bookmarkStart w:id="21" w:name="OLE_LINK2"/>
      <w:bookmarkStart w:id="22" w:name="OLE_LINK3"/>
      <w:r>
        <w:rPr>
          <w:rFonts w:ascii="Arial" w:hAnsi="Arial" w:eastAsia="宋体" w:cs="Arial"/>
        </w:rPr>
        <w:t>特定新型甲型流感病毒检测试剂</w:t>
      </w:r>
      <w:bookmarkEnd w:id="20"/>
      <w:bookmarkEnd w:id="21"/>
      <w:bookmarkEnd w:id="22"/>
      <w:r>
        <w:rPr>
          <w:rFonts w:ascii="Arial" w:hAnsi="Arial" w:eastAsia="宋体" w:cs="Arial"/>
        </w:rPr>
        <w:t>是拟用于核酸扩增实验直接检测人体呼吸道标本或病毒培养物中特定病毒RNA的器械。特定病毒RNA检测有助于在具有特定新型甲型流感病毒感染临床风险的患者中对这些病毒引起的流感做出诊断，亦有助于对特定新型甲型流感病毒的推断性实验室鉴定，从而提供流感的流行病学信息。这些试剂包括引物、探针和特定甲型流感病毒对照。</w:t>
      </w:r>
    </w:p>
    <w:p w14:paraId="3AA254FF">
      <w:pPr>
        <w:snapToGrid w:val="0"/>
        <w:spacing w:line="300" w:lineRule="auto"/>
        <w:rPr>
          <w:rFonts w:ascii="Arial" w:hAnsi="Arial" w:eastAsia="宋体" w:cs="Arial"/>
        </w:rPr>
      </w:pPr>
    </w:p>
    <w:p w14:paraId="2A8BBC5A">
      <w:pPr>
        <w:snapToGrid w:val="0"/>
        <w:spacing w:line="300" w:lineRule="auto"/>
        <w:rPr>
          <w:rFonts w:ascii="Arial" w:hAnsi="Arial" w:eastAsia="宋体" w:cs="Arial"/>
        </w:rPr>
      </w:pPr>
      <w:r>
        <w:rPr>
          <w:rFonts w:ascii="Arial" w:hAnsi="Arial" w:eastAsia="宋体" w:cs="Arial"/>
        </w:rPr>
        <w:t>除本指南外，这些器械还受特殊控制措施的支配。</w:t>
      </w:r>
      <w:bookmarkStart w:id="23" w:name="OLE_LINK9"/>
      <w:bookmarkStart w:id="24" w:name="OLE_LINK10"/>
      <w:r>
        <w:rPr>
          <w:rFonts w:ascii="Arial" w:hAnsi="Arial" w:eastAsia="宋体" w:cs="Arial"/>
        </w:rPr>
        <w:t>特殊控制措施要求将该器械的分销局限于具备下列条件的实验室：（i）拥有经过标准化分子检测规程培训且具备病毒诊断专长的资深工作人员，（ii）拥有适当的生物安全器械和控制措施。（21 CFR 866.3332（b）（2））</w:t>
      </w:r>
    </w:p>
    <w:bookmarkEnd w:id="23"/>
    <w:bookmarkEnd w:id="24"/>
    <w:p w14:paraId="4C0D26F4">
      <w:pPr>
        <w:snapToGrid w:val="0"/>
        <w:spacing w:line="300" w:lineRule="auto"/>
        <w:rPr>
          <w:rFonts w:ascii="Arial" w:hAnsi="Arial" w:eastAsia="宋体" w:cs="Arial"/>
        </w:rPr>
      </w:pPr>
    </w:p>
    <w:p w14:paraId="31C8A840">
      <w:pPr>
        <w:snapToGrid w:val="0"/>
        <w:spacing w:line="300" w:lineRule="auto"/>
        <w:rPr>
          <w:rFonts w:ascii="Arial" w:hAnsi="Arial" w:eastAsia="宋体" w:cs="Arial"/>
        </w:rPr>
      </w:pPr>
      <w:r>
        <w:rPr>
          <w:rFonts w:ascii="Arial" w:hAnsi="Arial" w:eastAsia="宋体" w:cs="Arial"/>
        </w:rPr>
        <w:t>在本特殊控制指南中推荐了减轻下节（第4节－健康风险）确认的风险所需的具体信息。这些信息弥补了其它适用指南的不足之处。</w:t>
      </w:r>
      <w:bookmarkStart w:id="25" w:name="OLE_LINK43"/>
      <w:bookmarkStart w:id="26" w:name="OLE_LINK45"/>
      <w:r>
        <w:rPr>
          <w:rFonts w:ascii="Arial" w:hAnsi="Arial" w:eastAsia="宋体" w:cs="Arial"/>
        </w:rPr>
        <w:t>在2005年8月12日发布的文件“行业和食品药品监督管理局工作人员指南：传统和简化510（k）提交资料的格式”</w:t>
      </w:r>
      <w:bookmarkEnd w:id="25"/>
      <w:bookmarkEnd w:id="26"/>
      <w:r>
        <w:rPr>
          <w:rFonts w:ascii="Arial" w:hAnsi="Arial" w:eastAsia="宋体" w:cs="Arial"/>
        </w:rPr>
        <w:t>中详细描述了满足上市前通告（510（k））要求的通用推荐规范，其中包括用于确立实质等同性的描述性信息、性能证实和贴标推荐规范。[参考文件1] 此外，食品药品监督管理局已经编制了关于信息类型的指南草案。为了将这些信息包含在核酸扩增实验用试剂510（k）申请文中件，通常会加以推荐。我们建议制造商在提交资料撰写的最后阶段查阅该指南。[参考文件2]</w:t>
      </w:r>
    </w:p>
    <w:p w14:paraId="0099AEF6">
      <w:pPr>
        <w:snapToGrid w:val="0"/>
        <w:spacing w:line="300" w:lineRule="auto"/>
        <w:rPr>
          <w:rFonts w:ascii="Arial" w:hAnsi="Arial" w:eastAsia="宋体" w:cs="Arial"/>
        </w:rPr>
      </w:pPr>
    </w:p>
    <w:p w14:paraId="7D488185">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3" name="图片 3"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5FA99517">
      <w:pPr>
        <w:snapToGrid w:val="0"/>
        <w:spacing w:line="300" w:lineRule="auto"/>
        <w:rPr>
          <w:rFonts w:ascii="Arial" w:hAnsi="Arial" w:eastAsia="宋体" w:cs="Arial"/>
        </w:rPr>
      </w:pPr>
    </w:p>
    <w:p w14:paraId="246681F3">
      <w:pPr>
        <w:snapToGrid w:val="0"/>
        <w:spacing w:line="300" w:lineRule="auto"/>
        <w:rPr>
          <w:rFonts w:ascii="Arial" w:hAnsi="Arial" w:eastAsia="宋体" w:cs="Arial"/>
          <w:b/>
        </w:rPr>
      </w:pPr>
      <w:r>
        <w:rPr>
          <w:rFonts w:ascii="Arial" w:hAnsi="Arial" w:eastAsia="宋体" w:cs="Arial"/>
          <w:b/>
        </w:rPr>
        <w:t>4. 健康风险</w:t>
      </w:r>
    </w:p>
    <w:p w14:paraId="3918ABE0">
      <w:pPr>
        <w:snapToGrid w:val="0"/>
        <w:spacing w:line="300" w:lineRule="auto"/>
        <w:rPr>
          <w:rFonts w:ascii="Arial" w:hAnsi="Arial" w:eastAsia="宋体" w:cs="Arial"/>
        </w:rPr>
      </w:pPr>
    </w:p>
    <w:p w14:paraId="5DE801B1">
      <w:pPr>
        <w:snapToGrid w:val="0"/>
        <w:spacing w:line="300" w:lineRule="auto"/>
        <w:rPr>
          <w:rFonts w:ascii="Arial" w:hAnsi="Arial" w:eastAsia="宋体" w:cs="Arial"/>
        </w:rPr>
      </w:pPr>
      <w:r>
        <w:rPr>
          <w:rFonts w:ascii="Arial" w:hAnsi="Arial" w:eastAsia="宋体" w:cs="Arial"/>
        </w:rPr>
        <w:t>由经常处于循环状态的甲型流感病毒引起的流感有着高发病率和高死亡率，在老人和幼儿这样的特殊人群中尤其如此。流感病毒每年都会发生虽然轻微但却重要的突变（称之为抗原漂移的一个过程），因此，对季节性流感病毒产生的获得性免疫是有限的。由于很少有人（或根本没有人）对新型流感病毒的表面糖蛋白有过先验性免疫接触，</w:t>
      </w:r>
      <w:bookmarkStart w:id="27" w:name="OLE_LINK118"/>
      <w:bookmarkStart w:id="28" w:name="OLE_LINK119"/>
      <w:r>
        <w:rPr>
          <w:rFonts w:ascii="Arial" w:hAnsi="Arial" w:eastAsia="宋体" w:cs="Arial"/>
        </w:rPr>
        <w:t>因此这些病毒</w:t>
      </w:r>
      <w:bookmarkEnd w:id="27"/>
      <w:r>
        <w:rPr>
          <w:rFonts w:ascii="Arial" w:hAnsi="Arial" w:eastAsia="宋体" w:cs="Arial"/>
        </w:rPr>
        <w:t>甚至有更大的概率引起发病和死亡，有可能导致病变广泛的疾病和/或极为严重的疾病。</w:t>
      </w:r>
      <w:bookmarkEnd w:id="28"/>
      <w:r>
        <w:rPr>
          <w:rFonts w:ascii="Arial" w:hAnsi="Arial" w:eastAsia="宋体" w:cs="Arial"/>
        </w:rPr>
        <w:t>另外，其它病原因素可能会增加病毒的毒力。</w:t>
      </w:r>
    </w:p>
    <w:p w14:paraId="737BB17B">
      <w:pPr>
        <w:snapToGrid w:val="0"/>
        <w:spacing w:line="300" w:lineRule="auto"/>
        <w:rPr>
          <w:rFonts w:ascii="Arial" w:hAnsi="Arial" w:eastAsia="宋体" w:cs="Arial"/>
        </w:rPr>
      </w:pPr>
    </w:p>
    <w:p w14:paraId="4BACA4A8">
      <w:pPr>
        <w:widowControl/>
        <w:jc w:val="left"/>
        <w:rPr>
          <w:rFonts w:ascii="Arial" w:hAnsi="Arial" w:eastAsia="宋体" w:cs="Arial"/>
        </w:rPr>
      </w:pPr>
      <w:r>
        <w:rPr>
          <w:rFonts w:ascii="Arial" w:hAnsi="Arial" w:eastAsia="宋体" w:cs="Arial"/>
        </w:rPr>
        <w:br w:type="page"/>
      </w:r>
    </w:p>
    <w:p w14:paraId="68147EC8">
      <w:pPr>
        <w:snapToGrid w:val="0"/>
        <w:spacing w:line="300" w:lineRule="auto"/>
        <w:rPr>
          <w:rFonts w:ascii="Arial" w:hAnsi="Arial" w:eastAsia="宋体" w:cs="Arial"/>
        </w:rPr>
      </w:pPr>
      <w:r>
        <w:rPr>
          <w:rFonts w:ascii="Arial" w:hAnsi="Arial" w:eastAsia="宋体" w:cs="Arial"/>
        </w:rPr>
        <w:t>特定新型甲型流感病毒检测试剂不能发挥预期作用或不能正确解释结果可导致做出不正确的患者管理决策和不恰当的公共卫生反应。在个体患者管理的背景下，假阴性报告可导致延迟提供（乃至不能提供）明确诊断、适当治疗、感染控制和预防措施，而假阳性报告可导致不必要或不恰当的治疗或不必要的控制和预防措施。在公共卫生背景下，假阴性报告可导致延迟识别某种新型甲型流感病毒引起的流感爆发或聚集，而假阳性报告可导致不必要的公共卫生行动（如对社区中的其他人采取不必要或不恰当的治疗和管理）。</w:t>
      </w:r>
    </w:p>
    <w:p w14:paraId="7DD0CEBA">
      <w:pPr>
        <w:snapToGrid w:val="0"/>
        <w:spacing w:line="300" w:lineRule="auto"/>
        <w:rPr>
          <w:rFonts w:ascii="Arial" w:hAnsi="Arial" w:eastAsia="宋体" w:cs="Arial"/>
        </w:rPr>
      </w:pPr>
    </w:p>
    <w:p w14:paraId="70B64B4A">
      <w:pPr>
        <w:snapToGrid w:val="0"/>
        <w:spacing w:line="300" w:lineRule="auto"/>
        <w:rPr>
          <w:rFonts w:ascii="Arial" w:hAnsi="Arial" w:eastAsia="宋体" w:cs="Arial"/>
        </w:rPr>
      </w:pPr>
      <w:r>
        <w:rPr>
          <w:rFonts w:ascii="Arial" w:hAnsi="Arial" w:eastAsia="宋体" w:cs="Arial"/>
        </w:rPr>
        <w:t>几个因素可能会对这些试剂的性能产生负面影响或导致对结果做出不正确的解释。首先，检测不是由经过培训的资深实验室工作人员完成时，可能导致不正确的检测和不准确的报告。由于使用这些试剂需要专门技术，由缺乏分子分析前规程（标本处理和提取）和分子分析规程经验与适当培训的实验室工作人员实施检测可增加得到不准确结果的风险。同样，如果实验室工作人员缺乏病毒诊断专长，对检测结果做出不适当或不准确解释的风险就会增加。</w:t>
      </w:r>
    </w:p>
    <w:p w14:paraId="0B10E47B">
      <w:pPr>
        <w:snapToGrid w:val="0"/>
        <w:spacing w:line="300" w:lineRule="auto"/>
        <w:rPr>
          <w:rFonts w:ascii="Arial" w:hAnsi="Arial" w:eastAsia="宋体" w:cs="Arial"/>
        </w:rPr>
      </w:pPr>
    </w:p>
    <w:p w14:paraId="27C656B9">
      <w:pPr>
        <w:snapToGrid w:val="0"/>
        <w:spacing w:line="300" w:lineRule="auto"/>
        <w:rPr>
          <w:rFonts w:ascii="Arial" w:hAnsi="Arial" w:eastAsia="宋体" w:cs="Arial"/>
        </w:rPr>
      </w:pPr>
      <w:r>
        <w:rPr>
          <w:rFonts w:ascii="Arial" w:hAnsi="Arial" w:eastAsia="宋体" w:cs="Arial"/>
        </w:rPr>
        <w:t>其次，所有甲型流感病毒的突变（病毒RNA改变）习性可能会对特定新型甲型流感病毒检测试剂的性能造成影响。用于检测新型流感病毒的引物和探针是根据它们与病毒RNA片段内高度保守区的同源性而选定的。由于病毒随时间发生连续突变，引物和探针试剂与病毒靶点的退火会减弱。这种变化可能会明显降低这些试剂的性能。</w:t>
      </w:r>
    </w:p>
    <w:p w14:paraId="1B3F3E51">
      <w:pPr>
        <w:snapToGrid w:val="0"/>
        <w:spacing w:line="300" w:lineRule="auto"/>
        <w:rPr>
          <w:rFonts w:ascii="Arial" w:hAnsi="Arial" w:eastAsia="宋体" w:cs="Arial"/>
        </w:rPr>
      </w:pPr>
    </w:p>
    <w:p w14:paraId="32D6E355">
      <w:pPr>
        <w:snapToGrid w:val="0"/>
        <w:spacing w:line="300" w:lineRule="auto"/>
        <w:rPr>
          <w:rFonts w:ascii="Arial" w:hAnsi="Arial" w:eastAsia="宋体" w:cs="Arial"/>
        </w:rPr>
      </w:pPr>
      <w:r>
        <w:rPr>
          <w:rFonts w:ascii="Arial" w:hAnsi="Arial" w:eastAsia="宋体" w:cs="Arial"/>
        </w:rPr>
        <w:t>第三，由于某种特定新型甲型流感病毒所致疾病的流行病学和病理学尚未完全弄清，因此可能会对检验产品的性能造成影响。例如，临床医生和实验室可能不知道将要采集的最佳标本类型以及感染过程中这些标本最有可能在何时含有易检出的病毒水平。</w:t>
      </w:r>
    </w:p>
    <w:p w14:paraId="33A449E2">
      <w:pPr>
        <w:snapToGrid w:val="0"/>
        <w:spacing w:line="300" w:lineRule="auto"/>
        <w:rPr>
          <w:rFonts w:ascii="Arial" w:hAnsi="Arial" w:eastAsia="宋体" w:cs="Arial"/>
        </w:rPr>
      </w:pPr>
    </w:p>
    <w:p w14:paraId="6F91E068">
      <w:pPr>
        <w:snapToGrid w:val="0"/>
        <w:spacing w:line="300" w:lineRule="auto"/>
        <w:rPr>
          <w:rFonts w:ascii="Arial" w:hAnsi="Arial" w:eastAsia="宋体" w:cs="Arial"/>
        </w:rPr>
      </w:pPr>
      <w:r>
        <w:rPr>
          <w:rFonts w:ascii="Arial" w:hAnsi="Arial" w:eastAsia="宋体" w:cs="Arial"/>
        </w:rPr>
        <w:t>检验产品除了面临不能发挥预期作用或不能正确解释结果的风险外，使用这些试剂进行检测与新型甲型流感病毒传播的可能性存在关联。未经适当灭活的对照本身可能就是一个感染来源。由缺乏经验或未经培训的实验室工作人员使用这些器械进行检测以及在缺乏适当的生物安全器械和控制规程的实验室中使用这些器械可增加发生新型甲型流感病毒所致实验室获得性感染的风险与将感染传播至实验室外其他人的可能性。</w:t>
      </w:r>
    </w:p>
    <w:p w14:paraId="00E6AE1A">
      <w:pPr>
        <w:snapToGrid w:val="0"/>
        <w:spacing w:line="300" w:lineRule="auto"/>
        <w:rPr>
          <w:rFonts w:ascii="Arial" w:hAnsi="Arial" w:eastAsia="宋体" w:cs="Arial"/>
        </w:rPr>
      </w:pPr>
    </w:p>
    <w:p w14:paraId="0E40B711">
      <w:pPr>
        <w:snapToGrid w:val="0"/>
        <w:spacing w:line="300" w:lineRule="auto"/>
        <w:rPr>
          <w:rFonts w:ascii="Arial" w:hAnsi="Arial" w:eastAsia="宋体" w:cs="Arial"/>
        </w:rPr>
      </w:pPr>
      <w:r>
        <w:rPr>
          <w:rFonts w:ascii="Arial" w:hAnsi="Arial" w:eastAsia="宋体" w:cs="Arial"/>
        </w:rPr>
        <w:t>此外，如果控制不当，还存在某种新型流感病毒与其它流感病毒发生重组的风险。流感病毒（包括像H5N1禽流感病毒这样的新病毒）有与在其它动物物种中循环的流感病毒发生重组的能力。某种新型甲型流感病毒与某种人类流感病毒的重组可导致病毒的明显改变，如宿主范围、毒力和抗原性的改变。这些改变可导致病毒获得人与人间持续传播的能力。一般认为，这种改变对引发流感大流行是必要的。如果由缺乏经验或未经培训的人员或在缺乏适当生物安全器械和控制规程的条件下实施检测，更有可能产生有利于病毒重组的条件。</w:t>
      </w:r>
    </w:p>
    <w:p w14:paraId="0805E04E">
      <w:pPr>
        <w:snapToGrid w:val="0"/>
        <w:spacing w:line="300" w:lineRule="auto"/>
        <w:rPr>
          <w:rFonts w:ascii="Arial" w:hAnsi="Arial" w:eastAsia="宋体" w:cs="Arial"/>
        </w:rPr>
      </w:pPr>
    </w:p>
    <w:p w14:paraId="68425701">
      <w:pPr>
        <w:widowControl/>
        <w:jc w:val="left"/>
        <w:rPr>
          <w:rFonts w:ascii="Arial" w:hAnsi="Arial" w:eastAsia="宋体" w:cs="Arial"/>
        </w:rPr>
      </w:pPr>
      <w:r>
        <w:rPr>
          <w:rFonts w:ascii="Arial" w:hAnsi="Arial" w:eastAsia="宋体" w:cs="Arial"/>
        </w:rPr>
        <w:br w:type="page"/>
      </w:r>
    </w:p>
    <w:p w14:paraId="2099F488">
      <w:pPr>
        <w:snapToGrid w:val="0"/>
        <w:spacing w:line="300" w:lineRule="auto"/>
        <w:rPr>
          <w:rFonts w:ascii="Arial" w:hAnsi="Arial" w:eastAsia="宋体" w:cs="Arial"/>
        </w:rPr>
      </w:pPr>
      <w:r>
        <w:rPr>
          <w:rFonts w:ascii="Arial" w:hAnsi="Arial" w:eastAsia="宋体" w:cs="Arial"/>
        </w:rPr>
        <w:t>食品药品监督管理局在下表中确认了通常与使用特定新型甲型流感病毒有关的健康风险。在本指南中给出了为减轻这些确认风险而推荐的措施（如下表所示）。（另外，为减轻这些风险，该类器械的分类规则指定了一个拟用于减轻这些风险的附加特殊控制措施。特殊控制措施要求将该器械的分销局限于具备下列条件的实验室：（i）拥有经过标准化分子检测规程培训且具备病毒诊断专长的资深工作人员，（ii）拥有适当的生物安全器械和控制措施。（21 CFR 866.3332（b）（2）））</w:t>
      </w:r>
    </w:p>
    <w:p w14:paraId="23459A28">
      <w:pPr>
        <w:snapToGrid w:val="0"/>
        <w:spacing w:line="300" w:lineRule="auto"/>
        <w:rPr>
          <w:rFonts w:ascii="Arial" w:hAnsi="Arial" w:eastAsia="宋体" w:cs="Arial"/>
        </w:rPr>
      </w:pPr>
    </w:p>
    <w:p w14:paraId="4B7AB024">
      <w:pPr>
        <w:snapToGrid w:val="0"/>
        <w:spacing w:line="300" w:lineRule="auto"/>
        <w:rPr>
          <w:rFonts w:ascii="Arial" w:hAnsi="Arial" w:eastAsia="宋体" w:cs="Arial"/>
        </w:rPr>
      </w:pPr>
      <w:r>
        <w:rPr>
          <w:rFonts w:ascii="Arial" w:hAnsi="Arial" w:eastAsia="宋体" w:cs="Arial"/>
        </w:rPr>
        <w:t>我们建议贵公司在提交上市前通告前做一次风险分析，针对贵公司的器械确认任何其它风险。在上市前通告中应对风险分析方法加以描述。如果贵公司选择采用备选方法处理本文件确认的某种特殊风险或确认了本文件所确认风险的附加风险，应提供足够细节支持贵公司处理该风险所采用的方法。</w:t>
      </w:r>
    </w:p>
    <w:p w14:paraId="113F3EF2">
      <w:pPr>
        <w:snapToGrid w:val="0"/>
        <w:spacing w:line="300" w:lineRule="auto"/>
        <w:rPr>
          <w:rFonts w:ascii="Arial" w:hAnsi="Arial" w:eastAsia="宋体" w:cs="Aria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4"/>
        <w:gridCol w:w="2318"/>
      </w:tblGrid>
      <w:tr w14:paraId="2746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F1F1F1" w:themeFill="background1" w:themeFillShade="F2"/>
          </w:tcPr>
          <w:p w14:paraId="6E4CAB87">
            <w:pPr>
              <w:snapToGrid w:val="0"/>
              <w:spacing w:line="300" w:lineRule="auto"/>
              <w:rPr>
                <w:rFonts w:ascii="Arial" w:hAnsi="Arial" w:eastAsia="宋体" w:cs="Arial"/>
              </w:rPr>
            </w:pPr>
            <w:r>
              <w:rPr>
                <w:rFonts w:ascii="Arial" w:hAnsi="Arial" w:eastAsia="宋体" w:cs="Arial"/>
              </w:rPr>
              <w:t>确认风险</w:t>
            </w:r>
          </w:p>
        </w:tc>
        <w:tc>
          <w:tcPr>
            <w:tcW w:w="2318" w:type="dxa"/>
            <w:shd w:val="clear" w:color="auto" w:fill="F1F1F1" w:themeFill="background1" w:themeFillShade="F2"/>
          </w:tcPr>
          <w:p w14:paraId="23BD1FD6">
            <w:pPr>
              <w:snapToGrid w:val="0"/>
              <w:spacing w:line="300" w:lineRule="auto"/>
              <w:rPr>
                <w:rFonts w:ascii="Arial" w:hAnsi="Arial" w:eastAsia="宋体" w:cs="Arial"/>
              </w:rPr>
            </w:pPr>
            <w:r>
              <w:rPr>
                <w:rFonts w:ascii="Arial" w:hAnsi="Arial" w:eastAsia="宋体" w:cs="Arial"/>
              </w:rPr>
              <w:t>建议采取的</w:t>
            </w:r>
            <w:r>
              <w:rPr>
                <w:rFonts w:hint="eastAsia" w:ascii="Arial" w:hAnsi="Arial" w:eastAsia="宋体" w:cs="Arial"/>
              </w:rPr>
              <w:t>缓解</w:t>
            </w:r>
            <w:r>
              <w:rPr>
                <w:rFonts w:ascii="Arial" w:hAnsi="Arial" w:eastAsia="宋体" w:cs="Arial"/>
              </w:rPr>
              <w:t>措施</w:t>
            </w:r>
          </w:p>
        </w:tc>
      </w:tr>
      <w:tr w14:paraId="66EAB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A15E077">
            <w:pPr>
              <w:snapToGrid w:val="0"/>
              <w:spacing w:line="300" w:lineRule="auto"/>
              <w:rPr>
                <w:rFonts w:ascii="Arial" w:hAnsi="Arial" w:eastAsia="宋体" w:cs="Arial"/>
              </w:rPr>
            </w:pPr>
            <w:r>
              <w:rPr>
                <w:rFonts w:ascii="Arial" w:hAnsi="Arial" w:eastAsia="宋体" w:cs="Arial"/>
              </w:rPr>
              <w:t>未正确实施检测</w:t>
            </w:r>
          </w:p>
          <w:p w14:paraId="4FB7F9D6">
            <w:pPr>
              <w:pStyle w:val="13"/>
              <w:numPr>
                <w:ilvl w:val="0"/>
                <w:numId w:val="1"/>
              </w:numPr>
              <w:snapToGrid w:val="0"/>
              <w:spacing w:line="300" w:lineRule="auto"/>
              <w:ind w:firstLineChars="0"/>
              <w:rPr>
                <w:rFonts w:ascii="Arial" w:hAnsi="Arial" w:eastAsia="宋体" w:cs="Arial"/>
              </w:rPr>
            </w:pPr>
            <w:r>
              <w:rPr>
                <w:rFonts w:ascii="Arial" w:hAnsi="Arial" w:eastAsia="宋体" w:cs="Arial"/>
              </w:rPr>
              <w:t>试剂未发挥预期作用，包括不能检测已发生突变的病毒RNA</w:t>
            </w:r>
          </w:p>
          <w:p w14:paraId="2CCC42D5">
            <w:pPr>
              <w:pStyle w:val="13"/>
              <w:numPr>
                <w:ilvl w:val="0"/>
                <w:numId w:val="1"/>
              </w:numPr>
              <w:snapToGrid w:val="0"/>
              <w:spacing w:line="300" w:lineRule="auto"/>
              <w:ind w:firstLineChars="0"/>
              <w:rPr>
                <w:rFonts w:ascii="Arial" w:hAnsi="Arial" w:eastAsia="宋体" w:cs="Arial"/>
              </w:rPr>
            </w:pPr>
            <w:r>
              <w:rPr>
                <w:rFonts w:ascii="Arial" w:hAnsi="Arial" w:eastAsia="宋体" w:cs="Arial"/>
              </w:rPr>
              <w:t>尚未充分了解病毒/宿主因素的流行病学或病理学，无法实现检测最佳化</w:t>
            </w:r>
          </w:p>
        </w:tc>
        <w:tc>
          <w:tcPr>
            <w:tcW w:w="2318" w:type="dxa"/>
          </w:tcPr>
          <w:p w14:paraId="530D03D8">
            <w:pPr>
              <w:snapToGrid w:val="0"/>
              <w:spacing w:line="300" w:lineRule="auto"/>
              <w:rPr>
                <w:rFonts w:ascii="Arial" w:hAnsi="Arial" w:eastAsia="宋体" w:cs="Arial"/>
              </w:rPr>
            </w:pPr>
            <w:r>
              <w:rPr>
                <w:rFonts w:ascii="Arial" w:hAnsi="Arial" w:eastAsia="宋体" w:cs="Arial"/>
              </w:rPr>
              <w:t>第5-8节</w:t>
            </w:r>
          </w:p>
        </w:tc>
      </w:tr>
      <w:tr w14:paraId="6319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shd w:val="clear" w:color="auto" w:fill="F1F1F1" w:themeFill="background1" w:themeFillShade="F2"/>
          </w:tcPr>
          <w:p w14:paraId="5E3F6376">
            <w:pPr>
              <w:snapToGrid w:val="0"/>
              <w:spacing w:line="300" w:lineRule="auto"/>
              <w:rPr>
                <w:rFonts w:ascii="Arial" w:hAnsi="Arial" w:eastAsia="宋体" w:cs="Arial"/>
              </w:rPr>
            </w:pPr>
            <w:r>
              <w:rPr>
                <w:rFonts w:ascii="Arial" w:hAnsi="Arial" w:eastAsia="宋体" w:cs="Arial"/>
              </w:rPr>
              <w:t>不能适当解释检验结果</w:t>
            </w:r>
          </w:p>
        </w:tc>
        <w:tc>
          <w:tcPr>
            <w:tcW w:w="2318" w:type="dxa"/>
            <w:shd w:val="clear" w:color="auto" w:fill="F1F1F1" w:themeFill="background1" w:themeFillShade="F2"/>
          </w:tcPr>
          <w:p w14:paraId="15383135">
            <w:pPr>
              <w:snapToGrid w:val="0"/>
              <w:spacing w:line="300" w:lineRule="auto"/>
              <w:rPr>
                <w:rFonts w:ascii="Arial" w:hAnsi="Arial" w:eastAsia="宋体" w:cs="Arial"/>
              </w:rPr>
            </w:pPr>
            <w:r>
              <w:rPr>
                <w:rFonts w:ascii="Arial" w:hAnsi="Arial" w:eastAsia="宋体" w:cs="Arial"/>
              </w:rPr>
              <w:t>第5-8节</w:t>
            </w:r>
          </w:p>
        </w:tc>
      </w:tr>
      <w:tr w14:paraId="6008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tcPr>
          <w:p w14:paraId="30E7EB08">
            <w:pPr>
              <w:snapToGrid w:val="0"/>
              <w:spacing w:line="300" w:lineRule="auto"/>
              <w:rPr>
                <w:rFonts w:ascii="Arial" w:hAnsi="Arial" w:eastAsia="宋体" w:cs="Arial"/>
              </w:rPr>
            </w:pPr>
            <w:r>
              <w:rPr>
                <w:rFonts w:ascii="Arial" w:hAnsi="Arial" w:eastAsia="宋体" w:cs="Arial"/>
              </w:rPr>
              <w:t>实验室获得性感染和重组</w:t>
            </w:r>
          </w:p>
        </w:tc>
        <w:tc>
          <w:tcPr>
            <w:tcW w:w="2318" w:type="dxa"/>
          </w:tcPr>
          <w:p w14:paraId="01E83583">
            <w:pPr>
              <w:snapToGrid w:val="0"/>
              <w:spacing w:line="300" w:lineRule="auto"/>
              <w:rPr>
                <w:rFonts w:ascii="Arial" w:hAnsi="Arial" w:eastAsia="宋体" w:cs="Arial"/>
              </w:rPr>
            </w:pPr>
            <w:r>
              <w:rPr>
                <w:rFonts w:ascii="Arial" w:hAnsi="Arial" w:eastAsia="宋体" w:cs="Arial"/>
              </w:rPr>
              <w:t>第5节和第7节</w:t>
            </w:r>
          </w:p>
        </w:tc>
      </w:tr>
    </w:tbl>
    <w:p w14:paraId="261B400F">
      <w:pPr>
        <w:snapToGrid w:val="0"/>
        <w:spacing w:line="300" w:lineRule="auto"/>
        <w:rPr>
          <w:rFonts w:ascii="Arial" w:hAnsi="Arial" w:eastAsia="宋体" w:cs="Arial"/>
        </w:rPr>
      </w:pPr>
    </w:p>
    <w:p w14:paraId="16D1011A">
      <w:pPr>
        <w:widowControl/>
        <w:jc w:val="left"/>
        <w:rPr>
          <w:rFonts w:ascii="Arial" w:hAnsi="Arial" w:eastAsia="宋体" w:cs="Arial"/>
        </w:rPr>
      </w:pPr>
      <w:r>
        <w:rPr>
          <w:rFonts w:ascii="Arial" w:hAnsi="Arial" w:eastAsia="宋体" w:cs="Arial"/>
        </w:rPr>
        <w:br w:type="page"/>
      </w:r>
    </w:p>
    <w:p w14:paraId="5EDE59F7">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4" name="图片 4"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58870A13">
      <w:pPr>
        <w:snapToGrid w:val="0"/>
        <w:spacing w:line="300" w:lineRule="auto"/>
        <w:rPr>
          <w:rFonts w:ascii="Arial" w:hAnsi="Arial" w:eastAsia="宋体" w:cs="Arial"/>
        </w:rPr>
      </w:pPr>
    </w:p>
    <w:p w14:paraId="28B30444">
      <w:pPr>
        <w:snapToGrid w:val="0"/>
        <w:spacing w:line="300" w:lineRule="auto"/>
        <w:rPr>
          <w:rFonts w:ascii="Arial" w:hAnsi="Arial" w:eastAsia="宋体" w:cs="Arial"/>
          <w:b/>
        </w:rPr>
      </w:pPr>
      <w:r>
        <w:rPr>
          <w:rFonts w:ascii="Arial" w:hAnsi="Arial" w:eastAsia="宋体" w:cs="Arial"/>
          <w:b/>
        </w:rPr>
        <w:t>5. 器械描述</w:t>
      </w:r>
    </w:p>
    <w:p w14:paraId="04FD79AB">
      <w:pPr>
        <w:snapToGrid w:val="0"/>
        <w:spacing w:line="300" w:lineRule="auto"/>
        <w:rPr>
          <w:rFonts w:ascii="Arial" w:hAnsi="Arial" w:eastAsia="宋体" w:cs="Arial"/>
          <w:b/>
        </w:rPr>
      </w:pPr>
    </w:p>
    <w:p w14:paraId="0EC0E053">
      <w:pPr>
        <w:snapToGrid w:val="0"/>
        <w:spacing w:line="300" w:lineRule="auto"/>
        <w:rPr>
          <w:rFonts w:ascii="Arial" w:hAnsi="Arial" w:eastAsia="宋体" w:cs="Arial"/>
          <w:b/>
        </w:rPr>
      </w:pPr>
      <w:r>
        <w:rPr>
          <w:rFonts w:ascii="Arial" w:hAnsi="Arial" w:eastAsia="宋体" w:cs="Arial"/>
          <w:b/>
        </w:rPr>
        <w:t>预期用途</w:t>
      </w:r>
    </w:p>
    <w:p w14:paraId="675FEF8C">
      <w:pPr>
        <w:snapToGrid w:val="0"/>
        <w:spacing w:line="300" w:lineRule="auto"/>
        <w:rPr>
          <w:rFonts w:ascii="Arial" w:hAnsi="Arial" w:eastAsia="宋体" w:cs="Arial"/>
        </w:rPr>
      </w:pPr>
    </w:p>
    <w:p w14:paraId="3FA56FA4">
      <w:pPr>
        <w:snapToGrid w:val="0"/>
        <w:spacing w:line="300" w:lineRule="auto"/>
        <w:rPr>
          <w:rFonts w:ascii="Arial" w:hAnsi="Arial" w:eastAsia="宋体" w:cs="Arial"/>
        </w:rPr>
      </w:pPr>
      <w:r>
        <w:rPr>
          <w:rFonts w:ascii="Arial" w:hAnsi="Arial" w:eastAsia="宋体" w:cs="Arial"/>
        </w:rPr>
        <w:t>在贵公司的</w:t>
      </w:r>
      <w:bookmarkStart w:id="29" w:name="OLE_LINK8"/>
      <w:bookmarkStart w:id="30" w:name="OLE_LINK11"/>
      <w:r>
        <w:rPr>
          <w:rFonts w:ascii="Arial" w:hAnsi="Arial" w:eastAsia="宋体" w:cs="Arial"/>
        </w:rPr>
        <w:t>510（k）提交资料中</w:t>
      </w:r>
      <w:bookmarkEnd w:id="29"/>
      <w:bookmarkEnd w:id="30"/>
      <w:r>
        <w:rPr>
          <w:rFonts w:ascii="Arial" w:hAnsi="Arial" w:eastAsia="宋体" w:cs="Arial"/>
        </w:rPr>
        <w:t>必须包含描述贵公司产品预期用途的贴标。（见21 CFR 807.87（e））贵公司应确保对预期用途的所有要素做出清晰陈述，特别是该器械拟检测的特定病毒（如甲型流感/H5（亚洲世系））。在预期用途中应包含拟检测的病毒RNA区段（被测物）、拟检测的患者人群、检测适用的标本类型和所有具体使用条件。</w:t>
      </w:r>
    </w:p>
    <w:p w14:paraId="1A4E537C">
      <w:pPr>
        <w:snapToGrid w:val="0"/>
        <w:spacing w:line="300" w:lineRule="auto"/>
        <w:rPr>
          <w:rFonts w:ascii="Arial" w:hAnsi="Arial" w:eastAsia="宋体" w:cs="Arial"/>
        </w:rPr>
      </w:pPr>
    </w:p>
    <w:p w14:paraId="58CFD0AE">
      <w:pPr>
        <w:snapToGrid w:val="0"/>
        <w:spacing w:line="300" w:lineRule="auto"/>
        <w:rPr>
          <w:rFonts w:ascii="Arial" w:hAnsi="Arial" w:eastAsia="宋体" w:cs="Arial"/>
        </w:rPr>
      </w:pPr>
      <w:r>
        <w:rPr>
          <w:rFonts w:ascii="Arial" w:hAnsi="Arial" w:eastAsia="宋体" w:cs="Arial"/>
        </w:rPr>
        <w:t>在510（k）提交资料中，贵公司应清晰描述与贵公司产品的预期用途有关的下列信息：</w:t>
      </w:r>
    </w:p>
    <w:p w14:paraId="6D6BD47E">
      <w:pPr>
        <w:snapToGrid w:val="0"/>
        <w:spacing w:line="300" w:lineRule="auto"/>
        <w:rPr>
          <w:rFonts w:ascii="Arial" w:hAnsi="Arial" w:eastAsia="宋体" w:cs="Arial"/>
        </w:rPr>
      </w:pPr>
    </w:p>
    <w:p w14:paraId="47245B1F">
      <w:pPr>
        <w:pStyle w:val="13"/>
        <w:numPr>
          <w:ilvl w:val="0"/>
          <w:numId w:val="2"/>
        </w:numPr>
        <w:snapToGrid w:val="0"/>
        <w:spacing w:line="300" w:lineRule="auto"/>
        <w:ind w:firstLineChars="0"/>
        <w:rPr>
          <w:rFonts w:ascii="Arial" w:hAnsi="Arial" w:eastAsia="宋体" w:cs="Arial"/>
        </w:rPr>
      </w:pPr>
      <w:bookmarkStart w:id="31" w:name="OLE_LINK13"/>
      <w:bookmarkStart w:id="32" w:name="OLE_LINK12"/>
      <w:r>
        <w:rPr>
          <w:rFonts w:ascii="Arial" w:hAnsi="Arial" w:eastAsia="宋体" w:cs="Arial"/>
        </w:rPr>
        <w:t>贵公司的器械在设计时拟检测的某种特定新型流感病毒的特性、动植物种类关系或其它公认特征。</w:t>
      </w:r>
    </w:p>
    <w:p w14:paraId="4E1D07AA">
      <w:pPr>
        <w:pStyle w:val="13"/>
        <w:numPr>
          <w:ilvl w:val="0"/>
          <w:numId w:val="2"/>
        </w:numPr>
        <w:snapToGrid w:val="0"/>
        <w:spacing w:line="300" w:lineRule="auto"/>
        <w:ind w:firstLineChars="0"/>
        <w:rPr>
          <w:rFonts w:ascii="Arial" w:hAnsi="Arial" w:eastAsia="宋体" w:cs="Arial"/>
        </w:rPr>
      </w:pPr>
      <w:r>
        <w:rPr>
          <w:rFonts w:ascii="Arial" w:hAnsi="Arial" w:eastAsia="宋体" w:cs="Arial"/>
        </w:rPr>
        <w:t>在对某种特定新型甲型流感病毒做出明确的实验室鉴定所需的诊断程序和其它措施中如何使用该器械的检验结果。</w:t>
      </w:r>
    </w:p>
    <w:p w14:paraId="00E5B82B">
      <w:pPr>
        <w:pStyle w:val="13"/>
        <w:numPr>
          <w:ilvl w:val="0"/>
          <w:numId w:val="2"/>
        </w:numPr>
        <w:snapToGrid w:val="0"/>
        <w:spacing w:line="300" w:lineRule="auto"/>
        <w:ind w:firstLineChars="0"/>
        <w:rPr>
          <w:rFonts w:ascii="Arial" w:hAnsi="Arial" w:eastAsia="宋体" w:cs="Arial"/>
        </w:rPr>
      </w:pPr>
      <w:r>
        <w:rPr>
          <w:rFonts w:ascii="Arial" w:hAnsi="Arial" w:eastAsia="宋体" w:cs="Arial"/>
        </w:rPr>
        <w:t>与对某个患者病例做出诊断有关的临床和流行病学参数。世界卫生组织（World Health Organization，WHO）提供了可用作患者病例认定指南的标准。</w:t>
      </w:r>
    </w:p>
    <w:bookmarkEnd w:id="31"/>
    <w:bookmarkEnd w:id="32"/>
    <w:p w14:paraId="73C4897F">
      <w:pPr>
        <w:snapToGrid w:val="0"/>
        <w:spacing w:line="300" w:lineRule="auto"/>
        <w:rPr>
          <w:rFonts w:ascii="Arial" w:hAnsi="Arial" w:eastAsia="宋体" w:cs="Arial"/>
        </w:rPr>
      </w:pPr>
    </w:p>
    <w:p w14:paraId="13647C1D">
      <w:pPr>
        <w:snapToGrid w:val="0"/>
        <w:spacing w:line="300" w:lineRule="auto"/>
        <w:rPr>
          <w:rFonts w:ascii="Arial" w:hAnsi="Arial" w:eastAsia="宋体" w:cs="Arial"/>
        </w:rPr>
      </w:pPr>
      <w:r>
        <w:rPr>
          <w:rFonts w:ascii="Arial" w:hAnsi="Arial" w:eastAsia="宋体" w:cs="Arial"/>
        </w:rPr>
        <w:t>注：有公认的实验室方法可用于对某些新型流感病毒做出明确鉴定（如</w:t>
      </w:r>
      <w:bookmarkStart w:id="33" w:name="OLE_LINK52"/>
      <w:bookmarkStart w:id="34" w:name="OLE_LINK53"/>
      <w:r>
        <w:rPr>
          <w:rFonts w:ascii="Arial" w:hAnsi="Arial" w:eastAsia="宋体" w:cs="Arial"/>
        </w:rPr>
        <w:t>世界卫生组织动物流感诊断和监测手册</w:t>
      </w:r>
      <w:bookmarkEnd w:id="33"/>
      <w:bookmarkEnd w:id="34"/>
      <w:r>
        <w:rPr>
          <w:rFonts w:ascii="Arial" w:hAnsi="Arial" w:eastAsia="宋体" w:cs="Arial"/>
        </w:rPr>
        <w:t>）[参考文件3]；对采用亚型特异性引物获得的DNA片段进行测序亦可用于对某种特定新型流感病毒做出明确鉴定[参考文件4]。</w:t>
      </w:r>
    </w:p>
    <w:p w14:paraId="7C8C33D0">
      <w:pPr>
        <w:snapToGrid w:val="0"/>
        <w:spacing w:line="300" w:lineRule="auto"/>
        <w:rPr>
          <w:rFonts w:ascii="Arial" w:hAnsi="Arial" w:eastAsia="宋体" w:cs="Arial"/>
        </w:rPr>
      </w:pPr>
    </w:p>
    <w:p w14:paraId="7E965A7D">
      <w:pPr>
        <w:snapToGrid w:val="0"/>
        <w:spacing w:line="300" w:lineRule="auto"/>
        <w:rPr>
          <w:rFonts w:ascii="Arial" w:hAnsi="Arial" w:eastAsia="宋体" w:cs="Arial"/>
          <w:b/>
          <w:i/>
        </w:rPr>
      </w:pPr>
      <w:r>
        <w:rPr>
          <w:rFonts w:ascii="Arial" w:hAnsi="Arial" w:eastAsia="宋体" w:cs="Arial"/>
          <w:b/>
          <w:i/>
        </w:rPr>
        <w:t>试剂和其它器械成分</w:t>
      </w:r>
    </w:p>
    <w:p w14:paraId="529677C2">
      <w:pPr>
        <w:snapToGrid w:val="0"/>
        <w:spacing w:line="300" w:lineRule="auto"/>
        <w:rPr>
          <w:rFonts w:ascii="Arial" w:hAnsi="Arial" w:eastAsia="宋体" w:cs="Arial"/>
        </w:rPr>
      </w:pPr>
    </w:p>
    <w:p w14:paraId="359A9D02">
      <w:pPr>
        <w:snapToGrid w:val="0"/>
        <w:spacing w:line="300" w:lineRule="auto"/>
        <w:rPr>
          <w:rFonts w:ascii="Arial" w:hAnsi="Arial" w:eastAsia="宋体" w:cs="Arial"/>
        </w:rPr>
      </w:pPr>
      <w:r>
        <w:rPr>
          <w:rFonts w:ascii="Arial" w:hAnsi="Arial" w:eastAsia="宋体" w:cs="Arial"/>
        </w:rPr>
        <w:t>在510（k）提交资料中对试剂和其它器械成分进行描述时，我们建议贵公司遵从食品药品监督管理局其它指南提供的通用指南。食品药品监督管理局已编制了核酸扩增实验指南草案。该指南在审批的最后阶段将特别有用[参考文件2]。另外，贵公司应对特定新型甲型流感病毒检测试剂的设计要求做出描述。确定这些设计要求的目的是处理或减轻与引物、探针和对照有关的风险。这些试剂在基于核酸的检验规程中用来检测某种特定新型甲型流感病毒的RNA片段。具体设计要求包括：</w:t>
      </w:r>
    </w:p>
    <w:p w14:paraId="41235A5B">
      <w:pPr>
        <w:snapToGrid w:val="0"/>
        <w:spacing w:line="300" w:lineRule="auto"/>
        <w:rPr>
          <w:rFonts w:ascii="Arial" w:hAnsi="Arial" w:eastAsia="宋体" w:cs="Arial"/>
        </w:rPr>
      </w:pPr>
    </w:p>
    <w:p w14:paraId="7A1EE487">
      <w:pPr>
        <w:pStyle w:val="13"/>
        <w:numPr>
          <w:ilvl w:val="0"/>
          <w:numId w:val="3"/>
        </w:numPr>
        <w:snapToGrid w:val="0"/>
        <w:spacing w:line="300" w:lineRule="auto"/>
        <w:ind w:firstLineChars="0"/>
        <w:rPr>
          <w:rFonts w:ascii="Arial" w:hAnsi="Arial" w:eastAsia="宋体" w:cs="Arial"/>
        </w:rPr>
      </w:pPr>
      <w:r>
        <w:rPr>
          <w:rFonts w:ascii="Arial" w:hAnsi="Arial" w:eastAsia="宋体" w:cs="Arial"/>
        </w:rPr>
        <w:t>为将因污染或残留所致假阳性降至最低水平，贵公司在设计试剂时应考虑在密闭试管检验系统中使用试剂。</w:t>
      </w:r>
    </w:p>
    <w:p w14:paraId="267D06FF">
      <w:pPr>
        <w:snapToGrid w:val="0"/>
        <w:spacing w:line="300" w:lineRule="auto"/>
        <w:rPr>
          <w:rFonts w:ascii="Arial" w:hAnsi="Arial" w:eastAsia="宋体" w:cs="Arial"/>
        </w:rPr>
      </w:pPr>
    </w:p>
    <w:p w14:paraId="120BD82E">
      <w:pPr>
        <w:snapToGrid w:val="0"/>
        <w:spacing w:line="300" w:lineRule="auto"/>
        <w:rPr>
          <w:rFonts w:ascii="Arial" w:hAnsi="Arial" w:eastAsia="宋体" w:cs="Arial"/>
        </w:rPr>
      </w:pPr>
    </w:p>
    <w:p w14:paraId="474AE863">
      <w:pPr>
        <w:snapToGrid w:val="0"/>
        <w:spacing w:line="300" w:lineRule="auto"/>
        <w:rPr>
          <w:rFonts w:ascii="Arial" w:hAnsi="Arial" w:eastAsia="宋体" w:cs="Arial"/>
        </w:rPr>
      </w:pPr>
    </w:p>
    <w:p w14:paraId="4AE02492">
      <w:pPr>
        <w:snapToGrid w:val="0"/>
        <w:spacing w:line="300" w:lineRule="auto"/>
        <w:rPr>
          <w:rFonts w:ascii="Arial" w:hAnsi="Arial" w:eastAsia="宋体" w:cs="Arial"/>
        </w:rPr>
      </w:pPr>
    </w:p>
    <w:p w14:paraId="09EA3A4B">
      <w:pPr>
        <w:snapToGrid w:val="0"/>
        <w:spacing w:line="300" w:lineRule="auto"/>
        <w:rPr>
          <w:rFonts w:ascii="Arial" w:hAnsi="Arial" w:eastAsia="宋体" w:cs="Arial"/>
        </w:rPr>
      </w:pPr>
    </w:p>
    <w:p w14:paraId="4D5F3BEE">
      <w:pPr>
        <w:snapToGrid w:val="0"/>
        <w:spacing w:line="300" w:lineRule="auto"/>
        <w:rPr>
          <w:rFonts w:ascii="Arial" w:hAnsi="Arial" w:eastAsia="宋体" w:cs="Arial"/>
        </w:rPr>
      </w:pPr>
    </w:p>
    <w:p w14:paraId="291BC44E">
      <w:pPr>
        <w:snapToGrid w:val="0"/>
        <w:spacing w:line="300" w:lineRule="auto"/>
        <w:rPr>
          <w:rFonts w:ascii="Arial" w:hAnsi="Arial" w:eastAsia="宋体" w:cs="Arial"/>
        </w:rPr>
      </w:pPr>
    </w:p>
    <w:p w14:paraId="3988FAEB">
      <w:pPr>
        <w:pStyle w:val="13"/>
        <w:numPr>
          <w:ilvl w:val="0"/>
          <w:numId w:val="3"/>
        </w:numPr>
        <w:snapToGrid w:val="0"/>
        <w:spacing w:line="300" w:lineRule="auto"/>
        <w:ind w:firstLineChars="0"/>
        <w:rPr>
          <w:rFonts w:ascii="Arial" w:hAnsi="Arial" w:eastAsia="宋体" w:cs="Arial"/>
        </w:rPr>
      </w:pPr>
      <w:r>
        <w:rPr>
          <w:rFonts w:ascii="Arial" w:hAnsi="Arial" w:eastAsia="宋体" w:cs="Arial"/>
        </w:rPr>
        <w:t>提供多种探针，使得可采用该试剂检测RNA靶片段内部突变产生的病毒变异体或某指定新型流感病毒毒株（或世系）内部</w:t>
      </w:r>
      <w:bookmarkStart w:id="35" w:name="OLE_LINK21"/>
      <w:r>
        <w:rPr>
          <w:rFonts w:ascii="Arial" w:hAnsi="Arial" w:eastAsia="宋体" w:cs="Arial"/>
        </w:rPr>
        <w:t>的</w:t>
      </w:r>
      <w:bookmarkEnd w:id="35"/>
      <w:r>
        <w:rPr>
          <w:rFonts w:ascii="Arial" w:hAnsi="Arial" w:eastAsia="宋体" w:cs="Arial"/>
        </w:rPr>
        <w:t>变异体。</w:t>
      </w:r>
    </w:p>
    <w:p w14:paraId="5FFCCDA9">
      <w:pPr>
        <w:pStyle w:val="13"/>
        <w:numPr>
          <w:ilvl w:val="0"/>
          <w:numId w:val="3"/>
        </w:numPr>
        <w:snapToGrid w:val="0"/>
        <w:spacing w:line="300" w:lineRule="auto"/>
        <w:ind w:firstLineChars="0"/>
        <w:rPr>
          <w:rFonts w:ascii="Arial" w:hAnsi="Arial" w:eastAsia="宋体" w:cs="Arial"/>
        </w:rPr>
      </w:pPr>
      <w:r>
        <w:rPr>
          <w:rFonts w:ascii="Arial" w:hAnsi="Arial" w:eastAsia="宋体" w:cs="Arial"/>
        </w:rPr>
        <w:t>开发一种阳性病毒对照。采用该对照可将对照自身成为感染来源的风险或对照病毒与其它甲型流感病毒发生重组的风险降至最低水平。其它甲型流感病毒是在将要进行检测的实验室类型中处理或维护的病毒。</w:t>
      </w:r>
    </w:p>
    <w:p w14:paraId="179435CA">
      <w:pPr>
        <w:pStyle w:val="13"/>
        <w:numPr>
          <w:ilvl w:val="0"/>
          <w:numId w:val="3"/>
        </w:numPr>
        <w:snapToGrid w:val="0"/>
        <w:spacing w:line="300" w:lineRule="auto"/>
        <w:ind w:firstLineChars="0"/>
        <w:rPr>
          <w:rFonts w:ascii="Arial" w:hAnsi="Arial" w:eastAsia="宋体" w:cs="Arial"/>
        </w:rPr>
      </w:pPr>
      <w:r>
        <w:rPr>
          <w:rFonts w:ascii="Arial" w:hAnsi="Arial" w:eastAsia="宋体" w:cs="Arial"/>
        </w:rPr>
        <w:t>开发病毒RNA提取和纯化方法，采用这些方法可从不同类型标本中获得质量和数量适宜的病毒RNA，供贵公司试剂的检验系统时用。</w:t>
      </w:r>
    </w:p>
    <w:p w14:paraId="4D4122ED">
      <w:pPr>
        <w:pStyle w:val="13"/>
        <w:numPr>
          <w:ilvl w:val="0"/>
          <w:numId w:val="3"/>
        </w:numPr>
        <w:snapToGrid w:val="0"/>
        <w:spacing w:line="300" w:lineRule="auto"/>
        <w:ind w:firstLineChars="0"/>
        <w:rPr>
          <w:rFonts w:ascii="Arial" w:hAnsi="Arial" w:eastAsia="宋体" w:cs="Arial"/>
        </w:rPr>
      </w:pPr>
      <w:r>
        <w:rPr>
          <w:rFonts w:ascii="Arial" w:hAnsi="Arial" w:eastAsia="宋体" w:cs="Arial"/>
        </w:rPr>
        <w:t>对贵公司的试剂和检验规程进行最优化处理，使之更适合于推荐仪器。</w:t>
      </w:r>
    </w:p>
    <w:p w14:paraId="3D3356F2">
      <w:pPr>
        <w:snapToGrid w:val="0"/>
        <w:spacing w:line="300" w:lineRule="auto"/>
        <w:rPr>
          <w:rFonts w:ascii="Arial" w:hAnsi="Arial" w:eastAsia="宋体" w:cs="Arial"/>
        </w:rPr>
      </w:pPr>
    </w:p>
    <w:bookmarkEnd w:id="0"/>
    <w:p w14:paraId="65609B4E">
      <w:pPr>
        <w:snapToGrid w:val="0"/>
        <w:spacing w:line="300" w:lineRule="auto"/>
        <w:rPr>
          <w:rFonts w:ascii="Arial" w:hAnsi="Arial" w:eastAsia="宋体" w:cs="Arial"/>
        </w:rPr>
      </w:pPr>
      <w:r>
        <w:rPr>
          <w:rFonts w:ascii="Arial" w:hAnsi="Arial" w:eastAsia="宋体" w:cs="Arial"/>
        </w:rPr>
        <w:t>我们预计，如果要对某种特定新型甲型流感病毒任何RNA区段内可靠的RNA靶片段（如血凝素RNA内部的H 0）进行详细描述是不可能找到合适的文献参考资料的。贵公司应在510（k）提交资料中提供性能信息证明贵公司的产品已符合设计要求的结论。贵公司还应提供信息对贵公司的试剂设计进行验证（如选择特定保守靶序列的依据、引物和探针的设计方法）。（见第6节－性能）</w:t>
      </w:r>
    </w:p>
    <w:p w14:paraId="52C23D75">
      <w:pPr>
        <w:snapToGrid w:val="0"/>
        <w:spacing w:line="300" w:lineRule="auto"/>
        <w:rPr>
          <w:rFonts w:ascii="Arial" w:hAnsi="Arial" w:eastAsia="宋体" w:cs="Arial"/>
        </w:rPr>
      </w:pPr>
    </w:p>
    <w:p w14:paraId="07E58B91">
      <w:pPr>
        <w:snapToGrid w:val="0"/>
        <w:spacing w:line="300" w:lineRule="auto"/>
        <w:rPr>
          <w:rFonts w:ascii="Arial" w:hAnsi="Arial" w:eastAsia="宋体" w:cs="Arial"/>
        </w:rPr>
      </w:pPr>
      <w:r>
        <w:rPr>
          <w:rFonts w:ascii="Arial" w:hAnsi="Arial" w:eastAsia="宋体" w:cs="Arial"/>
        </w:rPr>
        <w:t>贵公司还应确保从贵公司为检测推荐的标本类型（如拭子、吸出物和病毒培养基）中提取RNA的推荐规程具有可接受的再现性和效率。</w:t>
      </w:r>
    </w:p>
    <w:p w14:paraId="7D6E317B">
      <w:pPr>
        <w:snapToGrid w:val="0"/>
        <w:spacing w:line="300" w:lineRule="auto"/>
        <w:rPr>
          <w:rFonts w:ascii="Arial" w:hAnsi="Arial" w:eastAsia="宋体" w:cs="Arial"/>
        </w:rPr>
      </w:pPr>
    </w:p>
    <w:p w14:paraId="2C28FEF5">
      <w:pPr>
        <w:snapToGrid w:val="0"/>
        <w:spacing w:line="300" w:lineRule="auto"/>
        <w:rPr>
          <w:rFonts w:ascii="Arial" w:hAnsi="Arial" w:eastAsia="宋体" w:cs="Arial"/>
          <w:b/>
        </w:rPr>
      </w:pPr>
      <w:r>
        <w:rPr>
          <w:rFonts w:ascii="Arial" w:hAnsi="Arial" w:eastAsia="宋体" w:cs="Arial"/>
          <w:b/>
        </w:rPr>
        <w:t>使用贵公司器械的检测规程</w:t>
      </w:r>
    </w:p>
    <w:p w14:paraId="282501AD">
      <w:pPr>
        <w:snapToGrid w:val="0"/>
        <w:spacing w:line="300" w:lineRule="auto"/>
        <w:rPr>
          <w:rFonts w:ascii="Arial" w:hAnsi="Arial" w:eastAsia="宋体" w:cs="Arial"/>
        </w:rPr>
      </w:pPr>
    </w:p>
    <w:p w14:paraId="41A357EE">
      <w:pPr>
        <w:snapToGrid w:val="0"/>
        <w:spacing w:line="300" w:lineRule="auto"/>
        <w:rPr>
          <w:rFonts w:ascii="Arial" w:hAnsi="Arial" w:eastAsia="宋体" w:cs="Arial"/>
        </w:rPr>
      </w:pPr>
      <w:r>
        <w:rPr>
          <w:rFonts w:ascii="Arial" w:hAnsi="Arial" w:eastAsia="宋体" w:cs="Arial"/>
        </w:rPr>
        <w:t>贵公司应在510（k）提交资料中对在检测和鉴别某种特定新型甲型流感病毒过程中贵公司的器械适用的工作原理做出详细描述。对特定新型甲型流感病毒检测试剂，贵公司应明确描述检测条件、规程和对照。这些条件、规程和对照都是为了对可导致假阳性和假阴性结果或造成生物安全危害的状况提供防护措施而设计的，其中包括，但不限于：</w:t>
      </w:r>
    </w:p>
    <w:p w14:paraId="1CA128AA">
      <w:pPr>
        <w:snapToGrid w:val="0"/>
        <w:spacing w:line="300" w:lineRule="auto"/>
        <w:rPr>
          <w:rFonts w:ascii="Arial" w:hAnsi="Arial" w:eastAsia="宋体" w:cs="Arial"/>
        </w:rPr>
      </w:pPr>
    </w:p>
    <w:p w14:paraId="0AABB8BB">
      <w:pPr>
        <w:pStyle w:val="13"/>
        <w:numPr>
          <w:ilvl w:val="0"/>
          <w:numId w:val="4"/>
        </w:numPr>
        <w:snapToGrid w:val="0"/>
        <w:spacing w:line="300" w:lineRule="auto"/>
        <w:ind w:firstLineChars="0"/>
        <w:rPr>
          <w:rFonts w:ascii="Arial" w:hAnsi="Arial" w:eastAsia="宋体" w:cs="Arial"/>
        </w:rPr>
      </w:pPr>
      <w:r>
        <w:rPr>
          <w:rFonts w:ascii="Arial" w:hAnsi="Arial" w:eastAsia="宋体" w:cs="Arial"/>
        </w:rPr>
        <w:t>对检测规程的总体设计，包括包含在推荐检测规程中的对照成分。这些对照的RNA水平应接近有临床意义的病毒RNA水平的下限并作为临床标本进行提取。</w:t>
      </w:r>
    </w:p>
    <w:p w14:paraId="71A26A8F">
      <w:pPr>
        <w:pStyle w:val="13"/>
        <w:numPr>
          <w:ilvl w:val="0"/>
          <w:numId w:val="4"/>
        </w:numPr>
        <w:snapToGrid w:val="0"/>
        <w:spacing w:line="300" w:lineRule="auto"/>
        <w:ind w:firstLineChars="0"/>
        <w:rPr>
          <w:rFonts w:ascii="Arial" w:hAnsi="Arial" w:eastAsia="宋体" w:cs="Arial"/>
        </w:rPr>
      </w:pPr>
      <w:r>
        <w:rPr>
          <w:rFonts w:ascii="Arial" w:hAnsi="Arial" w:eastAsia="宋体" w:cs="Arial"/>
        </w:rPr>
        <w:t>供监测污染和提取效率用附加对照推荐规范（如随每个标本检验同时提取的空白对照和同时扩增标本中的内源性人类基因作为核酸提取和抑制作用的对照）。</w:t>
      </w:r>
    </w:p>
    <w:p w14:paraId="64CB6DFE">
      <w:pPr>
        <w:pStyle w:val="13"/>
        <w:numPr>
          <w:ilvl w:val="0"/>
          <w:numId w:val="4"/>
        </w:numPr>
        <w:snapToGrid w:val="0"/>
        <w:spacing w:line="300" w:lineRule="auto"/>
        <w:ind w:firstLineChars="0"/>
        <w:rPr>
          <w:rFonts w:ascii="Arial" w:hAnsi="Arial" w:eastAsia="宋体" w:cs="Arial"/>
        </w:rPr>
      </w:pPr>
      <w:r>
        <w:rPr>
          <w:rFonts w:ascii="Arial" w:hAnsi="Arial" w:eastAsia="宋体" w:cs="Arial"/>
        </w:rPr>
        <w:t>产品特点和附加对照。有了这些产品特点和附加对照就可在识别操作性差错或因素（如主要混合物降解）时减少故障。这些差错或因素可对扩增和检测条件造成不良影响。</w:t>
      </w:r>
    </w:p>
    <w:p w14:paraId="64BCAD66">
      <w:pPr>
        <w:pStyle w:val="13"/>
        <w:numPr>
          <w:ilvl w:val="0"/>
          <w:numId w:val="4"/>
        </w:numPr>
        <w:snapToGrid w:val="0"/>
        <w:spacing w:line="300" w:lineRule="auto"/>
        <w:ind w:firstLineChars="0"/>
        <w:rPr>
          <w:rFonts w:ascii="Arial" w:hAnsi="Arial" w:eastAsia="宋体" w:cs="Arial"/>
        </w:rPr>
      </w:pPr>
      <w:r>
        <w:rPr>
          <w:rFonts w:ascii="Arial" w:hAnsi="Arial" w:eastAsia="宋体" w:cs="Arial"/>
        </w:rPr>
        <w:t>生物安全等级（BSL）。检测步骤应在此条件下进行。</w:t>
      </w:r>
    </w:p>
    <w:p w14:paraId="238163B5">
      <w:pPr>
        <w:snapToGrid w:val="0"/>
        <w:spacing w:line="300" w:lineRule="auto"/>
        <w:rPr>
          <w:rFonts w:ascii="Arial" w:hAnsi="Arial" w:eastAsia="宋体" w:cs="Arial"/>
        </w:rPr>
      </w:pPr>
    </w:p>
    <w:p w14:paraId="35467BCD">
      <w:pPr>
        <w:widowControl/>
        <w:jc w:val="left"/>
        <w:rPr>
          <w:rFonts w:ascii="Arial" w:hAnsi="Arial" w:eastAsia="宋体" w:cs="Arial"/>
        </w:rPr>
      </w:pPr>
      <w:r>
        <w:rPr>
          <w:rFonts w:ascii="Arial" w:hAnsi="Arial" w:eastAsia="宋体" w:cs="Arial"/>
        </w:rPr>
        <w:br w:type="page"/>
      </w:r>
    </w:p>
    <w:p w14:paraId="36D1B95B">
      <w:pPr>
        <w:snapToGrid w:val="0"/>
        <w:spacing w:line="300" w:lineRule="auto"/>
        <w:rPr>
          <w:rFonts w:ascii="Arial" w:hAnsi="Arial" w:eastAsia="宋体" w:cs="Arial"/>
        </w:rPr>
      </w:pPr>
      <w:r>
        <w:rPr>
          <w:rFonts w:ascii="Arial" w:hAnsi="Arial" w:eastAsia="宋体" w:cs="Arial"/>
        </w:rPr>
        <w:t>我们建议贵公司在提交资料中包括对包含在贵公司的使用说明中的所有附加规程、方法和操作规范的描述（见第7节－贴标）。采用这些规程、方法和操作规范可减轻与某种特定甲型流感病毒检测有关的风险。</w:t>
      </w:r>
    </w:p>
    <w:p w14:paraId="560D003F">
      <w:pPr>
        <w:snapToGrid w:val="0"/>
        <w:spacing w:line="300" w:lineRule="auto"/>
        <w:rPr>
          <w:rFonts w:ascii="Arial" w:hAnsi="Arial" w:eastAsia="宋体" w:cs="Arial"/>
        </w:rPr>
      </w:pPr>
    </w:p>
    <w:p w14:paraId="39E3F788">
      <w:pPr>
        <w:snapToGrid w:val="0"/>
        <w:spacing w:line="300" w:lineRule="auto"/>
        <w:rPr>
          <w:rFonts w:ascii="Arial" w:hAnsi="Arial" w:eastAsia="宋体" w:cs="Arial"/>
          <w:b/>
          <w:i/>
        </w:rPr>
      </w:pPr>
      <w:r>
        <w:rPr>
          <w:rFonts w:ascii="Arial" w:hAnsi="Arial" w:eastAsia="宋体" w:cs="Arial"/>
          <w:b/>
          <w:i/>
        </w:rPr>
        <w:t>对检验结果/报告的解释</w:t>
      </w:r>
    </w:p>
    <w:p w14:paraId="466306E5">
      <w:pPr>
        <w:snapToGrid w:val="0"/>
        <w:spacing w:line="300" w:lineRule="auto"/>
        <w:rPr>
          <w:rFonts w:ascii="Arial" w:hAnsi="Arial" w:eastAsia="宋体" w:cs="Arial"/>
        </w:rPr>
      </w:pPr>
    </w:p>
    <w:p w14:paraId="44CC24F7">
      <w:pPr>
        <w:snapToGrid w:val="0"/>
        <w:spacing w:line="300" w:lineRule="auto"/>
        <w:rPr>
          <w:rFonts w:ascii="Arial" w:hAnsi="Arial" w:eastAsia="宋体" w:cs="Arial"/>
        </w:rPr>
      </w:pPr>
      <w:r>
        <w:rPr>
          <w:rFonts w:ascii="Arial" w:hAnsi="Arial" w:eastAsia="宋体" w:cs="Arial"/>
        </w:rPr>
        <w:t>贵公司应在510（k）提交资料中对如何认定推定阳性、两可和阴性结果以及应如何对这些结果进行解释做出描述。在提交资料中应对如何确定解释规则做出清晰说明。另外，关于随时监测结果确认因病毒生物学改变所致性能改变或疾病流行率与对贵公司的产品进行评价时相比发生变化所致性能改变，请见第8节（上市后措施）。</w:t>
      </w:r>
    </w:p>
    <w:p w14:paraId="1A1039B0">
      <w:pPr>
        <w:snapToGrid w:val="0"/>
        <w:spacing w:line="300" w:lineRule="auto"/>
        <w:rPr>
          <w:rFonts w:ascii="Arial" w:hAnsi="Arial" w:eastAsia="宋体" w:cs="Arial"/>
        </w:rPr>
      </w:pPr>
    </w:p>
    <w:p w14:paraId="382F7911">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6" name="图片 6"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6F22C423">
      <w:pPr>
        <w:snapToGrid w:val="0"/>
        <w:spacing w:line="300" w:lineRule="auto"/>
        <w:rPr>
          <w:rFonts w:ascii="Arial" w:hAnsi="Arial" w:eastAsia="宋体" w:cs="Arial"/>
        </w:rPr>
      </w:pPr>
    </w:p>
    <w:p w14:paraId="45AAA344">
      <w:pPr>
        <w:snapToGrid w:val="0"/>
        <w:spacing w:line="300" w:lineRule="auto"/>
        <w:rPr>
          <w:rFonts w:ascii="Arial" w:hAnsi="Arial" w:eastAsia="宋体" w:cs="Arial"/>
          <w:b/>
        </w:rPr>
      </w:pPr>
      <w:r>
        <w:rPr>
          <w:rFonts w:ascii="Arial" w:hAnsi="Arial" w:eastAsia="宋体" w:cs="Arial"/>
          <w:b/>
        </w:rPr>
        <w:t>6. 性能</w:t>
      </w:r>
    </w:p>
    <w:p w14:paraId="23E3B7F2">
      <w:pPr>
        <w:snapToGrid w:val="0"/>
        <w:spacing w:line="300" w:lineRule="auto"/>
        <w:rPr>
          <w:rFonts w:ascii="Arial" w:hAnsi="Arial" w:eastAsia="宋体" w:cs="Arial"/>
        </w:rPr>
      </w:pPr>
    </w:p>
    <w:p w14:paraId="36097C65">
      <w:pPr>
        <w:snapToGrid w:val="0"/>
        <w:spacing w:line="300" w:lineRule="auto"/>
        <w:rPr>
          <w:rFonts w:ascii="Arial" w:hAnsi="Arial" w:eastAsia="宋体" w:cs="Arial"/>
        </w:rPr>
      </w:pPr>
      <w:r>
        <w:rPr>
          <w:rFonts w:ascii="Arial" w:hAnsi="Arial" w:eastAsia="宋体" w:cs="Arial"/>
        </w:rPr>
        <w:t>贵公司应在510（k）提交资料中提供为支持贵公司的特定新型甲型流感病毒检测试剂的性能所做研究的描述性信息。食品药品监督管理局已经在别处为该信息编制了通用推荐规范的指南草案[参考文件2]。</w:t>
      </w:r>
    </w:p>
    <w:p w14:paraId="27AB7864">
      <w:pPr>
        <w:snapToGrid w:val="0"/>
        <w:spacing w:line="300" w:lineRule="auto"/>
        <w:rPr>
          <w:rFonts w:ascii="Arial" w:hAnsi="Arial" w:eastAsia="宋体" w:cs="Arial"/>
        </w:rPr>
      </w:pPr>
    </w:p>
    <w:p w14:paraId="0B5AFBA8">
      <w:pPr>
        <w:snapToGrid w:val="0"/>
        <w:spacing w:line="300" w:lineRule="auto"/>
        <w:rPr>
          <w:rFonts w:ascii="Arial" w:hAnsi="Arial" w:eastAsia="宋体" w:cs="Arial"/>
        </w:rPr>
      </w:pPr>
      <w:r>
        <w:rPr>
          <w:rFonts w:ascii="Arial" w:hAnsi="Arial" w:eastAsia="宋体" w:cs="Arial"/>
        </w:rPr>
        <w:t>在贵公司的510（k）提交资料中应包括证实下列事项的性能信息：</w:t>
      </w:r>
    </w:p>
    <w:p w14:paraId="38D184E5">
      <w:pPr>
        <w:snapToGrid w:val="0"/>
        <w:spacing w:line="300" w:lineRule="auto"/>
        <w:rPr>
          <w:rFonts w:ascii="Arial" w:hAnsi="Arial" w:eastAsia="宋体" w:cs="Arial"/>
        </w:rPr>
      </w:pPr>
    </w:p>
    <w:p w14:paraId="581FF32D">
      <w:pPr>
        <w:pStyle w:val="13"/>
        <w:numPr>
          <w:ilvl w:val="0"/>
          <w:numId w:val="5"/>
        </w:numPr>
        <w:snapToGrid w:val="0"/>
        <w:spacing w:line="300" w:lineRule="auto"/>
        <w:ind w:firstLineChars="0"/>
        <w:rPr>
          <w:rFonts w:ascii="Arial" w:hAnsi="Arial" w:eastAsia="宋体" w:cs="Arial"/>
        </w:rPr>
      </w:pPr>
      <w:r>
        <w:rPr>
          <w:rFonts w:ascii="Arial" w:hAnsi="Arial" w:eastAsia="宋体" w:cs="Arial"/>
        </w:rPr>
        <w:t>直接检测患者呼吸道标本中的某种特定新型甲型流感病毒（如甲型流感/H5（亚洲系谱））。这些患者已在临床和流行病学方面得到确认而且是由实验室确认的患者病例（采用世界卫生组织的推荐标准）。</w:t>
      </w:r>
    </w:p>
    <w:p w14:paraId="580CCF18">
      <w:pPr>
        <w:pStyle w:val="13"/>
        <w:numPr>
          <w:ilvl w:val="0"/>
          <w:numId w:val="5"/>
        </w:numPr>
        <w:snapToGrid w:val="0"/>
        <w:spacing w:line="300" w:lineRule="auto"/>
        <w:ind w:firstLineChars="0"/>
        <w:rPr>
          <w:rFonts w:ascii="Arial" w:hAnsi="Arial" w:eastAsia="宋体" w:cs="Arial"/>
        </w:rPr>
      </w:pPr>
      <w:r>
        <w:rPr>
          <w:rFonts w:ascii="Arial" w:hAnsi="Arial" w:eastAsia="宋体" w:cs="Arial"/>
        </w:rPr>
        <w:t>对患者标本进行检测时出现推定假阳性结果的概率较低。对这些患者已知其存在其它甲型流感或乙型流感病毒感染或采用世界卫生组织推荐的方法（主要是病毒培养物）未检出流感病毒[参考文件4]。</w:t>
      </w:r>
    </w:p>
    <w:p w14:paraId="33AB4041">
      <w:pPr>
        <w:pStyle w:val="13"/>
        <w:numPr>
          <w:ilvl w:val="0"/>
          <w:numId w:val="5"/>
        </w:numPr>
        <w:snapToGrid w:val="0"/>
        <w:spacing w:line="300" w:lineRule="auto"/>
        <w:ind w:firstLineChars="0"/>
        <w:rPr>
          <w:rFonts w:ascii="Arial" w:hAnsi="Arial" w:eastAsia="宋体" w:cs="Arial"/>
        </w:rPr>
      </w:pPr>
      <w:r>
        <w:rPr>
          <w:rFonts w:ascii="Arial" w:hAnsi="Arial" w:eastAsia="宋体" w:cs="Arial"/>
        </w:rPr>
        <w:t>对已知变异体新型甲型流感病毒进行检测（如分化支、系谱）。</w:t>
      </w:r>
    </w:p>
    <w:p w14:paraId="5FAEDCE4">
      <w:pPr>
        <w:pStyle w:val="13"/>
        <w:numPr>
          <w:ilvl w:val="0"/>
          <w:numId w:val="5"/>
        </w:numPr>
        <w:snapToGrid w:val="0"/>
        <w:spacing w:line="300" w:lineRule="auto"/>
        <w:ind w:firstLineChars="0"/>
        <w:rPr>
          <w:rFonts w:ascii="Arial" w:hAnsi="Arial" w:eastAsia="宋体" w:cs="Arial"/>
        </w:rPr>
      </w:pPr>
      <w:r>
        <w:rPr>
          <w:rFonts w:ascii="Arial" w:hAnsi="Arial" w:eastAsia="宋体" w:cs="Arial"/>
        </w:rPr>
        <w:t>与</w:t>
      </w:r>
      <w:bookmarkStart w:id="36" w:name="OLE_LINK1"/>
      <w:bookmarkStart w:id="37" w:name="OLE_LINK7"/>
      <w:r>
        <w:rPr>
          <w:rFonts w:ascii="Arial" w:hAnsi="Arial" w:eastAsia="宋体" w:cs="Arial"/>
        </w:rPr>
        <w:t>具有</w:t>
      </w:r>
      <w:bookmarkEnd w:id="36"/>
      <w:bookmarkEnd w:id="37"/>
      <w:r>
        <w:rPr>
          <w:rFonts w:ascii="Arial" w:hAnsi="Arial" w:eastAsia="宋体" w:cs="Arial"/>
        </w:rPr>
        <w:t>广泛代表性的其它甲型流感病毒缺乏交叉反应性。已知这些病毒可导致人类感染（如甲型流感/H3N2），同时伴发其它呼吸道病毒（如呼吸道合胞体病毒、人类间质性肺炎病毒）和相关菌株（如肺炎链球菌、金黄色葡萄球菌）感染。</w:t>
      </w:r>
    </w:p>
    <w:p w14:paraId="4053CE6C">
      <w:pPr>
        <w:pStyle w:val="13"/>
        <w:numPr>
          <w:ilvl w:val="0"/>
          <w:numId w:val="5"/>
        </w:numPr>
        <w:snapToGrid w:val="0"/>
        <w:spacing w:line="300" w:lineRule="auto"/>
        <w:ind w:firstLineChars="0"/>
        <w:rPr>
          <w:rFonts w:ascii="Arial" w:hAnsi="Arial" w:eastAsia="宋体" w:cs="Arial"/>
        </w:rPr>
      </w:pPr>
      <w:r>
        <w:rPr>
          <w:rFonts w:ascii="Arial" w:hAnsi="Arial" w:eastAsia="宋体" w:cs="Arial"/>
        </w:rPr>
        <w:t>对采自有呼吸道症状个体和病毒培养物的一大批标本进行检测时出现罕见的意料之外的阳性反应。</w:t>
      </w:r>
    </w:p>
    <w:p w14:paraId="0DE519A9">
      <w:pPr>
        <w:pStyle w:val="13"/>
        <w:numPr>
          <w:ilvl w:val="0"/>
          <w:numId w:val="5"/>
        </w:numPr>
        <w:snapToGrid w:val="0"/>
        <w:spacing w:line="300" w:lineRule="auto"/>
        <w:ind w:firstLineChars="0"/>
        <w:rPr>
          <w:rFonts w:ascii="Arial" w:hAnsi="Arial" w:eastAsia="宋体" w:cs="Arial"/>
        </w:rPr>
      </w:pPr>
      <w:r>
        <w:rPr>
          <w:rFonts w:ascii="Arial" w:hAnsi="Arial" w:eastAsia="宋体" w:cs="Arial"/>
        </w:rPr>
        <w:t>推荐用于测试的呼吸标本类型的可重现和有效的提取程序（如拭子、吸出物和病毒培养基）。</w:t>
      </w:r>
    </w:p>
    <w:p w14:paraId="0359F9F8">
      <w:pPr>
        <w:snapToGrid w:val="0"/>
        <w:spacing w:line="300" w:lineRule="auto"/>
        <w:rPr>
          <w:rFonts w:ascii="Arial" w:hAnsi="Arial" w:eastAsia="宋体" w:cs="Arial"/>
        </w:rPr>
      </w:pPr>
    </w:p>
    <w:p w14:paraId="061CD060">
      <w:pPr>
        <w:snapToGrid w:val="0"/>
        <w:spacing w:line="300" w:lineRule="auto"/>
        <w:rPr>
          <w:rFonts w:ascii="Arial" w:hAnsi="Arial" w:eastAsia="宋体" w:cs="Arial"/>
        </w:rPr>
      </w:pPr>
    </w:p>
    <w:p w14:paraId="62FE3691">
      <w:pPr>
        <w:snapToGrid w:val="0"/>
        <w:spacing w:line="300" w:lineRule="auto"/>
        <w:rPr>
          <w:rFonts w:ascii="Arial" w:hAnsi="Arial" w:eastAsia="宋体" w:cs="Arial"/>
        </w:rPr>
      </w:pPr>
    </w:p>
    <w:p w14:paraId="08B7C43C">
      <w:pPr>
        <w:snapToGrid w:val="0"/>
        <w:spacing w:line="300" w:lineRule="auto"/>
        <w:rPr>
          <w:rFonts w:ascii="Arial" w:hAnsi="Arial" w:eastAsia="宋体" w:cs="Arial"/>
        </w:rPr>
      </w:pPr>
    </w:p>
    <w:p w14:paraId="255023D5">
      <w:pPr>
        <w:snapToGrid w:val="0"/>
        <w:spacing w:line="300" w:lineRule="auto"/>
        <w:rPr>
          <w:rFonts w:ascii="Arial" w:hAnsi="Arial" w:eastAsia="宋体" w:cs="Arial"/>
        </w:rPr>
      </w:pPr>
    </w:p>
    <w:p w14:paraId="495CAFB6">
      <w:pPr>
        <w:snapToGrid w:val="0"/>
        <w:spacing w:line="300" w:lineRule="auto"/>
        <w:rPr>
          <w:rFonts w:ascii="Arial" w:hAnsi="Arial" w:eastAsia="宋体" w:cs="Arial"/>
        </w:rPr>
      </w:pPr>
    </w:p>
    <w:p w14:paraId="1CAFB53B">
      <w:pPr>
        <w:pStyle w:val="13"/>
        <w:numPr>
          <w:ilvl w:val="0"/>
          <w:numId w:val="5"/>
        </w:numPr>
        <w:snapToGrid w:val="0"/>
        <w:spacing w:line="300" w:lineRule="auto"/>
        <w:ind w:firstLineChars="0"/>
        <w:rPr>
          <w:rFonts w:ascii="Arial" w:hAnsi="Arial" w:eastAsia="宋体" w:cs="Arial"/>
        </w:rPr>
      </w:pPr>
      <w:r>
        <w:rPr>
          <w:rFonts w:ascii="Arial" w:hAnsi="Arial" w:eastAsia="宋体" w:cs="Arial"/>
        </w:rPr>
        <w:t>结果在多个临床实验室可再现，未出现意料之外的假阳性或假阴性检验结果。在标本中应包含处于具有临床意义的病毒水平范围下限的标本（如在采自甲型流感/H5病毒感染患者的呼吸道标本中测得的病毒水平为101-106半数组织培养感染剂量/毫升，因此，在标本中应体现出甲型流感/H5病毒的下限 ）。</w:t>
      </w:r>
    </w:p>
    <w:p w14:paraId="3CE138B4">
      <w:pPr>
        <w:snapToGrid w:val="0"/>
        <w:spacing w:line="300" w:lineRule="auto"/>
        <w:rPr>
          <w:rFonts w:ascii="Arial" w:hAnsi="Arial" w:eastAsia="宋体" w:cs="Arial"/>
        </w:rPr>
      </w:pPr>
    </w:p>
    <w:p w14:paraId="4A5483B5">
      <w:pPr>
        <w:snapToGrid w:val="0"/>
        <w:spacing w:line="300" w:lineRule="auto"/>
        <w:rPr>
          <w:rFonts w:ascii="Arial" w:hAnsi="Arial" w:eastAsia="宋体" w:cs="Arial"/>
          <w:b/>
          <w:i/>
        </w:rPr>
      </w:pPr>
      <w:r>
        <w:rPr>
          <w:rFonts w:ascii="Arial" w:hAnsi="Arial" w:eastAsia="宋体" w:cs="Arial"/>
          <w:b/>
          <w:i/>
        </w:rPr>
        <w:t>临床研究</w:t>
      </w:r>
    </w:p>
    <w:p w14:paraId="2E5D03E5">
      <w:pPr>
        <w:snapToGrid w:val="0"/>
        <w:spacing w:line="300" w:lineRule="auto"/>
        <w:rPr>
          <w:rFonts w:ascii="Arial" w:hAnsi="Arial" w:eastAsia="宋体" w:cs="Arial"/>
        </w:rPr>
      </w:pPr>
    </w:p>
    <w:p w14:paraId="0C74DEF8">
      <w:pPr>
        <w:snapToGrid w:val="0"/>
        <w:spacing w:line="300" w:lineRule="auto"/>
        <w:rPr>
          <w:rFonts w:ascii="Arial" w:hAnsi="Arial" w:eastAsia="宋体" w:cs="Arial"/>
        </w:rPr>
      </w:pPr>
      <w:r>
        <w:rPr>
          <w:rFonts w:ascii="Arial" w:hAnsi="Arial" w:eastAsia="宋体" w:cs="Arial"/>
        </w:rPr>
        <w:t>食品药品监督管理局建议贵公司按世界卫生组织的实验室确认病例标准对贵公司的器械检测病例确认患者标本中特定新型甲型流感病毒的能力做出评估。首选采用新鲜标本进行检测。检测多种标本类型有助于认定阳性病例。在为证实推定阳性和两可检验结果的准确性而做的任何附加检测中应包含世界卫生组织推荐的用于鉴定和描述某种新型甲型流感病毒特征的方法，根据需要可包括病毒RNA测序。</w:t>
      </w:r>
    </w:p>
    <w:p w14:paraId="380CD9A5">
      <w:pPr>
        <w:snapToGrid w:val="0"/>
        <w:spacing w:line="300" w:lineRule="auto"/>
        <w:rPr>
          <w:rFonts w:ascii="Arial" w:hAnsi="Arial" w:eastAsia="宋体" w:cs="Arial"/>
        </w:rPr>
      </w:pPr>
    </w:p>
    <w:p w14:paraId="2A1ACE9F">
      <w:pPr>
        <w:snapToGrid w:val="0"/>
        <w:spacing w:line="300" w:lineRule="auto"/>
        <w:rPr>
          <w:rFonts w:ascii="Arial" w:hAnsi="Arial" w:eastAsia="宋体" w:cs="Arial"/>
        </w:rPr>
      </w:pPr>
      <w:r>
        <w:rPr>
          <w:rStyle w:val="12"/>
          <w:rFonts w:ascii="Arial" w:hAnsi="Arial" w:eastAsia="宋体" w:cs="Arial"/>
        </w:rPr>
        <w:t>在对未怀疑患有新型流感病毒感染的患者的标本进行评估时，</w:t>
      </w:r>
      <w:r>
        <w:rPr>
          <w:rFonts w:ascii="Arial" w:hAnsi="Arial" w:eastAsia="宋体" w:cs="Arial"/>
        </w:rPr>
        <w:t>首选采用新鲜标本。然而，为增加标本的代表性（如地理多样、推荐采用不同标本类型），存档标本可能是有用的。为提供具有多样性的患者标本类型，存档标本可能是有用的。这些患者可以是患有其它呼吸道感染的患者，亦可是不易取得新鲜标本的患者（如S-冠状病毒阳性标本）。</w:t>
      </w:r>
    </w:p>
    <w:p w14:paraId="1E9FB987">
      <w:pPr>
        <w:snapToGrid w:val="0"/>
        <w:spacing w:line="300" w:lineRule="auto"/>
        <w:rPr>
          <w:rFonts w:ascii="Arial" w:hAnsi="Arial" w:eastAsia="宋体" w:cs="Arial"/>
        </w:rPr>
      </w:pPr>
    </w:p>
    <w:p w14:paraId="6D80DECF">
      <w:pPr>
        <w:snapToGrid w:val="0"/>
        <w:spacing w:line="300" w:lineRule="auto"/>
        <w:rPr>
          <w:rFonts w:ascii="Arial" w:hAnsi="Arial" w:eastAsia="宋体" w:cs="Arial"/>
        </w:rPr>
      </w:pPr>
      <w:r>
        <w:rPr>
          <w:rFonts w:ascii="Arial" w:hAnsi="Arial" w:eastAsia="宋体" w:cs="Arial"/>
          <w:color w:val="005F9F"/>
          <w:kern w:val="0"/>
          <w:szCs w:val="21"/>
        </w:rPr>
        <w:drawing>
          <wp:inline distT="0" distB="0" distL="0" distR="0">
            <wp:extent cx="336550" cy="285750"/>
            <wp:effectExtent l="0" t="0" r="6350" b="0"/>
            <wp:docPr id="5" name="图片 5"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r>
        <w:rPr>
          <w:rFonts w:ascii="Arial" w:hAnsi="Arial" w:eastAsia="宋体" w:cs="Arial"/>
        </w:rPr>
        <w:t>回顶部</w:t>
      </w:r>
    </w:p>
    <w:p w14:paraId="7CBE3C35">
      <w:pPr>
        <w:snapToGrid w:val="0"/>
        <w:spacing w:line="300" w:lineRule="auto"/>
        <w:rPr>
          <w:rFonts w:ascii="Arial" w:hAnsi="Arial" w:eastAsia="宋体" w:cs="Arial"/>
        </w:rPr>
      </w:pPr>
    </w:p>
    <w:p w14:paraId="70B8EEBB">
      <w:pPr>
        <w:snapToGrid w:val="0"/>
        <w:spacing w:line="300" w:lineRule="auto"/>
        <w:rPr>
          <w:rFonts w:ascii="Arial" w:hAnsi="Arial" w:eastAsia="宋体" w:cs="Arial"/>
          <w:b/>
        </w:rPr>
      </w:pPr>
      <w:r>
        <w:rPr>
          <w:rFonts w:ascii="Arial" w:hAnsi="Arial" w:eastAsia="宋体" w:cs="Arial"/>
          <w:b/>
        </w:rPr>
        <w:t>7. 贴标</w:t>
      </w:r>
    </w:p>
    <w:p w14:paraId="5ACE2510">
      <w:pPr>
        <w:snapToGrid w:val="0"/>
        <w:spacing w:line="300" w:lineRule="auto"/>
        <w:rPr>
          <w:rFonts w:ascii="Arial" w:hAnsi="Arial" w:eastAsia="宋体" w:cs="Arial"/>
        </w:rPr>
      </w:pPr>
    </w:p>
    <w:p w14:paraId="63251382">
      <w:pPr>
        <w:snapToGrid w:val="0"/>
        <w:spacing w:line="300" w:lineRule="auto"/>
        <w:rPr>
          <w:rFonts w:ascii="Arial" w:hAnsi="Arial" w:eastAsia="宋体" w:cs="Arial"/>
        </w:rPr>
      </w:pPr>
      <w:r>
        <w:rPr>
          <w:rFonts w:ascii="Arial" w:hAnsi="Arial" w:eastAsia="宋体" w:cs="Arial"/>
        </w:rPr>
        <w:t>与其它器械一样，用于直接检测人体标本中特定新型甲型流感病毒的体外诊断器械受贴标法定要求的支配（联邦食品、药品和化妆品法案（简称法案）第502（a）和201（n）部分；21 USC §§ 352（a）, 321（n））。用于特定新型甲型流感病毒检测的试剂必须提供适当的使用说明、警告信息和预防措施（法案第502（f）部分；21 USC § 352（f））。在21 CFR 809.10中对所有体外诊断器械的具体贴标要求进行了描述。</w:t>
      </w:r>
    </w:p>
    <w:p w14:paraId="6ECE2649">
      <w:pPr>
        <w:snapToGrid w:val="0"/>
        <w:spacing w:line="300" w:lineRule="auto"/>
        <w:rPr>
          <w:rFonts w:ascii="Arial" w:hAnsi="Arial" w:eastAsia="宋体" w:cs="Arial"/>
        </w:rPr>
      </w:pPr>
    </w:p>
    <w:p w14:paraId="77E467FE">
      <w:pPr>
        <w:snapToGrid w:val="0"/>
        <w:spacing w:line="300" w:lineRule="auto"/>
        <w:rPr>
          <w:rFonts w:ascii="Arial" w:hAnsi="Arial" w:eastAsia="宋体" w:cs="Arial"/>
        </w:rPr>
      </w:pPr>
      <w:r>
        <w:rPr>
          <w:rFonts w:ascii="Arial" w:hAnsi="Arial" w:eastAsia="宋体" w:cs="Arial"/>
        </w:rPr>
        <w:t>指南尽管510（k） 许可不需要最终标签，但体外诊断器械进入州际贸易前，其最终标签必须符合21 CFR 809.10的要求。</w:t>
      </w:r>
    </w:p>
    <w:p w14:paraId="48ACDE41">
      <w:pPr>
        <w:snapToGrid w:val="0"/>
        <w:spacing w:line="300" w:lineRule="auto"/>
        <w:rPr>
          <w:rFonts w:ascii="Arial" w:hAnsi="Arial" w:eastAsia="宋体" w:cs="Arial"/>
        </w:rPr>
      </w:pPr>
    </w:p>
    <w:p w14:paraId="450F3E16">
      <w:pPr>
        <w:snapToGrid w:val="0"/>
        <w:spacing w:line="300" w:lineRule="auto"/>
        <w:rPr>
          <w:rFonts w:ascii="Arial" w:hAnsi="Arial" w:eastAsia="宋体" w:cs="Arial"/>
        </w:rPr>
      </w:pPr>
      <w:r>
        <w:rPr>
          <w:rFonts w:ascii="Arial" w:hAnsi="Arial" w:eastAsia="宋体" w:cs="Arial"/>
        </w:rPr>
        <w:t>为确保遵从法案第502节和21 CFR 809.10的规定，食品药品监督管理局建议这些器械（用于特定新型甲型流感病毒检测的试剂）的贴标应解决下面确认的事项。这些贴标推荐规范还有助于减轻本指南以前确认的风险，确保安全、有效地使用这些器械，可能出现某种新型甲型流感病毒时尤其如此。</w:t>
      </w:r>
    </w:p>
    <w:p w14:paraId="62D1D8F9">
      <w:pPr>
        <w:snapToGrid w:val="0"/>
        <w:spacing w:line="300" w:lineRule="auto"/>
        <w:rPr>
          <w:rFonts w:ascii="Arial" w:hAnsi="Arial" w:eastAsia="宋体" w:cs="Arial"/>
        </w:rPr>
      </w:pPr>
    </w:p>
    <w:p w14:paraId="55B0B775">
      <w:pPr>
        <w:widowControl/>
        <w:jc w:val="left"/>
        <w:rPr>
          <w:rFonts w:ascii="Arial" w:hAnsi="Arial" w:eastAsia="宋体" w:cs="Arial"/>
        </w:rPr>
      </w:pPr>
      <w:r>
        <w:rPr>
          <w:rFonts w:ascii="Arial" w:hAnsi="Arial" w:eastAsia="宋体" w:cs="Arial"/>
        </w:rPr>
        <w:br w:type="page"/>
      </w:r>
    </w:p>
    <w:p w14:paraId="44BDD5C7">
      <w:pPr>
        <w:snapToGrid w:val="0"/>
        <w:spacing w:line="300" w:lineRule="auto"/>
        <w:rPr>
          <w:rFonts w:ascii="Arial" w:hAnsi="Arial" w:eastAsia="宋体" w:cs="Arial"/>
        </w:rPr>
      </w:pPr>
      <w:r>
        <w:rPr>
          <w:rFonts w:ascii="Arial" w:hAnsi="Arial" w:eastAsia="宋体" w:cs="Arial"/>
        </w:rPr>
        <w:t>在贵公司的贴标中应对贵公司的器械在设计时拟用来检测的某种特定新型流感病毒的特性、动植物种族关系或其它公认特征以及相关的人类感染临床表现做出清晰描述。</w:t>
      </w:r>
    </w:p>
    <w:p w14:paraId="7A68F89D">
      <w:pPr>
        <w:snapToGrid w:val="0"/>
        <w:spacing w:line="300" w:lineRule="auto"/>
        <w:rPr>
          <w:rFonts w:ascii="Arial" w:hAnsi="Arial" w:eastAsia="宋体" w:cs="Arial"/>
        </w:rPr>
      </w:pPr>
    </w:p>
    <w:p w14:paraId="449E0704">
      <w:pPr>
        <w:snapToGrid w:val="0"/>
        <w:spacing w:line="300" w:lineRule="auto"/>
        <w:rPr>
          <w:rFonts w:ascii="Arial" w:hAnsi="Arial" w:eastAsia="宋体" w:cs="Arial"/>
        </w:rPr>
      </w:pPr>
      <w:r>
        <w:rPr>
          <w:rFonts w:ascii="Arial" w:hAnsi="Arial" w:eastAsia="宋体" w:cs="Arial"/>
        </w:rPr>
        <w:t>在贵公司的贴标中还应包含下面的陈述：“根据公共卫生当局推荐的临床和流行病学现行筛检标准，如果怀疑存在某种新型甲型流感病毒感染，采集标本时应适当采取适用于新型高致病性流感病毒的感染控制措施。在这种情况下不要尝试进行病毒培养，除非有生物安全等级为3级以上的设施可用来接收和培养标本。”</w:t>
      </w:r>
    </w:p>
    <w:p w14:paraId="17E1317C">
      <w:pPr>
        <w:snapToGrid w:val="0"/>
        <w:spacing w:line="300" w:lineRule="auto"/>
        <w:rPr>
          <w:rFonts w:ascii="Arial" w:hAnsi="Arial" w:eastAsia="宋体" w:cs="Arial"/>
        </w:rPr>
      </w:pPr>
    </w:p>
    <w:p w14:paraId="24F77C32">
      <w:pPr>
        <w:snapToGrid w:val="0"/>
        <w:spacing w:line="300" w:lineRule="auto"/>
        <w:rPr>
          <w:rFonts w:ascii="Arial" w:hAnsi="Arial" w:eastAsia="宋体" w:cs="Arial"/>
          <w:b/>
          <w:i/>
        </w:rPr>
      </w:pPr>
      <w:r>
        <w:rPr>
          <w:rFonts w:ascii="Arial" w:hAnsi="Arial" w:eastAsia="宋体" w:cs="Arial"/>
          <w:b/>
          <w:i/>
        </w:rPr>
        <w:t>预期用途</w:t>
      </w:r>
    </w:p>
    <w:p w14:paraId="4B57DB0F">
      <w:pPr>
        <w:snapToGrid w:val="0"/>
        <w:spacing w:line="300" w:lineRule="auto"/>
        <w:rPr>
          <w:rFonts w:ascii="Arial" w:hAnsi="Arial" w:eastAsia="宋体" w:cs="Arial"/>
        </w:rPr>
      </w:pPr>
    </w:p>
    <w:p w14:paraId="4712857B">
      <w:pPr>
        <w:snapToGrid w:val="0"/>
        <w:spacing w:line="300" w:lineRule="auto"/>
        <w:rPr>
          <w:rFonts w:ascii="Arial" w:hAnsi="Arial" w:eastAsia="宋体" w:cs="Arial"/>
        </w:rPr>
      </w:pPr>
      <w:r>
        <w:rPr>
          <w:rFonts w:ascii="Arial" w:hAnsi="Arial" w:eastAsia="宋体" w:cs="Arial"/>
        </w:rPr>
        <w:t>除描述被测物的具体内容外，贵公司应在预期用途</w:t>
      </w:r>
      <w:r>
        <w:rPr>
          <w:rFonts w:ascii="Arial" w:hAnsi="Arial" w:eastAsia="宋体" w:cs="Arial"/>
          <w:vertAlign w:val="superscript"/>
        </w:rPr>
        <w:t>1</w:t>
      </w:r>
      <w:r>
        <w:rPr>
          <w:rFonts w:ascii="Arial" w:hAnsi="Arial" w:eastAsia="宋体" w:cs="Arial"/>
        </w:rPr>
        <w:t>部分对贵公司的器械用于检测呼吸道标本的适用指征作出详细描述。这些标本应采自有呼吸道疾病症状和暴露风险的患者。另外还应明确指出使用这些试剂时应结合其它实验室检测和临床观察结果。食品药品监督管理局还建议采用如下警告陈述对贵公司的预期用途陈述做出澄清：“阴性结果并不排除存在流感病毒感染，不应将其作为治疗或其它患者管理决策的唯一依据。”</w:t>
      </w:r>
    </w:p>
    <w:p w14:paraId="64B85901">
      <w:pPr>
        <w:snapToGrid w:val="0"/>
        <w:spacing w:line="300" w:lineRule="auto"/>
        <w:rPr>
          <w:rFonts w:ascii="Arial" w:hAnsi="Arial" w:eastAsia="宋体" w:cs="Arial"/>
        </w:rPr>
      </w:pPr>
    </w:p>
    <w:p w14:paraId="4CB93FDD">
      <w:pPr>
        <w:snapToGrid w:val="0"/>
        <w:spacing w:line="300" w:lineRule="auto"/>
        <w:rPr>
          <w:rFonts w:ascii="Arial" w:hAnsi="Arial" w:eastAsia="宋体" w:cs="Arial"/>
        </w:rPr>
      </w:pPr>
      <w:r>
        <w:rPr>
          <w:rFonts w:ascii="Arial" w:hAnsi="Arial" w:eastAsia="宋体" w:cs="Arial"/>
        </w:rPr>
        <w:t>贵公司还应以醒目方式在紧接预期用途下方提供下列陈述：“供接受过标准化分子检测规程培训并有病毒诊断专长的资深工作人员在具备适当生物安全器械和控制规程的实验室中使用。”</w:t>
      </w:r>
    </w:p>
    <w:p w14:paraId="3371DD1C">
      <w:pPr>
        <w:snapToGrid w:val="0"/>
        <w:spacing w:line="300" w:lineRule="auto"/>
        <w:rPr>
          <w:rFonts w:ascii="Arial" w:hAnsi="Arial" w:eastAsia="宋体" w:cs="Arial"/>
        </w:rPr>
      </w:pPr>
    </w:p>
    <w:p w14:paraId="6E543CDB">
      <w:pPr>
        <w:snapToGrid w:val="0"/>
        <w:spacing w:line="300" w:lineRule="auto"/>
        <w:rPr>
          <w:rFonts w:ascii="Arial" w:hAnsi="Arial" w:eastAsia="宋体" w:cs="Arial"/>
          <w:b/>
          <w:i/>
        </w:rPr>
      </w:pPr>
      <w:r>
        <w:rPr>
          <w:rFonts w:ascii="Arial" w:hAnsi="Arial" w:eastAsia="宋体" w:cs="Arial"/>
          <w:b/>
          <w:i/>
        </w:rPr>
        <w:t>使用说明</w:t>
      </w:r>
    </w:p>
    <w:p w14:paraId="4E00A176">
      <w:pPr>
        <w:snapToGrid w:val="0"/>
        <w:spacing w:line="300" w:lineRule="auto"/>
        <w:rPr>
          <w:rFonts w:ascii="Arial" w:hAnsi="Arial" w:eastAsia="宋体" w:cs="Arial"/>
        </w:rPr>
      </w:pPr>
    </w:p>
    <w:p w14:paraId="34AA178C">
      <w:pPr>
        <w:snapToGrid w:val="0"/>
        <w:spacing w:line="300" w:lineRule="auto"/>
        <w:rPr>
          <w:rFonts w:ascii="Arial" w:hAnsi="Arial" w:eastAsia="宋体" w:cs="Arial"/>
        </w:rPr>
      </w:pPr>
      <w:r>
        <w:rPr>
          <w:rFonts w:ascii="Arial" w:hAnsi="Arial" w:eastAsia="宋体" w:cs="Arial"/>
        </w:rPr>
        <w:t>贵公司应提供清晰、简洁的操作指南。在操作指南中应对拟检测特定新型流感病毒株的临床和流行病学意义、特定器械的技术特点、试剂使用规程、以及将出现不准确结果的风险降至最低水平的对照类型做出描述。在操作指南中应鼓励采取附加控制措施，鼓励进行对照材料检测，确保以安全、有效的方式使用器械。</w:t>
      </w:r>
    </w:p>
    <w:p w14:paraId="2A19648C">
      <w:pPr>
        <w:snapToGrid w:val="0"/>
        <w:spacing w:line="300" w:lineRule="auto"/>
        <w:rPr>
          <w:rFonts w:ascii="Arial" w:hAnsi="Arial" w:eastAsia="宋体" w:cs="Arial"/>
        </w:rPr>
      </w:pPr>
    </w:p>
    <w:p w14:paraId="1D6558C7">
      <w:pPr>
        <w:snapToGrid w:val="0"/>
        <w:spacing w:line="300" w:lineRule="auto"/>
        <w:rPr>
          <w:rFonts w:ascii="Arial" w:hAnsi="Arial" w:eastAsia="宋体" w:cs="Arial"/>
        </w:rPr>
      </w:pPr>
      <w:r>
        <w:rPr>
          <w:rFonts w:ascii="Arial" w:hAnsi="Arial" w:eastAsia="宋体" w:cs="Arial"/>
        </w:rPr>
        <w:t>如果贵公司的试剂中不包含RNA提取和制备试剂，应提供用户检测所需RNA提取和制备试剂的技术规范。对提取/纯化出来的标本，贵公司还应提供对其质量进行评估的技术规范。</w:t>
      </w:r>
    </w:p>
    <w:p w14:paraId="6B9B0C1D">
      <w:pPr>
        <w:snapToGrid w:val="0"/>
        <w:spacing w:line="300" w:lineRule="auto"/>
        <w:rPr>
          <w:rFonts w:ascii="Arial" w:hAnsi="Arial" w:eastAsia="宋体" w:cs="Arial"/>
        </w:rPr>
      </w:pPr>
    </w:p>
    <w:p w14:paraId="3BB26ED2">
      <w:pPr>
        <w:widowControl/>
        <w:jc w:val="left"/>
        <w:rPr>
          <w:rFonts w:ascii="Arial" w:hAnsi="Arial" w:eastAsia="宋体" w:cs="Arial"/>
          <w:b/>
          <w:i/>
        </w:rPr>
      </w:pPr>
      <w:r>
        <w:rPr>
          <w:rFonts w:ascii="Arial" w:hAnsi="Arial" w:eastAsia="宋体" w:cs="Arial"/>
          <w:b/>
          <w:i/>
        </w:rPr>
        <w:br w:type="page"/>
      </w:r>
    </w:p>
    <w:p w14:paraId="6B36927E">
      <w:pPr>
        <w:snapToGrid w:val="0"/>
        <w:spacing w:line="300" w:lineRule="auto"/>
        <w:rPr>
          <w:rFonts w:ascii="Arial" w:hAnsi="Arial" w:eastAsia="宋体" w:cs="Arial"/>
          <w:b/>
          <w:i/>
        </w:rPr>
      </w:pPr>
      <w:r>
        <w:rPr>
          <w:rFonts w:ascii="Arial" w:hAnsi="Arial" w:eastAsia="宋体" w:cs="Arial"/>
          <w:b/>
          <w:i/>
        </w:rPr>
        <w:t>质量控制</w:t>
      </w:r>
    </w:p>
    <w:p w14:paraId="06060185">
      <w:pPr>
        <w:snapToGrid w:val="0"/>
        <w:spacing w:line="300" w:lineRule="auto"/>
        <w:rPr>
          <w:rFonts w:ascii="Arial" w:hAnsi="Arial" w:eastAsia="宋体" w:cs="Arial"/>
        </w:rPr>
      </w:pPr>
    </w:p>
    <w:p w14:paraId="1A6D5323">
      <w:pPr>
        <w:snapToGrid w:val="0"/>
        <w:spacing w:line="300" w:lineRule="auto"/>
        <w:rPr>
          <w:rFonts w:ascii="Arial" w:hAnsi="Arial" w:eastAsia="宋体" w:cs="Arial"/>
        </w:rPr>
      </w:pPr>
      <w:r>
        <w:rPr>
          <w:rFonts w:ascii="Arial" w:hAnsi="Arial" w:eastAsia="宋体" w:cs="Arial"/>
        </w:rPr>
        <w:t>我们建议贵公司提供对质控推荐规范、可作为附加质控措施的规程和材料类型以及质控可接受性检测预期结果的描述。</w:t>
      </w:r>
    </w:p>
    <w:p w14:paraId="3998B69F">
      <w:pPr>
        <w:snapToGrid w:val="0"/>
        <w:spacing w:line="300" w:lineRule="auto"/>
        <w:rPr>
          <w:rFonts w:ascii="Arial" w:hAnsi="Arial" w:eastAsia="宋体" w:cs="Arial"/>
        </w:rPr>
      </w:pPr>
    </w:p>
    <w:p w14:paraId="0EF621F2">
      <w:pPr>
        <w:snapToGrid w:val="0"/>
        <w:spacing w:line="300" w:lineRule="auto"/>
        <w:rPr>
          <w:rFonts w:ascii="Arial" w:hAnsi="Arial" w:eastAsia="宋体" w:cs="Arial"/>
          <w:b/>
          <w:i/>
        </w:rPr>
      </w:pPr>
      <w:r>
        <w:rPr>
          <w:rFonts w:ascii="Arial" w:hAnsi="Arial" w:eastAsia="宋体" w:cs="Arial"/>
          <w:b/>
          <w:i/>
        </w:rPr>
        <w:t>解释注意事项</w:t>
      </w:r>
    </w:p>
    <w:p w14:paraId="78329F8D">
      <w:pPr>
        <w:snapToGrid w:val="0"/>
        <w:spacing w:line="300" w:lineRule="auto"/>
        <w:rPr>
          <w:rFonts w:ascii="Arial" w:hAnsi="Arial" w:eastAsia="宋体" w:cs="Arial"/>
        </w:rPr>
      </w:pPr>
    </w:p>
    <w:p w14:paraId="20BF68ED">
      <w:pPr>
        <w:snapToGrid w:val="0"/>
        <w:spacing w:line="300" w:lineRule="auto"/>
        <w:rPr>
          <w:rFonts w:ascii="Arial" w:hAnsi="Arial" w:eastAsia="宋体" w:cs="Arial"/>
        </w:rPr>
      </w:pPr>
      <w:r>
        <w:rPr>
          <w:rFonts w:ascii="Arial" w:hAnsi="Arial" w:eastAsia="宋体" w:cs="Arial"/>
        </w:rPr>
        <w:t>我们建议贵公司将结果报告说明纳入结果部分，</w:t>
      </w:r>
      <w:r>
        <w:rPr>
          <w:rFonts w:ascii="Arial" w:hAnsi="Arial" w:eastAsia="宋体" w:cs="Arial"/>
          <w:vertAlign w:val="superscript"/>
        </w:rPr>
        <w:t>2</w:t>
      </w:r>
      <w:r>
        <w:rPr>
          <w:rFonts w:ascii="Arial" w:hAnsi="Arial" w:eastAsia="宋体" w:cs="Arial"/>
        </w:rPr>
        <w:t>其中包括向所在州或当地公共卫生行政机关报告结果的通知单。另外，贵公司应在局限性</w:t>
      </w:r>
      <w:r>
        <w:rPr>
          <w:rFonts w:ascii="Arial" w:hAnsi="Arial" w:eastAsia="宋体" w:cs="Arial"/>
          <w:vertAlign w:val="superscript"/>
        </w:rPr>
        <w:t>3</w:t>
      </w:r>
      <w:r>
        <w:rPr>
          <w:rFonts w:ascii="Arial" w:hAnsi="Arial" w:eastAsia="宋体" w:cs="Arial"/>
        </w:rPr>
        <w:t>部分提供下列类型的陈述：</w:t>
      </w:r>
    </w:p>
    <w:p w14:paraId="33925CCF">
      <w:pPr>
        <w:snapToGrid w:val="0"/>
        <w:spacing w:line="300" w:lineRule="auto"/>
        <w:rPr>
          <w:rFonts w:ascii="Arial" w:hAnsi="Arial" w:eastAsia="宋体" w:cs="Arial"/>
        </w:rPr>
      </w:pPr>
    </w:p>
    <w:p w14:paraId="6782A944">
      <w:pPr>
        <w:pStyle w:val="13"/>
        <w:numPr>
          <w:ilvl w:val="0"/>
          <w:numId w:val="6"/>
        </w:numPr>
        <w:snapToGrid w:val="0"/>
        <w:spacing w:line="300" w:lineRule="auto"/>
        <w:ind w:firstLineChars="0"/>
        <w:rPr>
          <w:rFonts w:ascii="Arial" w:hAnsi="Arial" w:eastAsia="宋体" w:cs="Arial"/>
        </w:rPr>
      </w:pPr>
      <w:r>
        <w:rPr>
          <w:rFonts w:ascii="Arial" w:hAnsi="Arial" w:eastAsia="宋体" w:cs="Arial"/>
        </w:rPr>
        <w:t>阴性结果（如未检出新型病毒RNA）不排除存在其它甲型流感或乙型流感病毒感染。</w:t>
      </w:r>
    </w:p>
    <w:p w14:paraId="698C4CFE">
      <w:pPr>
        <w:pStyle w:val="13"/>
        <w:numPr>
          <w:ilvl w:val="0"/>
          <w:numId w:val="6"/>
        </w:numPr>
        <w:snapToGrid w:val="0"/>
        <w:spacing w:line="300" w:lineRule="auto"/>
        <w:ind w:firstLineChars="0"/>
        <w:rPr>
          <w:rFonts w:ascii="Arial" w:hAnsi="Arial" w:eastAsia="宋体" w:cs="Arial"/>
        </w:rPr>
      </w:pPr>
      <w:r>
        <w:rPr>
          <w:rFonts w:ascii="Arial" w:hAnsi="Arial" w:eastAsia="宋体" w:cs="Arial"/>
        </w:rPr>
        <w:t>可能需要另外检测甲型或乙型流感或其它呼吸道感染。</w:t>
      </w:r>
    </w:p>
    <w:p w14:paraId="1D3209F8">
      <w:pPr>
        <w:pStyle w:val="13"/>
        <w:numPr>
          <w:ilvl w:val="0"/>
          <w:numId w:val="6"/>
        </w:numPr>
        <w:snapToGrid w:val="0"/>
        <w:spacing w:line="300" w:lineRule="auto"/>
        <w:ind w:firstLineChars="0"/>
        <w:rPr>
          <w:rFonts w:ascii="Arial" w:hAnsi="Arial" w:eastAsia="宋体" w:cs="Arial"/>
        </w:rPr>
      </w:pPr>
      <w:r>
        <w:rPr>
          <w:rFonts w:ascii="Arial" w:hAnsi="Arial" w:eastAsia="宋体" w:cs="Arial"/>
        </w:rPr>
        <w:t>对某种新型甲型流感病毒的阳性结果并不意味着最终确认某种特定甲型流感病毒亚型。</w:t>
      </w:r>
    </w:p>
    <w:p w14:paraId="0CA35076">
      <w:pPr>
        <w:pStyle w:val="13"/>
        <w:numPr>
          <w:ilvl w:val="0"/>
          <w:numId w:val="6"/>
        </w:numPr>
        <w:snapToGrid w:val="0"/>
        <w:spacing w:line="300" w:lineRule="auto"/>
        <w:ind w:firstLineChars="0"/>
        <w:rPr>
          <w:rFonts w:ascii="Arial" w:hAnsi="Arial" w:eastAsia="宋体" w:cs="Arial"/>
        </w:rPr>
      </w:pPr>
      <w:r>
        <w:rPr>
          <w:rFonts w:ascii="Arial" w:hAnsi="Arial" w:eastAsia="宋体" w:cs="Arial"/>
        </w:rPr>
        <w:t>发生某种新型甲型流感病毒感染时，最佳标本类型和病毒水平的峰值时机尚未确定。从同一个患者身上采集多份标本对检测病毒可能是必要的。</w:t>
      </w:r>
    </w:p>
    <w:p w14:paraId="4727CF68">
      <w:pPr>
        <w:pStyle w:val="13"/>
        <w:numPr>
          <w:ilvl w:val="0"/>
          <w:numId w:val="6"/>
        </w:numPr>
        <w:snapToGrid w:val="0"/>
        <w:spacing w:line="300" w:lineRule="auto"/>
        <w:ind w:firstLineChars="0"/>
        <w:rPr>
          <w:rFonts w:ascii="Arial" w:hAnsi="Arial" w:eastAsia="宋体" w:cs="Arial"/>
        </w:rPr>
      </w:pPr>
      <w:r>
        <w:rPr>
          <w:rFonts w:ascii="Arial" w:hAnsi="Arial" w:eastAsia="宋体" w:cs="Arial"/>
        </w:rPr>
        <w:t>标本</w:t>
      </w:r>
      <w:bookmarkStart w:id="38" w:name="OLE_LINK27"/>
      <w:bookmarkStart w:id="39" w:name="OLE_LINK28"/>
      <w:r>
        <w:rPr>
          <w:rFonts w:ascii="Arial" w:hAnsi="Arial" w:eastAsia="宋体" w:cs="Arial"/>
        </w:rPr>
        <w:t>如果</w:t>
      </w:r>
      <w:bookmarkEnd w:id="38"/>
      <w:bookmarkEnd w:id="39"/>
      <w:r>
        <w:rPr>
          <w:rFonts w:ascii="Arial" w:hAnsi="Arial" w:eastAsia="宋体" w:cs="Arial"/>
        </w:rPr>
        <w:t>采集、运输或处理不当，可能出现假阴性结果。如果标本中的微生物数量不足，可能出现假阴性结果。</w:t>
      </w:r>
    </w:p>
    <w:p w14:paraId="4667AC0F">
      <w:pPr>
        <w:pStyle w:val="13"/>
        <w:numPr>
          <w:ilvl w:val="0"/>
          <w:numId w:val="6"/>
        </w:numPr>
        <w:snapToGrid w:val="0"/>
        <w:spacing w:line="300" w:lineRule="auto"/>
        <w:ind w:firstLineChars="0"/>
        <w:rPr>
          <w:rFonts w:ascii="Arial" w:hAnsi="Arial" w:eastAsia="宋体" w:cs="Arial"/>
        </w:rPr>
      </w:pPr>
      <w:r>
        <w:rPr>
          <w:rFonts w:ascii="Arial" w:hAnsi="Arial" w:eastAsia="宋体" w:cs="Arial"/>
        </w:rPr>
        <w:t>阳性预测值和阴性预测值高度取决于患病率。当一个社区中由某种新型甲型流感病毒所致疾病的患病率较低或不存在该疾病时，可能出现假阳性检验结果。</w:t>
      </w:r>
    </w:p>
    <w:p w14:paraId="51FC1B58">
      <w:pPr>
        <w:pStyle w:val="13"/>
        <w:numPr>
          <w:ilvl w:val="0"/>
          <w:numId w:val="6"/>
        </w:numPr>
        <w:snapToGrid w:val="0"/>
        <w:spacing w:line="300" w:lineRule="auto"/>
        <w:ind w:firstLineChars="0"/>
        <w:rPr>
          <w:rFonts w:ascii="Arial" w:hAnsi="Arial" w:eastAsia="宋体" w:cs="Arial"/>
        </w:rPr>
      </w:pPr>
      <w:r>
        <w:rPr>
          <w:rFonts w:ascii="Arial" w:hAnsi="Arial" w:eastAsia="宋体" w:cs="Arial"/>
        </w:rPr>
        <w:t>如果病毒在靶区段发生突变，</w:t>
      </w:r>
      <w:r>
        <w:rPr>
          <w:rStyle w:val="12"/>
          <w:rFonts w:ascii="Arial" w:hAnsi="Arial" w:eastAsia="宋体" w:cs="Arial"/>
        </w:rPr>
        <w:t>可能不会检测到特定的新型甲型流感病毒，</w:t>
      </w:r>
      <w:r>
        <w:rPr>
          <w:rFonts w:ascii="Arial" w:hAnsi="Arial" w:eastAsia="宋体" w:cs="Arial"/>
        </w:rPr>
        <w:t>或检出的可能性较小。</w:t>
      </w:r>
    </w:p>
    <w:p w14:paraId="77C944CC">
      <w:pPr>
        <w:pStyle w:val="13"/>
        <w:numPr>
          <w:ilvl w:val="0"/>
          <w:numId w:val="6"/>
        </w:numPr>
        <w:snapToGrid w:val="0"/>
        <w:spacing w:line="300" w:lineRule="auto"/>
        <w:ind w:firstLineChars="0"/>
        <w:rPr>
          <w:rFonts w:ascii="Arial" w:hAnsi="Arial" w:eastAsia="宋体" w:cs="Arial"/>
        </w:rPr>
      </w:pPr>
      <w:r>
        <w:rPr>
          <w:rFonts w:ascii="Arial" w:hAnsi="Arial" w:eastAsia="宋体" w:cs="Arial"/>
        </w:rPr>
        <w:t>抑制因子或其它类型的干扰因子可能产生假阴性结果。</w:t>
      </w:r>
    </w:p>
    <w:p w14:paraId="2DDD7EA2">
      <w:pPr>
        <w:snapToGrid w:val="0"/>
        <w:spacing w:line="300" w:lineRule="auto"/>
        <w:rPr>
          <w:rFonts w:ascii="Arial" w:hAnsi="Arial" w:eastAsia="宋体" w:cs="Arial"/>
        </w:rPr>
      </w:pPr>
    </w:p>
    <w:p w14:paraId="68DEA0ED">
      <w:pPr>
        <w:snapToGrid w:val="0"/>
        <w:spacing w:line="300" w:lineRule="auto"/>
        <w:rPr>
          <w:rFonts w:ascii="Arial" w:hAnsi="Arial" w:eastAsia="宋体" w:cs="Arial"/>
          <w:i/>
        </w:rPr>
      </w:pPr>
      <w:r>
        <w:rPr>
          <w:rFonts w:ascii="Arial" w:hAnsi="Arial" w:eastAsia="宋体" w:cs="Arial"/>
          <w:b/>
          <w:i/>
        </w:rPr>
        <w:t>性能特征</w:t>
      </w:r>
      <w:r>
        <w:rPr>
          <w:rFonts w:ascii="Arial" w:hAnsi="Arial" w:eastAsia="宋体" w:cs="Arial"/>
          <w:i/>
          <w:vertAlign w:val="superscript"/>
        </w:rPr>
        <w:t>4</w:t>
      </w:r>
    </w:p>
    <w:p w14:paraId="200B7389">
      <w:pPr>
        <w:snapToGrid w:val="0"/>
        <w:spacing w:line="300" w:lineRule="auto"/>
        <w:rPr>
          <w:rFonts w:ascii="Arial" w:hAnsi="Arial" w:eastAsia="宋体" w:cs="Arial"/>
        </w:rPr>
      </w:pPr>
    </w:p>
    <w:p w14:paraId="6F0566CF">
      <w:pPr>
        <w:snapToGrid w:val="0"/>
        <w:spacing w:line="300" w:lineRule="auto"/>
        <w:rPr>
          <w:rFonts w:ascii="Arial" w:hAnsi="Arial" w:eastAsia="宋体" w:cs="Arial"/>
        </w:rPr>
      </w:pPr>
      <w:r>
        <w:rPr>
          <w:rFonts w:ascii="Arial" w:hAnsi="Arial" w:eastAsia="宋体" w:cs="Arial"/>
        </w:rPr>
        <w:t>我们建议贵公司在贴标中对标本的来源人群作出描述（即地理位置、标本类型和年龄组）。为支持性能特征，需从这些人群中采集标本进行检测。贵公司应对采自贵公司的器械拟检测的新型甲型流感病毒引起并经实验室确认的流感患者病例标本所做检测的结果分开做出描述。</w:t>
      </w:r>
    </w:p>
    <w:p w14:paraId="2BEA2BB4">
      <w:pPr>
        <w:snapToGrid w:val="0"/>
        <w:spacing w:line="300" w:lineRule="auto"/>
        <w:rPr>
          <w:rFonts w:ascii="Arial" w:hAnsi="Arial" w:eastAsia="宋体" w:cs="Arial"/>
        </w:rPr>
      </w:pPr>
    </w:p>
    <w:p w14:paraId="634FEEDB">
      <w:pPr>
        <w:snapToGrid w:val="0"/>
        <w:spacing w:line="300" w:lineRule="auto"/>
        <w:rPr>
          <w:rFonts w:ascii="Arial" w:hAnsi="Arial" w:eastAsia="宋体" w:cs="Arial"/>
        </w:rPr>
      </w:pPr>
      <w:r>
        <w:rPr>
          <w:rFonts w:ascii="Arial" w:hAnsi="Arial" w:eastAsia="宋体" w:cs="Arial"/>
        </w:rPr>
        <w:t>贵公司应将对所有研究设计和结果评价的描述包含在提交资料中。这些研究有助于用户解释检验结果。</w:t>
      </w:r>
    </w:p>
    <w:p w14:paraId="73FE61E5">
      <w:pPr>
        <w:snapToGrid w:val="0"/>
        <w:spacing w:line="300" w:lineRule="auto"/>
        <w:rPr>
          <w:rFonts w:ascii="Arial" w:hAnsi="Arial" w:eastAsia="宋体" w:cs="Arial"/>
        </w:rPr>
      </w:pPr>
      <w:r>
        <w:rPr>
          <w:rFonts w:ascii="Helvetica" w:hAnsi="Helvetica" w:eastAsia="宋体" w:cs="Helvetica"/>
          <w:color w:val="005F9F"/>
          <w:kern w:val="0"/>
          <w:szCs w:val="21"/>
        </w:rPr>
        <w:drawing>
          <wp:inline distT="0" distB="0" distL="0" distR="0">
            <wp:extent cx="336550" cy="285750"/>
            <wp:effectExtent l="0" t="0" r="6350" b="0"/>
            <wp:docPr id="7" name="图片 7"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p>
    <w:p w14:paraId="41B5E1E6">
      <w:pPr>
        <w:widowControl/>
        <w:jc w:val="left"/>
        <w:rPr>
          <w:rFonts w:ascii="Arial" w:hAnsi="Arial" w:eastAsia="宋体" w:cs="Arial"/>
          <w:b/>
        </w:rPr>
      </w:pPr>
      <w:r>
        <w:rPr>
          <w:rFonts w:ascii="Arial" w:hAnsi="Arial" w:eastAsia="宋体" w:cs="Arial"/>
          <w:b/>
        </w:rPr>
        <w:br w:type="page"/>
      </w:r>
    </w:p>
    <w:p w14:paraId="5A6F2D90">
      <w:pPr>
        <w:snapToGrid w:val="0"/>
        <w:spacing w:line="300" w:lineRule="auto"/>
        <w:rPr>
          <w:rFonts w:ascii="Arial" w:hAnsi="Arial" w:eastAsia="宋体" w:cs="Arial"/>
          <w:b/>
        </w:rPr>
      </w:pPr>
      <w:r>
        <w:rPr>
          <w:rFonts w:ascii="Arial" w:hAnsi="Arial" w:eastAsia="宋体" w:cs="Arial"/>
          <w:b/>
        </w:rPr>
        <w:t>8. 上市后措施</w:t>
      </w:r>
    </w:p>
    <w:p w14:paraId="6B9F3396">
      <w:pPr>
        <w:snapToGrid w:val="0"/>
        <w:spacing w:line="300" w:lineRule="auto"/>
        <w:rPr>
          <w:rFonts w:ascii="Arial" w:hAnsi="Arial" w:eastAsia="宋体" w:cs="Arial"/>
        </w:rPr>
      </w:pPr>
    </w:p>
    <w:p w14:paraId="0A826AE1">
      <w:pPr>
        <w:snapToGrid w:val="0"/>
        <w:spacing w:line="300" w:lineRule="auto"/>
        <w:rPr>
          <w:rFonts w:ascii="Arial" w:hAnsi="Arial" w:eastAsia="宋体" w:cs="Arial"/>
        </w:rPr>
      </w:pPr>
      <w:r>
        <w:rPr>
          <w:rFonts w:ascii="Arial" w:hAnsi="Arial" w:eastAsia="宋体" w:cs="Arial"/>
        </w:rPr>
        <w:t>我们建议贵公司获取上市后数据并进行分析，确保贵公司的器械在检测其拟检测的特定新型甲型流感病毒的过程中具有持续可靠性，尤其是考虑到流感病毒的突变习性和疾病患病率随时间而改变的可能性。我们建议采取下列措施：</w:t>
      </w:r>
    </w:p>
    <w:p w14:paraId="4ADDDDDB">
      <w:pPr>
        <w:snapToGrid w:val="0"/>
        <w:spacing w:line="300" w:lineRule="auto"/>
        <w:rPr>
          <w:rFonts w:ascii="Arial" w:hAnsi="Arial" w:eastAsia="宋体" w:cs="Arial"/>
        </w:rPr>
      </w:pPr>
    </w:p>
    <w:p w14:paraId="261660BD">
      <w:pPr>
        <w:pStyle w:val="13"/>
        <w:numPr>
          <w:ilvl w:val="0"/>
          <w:numId w:val="7"/>
        </w:numPr>
        <w:snapToGrid w:val="0"/>
        <w:spacing w:line="300" w:lineRule="auto"/>
        <w:ind w:firstLineChars="0"/>
        <w:rPr>
          <w:rFonts w:ascii="Arial" w:hAnsi="Arial" w:eastAsia="宋体" w:cs="Arial"/>
        </w:rPr>
      </w:pPr>
      <w:r>
        <w:rPr>
          <w:rFonts w:ascii="Arial" w:hAnsi="Arial" w:eastAsia="宋体" w:cs="Arial"/>
        </w:rPr>
        <w:t>当有最新流感病毒序列可用时（来自世界卫生组织、国立卫生研究院和其它公共卫生机构），贵公司应按21 CFR 820.100（a）（1）“纠正和预防措施”的要求将这些序列与贵公司的引物/探针序列进行比对并将这些分析的结果纳入贵公司的质量管理体系中。而且应按21 CFR 820.30（g）“设计验证”的要求从器械设计验证和风险分析方面对这些分析进行评价，判定是否有必要做出任何设计变更。</w:t>
      </w:r>
    </w:p>
    <w:p w14:paraId="09D1200E">
      <w:pPr>
        <w:pStyle w:val="13"/>
        <w:numPr>
          <w:ilvl w:val="0"/>
          <w:numId w:val="7"/>
        </w:numPr>
        <w:snapToGrid w:val="0"/>
        <w:spacing w:line="300" w:lineRule="auto"/>
        <w:ind w:firstLineChars="0"/>
        <w:rPr>
          <w:rFonts w:ascii="Arial" w:hAnsi="Arial" w:eastAsia="宋体" w:cs="Arial"/>
        </w:rPr>
      </w:pPr>
      <w:r>
        <w:rPr>
          <w:rFonts w:ascii="Arial" w:hAnsi="Arial" w:eastAsia="宋体" w:cs="Arial"/>
        </w:rPr>
        <w:t>在开展贵公司在510（k）提交资料中描述的临床评价时，与现有患病率相比，如果贵公司的器械拟检测的特定新型甲型流感病毒引起的流感患病率有所变化，应在新患病率条件下收集器械的临床性能数据。贵公司的器械拟检测的特定新型流感病毒感染的患病率可随时间发生明显变化，有可能对贵公司器械的性能造成影响。贵公司器械的贴标可能需加以修订，以便反映新的临床性能数据。</w:t>
      </w:r>
    </w:p>
    <w:p w14:paraId="5E38E59A">
      <w:pPr>
        <w:snapToGrid w:val="0"/>
        <w:spacing w:line="300" w:lineRule="auto"/>
        <w:rPr>
          <w:rFonts w:ascii="Arial" w:hAnsi="Arial" w:eastAsia="宋体" w:cs="Arial"/>
        </w:rPr>
      </w:pPr>
    </w:p>
    <w:p w14:paraId="541A563D">
      <w:pPr>
        <w:snapToGrid w:val="0"/>
        <w:spacing w:line="300" w:lineRule="auto"/>
        <w:rPr>
          <w:rFonts w:ascii="Arial" w:hAnsi="Arial" w:eastAsia="宋体" w:cs="Arial"/>
        </w:rPr>
      </w:pPr>
      <w:r>
        <w:rPr>
          <w:rFonts w:ascii="Arial" w:hAnsi="Arial" w:eastAsia="宋体" w:cs="Arial"/>
        </w:rPr>
        <w:t>为展示贵公司将如何处理特殊控制在这方面的问题，我们建议贵公司随510（k）提交资料提供一份计划，对贵公司打算如何处理上述上市后问题做出描述。食品药品监督管理局将对该计划是否有助于减轻由该器械引发的风险并因此有助于对该器械的安全性和有效性持续提供可靠保证进行评价。</w:t>
      </w:r>
    </w:p>
    <w:p w14:paraId="29113B51">
      <w:pPr>
        <w:snapToGrid w:val="0"/>
        <w:spacing w:line="300" w:lineRule="auto"/>
        <w:rPr>
          <w:rFonts w:ascii="Arial" w:hAnsi="Arial" w:eastAsia="宋体" w:cs="Arial"/>
        </w:rPr>
      </w:pPr>
      <w:r>
        <w:rPr>
          <w:rFonts w:ascii="Helvetica" w:hAnsi="Helvetica" w:eastAsia="宋体" w:cs="Helvetica"/>
          <w:color w:val="005F9F"/>
          <w:kern w:val="0"/>
          <w:szCs w:val="21"/>
        </w:rPr>
        <w:drawing>
          <wp:inline distT="0" distB="0" distL="0" distR="0">
            <wp:extent cx="336550" cy="285750"/>
            <wp:effectExtent l="0" t="0" r="6350" b="0"/>
            <wp:docPr id="8" name="图片 8" descr="Back to Top Arrow">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Back to Top Arr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6550" cy="285750"/>
                    </a:xfrm>
                    <a:prstGeom prst="rect">
                      <a:avLst/>
                    </a:prstGeom>
                    <a:noFill/>
                    <a:ln>
                      <a:noFill/>
                    </a:ln>
                  </pic:spPr>
                </pic:pic>
              </a:graphicData>
            </a:graphic>
          </wp:inline>
        </w:drawing>
      </w:r>
    </w:p>
    <w:p w14:paraId="00FEAE03">
      <w:pPr>
        <w:snapToGrid w:val="0"/>
        <w:spacing w:line="300" w:lineRule="auto"/>
        <w:rPr>
          <w:rFonts w:ascii="Arial" w:hAnsi="Arial" w:eastAsia="宋体" w:cs="Arial"/>
        </w:rPr>
      </w:pPr>
    </w:p>
    <w:p w14:paraId="16BF9BAB">
      <w:pPr>
        <w:snapToGrid w:val="0"/>
        <w:spacing w:line="300" w:lineRule="auto"/>
        <w:rPr>
          <w:rFonts w:ascii="Arial" w:hAnsi="Arial" w:eastAsia="宋体" w:cs="Arial"/>
        </w:rPr>
      </w:pPr>
    </w:p>
    <w:p w14:paraId="059646BC">
      <w:pPr>
        <w:snapToGrid w:val="0"/>
        <w:spacing w:line="300" w:lineRule="auto"/>
        <w:rPr>
          <w:rFonts w:ascii="Arial" w:hAnsi="Arial" w:eastAsia="宋体" w:cs="Arial"/>
          <w:b/>
        </w:rPr>
      </w:pPr>
      <w:r>
        <w:rPr>
          <w:rFonts w:ascii="Arial" w:hAnsi="Arial" w:eastAsia="宋体" w:cs="Arial"/>
          <w:b/>
        </w:rPr>
        <w:t>9. 1995年文书消减法案</w:t>
      </w:r>
    </w:p>
    <w:p w14:paraId="25FA4BAF">
      <w:pPr>
        <w:snapToGrid w:val="0"/>
        <w:spacing w:line="300" w:lineRule="auto"/>
        <w:rPr>
          <w:rFonts w:ascii="Arial" w:hAnsi="Arial" w:eastAsia="宋体" w:cs="Arial"/>
        </w:rPr>
      </w:pPr>
    </w:p>
    <w:p w14:paraId="7E23A7AC">
      <w:pPr>
        <w:snapToGrid w:val="0"/>
        <w:spacing w:line="300" w:lineRule="auto"/>
        <w:rPr>
          <w:rFonts w:ascii="Arial" w:hAnsi="Arial" w:eastAsia="宋体" w:cs="Arial"/>
        </w:rPr>
      </w:pPr>
      <w:r>
        <w:rPr>
          <w:rFonts w:ascii="Arial" w:hAnsi="Arial" w:eastAsia="宋体" w:cs="Arial"/>
        </w:rPr>
        <w:t>本指南中包含了信息收集规定。行政管理和预算办公室（OMB）将</w:t>
      </w:r>
      <w:bookmarkStart w:id="40" w:name="OLE_LINK25"/>
      <w:bookmarkStart w:id="41" w:name="OLE_LINK26"/>
      <w:r>
        <w:rPr>
          <w:rFonts w:ascii="Arial" w:hAnsi="Arial" w:eastAsia="宋体" w:cs="Arial"/>
        </w:rPr>
        <w:t>依据1995年文书消减法案（44 U.S.C. 3501-3520）对这些规定进行审查</w:t>
      </w:r>
      <w:bookmarkEnd w:id="40"/>
      <w:bookmarkEnd w:id="41"/>
      <w:r>
        <w:rPr>
          <w:rFonts w:ascii="Arial" w:hAnsi="Arial" w:eastAsia="宋体" w:cs="Arial"/>
        </w:rPr>
        <w:t>。</w:t>
      </w:r>
    </w:p>
    <w:p w14:paraId="1D8426E5">
      <w:pPr>
        <w:snapToGrid w:val="0"/>
        <w:spacing w:line="300" w:lineRule="auto"/>
        <w:rPr>
          <w:rFonts w:ascii="Arial" w:hAnsi="Arial" w:eastAsia="宋体" w:cs="Arial"/>
        </w:rPr>
      </w:pPr>
    </w:p>
    <w:p w14:paraId="5C97ECC3">
      <w:pPr>
        <w:snapToGrid w:val="0"/>
        <w:spacing w:line="300" w:lineRule="auto"/>
        <w:rPr>
          <w:rFonts w:ascii="Arial" w:hAnsi="Arial" w:eastAsia="宋体" w:cs="Arial"/>
        </w:rPr>
      </w:pPr>
      <w:r>
        <w:rPr>
          <w:rFonts w:ascii="Arial" w:hAnsi="Arial" w:eastAsia="宋体" w:cs="Arial"/>
        </w:rPr>
        <w:t>完成这次信息收集所需时间估计平均为10小时/反应，其中包括审查操作指南、搜索现有数据资源、收集所需数据、完成并审查信息收集的时间。对关于这个负担的估计或消减该负担的提议若有评论可送至：</w:t>
      </w:r>
    </w:p>
    <w:p w14:paraId="6F7F2881">
      <w:pPr>
        <w:snapToGrid w:val="0"/>
        <w:spacing w:line="300" w:lineRule="auto"/>
        <w:rPr>
          <w:rFonts w:ascii="Arial" w:hAnsi="Arial" w:eastAsia="宋体" w:cs="Arial"/>
        </w:rPr>
      </w:pPr>
    </w:p>
    <w:p w14:paraId="7A0C9138">
      <w:pPr>
        <w:snapToGrid w:val="0"/>
        <w:spacing w:line="300" w:lineRule="auto"/>
        <w:rPr>
          <w:rFonts w:ascii="Arial" w:hAnsi="Arial" w:eastAsia="宋体" w:cs="Arial"/>
        </w:rPr>
      </w:pPr>
      <w:r>
        <w:rPr>
          <w:rFonts w:ascii="Arial" w:hAnsi="Arial" w:eastAsia="宋体" w:cs="Arial"/>
        </w:rPr>
        <w:t>卫生与公众服务部</w:t>
      </w:r>
    </w:p>
    <w:p w14:paraId="33559DDC">
      <w:pPr>
        <w:snapToGrid w:val="0"/>
        <w:spacing w:line="300" w:lineRule="auto"/>
        <w:rPr>
          <w:rFonts w:ascii="Arial" w:hAnsi="Arial" w:eastAsia="宋体" w:cs="Arial"/>
        </w:rPr>
      </w:pPr>
      <w:r>
        <w:rPr>
          <w:rFonts w:ascii="Arial" w:hAnsi="Arial" w:eastAsia="宋体" w:cs="Arial"/>
        </w:rPr>
        <w:t>食品药品监督管理局</w:t>
      </w:r>
    </w:p>
    <w:p w14:paraId="525AAA65">
      <w:pPr>
        <w:snapToGrid w:val="0"/>
        <w:spacing w:line="300" w:lineRule="auto"/>
        <w:rPr>
          <w:rFonts w:ascii="Arial" w:hAnsi="Arial" w:eastAsia="宋体" w:cs="Arial"/>
        </w:rPr>
      </w:pPr>
      <w:r>
        <w:rPr>
          <w:rFonts w:ascii="Arial" w:hAnsi="Arial" w:eastAsia="宋体" w:cs="Arial"/>
        </w:rPr>
        <w:t>首席信息官办公室</w:t>
      </w:r>
    </w:p>
    <w:p w14:paraId="0B25B910">
      <w:pPr>
        <w:snapToGrid w:val="0"/>
        <w:spacing w:line="300" w:lineRule="auto"/>
        <w:rPr>
          <w:rFonts w:ascii="Arial" w:hAnsi="Arial" w:eastAsia="宋体" w:cs="Arial"/>
        </w:rPr>
      </w:pPr>
      <w:r>
        <w:rPr>
          <w:rFonts w:ascii="Arial" w:hAnsi="Arial" w:eastAsia="宋体" w:cs="Arial"/>
        </w:rPr>
        <w:t>文书削减法案（PRA）的工作人员</w:t>
      </w:r>
    </w:p>
    <w:p w14:paraId="33F2EE7F">
      <w:pPr>
        <w:snapToGrid w:val="0"/>
        <w:spacing w:line="300" w:lineRule="auto"/>
        <w:rPr>
          <w:rFonts w:ascii="Arial" w:hAnsi="Arial" w:eastAsia="宋体" w:cs="Arial"/>
        </w:rPr>
      </w:pPr>
      <w:r>
        <w:rPr>
          <w:rFonts w:ascii="Arial" w:hAnsi="Arial" w:eastAsia="宋体" w:cs="Arial"/>
        </w:rPr>
        <w:t>1350 Piccard Drive, Room 400</w:t>
      </w:r>
    </w:p>
    <w:p w14:paraId="44561FE9">
      <w:pPr>
        <w:snapToGrid w:val="0"/>
        <w:spacing w:line="300" w:lineRule="auto"/>
        <w:rPr>
          <w:rFonts w:ascii="Arial" w:hAnsi="Arial" w:eastAsia="宋体" w:cs="Arial"/>
        </w:rPr>
      </w:pPr>
      <w:r>
        <w:rPr>
          <w:rFonts w:ascii="Arial" w:hAnsi="Arial" w:eastAsia="宋体" w:cs="Arial"/>
        </w:rPr>
        <w:t>Rockville, MD 20850</w:t>
      </w:r>
    </w:p>
    <w:p w14:paraId="0AB75695">
      <w:pPr>
        <w:snapToGrid w:val="0"/>
        <w:spacing w:line="300" w:lineRule="auto"/>
        <w:rPr>
          <w:rFonts w:ascii="Arial" w:hAnsi="Arial" w:eastAsia="宋体" w:cs="Arial"/>
        </w:rPr>
      </w:pPr>
    </w:p>
    <w:p w14:paraId="2CB28D79">
      <w:pPr>
        <w:widowControl/>
        <w:jc w:val="left"/>
        <w:rPr>
          <w:rFonts w:ascii="Arial" w:hAnsi="Arial" w:eastAsia="宋体" w:cs="Arial"/>
        </w:rPr>
      </w:pPr>
      <w:r>
        <w:rPr>
          <w:rFonts w:ascii="Arial" w:hAnsi="Arial" w:eastAsia="宋体" w:cs="Arial"/>
        </w:rPr>
        <w:br w:type="page"/>
      </w:r>
    </w:p>
    <w:p w14:paraId="58CC5AAF">
      <w:pPr>
        <w:snapToGrid w:val="0"/>
        <w:spacing w:line="300" w:lineRule="auto"/>
        <w:rPr>
          <w:rFonts w:ascii="Arial" w:hAnsi="Arial" w:eastAsia="宋体" w:cs="Arial"/>
        </w:rPr>
      </w:pPr>
      <w:r>
        <w:rPr>
          <w:rFonts w:ascii="Arial" w:hAnsi="Arial" w:eastAsia="宋体" w:cs="Arial"/>
        </w:rPr>
        <w:t>本指南还参考了可在食品药品监督管理局法规中找到的以前批准的信息收集规定。这些信息收集规定由行政管理和预算办公室依据1995年文书消减法案（44 U.S.C. 3501-3520）进行审查。21 CFR § 809中的信息收集规定</w:t>
      </w:r>
      <w:bookmarkStart w:id="42" w:name="OLE_LINK36"/>
      <w:bookmarkStart w:id="43" w:name="OLE_LINK37"/>
      <w:r>
        <w:rPr>
          <w:rFonts w:ascii="Arial" w:hAnsi="Arial" w:eastAsia="宋体" w:cs="Arial"/>
        </w:rPr>
        <w:t>已在行政管理和预算办公室编号0910-0485的控制文件中予以核准</w:t>
      </w:r>
      <w:bookmarkEnd w:id="42"/>
      <w:bookmarkEnd w:id="43"/>
      <w:r>
        <w:rPr>
          <w:rFonts w:ascii="Arial" w:hAnsi="Arial" w:eastAsia="宋体" w:cs="Arial"/>
        </w:rPr>
        <w:t>。</w:t>
      </w:r>
      <w:bookmarkStart w:id="44" w:name="OLE_LINK38"/>
      <w:bookmarkStart w:id="45" w:name="OLE_LINK39"/>
      <w:r>
        <w:rPr>
          <w:rFonts w:ascii="Arial" w:hAnsi="Arial" w:eastAsia="宋体" w:cs="Arial"/>
        </w:rPr>
        <w:t>21 CFR § 807中的信息收集规定已在行政管理和预算办公室编号0910-0120的控制文件中予以核准。</w:t>
      </w:r>
      <w:bookmarkEnd w:id="44"/>
      <w:bookmarkEnd w:id="45"/>
      <w:r>
        <w:rPr>
          <w:rFonts w:ascii="Arial" w:hAnsi="Arial" w:eastAsia="宋体" w:cs="Arial"/>
        </w:rPr>
        <w:t>21 CFR § 820中的信息收集规定已在行政管理和预算办公室编号0910-0073的控制文件中予以核准。</w:t>
      </w:r>
    </w:p>
    <w:p w14:paraId="1BC6D3B9">
      <w:pPr>
        <w:snapToGrid w:val="0"/>
        <w:spacing w:line="300" w:lineRule="auto"/>
        <w:rPr>
          <w:rFonts w:ascii="Arial" w:hAnsi="Arial" w:eastAsia="宋体" w:cs="Arial"/>
        </w:rPr>
      </w:pPr>
    </w:p>
    <w:p w14:paraId="2F19840E">
      <w:pPr>
        <w:snapToGrid w:val="0"/>
        <w:spacing w:line="300" w:lineRule="auto"/>
        <w:rPr>
          <w:rFonts w:ascii="Arial" w:hAnsi="Arial" w:eastAsia="宋体" w:cs="Arial"/>
        </w:rPr>
      </w:pPr>
      <w:r>
        <w:rPr>
          <w:rFonts w:ascii="Arial" w:hAnsi="Arial" w:eastAsia="宋体" w:cs="Arial"/>
        </w:rPr>
        <w:t>机构可能不会举办或主办一次信息收集活动，个人不需对一次信息收集活动作出反应，除非其出示了目前有效的</w:t>
      </w:r>
      <w:bookmarkStart w:id="46" w:name="OLE_LINK40"/>
      <w:r>
        <w:rPr>
          <w:rFonts w:ascii="Arial" w:hAnsi="Arial" w:eastAsia="宋体" w:cs="Arial"/>
        </w:rPr>
        <w:t>行政管理和预算办公室控制文件编号</w:t>
      </w:r>
      <w:bookmarkEnd w:id="46"/>
      <w:r>
        <w:rPr>
          <w:rFonts w:ascii="Arial" w:hAnsi="Arial" w:eastAsia="宋体" w:cs="Arial"/>
        </w:rPr>
        <w:t>。本次信息收集活动的行政管理和预算办公室控制文件编号为0910-0584（2013年3月13日到期）。</w:t>
      </w:r>
    </w:p>
    <w:p w14:paraId="4D950AC2">
      <w:pPr>
        <w:snapToGrid w:val="0"/>
        <w:spacing w:line="300" w:lineRule="auto"/>
        <w:rPr>
          <w:rFonts w:ascii="Arial" w:hAnsi="Arial" w:eastAsia="宋体" w:cs="Arial"/>
        </w:rPr>
      </w:pPr>
    </w:p>
    <w:p w14:paraId="0E6AB009">
      <w:pPr>
        <w:snapToGrid w:val="0"/>
        <w:spacing w:line="300" w:lineRule="auto"/>
        <w:rPr>
          <w:rFonts w:ascii="Arial" w:hAnsi="Arial" w:eastAsia="宋体" w:cs="Arial"/>
          <w:b/>
        </w:rPr>
      </w:pPr>
      <w:r>
        <w:rPr>
          <w:rFonts w:ascii="Arial" w:hAnsi="Arial" w:eastAsia="宋体" w:cs="Arial"/>
          <w:b/>
        </w:rPr>
        <w:t>参考文件</w:t>
      </w:r>
    </w:p>
    <w:p w14:paraId="2ABD64DC">
      <w:pPr>
        <w:snapToGrid w:val="0"/>
        <w:spacing w:line="300" w:lineRule="auto"/>
        <w:rPr>
          <w:rFonts w:ascii="Arial" w:hAnsi="Arial" w:eastAsia="宋体" w:cs="Arial"/>
        </w:rPr>
      </w:pPr>
    </w:p>
    <w:p w14:paraId="026494F5">
      <w:pPr>
        <w:snapToGrid w:val="0"/>
        <w:spacing w:line="300" w:lineRule="auto"/>
        <w:rPr>
          <w:rFonts w:ascii="Arial" w:hAnsi="Arial" w:eastAsia="宋体" w:cs="Arial"/>
        </w:rPr>
      </w:pPr>
      <w:r>
        <w:rPr>
          <w:rFonts w:ascii="Arial" w:hAnsi="Arial" w:eastAsia="宋体" w:cs="Arial"/>
        </w:rPr>
        <w:t>[1]行业和</w:t>
      </w:r>
      <w:bookmarkStart w:id="47" w:name="OLE_LINK48"/>
      <w:bookmarkStart w:id="48" w:name="OLE_LINK51"/>
      <w:r>
        <w:rPr>
          <w:rFonts w:ascii="Arial" w:hAnsi="Arial" w:eastAsia="宋体" w:cs="Arial"/>
        </w:rPr>
        <w:t>食品药品监督管理局工作人员</w:t>
      </w:r>
      <w:bookmarkEnd w:id="47"/>
      <w:bookmarkEnd w:id="48"/>
      <w:r>
        <w:rPr>
          <w:rFonts w:ascii="Arial" w:hAnsi="Arial" w:eastAsia="宋体" w:cs="Arial"/>
        </w:rPr>
        <w:t>指南：传统和简化510（k）提交资料的格式，</w:t>
      </w:r>
      <w:bookmarkStart w:id="49" w:name="OLE_LINK44"/>
      <w:r>
        <w:rPr>
          <w:rFonts w:ascii="Arial" w:hAnsi="Arial" w:eastAsia="宋体" w:cs="Arial"/>
        </w:rPr>
        <w:t>2005年8月12日发布</w:t>
      </w:r>
      <w:bookmarkEnd w:id="49"/>
      <w:r>
        <w:rPr>
          <w:rFonts w:ascii="Arial" w:hAnsi="Arial" w:eastAsia="宋体" w:cs="Arial"/>
        </w:rPr>
        <w:t>。下载网址：</w:t>
      </w:r>
      <w:r>
        <w:fldChar w:fldCharType="begin"/>
      </w:r>
      <w:r>
        <w:instrText xml:space="preserve"> HYPERLINK "http://www.fda.gov/MedicalDevices/DeviceRegulationandGuidance/GuidanceDocuments/ucm084365.htm" </w:instrText>
      </w:r>
      <w:r>
        <w:fldChar w:fldCharType="separate"/>
      </w:r>
      <w:r>
        <w:rPr>
          <w:rFonts w:ascii="Arial" w:hAnsi="Arial" w:eastAsia="宋体" w:cs="Arial"/>
          <w:color w:val="005F9F"/>
          <w:kern w:val="0"/>
          <w:szCs w:val="21"/>
          <w:u w:val="single"/>
        </w:rPr>
        <w:t>Format for Traditional and Abbreviated 510（k）s</w:t>
      </w:r>
      <w:r>
        <w:rPr>
          <w:rFonts w:ascii="Arial" w:hAnsi="Arial" w:eastAsia="宋体" w:cs="Arial"/>
          <w:color w:val="005F9F"/>
          <w:kern w:val="0"/>
          <w:szCs w:val="21"/>
          <w:u w:val="single"/>
        </w:rPr>
        <w:fldChar w:fldCharType="end"/>
      </w:r>
    </w:p>
    <w:p w14:paraId="743A9A85">
      <w:pPr>
        <w:snapToGrid w:val="0"/>
        <w:spacing w:line="300" w:lineRule="auto"/>
        <w:rPr>
          <w:rFonts w:ascii="Arial" w:hAnsi="Arial" w:eastAsia="宋体" w:cs="Arial"/>
        </w:rPr>
      </w:pPr>
      <w:r>
        <w:rPr>
          <w:rFonts w:ascii="Arial" w:hAnsi="Arial" w:eastAsia="宋体" w:cs="Arial"/>
        </w:rPr>
        <w:t>[2]基于核酸的微生物病原体检测用体外诊断器械－行业和食品药品监督管理局工作人员指南草案，草案指南，发布日期：2005年12月8日</w:t>
      </w:r>
    </w:p>
    <w:p w14:paraId="78470FB6">
      <w:pPr>
        <w:snapToGrid w:val="0"/>
        <w:spacing w:line="300" w:lineRule="auto"/>
        <w:rPr>
          <w:rFonts w:ascii="Arial" w:hAnsi="Arial" w:eastAsia="宋体" w:cs="Arial"/>
        </w:rPr>
      </w:pPr>
      <w:r>
        <w:rPr>
          <w:rFonts w:ascii="Arial" w:hAnsi="Arial" w:eastAsia="宋体" w:cs="Arial"/>
        </w:rPr>
        <w:t xml:space="preserve">[3]世界卫生组织（2002年）. </w:t>
      </w:r>
      <w:r>
        <w:rPr>
          <w:rFonts w:ascii="Arial" w:hAnsi="Arial" w:eastAsia="宋体" w:cs="Arial"/>
          <w:i/>
          <w:color w:val="005F9F"/>
        </w:rPr>
        <w:t>世界卫生组织动物流感诊断和监测手册</w:t>
      </w:r>
      <w:r>
        <w:rPr>
          <w:rFonts w:ascii="Arial" w:hAnsi="Arial" w:eastAsia="宋体" w:cs="Arial"/>
        </w:rPr>
        <w:t>，2002年，日内瓦，世界卫生组织（文件代码：WHO/CDS/CSR/NCS/2002.5）</w:t>
      </w:r>
    </w:p>
    <w:p w14:paraId="4C7F8713">
      <w:pPr>
        <w:snapToGrid w:val="0"/>
        <w:spacing w:line="300" w:lineRule="auto"/>
        <w:rPr>
          <w:rFonts w:ascii="Arial" w:hAnsi="Arial" w:eastAsia="宋体" w:cs="Arial"/>
        </w:rPr>
      </w:pPr>
      <w:r>
        <w:rPr>
          <w:rFonts w:ascii="Arial" w:hAnsi="Arial" w:eastAsia="宋体" w:cs="Arial"/>
        </w:rPr>
        <w:t xml:space="preserve">[4]世界卫生组织（2005年）. </w:t>
      </w:r>
      <w:r>
        <w:rPr>
          <w:rFonts w:ascii="Arial" w:hAnsi="Arial" w:eastAsia="宋体" w:cs="Arial"/>
          <w:i/>
          <w:color w:val="005F9F"/>
        </w:rPr>
        <w:t>用于确认人体标本中甲型禽流感病毒的推荐实验室检验方法</w:t>
      </w:r>
      <w:r>
        <w:rPr>
          <w:rFonts w:ascii="Arial" w:hAnsi="Arial" w:eastAsia="宋体" w:cs="Arial"/>
        </w:rPr>
        <w:t>，2005年，日内瓦，世界卫生组织</w:t>
      </w:r>
    </w:p>
    <w:p w14:paraId="25F0B14D">
      <w:pPr>
        <w:snapToGrid w:val="0"/>
        <w:spacing w:line="300" w:lineRule="auto"/>
        <w:rPr>
          <w:rFonts w:ascii="Arial" w:hAnsi="Arial" w:eastAsia="宋体" w:cs="Arial"/>
        </w:rPr>
      </w:pPr>
    </w:p>
    <w:p w14:paraId="61202685">
      <w:pPr>
        <w:snapToGrid w:val="0"/>
        <w:spacing w:line="300" w:lineRule="auto"/>
        <w:rPr>
          <w:rFonts w:ascii="Arial" w:hAnsi="Arial" w:eastAsia="宋体" w:cs="Arial"/>
        </w:rPr>
      </w:pPr>
    </w:p>
    <w:p w14:paraId="60DF2A51">
      <w:pPr>
        <w:snapToGrid w:val="0"/>
        <w:spacing w:line="300" w:lineRule="auto"/>
        <w:rPr>
          <w:rFonts w:ascii="Arial" w:hAnsi="Arial" w:eastAsia="宋体" w:cs="Arial"/>
        </w:rPr>
      </w:pPr>
    </w:p>
    <w:p w14:paraId="181D1F66">
      <w:pPr>
        <w:snapToGrid w:val="0"/>
        <w:spacing w:line="300" w:lineRule="auto"/>
        <w:jc w:val="center"/>
        <w:rPr>
          <w:ins w:id="0" w:author="太极箫客" w:date="2025-08-14T14:17:42Z"/>
          <w:rFonts w:hint="eastAsia" w:eastAsia="宋体"/>
          <w:lang w:eastAsia="zh-CN"/>
        </w:rPr>
      </w:pPr>
    </w:p>
    <w:p w14:paraId="013C8E7D">
      <w:pPr>
        <w:snapToGrid w:val="0"/>
        <w:spacing w:line="300" w:lineRule="auto"/>
        <w:jc w:val="center"/>
        <w:rPr>
          <w:ins w:id="1" w:author="太极箫客" w:date="2025-08-14T14:17:42Z"/>
          <w:rFonts w:hint="eastAsia" w:eastAsia="宋体"/>
          <w:lang w:eastAsia="zh-CN"/>
        </w:rPr>
      </w:pPr>
    </w:p>
    <w:p w14:paraId="1D84B540">
      <w:pPr>
        <w:snapToGrid w:val="0"/>
        <w:spacing w:line="300" w:lineRule="auto"/>
        <w:jc w:val="center"/>
        <w:rPr>
          <w:ins w:id="2" w:author="太极箫客" w:date="2025-08-14T14:17:42Z"/>
          <w:rFonts w:hint="eastAsia" w:eastAsia="宋体"/>
          <w:lang w:eastAsia="zh-CN"/>
        </w:rPr>
      </w:pPr>
      <w:ins w:id="3" w:author="太极箫客" w:date="2025-08-14T14:17:42Z">
        <w:r>
          <w:rPr>
            <w:rFonts w:hint="eastAsia" w:eastAsia="宋体"/>
            <w:lang w:eastAsia="zh-CN"/>
          </w:rPr>
          <w:drawing>
            <wp:inline distT="0" distB="0" distL="114300" distR="114300">
              <wp:extent cx="5210175" cy="7343775"/>
              <wp:effectExtent l="0" t="0" r="9525" b="9525"/>
              <wp:docPr id="9" name="图片 9" descr="2"/>
              <wp:cNvGraphicFramePr/>
              <a:graphic xmlns:a="http://schemas.openxmlformats.org/drawingml/2006/main">
                <a:graphicData uri="http://schemas.openxmlformats.org/drawingml/2006/picture">
                  <pic:pic xmlns:pic="http://schemas.openxmlformats.org/drawingml/2006/picture">
                    <pic:nvPicPr>
                      <pic:cNvPr id="9" name="图片 9" descr="2"/>
                      <pic:cNvPicPr/>
                    </pic:nvPicPr>
                    <pic:blipFill>
                      <a:blip r:embed="rId6"/>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153562"/>
    <w:multiLevelType w:val="multilevel"/>
    <w:tmpl w:val="0C153562"/>
    <w:lvl w:ilvl="0" w:tentative="0">
      <w:start w:val="1"/>
      <w:numFmt w:val="bullet"/>
      <w:lvlText w:val=""/>
      <w:lvlJc w:val="left"/>
      <w:pPr>
        <w:ind w:left="420" w:hanging="420"/>
      </w:pPr>
      <w:rPr>
        <w:rFonts w:hint="default" w:ascii="Wingdings 2" w:hAnsi="Wingdings 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974DB6"/>
    <w:multiLevelType w:val="multilevel"/>
    <w:tmpl w:val="0F974DB6"/>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BE670E9"/>
    <w:multiLevelType w:val="multilevel"/>
    <w:tmpl w:val="4BE670E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CBA4DF1"/>
    <w:multiLevelType w:val="multilevel"/>
    <w:tmpl w:val="4CBA4DF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1760371"/>
    <w:multiLevelType w:val="multilevel"/>
    <w:tmpl w:val="7176037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48D13D2"/>
    <w:multiLevelType w:val="multilevel"/>
    <w:tmpl w:val="748D13D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BCB7DC5"/>
    <w:multiLevelType w:val="multilevel"/>
    <w:tmpl w:val="7BCB7DC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1D"/>
    <w:rsid w:val="00004562"/>
    <w:rsid w:val="00006A27"/>
    <w:rsid w:val="00013423"/>
    <w:rsid w:val="0001702E"/>
    <w:rsid w:val="000275EB"/>
    <w:rsid w:val="00035B24"/>
    <w:rsid w:val="00047C7A"/>
    <w:rsid w:val="00051F70"/>
    <w:rsid w:val="00062407"/>
    <w:rsid w:val="000656CB"/>
    <w:rsid w:val="0008002F"/>
    <w:rsid w:val="00095DBB"/>
    <w:rsid w:val="000973B6"/>
    <w:rsid w:val="000A6CB2"/>
    <w:rsid w:val="000B0CE3"/>
    <w:rsid w:val="000B2A96"/>
    <w:rsid w:val="000C2E8F"/>
    <w:rsid w:val="000D5D40"/>
    <w:rsid w:val="000D7C47"/>
    <w:rsid w:val="000F038B"/>
    <w:rsid w:val="000F0DBE"/>
    <w:rsid w:val="000F1953"/>
    <w:rsid w:val="00105262"/>
    <w:rsid w:val="00121D4D"/>
    <w:rsid w:val="00121FC8"/>
    <w:rsid w:val="0014215B"/>
    <w:rsid w:val="00147358"/>
    <w:rsid w:val="00154B87"/>
    <w:rsid w:val="00155AA8"/>
    <w:rsid w:val="001748BA"/>
    <w:rsid w:val="001758D1"/>
    <w:rsid w:val="001811A3"/>
    <w:rsid w:val="00185C3A"/>
    <w:rsid w:val="00192BB9"/>
    <w:rsid w:val="00196EF5"/>
    <w:rsid w:val="001A3197"/>
    <w:rsid w:val="001C1873"/>
    <w:rsid w:val="001C70AB"/>
    <w:rsid w:val="001D115A"/>
    <w:rsid w:val="001F41C9"/>
    <w:rsid w:val="002017A7"/>
    <w:rsid w:val="00203AF7"/>
    <w:rsid w:val="002049BF"/>
    <w:rsid w:val="00204B4F"/>
    <w:rsid w:val="0021040B"/>
    <w:rsid w:val="00221A6D"/>
    <w:rsid w:val="00222A83"/>
    <w:rsid w:val="00222F5D"/>
    <w:rsid w:val="00233319"/>
    <w:rsid w:val="00233AB5"/>
    <w:rsid w:val="00257174"/>
    <w:rsid w:val="00260533"/>
    <w:rsid w:val="00264023"/>
    <w:rsid w:val="00277DF8"/>
    <w:rsid w:val="00280B61"/>
    <w:rsid w:val="00280D9B"/>
    <w:rsid w:val="00290D00"/>
    <w:rsid w:val="002B6092"/>
    <w:rsid w:val="002D4A14"/>
    <w:rsid w:val="002D6059"/>
    <w:rsid w:val="002D6E85"/>
    <w:rsid w:val="002E5BA3"/>
    <w:rsid w:val="002F362D"/>
    <w:rsid w:val="002F7ACD"/>
    <w:rsid w:val="002F7B88"/>
    <w:rsid w:val="003003C6"/>
    <w:rsid w:val="00300CDD"/>
    <w:rsid w:val="00306D6B"/>
    <w:rsid w:val="00310229"/>
    <w:rsid w:val="00312648"/>
    <w:rsid w:val="003233E3"/>
    <w:rsid w:val="00323BB9"/>
    <w:rsid w:val="00324662"/>
    <w:rsid w:val="00324945"/>
    <w:rsid w:val="00325B46"/>
    <w:rsid w:val="00327BD3"/>
    <w:rsid w:val="00335240"/>
    <w:rsid w:val="0034082D"/>
    <w:rsid w:val="0036171F"/>
    <w:rsid w:val="003718AE"/>
    <w:rsid w:val="0037513B"/>
    <w:rsid w:val="00383F27"/>
    <w:rsid w:val="0038494B"/>
    <w:rsid w:val="00396A46"/>
    <w:rsid w:val="003B3EF9"/>
    <w:rsid w:val="003B45CC"/>
    <w:rsid w:val="003B6C3D"/>
    <w:rsid w:val="003C2A78"/>
    <w:rsid w:val="003C4B9D"/>
    <w:rsid w:val="003C7210"/>
    <w:rsid w:val="003D22F4"/>
    <w:rsid w:val="003E0F18"/>
    <w:rsid w:val="003E3EFD"/>
    <w:rsid w:val="003F08F1"/>
    <w:rsid w:val="003F0B3F"/>
    <w:rsid w:val="004023A5"/>
    <w:rsid w:val="00403BCD"/>
    <w:rsid w:val="00427E1D"/>
    <w:rsid w:val="00431D21"/>
    <w:rsid w:val="00437D9C"/>
    <w:rsid w:val="00443A9C"/>
    <w:rsid w:val="00444C95"/>
    <w:rsid w:val="004571CB"/>
    <w:rsid w:val="00466BF7"/>
    <w:rsid w:val="0048253F"/>
    <w:rsid w:val="004830AF"/>
    <w:rsid w:val="00490FB2"/>
    <w:rsid w:val="00495602"/>
    <w:rsid w:val="004A36DB"/>
    <w:rsid w:val="004B40E6"/>
    <w:rsid w:val="004B6022"/>
    <w:rsid w:val="004C4FF7"/>
    <w:rsid w:val="004C6A0A"/>
    <w:rsid w:val="004C6C46"/>
    <w:rsid w:val="004D2CDD"/>
    <w:rsid w:val="004D3826"/>
    <w:rsid w:val="004D6AD7"/>
    <w:rsid w:val="004F2309"/>
    <w:rsid w:val="004F3034"/>
    <w:rsid w:val="00504B2E"/>
    <w:rsid w:val="0051529D"/>
    <w:rsid w:val="005166E4"/>
    <w:rsid w:val="00536E08"/>
    <w:rsid w:val="005376AF"/>
    <w:rsid w:val="00543555"/>
    <w:rsid w:val="00543BB8"/>
    <w:rsid w:val="00552D4D"/>
    <w:rsid w:val="005569EB"/>
    <w:rsid w:val="00563B43"/>
    <w:rsid w:val="005655EE"/>
    <w:rsid w:val="0056573C"/>
    <w:rsid w:val="00567EC6"/>
    <w:rsid w:val="005705F3"/>
    <w:rsid w:val="00576E1D"/>
    <w:rsid w:val="00587D18"/>
    <w:rsid w:val="005A323C"/>
    <w:rsid w:val="005B26C1"/>
    <w:rsid w:val="005B3B12"/>
    <w:rsid w:val="005B4F5E"/>
    <w:rsid w:val="005B60A8"/>
    <w:rsid w:val="005C044B"/>
    <w:rsid w:val="005C4CA0"/>
    <w:rsid w:val="005E5DAD"/>
    <w:rsid w:val="005E7819"/>
    <w:rsid w:val="005F207F"/>
    <w:rsid w:val="005F5C5A"/>
    <w:rsid w:val="006073AE"/>
    <w:rsid w:val="0061071D"/>
    <w:rsid w:val="006203E4"/>
    <w:rsid w:val="00622EB3"/>
    <w:rsid w:val="00634272"/>
    <w:rsid w:val="00641BC7"/>
    <w:rsid w:val="0064281A"/>
    <w:rsid w:val="00642DEF"/>
    <w:rsid w:val="00680226"/>
    <w:rsid w:val="00692E7A"/>
    <w:rsid w:val="00693D65"/>
    <w:rsid w:val="00694801"/>
    <w:rsid w:val="006A2955"/>
    <w:rsid w:val="006A4462"/>
    <w:rsid w:val="006A79DB"/>
    <w:rsid w:val="006B1A9F"/>
    <w:rsid w:val="006C4225"/>
    <w:rsid w:val="006E1D24"/>
    <w:rsid w:val="006F0878"/>
    <w:rsid w:val="006F10C3"/>
    <w:rsid w:val="006F1E9B"/>
    <w:rsid w:val="007224C6"/>
    <w:rsid w:val="00725F1C"/>
    <w:rsid w:val="00731A69"/>
    <w:rsid w:val="00732606"/>
    <w:rsid w:val="00734BA2"/>
    <w:rsid w:val="007369DD"/>
    <w:rsid w:val="007373B3"/>
    <w:rsid w:val="00746808"/>
    <w:rsid w:val="0075079A"/>
    <w:rsid w:val="00752375"/>
    <w:rsid w:val="00756CC6"/>
    <w:rsid w:val="007731C2"/>
    <w:rsid w:val="00791961"/>
    <w:rsid w:val="00794529"/>
    <w:rsid w:val="00797F65"/>
    <w:rsid w:val="007A00EF"/>
    <w:rsid w:val="007A39A2"/>
    <w:rsid w:val="007B168B"/>
    <w:rsid w:val="007B5F05"/>
    <w:rsid w:val="007D0FD0"/>
    <w:rsid w:val="007D18B5"/>
    <w:rsid w:val="007F1B3E"/>
    <w:rsid w:val="007F61AB"/>
    <w:rsid w:val="00803744"/>
    <w:rsid w:val="008038B4"/>
    <w:rsid w:val="00805295"/>
    <w:rsid w:val="008053F4"/>
    <w:rsid w:val="00805614"/>
    <w:rsid w:val="0081356B"/>
    <w:rsid w:val="00820223"/>
    <w:rsid w:val="00822EE1"/>
    <w:rsid w:val="008332B3"/>
    <w:rsid w:val="00846682"/>
    <w:rsid w:val="008523F8"/>
    <w:rsid w:val="0085332E"/>
    <w:rsid w:val="00853A2F"/>
    <w:rsid w:val="00865214"/>
    <w:rsid w:val="008723B2"/>
    <w:rsid w:val="00882D13"/>
    <w:rsid w:val="008943DE"/>
    <w:rsid w:val="008A0F8D"/>
    <w:rsid w:val="008A56E7"/>
    <w:rsid w:val="008A62F3"/>
    <w:rsid w:val="008A7E30"/>
    <w:rsid w:val="008B308C"/>
    <w:rsid w:val="008B3E94"/>
    <w:rsid w:val="008C36C5"/>
    <w:rsid w:val="008C4AD6"/>
    <w:rsid w:val="008C4D02"/>
    <w:rsid w:val="008D6D9D"/>
    <w:rsid w:val="008E520E"/>
    <w:rsid w:val="008E69AD"/>
    <w:rsid w:val="008E7BB8"/>
    <w:rsid w:val="0090506B"/>
    <w:rsid w:val="009067BD"/>
    <w:rsid w:val="009100AC"/>
    <w:rsid w:val="00915DFE"/>
    <w:rsid w:val="00917A34"/>
    <w:rsid w:val="00921142"/>
    <w:rsid w:val="00927563"/>
    <w:rsid w:val="009433DA"/>
    <w:rsid w:val="00946C60"/>
    <w:rsid w:val="0095789B"/>
    <w:rsid w:val="009744B9"/>
    <w:rsid w:val="009773FE"/>
    <w:rsid w:val="00980D4A"/>
    <w:rsid w:val="009852F6"/>
    <w:rsid w:val="009930CB"/>
    <w:rsid w:val="009C5386"/>
    <w:rsid w:val="009C57C7"/>
    <w:rsid w:val="009D0097"/>
    <w:rsid w:val="009D1C12"/>
    <w:rsid w:val="009D3C66"/>
    <w:rsid w:val="009E5DF2"/>
    <w:rsid w:val="009F359C"/>
    <w:rsid w:val="009F6FC7"/>
    <w:rsid w:val="00A00141"/>
    <w:rsid w:val="00A2443A"/>
    <w:rsid w:val="00A27E53"/>
    <w:rsid w:val="00A35FC3"/>
    <w:rsid w:val="00A40D46"/>
    <w:rsid w:val="00A53AF4"/>
    <w:rsid w:val="00A5440F"/>
    <w:rsid w:val="00A61299"/>
    <w:rsid w:val="00A65713"/>
    <w:rsid w:val="00A70443"/>
    <w:rsid w:val="00A7328F"/>
    <w:rsid w:val="00A755DF"/>
    <w:rsid w:val="00AA5FF3"/>
    <w:rsid w:val="00AA662A"/>
    <w:rsid w:val="00AB059B"/>
    <w:rsid w:val="00AB1E3C"/>
    <w:rsid w:val="00AB1E6C"/>
    <w:rsid w:val="00AB3037"/>
    <w:rsid w:val="00AB520F"/>
    <w:rsid w:val="00AB7AA9"/>
    <w:rsid w:val="00AD4F4E"/>
    <w:rsid w:val="00AE00AF"/>
    <w:rsid w:val="00AE782C"/>
    <w:rsid w:val="00AF259D"/>
    <w:rsid w:val="00B0045F"/>
    <w:rsid w:val="00B00CB2"/>
    <w:rsid w:val="00B01B8F"/>
    <w:rsid w:val="00B032ED"/>
    <w:rsid w:val="00B03F31"/>
    <w:rsid w:val="00B040C9"/>
    <w:rsid w:val="00B114AB"/>
    <w:rsid w:val="00B212BD"/>
    <w:rsid w:val="00B27E77"/>
    <w:rsid w:val="00B41BEF"/>
    <w:rsid w:val="00B44E32"/>
    <w:rsid w:val="00B4541A"/>
    <w:rsid w:val="00B52A03"/>
    <w:rsid w:val="00B52C8C"/>
    <w:rsid w:val="00B5349B"/>
    <w:rsid w:val="00B55D25"/>
    <w:rsid w:val="00B62883"/>
    <w:rsid w:val="00B6492D"/>
    <w:rsid w:val="00B80EBF"/>
    <w:rsid w:val="00B90774"/>
    <w:rsid w:val="00B948A2"/>
    <w:rsid w:val="00B963AF"/>
    <w:rsid w:val="00BA5627"/>
    <w:rsid w:val="00BB0537"/>
    <w:rsid w:val="00BB150E"/>
    <w:rsid w:val="00BB57B6"/>
    <w:rsid w:val="00BB6349"/>
    <w:rsid w:val="00BC482D"/>
    <w:rsid w:val="00BD1835"/>
    <w:rsid w:val="00BD2191"/>
    <w:rsid w:val="00BD6222"/>
    <w:rsid w:val="00BE1CF2"/>
    <w:rsid w:val="00BE6F54"/>
    <w:rsid w:val="00C07658"/>
    <w:rsid w:val="00C16210"/>
    <w:rsid w:val="00C21583"/>
    <w:rsid w:val="00C2748D"/>
    <w:rsid w:val="00C30792"/>
    <w:rsid w:val="00C30BD3"/>
    <w:rsid w:val="00C347E4"/>
    <w:rsid w:val="00C34CFE"/>
    <w:rsid w:val="00C40F9F"/>
    <w:rsid w:val="00C43076"/>
    <w:rsid w:val="00C47FEF"/>
    <w:rsid w:val="00C5668F"/>
    <w:rsid w:val="00C67096"/>
    <w:rsid w:val="00C74A75"/>
    <w:rsid w:val="00C74E11"/>
    <w:rsid w:val="00C75CCA"/>
    <w:rsid w:val="00C82456"/>
    <w:rsid w:val="00C942A4"/>
    <w:rsid w:val="00C94EB7"/>
    <w:rsid w:val="00C95F04"/>
    <w:rsid w:val="00C975A0"/>
    <w:rsid w:val="00CA7218"/>
    <w:rsid w:val="00CB3576"/>
    <w:rsid w:val="00CB73B9"/>
    <w:rsid w:val="00CB7998"/>
    <w:rsid w:val="00CC54F7"/>
    <w:rsid w:val="00CD1442"/>
    <w:rsid w:val="00CD2788"/>
    <w:rsid w:val="00CE4E9D"/>
    <w:rsid w:val="00CE54AD"/>
    <w:rsid w:val="00D01638"/>
    <w:rsid w:val="00D03D47"/>
    <w:rsid w:val="00D04158"/>
    <w:rsid w:val="00D11934"/>
    <w:rsid w:val="00D12049"/>
    <w:rsid w:val="00D25C55"/>
    <w:rsid w:val="00D26AAC"/>
    <w:rsid w:val="00D32E3D"/>
    <w:rsid w:val="00D4100B"/>
    <w:rsid w:val="00D41030"/>
    <w:rsid w:val="00D43279"/>
    <w:rsid w:val="00D44FDF"/>
    <w:rsid w:val="00D50154"/>
    <w:rsid w:val="00D52F9C"/>
    <w:rsid w:val="00D543B7"/>
    <w:rsid w:val="00D70868"/>
    <w:rsid w:val="00D72AD5"/>
    <w:rsid w:val="00D77C5A"/>
    <w:rsid w:val="00D80B37"/>
    <w:rsid w:val="00D8276B"/>
    <w:rsid w:val="00D9494B"/>
    <w:rsid w:val="00DA362E"/>
    <w:rsid w:val="00DA4F4F"/>
    <w:rsid w:val="00DD05C2"/>
    <w:rsid w:val="00DD10F3"/>
    <w:rsid w:val="00DD231F"/>
    <w:rsid w:val="00DD3004"/>
    <w:rsid w:val="00DE7EAB"/>
    <w:rsid w:val="00DF2042"/>
    <w:rsid w:val="00DF4DF1"/>
    <w:rsid w:val="00E10C72"/>
    <w:rsid w:val="00E21142"/>
    <w:rsid w:val="00E32D24"/>
    <w:rsid w:val="00E338B3"/>
    <w:rsid w:val="00E36CDB"/>
    <w:rsid w:val="00E400AD"/>
    <w:rsid w:val="00E47176"/>
    <w:rsid w:val="00E50D06"/>
    <w:rsid w:val="00E524F1"/>
    <w:rsid w:val="00E6471A"/>
    <w:rsid w:val="00E650F6"/>
    <w:rsid w:val="00E97EEC"/>
    <w:rsid w:val="00EA2FB9"/>
    <w:rsid w:val="00EA578F"/>
    <w:rsid w:val="00EA63B8"/>
    <w:rsid w:val="00EC6640"/>
    <w:rsid w:val="00EE175E"/>
    <w:rsid w:val="00EF28DC"/>
    <w:rsid w:val="00F04954"/>
    <w:rsid w:val="00F121C0"/>
    <w:rsid w:val="00F12693"/>
    <w:rsid w:val="00F244DC"/>
    <w:rsid w:val="00F266F3"/>
    <w:rsid w:val="00F32808"/>
    <w:rsid w:val="00F36AC2"/>
    <w:rsid w:val="00F410CB"/>
    <w:rsid w:val="00F46E5B"/>
    <w:rsid w:val="00F47306"/>
    <w:rsid w:val="00F50B26"/>
    <w:rsid w:val="00F6113D"/>
    <w:rsid w:val="00F709E8"/>
    <w:rsid w:val="00F71503"/>
    <w:rsid w:val="00F716D7"/>
    <w:rsid w:val="00F73CF2"/>
    <w:rsid w:val="00F91E9D"/>
    <w:rsid w:val="00F942F3"/>
    <w:rsid w:val="00FA5306"/>
    <w:rsid w:val="00FB40B1"/>
    <w:rsid w:val="00FC4488"/>
    <w:rsid w:val="00FE43B8"/>
    <w:rsid w:val="00FE7DCB"/>
    <w:rsid w:val="00FF2D9F"/>
    <w:rsid w:val="00FF53D5"/>
    <w:rsid w:val="0D3E4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character" w:customStyle="1" w:styleId="12">
    <w:name w:val="short_text"/>
    <w:basedOn w:val="7"/>
    <w:qFormat/>
    <w:uiPriority w:val="0"/>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hyperlink" Target="http://www.fda.gov/MedicalDevices/DeviceRegulationandGuidance/GuidanceDocuments/ucm078583.htm#top"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9567</Words>
  <Characters>10095</Characters>
  <Lines>74</Lines>
  <Paragraphs>20</Paragraphs>
  <TotalTime>0</TotalTime>
  <ScaleCrop>false</ScaleCrop>
  <LinksUpToDate>false</LinksUpToDate>
  <CharactersWithSpaces>10169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2017-04-10T03:31:00Z</dcterms:created>
  <dc:creator>BH</dc:creator>
  <cp:lastModifiedBy>太极箫客</cp:lastModifiedBy>
  <dcterms:modified xsi:type="dcterms:W3CDTF">2025-08-14T06:17:42Z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FD0B62893D574AB7BDA04F316506CE7A_12</vt:lpwstr>
  </property>
</Properties>
</file>