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9E4F0">
      <w:pPr>
        <w:snapToGrid w:val="0"/>
        <w:spacing w:beforeLines="200" w:afterLines="100" w:line="360" w:lineRule="auto"/>
        <w:rPr>
          <w:b/>
          <w:bCs/>
          <w:sz w:val="44"/>
          <w:szCs w:val="44"/>
        </w:rPr>
      </w:pPr>
      <w:bookmarkStart w:id="0" w:name="_Hlk495399462"/>
      <w:bookmarkStart w:id="101" w:name="_GoBack"/>
      <w:bookmarkEnd w:id="101"/>
      <w:r>
        <w:rPr>
          <w:b/>
          <w:bCs/>
          <w:sz w:val="44"/>
          <w:szCs w:val="44"/>
        </w:rPr>
        <w:t>II</w:t>
      </w:r>
      <w:r>
        <w:rPr>
          <w:rFonts w:hint="eastAsia" w:cs="宋体"/>
          <w:b/>
          <w:bCs/>
          <w:sz w:val="44"/>
          <w:szCs w:val="44"/>
        </w:rPr>
        <w:t>类特殊控制指南文件：</w:t>
      </w:r>
      <w:bookmarkEnd w:id="0"/>
      <w:r>
        <w:rPr>
          <w:rFonts w:hint="eastAsia" w:cs="宋体"/>
          <w:b/>
          <w:bCs/>
          <w:sz w:val="44"/>
          <w:szCs w:val="44"/>
        </w:rPr>
        <w:t>呼吸暂停监护仪；</w:t>
      </w:r>
      <w:bookmarkStart w:id="1" w:name="_Hlk495407207"/>
      <w:bookmarkStart w:id="2" w:name="_Hlk495406686"/>
      <w:r>
        <w:rPr>
          <w:rFonts w:hint="eastAsia" w:cs="宋体"/>
          <w:b/>
          <w:bCs/>
          <w:sz w:val="44"/>
          <w:szCs w:val="44"/>
        </w:rPr>
        <w:t>行业和</w:t>
      </w:r>
      <w:r>
        <w:rPr>
          <w:b/>
          <w:bCs/>
          <w:sz w:val="44"/>
          <w:szCs w:val="44"/>
        </w:rPr>
        <w:t>FDA</w:t>
      </w:r>
      <w:r>
        <w:rPr>
          <w:rFonts w:hint="eastAsia" w:cs="宋体"/>
          <w:b/>
          <w:bCs/>
          <w:sz w:val="44"/>
          <w:szCs w:val="44"/>
        </w:rPr>
        <w:t>指南</w:t>
      </w:r>
      <w:bookmarkEnd w:id="1"/>
    </w:p>
    <w:bookmarkEnd w:id="2"/>
    <w:p w14:paraId="4F8608C6">
      <w:pPr>
        <w:snapToGrid w:val="0"/>
        <w:spacing w:beforeLines="100" w:afterLines="50" w:line="360" w:lineRule="auto"/>
        <w:rPr>
          <w:b/>
          <w:bCs/>
          <w:sz w:val="21"/>
          <w:szCs w:val="21"/>
        </w:rPr>
      </w:pPr>
      <w:bookmarkStart w:id="3" w:name="_Hlk495399476"/>
      <w:r>
        <w:rPr>
          <w:rFonts w:hint="eastAsia" w:hAnsi="宋体" w:cs="宋体"/>
          <w:b/>
          <w:bCs/>
          <w:sz w:val="21"/>
          <w:szCs w:val="21"/>
        </w:rPr>
        <w:t>文件发布日期：</w:t>
      </w:r>
      <w:r>
        <w:rPr>
          <w:b/>
          <w:bCs/>
          <w:sz w:val="21"/>
          <w:szCs w:val="21"/>
        </w:rPr>
        <w:t>2002</w:t>
      </w:r>
      <w:r>
        <w:rPr>
          <w:rFonts w:hint="eastAsia" w:hAnsi="宋体" w:cs="宋体"/>
          <w:b/>
          <w:bCs/>
          <w:sz w:val="21"/>
          <w:szCs w:val="21"/>
        </w:rPr>
        <w:t>年</w:t>
      </w:r>
      <w:r>
        <w:rPr>
          <w:rFonts w:hAnsi="宋体"/>
          <w:b/>
          <w:bCs/>
          <w:sz w:val="21"/>
          <w:szCs w:val="21"/>
        </w:rPr>
        <w:t>7</w:t>
      </w:r>
      <w:r>
        <w:rPr>
          <w:rFonts w:hint="eastAsia" w:hAnsi="宋体" w:cs="宋体"/>
          <w:b/>
          <w:bCs/>
          <w:sz w:val="21"/>
          <w:szCs w:val="21"/>
        </w:rPr>
        <w:t>月</w:t>
      </w:r>
      <w:r>
        <w:rPr>
          <w:b/>
          <w:bCs/>
          <w:sz w:val="21"/>
          <w:szCs w:val="21"/>
        </w:rPr>
        <w:t>17</w:t>
      </w:r>
      <w:r>
        <w:rPr>
          <w:rFonts w:hint="eastAsia" w:hAnsi="宋体" w:cs="宋体"/>
          <w:b/>
          <w:bCs/>
          <w:sz w:val="21"/>
          <w:szCs w:val="21"/>
        </w:rPr>
        <w:t>日</w:t>
      </w:r>
    </w:p>
    <w:bookmarkEnd w:id="3"/>
    <w:p w14:paraId="5EC32ABC">
      <w:pPr>
        <w:kinsoku w:val="0"/>
        <w:overflowPunct w:val="0"/>
        <w:snapToGrid w:val="0"/>
        <w:spacing w:afterLines="50" w:line="360" w:lineRule="auto"/>
        <w:jc w:val="both"/>
        <w:rPr>
          <w:sz w:val="21"/>
          <w:szCs w:val="21"/>
        </w:rPr>
      </w:pPr>
      <w:r>
        <w:rPr>
          <w:rFonts w:hint="eastAsia" w:cs="宋体"/>
          <w:b/>
          <w:bCs/>
          <w:sz w:val="21"/>
          <w:szCs w:val="21"/>
        </w:rPr>
        <w:t>本文件取代</w:t>
      </w:r>
      <w:r>
        <w:rPr>
          <w:b/>
          <w:bCs/>
          <w:sz w:val="21"/>
          <w:szCs w:val="21"/>
        </w:rPr>
        <w:t>2000</w:t>
      </w:r>
      <w:r>
        <w:rPr>
          <w:rFonts w:hint="eastAsia" w:cs="宋体"/>
          <w:b/>
          <w:bCs/>
          <w:sz w:val="21"/>
          <w:szCs w:val="21"/>
        </w:rPr>
        <w:t>年</w:t>
      </w:r>
      <w:r>
        <w:rPr>
          <w:b/>
          <w:bCs/>
          <w:sz w:val="21"/>
          <w:szCs w:val="21"/>
        </w:rPr>
        <w:t>9</w:t>
      </w:r>
      <w:r>
        <w:rPr>
          <w:rFonts w:hint="eastAsia" w:cs="宋体"/>
          <w:b/>
          <w:bCs/>
          <w:sz w:val="21"/>
          <w:szCs w:val="21"/>
        </w:rPr>
        <w:t>月</w:t>
      </w:r>
      <w:r>
        <w:rPr>
          <w:b/>
          <w:bCs/>
          <w:sz w:val="21"/>
          <w:szCs w:val="21"/>
        </w:rPr>
        <w:t>22</w:t>
      </w:r>
      <w:r>
        <w:rPr>
          <w:rFonts w:hint="eastAsia" w:cs="宋体"/>
          <w:b/>
          <w:bCs/>
          <w:sz w:val="21"/>
          <w:szCs w:val="21"/>
        </w:rPr>
        <w:t>日发布的“婴儿</w:t>
      </w:r>
      <w:r>
        <w:rPr>
          <w:b/>
          <w:bCs/>
          <w:sz w:val="21"/>
          <w:szCs w:val="21"/>
        </w:rPr>
        <w:t>/</w:t>
      </w:r>
      <w:r>
        <w:rPr>
          <w:rFonts w:hint="eastAsia" w:cs="宋体"/>
          <w:b/>
          <w:bCs/>
          <w:sz w:val="21"/>
          <w:szCs w:val="21"/>
        </w:rPr>
        <w:t>儿童呼吸暂停监护仪</w:t>
      </w:r>
      <w:r>
        <w:rPr>
          <w:b/>
          <w:bCs/>
          <w:sz w:val="21"/>
          <w:szCs w:val="21"/>
        </w:rPr>
        <w:t>510(k)</w:t>
      </w:r>
      <w:r>
        <w:rPr>
          <w:rFonts w:hint="eastAsia" w:cs="宋体"/>
          <w:b/>
          <w:bCs/>
          <w:sz w:val="21"/>
          <w:szCs w:val="21"/>
        </w:rPr>
        <w:t>提交件指南；行业和</w:t>
      </w:r>
      <w:r>
        <w:rPr>
          <w:b/>
          <w:bCs/>
          <w:sz w:val="21"/>
          <w:szCs w:val="21"/>
        </w:rPr>
        <w:t>FDA</w:t>
      </w:r>
      <w:r>
        <w:rPr>
          <w:rFonts w:hint="eastAsia" w:cs="宋体"/>
          <w:b/>
          <w:bCs/>
          <w:sz w:val="21"/>
          <w:szCs w:val="21"/>
        </w:rPr>
        <w:t>指南文件草案”</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93"/>
        <w:gridCol w:w="6436"/>
      </w:tblGrid>
      <w:tr w14:paraId="34AB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772E3219">
            <w:pPr>
              <w:kinsoku w:val="0"/>
              <w:overflowPunct w:val="0"/>
              <w:snapToGrid w:val="0"/>
              <w:spacing w:afterLines="50" w:line="360" w:lineRule="auto"/>
              <w:jc w:val="both"/>
              <w:rPr>
                <w:rFonts w:cs="Times New Roman"/>
                <w:b/>
                <w:bCs/>
                <w:kern w:val="2"/>
                <w:sz w:val="21"/>
                <w:szCs w:val="21"/>
              </w:rPr>
            </w:pPr>
            <w:r>
              <w:rPr>
                <w:rFonts w:cs="Calibri"/>
                <w:kern w:val="2"/>
              </w:rPr>
              <w:drawing>
                <wp:inline distT="0" distB="0" distL="0" distR="0">
                  <wp:extent cx="991870" cy="10179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91870" cy="1017905"/>
                          </a:xfrm>
                          <a:prstGeom prst="rect">
                            <a:avLst/>
                          </a:prstGeom>
                          <a:noFill/>
                          <a:ln>
                            <a:noFill/>
                          </a:ln>
                        </pic:spPr>
                      </pic:pic>
                    </a:graphicData>
                  </a:graphic>
                </wp:inline>
              </w:drawing>
            </w:r>
          </w:p>
        </w:tc>
        <w:tc>
          <w:tcPr>
            <w:tcW w:w="6436" w:type="dxa"/>
          </w:tcPr>
          <w:p w14:paraId="3BCBE9A4">
            <w:pPr>
              <w:snapToGrid w:val="0"/>
              <w:spacing w:line="360" w:lineRule="auto"/>
              <w:jc w:val="right"/>
              <w:rPr>
                <w:rFonts w:cs="Times New Roman"/>
                <w:b/>
                <w:bCs/>
                <w:sz w:val="21"/>
                <w:szCs w:val="21"/>
              </w:rPr>
            </w:pPr>
            <w:r>
              <w:rPr>
                <w:rFonts w:hint="eastAsia" w:hAnsi="宋体" w:cs="宋体"/>
                <w:b/>
                <w:bCs/>
                <w:kern w:val="2"/>
                <w:sz w:val="21"/>
                <w:szCs w:val="21"/>
              </w:rPr>
              <w:t>美国卫生和人类服务部</w:t>
            </w:r>
          </w:p>
          <w:p w14:paraId="5FD95690">
            <w:pPr>
              <w:snapToGrid w:val="0"/>
              <w:spacing w:line="360" w:lineRule="auto"/>
              <w:jc w:val="right"/>
              <w:rPr>
                <w:rFonts w:cs="Times New Roman"/>
                <w:b/>
                <w:bCs/>
                <w:sz w:val="21"/>
                <w:szCs w:val="21"/>
              </w:rPr>
            </w:pPr>
            <w:r>
              <w:rPr>
                <w:rFonts w:hint="eastAsia" w:hAnsi="宋体" w:cs="宋体"/>
                <w:b/>
                <w:bCs/>
                <w:kern w:val="2"/>
                <w:sz w:val="21"/>
                <w:szCs w:val="21"/>
              </w:rPr>
              <w:t>美国食品药品管理局</w:t>
            </w:r>
          </w:p>
          <w:p w14:paraId="3CAFC934">
            <w:pPr>
              <w:snapToGrid w:val="0"/>
              <w:spacing w:afterLines="100" w:line="360" w:lineRule="auto"/>
              <w:jc w:val="right"/>
              <w:rPr>
                <w:rFonts w:hAnsi="宋体" w:cs="Times New Roman"/>
                <w:b/>
                <w:bCs/>
                <w:sz w:val="21"/>
                <w:szCs w:val="21"/>
              </w:rPr>
            </w:pPr>
            <w:r>
              <w:rPr>
                <w:rFonts w:hint="eastAsia" w:hAnsi="宋体" w:cs="宋体"/>
                <w:b/>
                <w:bCs/>
                <w:kern w:val="2"/>
                <w:sz w:val="21"/>
                <w:szCs w:val="21"/>
              </w:rPr>
              <w:t>器械与放射卫生中心</w:t>
            </w:r>
          </w:p>
          <w:p w14:paraId="2766F732">
            <w:pPr>
              <w:kinsoku w:val="0"/>
              <w:overflowPunct w:val="0"/>
              <w:snapToGrid w:val="0"/>
              <w:spacing w:line="360" w:lineRule="auto"/>
              <w:jc w:val="right"/>
              <w:rPr>
                <w:rFonts w:cs="Times New Roman"/>
                <w:b/>
                <w:bCs/>
                <w:kern w:val="2"/>
                <w:sz w:val="21"/>
                <w:szCs w:val="21"/>
              </w:rPr>
            </w:pPr>
            <w:r>
              <w:rPr>
                <w:rFonts w:hint="eastAsia" w:cs="宋体"/>
                <w:b/>
                <w:bCs/>
                <w:kern w:val="2"/>
                <w:sz w:val="21"/>
                <w:szCs w:val="21"/>
              </w:rPr>
              <w:t>麻醉学、综合医院、感染控制和牙科装置部门</w:t>
            </w:r>
          </w:p>
          <w:p w14:paraId="7180219D">
            <w:pPr>
              <w:kinsoku w:val="0"/>
              <w:overflowPunct w:val="0"/>
              <w:snapToGrid w:val="0"/>
              <w:spacing w:line="360" w:lineRule="auto"/>
              <w:jc w:val="right"/>
              <w:rPr>
                <w:rFonts w:cs="Times New Roman"/>
                <w:b/>
                <w:bCs/>
                <w:kern w:val="2"/>
                <w:sz w:val="21"/>
                <w:szCs w:val="21"/>
              </w:rPr>
            </w:pPr>
            <w:r>
              <w:rPr>
                <w:rFonts w:hint="eastAsia" w:cs="宋体"/>
                <w:b/>
                <w:bCs/>
                <w:kern w:val="2"/>
                <w:sz w:val="21"/>
                <w:szCs w:val="21"/>
              </w:rPr>
              <w:t>麻醉学和呼吸装置分部</w:t>
            </w:r>
          </w:p>
          <w:p w14:paraId="69A89211">
            <w:pPr>
              <w:kinsoku w:val="0"/>
              <w:overflowPunct w:val="0"/>
              <w:snapToGrid w:val="0"/>
              <w:spacing w:line="360" w:lineRule="auto"/>
              <w:jc w:val="right"/>
              <w:rPr>
                <w:rFonts w:cs="Times New Roman"/>
                <w:kern w:val="2"/>
                <w:sz w:val="21"/>
                <w:szCs w:val="21"/>
              </w:rPr>
            </w:pPr>
            <w:r>
              <w:rPr>
                <w:rFonts w:hint="eastAsia" w:cs="宋体"/>
                <w:b/>
                <w:bCs/>
                <w:kern w:val="2"/>
                <w:sz w:val="21"/>
                <w:szCs w:val="21"/>
              </w:rPr>
              <w:t>器械评估办公室</w:t>
            </w:r>
          </w:p>
        </w:tc>
      </w:tr>
    </w:tbl>
    <w:p w14:paraId="560B8D5D">
      <w:pPr>
        <w:pBdr>
          <w:top w:val="single" w:color="BFBFBF" w:sz="12" w:space="1"/>
        </w:pBdr>
        <w:snapToGrid w:val="0"/>
        <w:spacing w:line="360" w:lineRule="auto"/>
        <w:jc w:val="center"/>
        <w:rPr>
          <w:b/>
          <w:bCs/>
          <w:sz w:val="28"/>
          <w:szCs w:val="28"/>
        </w:rPr>
      </w:pPr>
      <w:bookmarkStart w:id="4" w:name="_Hlk495399654"/>
      <w:r>
        <w:rPr>
          <w:rFonts w:hint="eastAsia" w:hAnsi="宋体" w:cs="宋体"/>
          <w:b/>
          <w:bCs/>
          <w:sz w:val="28"/>
          <w:szCs w:val="28"/>
        </w:rPr>
        <w:t>前言</w:t>
      </w:r>
    </w:p>
    <w:p w14:paraId="2A20F6E5">
      <w:pPr>
        <w:pStyle w:val="34"/>
        <w:snapToGrid w:val="0"/>
        <w:spacing w:beforeLines="50" w:after="0" w:line="360" w:lineRule="auto"/>
        <w:jc w:val="both"/>
        <w:rPr>
          <w:sz w:val="21"/>
          <w:szCs w:val="21"/>
        </w:rPr>
      </w:pPr>
      <w:r>
        <w:rPr>
          <w:rFonts w:hint="eastAsia" w:hAnsi="宋体" w:cs="宋体"/>
          <w:b/>
          <w:bCs/>
          <w:sz w:val="21"/>
          <w:szCs w:val="21"/>
        </w:rPr>
        <w:t>公众意见</w:t>
      </w:r>
    </w:p>
    <w:bookmarkEnd w:id="4"/>
    <w:p w14:paraId="525416E2">
      <w:pPr>
        <w:kinsoku w:val="0"/>
        <w:overflowPunct w:val="0"/>
        <w:snapToGrid w:val="0"/>
        <w:spacing w:afterLines="50" w:line="360" w:lineRule="auto"/>
        <w:jc w:val="both"/>
        <w:rPr>
          <w:rFonts w:hAnsi="宋体"/>
          <w:sz w:val="21"/>
          <w:szCs w:val="21"/>
        </w:rPr>
      </w:pPr>
      <w:bookmarkStart w:id="5" w:name="_Hlk495406960"/>
      <w:r>
        <w:rPr>
          <w:rFonts w:hint="eastAsia" w:cs="宋体"/>
          <w:sz w:val="21"/>
          <w:szCs w:val="21"/>
        </w:rPr>
        <w:t>可随时向</w:t>
      </w:r>
      <w:bookmarkStart w:id="6" w:name="_Hlk495325065"/>
      <w:r>
        <w:rPr>
          <w:rFonts w:hint="eastAsia" w:cs="宋体"/>
          <w:sz w:val="21"/>
          <w:szCs w:val="21"/>
        </w:rPr>
        <w:t>美国食品药品管理局人力资源和管理服务办公室管理系统和政策部文档管理分部（地址：</w:t>
      </w:r>
      <w:r>
        <w:rPr>
          <w:sz w:val="21"/>
          <w:szCs w:val="21"/>
        </w:rPr>
        <w:t>5630 Fishers Lane, Room 1061, (HFA-305), Rockville, MD, 20852</w:t>
      </w:r>
      <w:r>
        <w:rPr>
          <w:rFonts w:hint="eastAsia" w:cs="宋体"/>
          <w:sz w:val="21"/>
          <w:szCs w:val="21"/>
        </w:rPr>
        <w:t>）</w:t>
      </w:r>
      <w:bookmarkEnd w:id="6"/>
      <w:r>
        <w:rPr>
          <w:rFonts w:hint="eastAsia" w:cs="宋体"/>
          <w:sz w:val="21"/>
          <w:szCs w:val="21"/>
        </w:rPr>
        <w:t>提交意见和建议，以供管理局考虑。</w:t>
      </w:r>
      <w:bookmarkStart w:id="7" w:name="_Hlk495399781"/>
      <w:r>
        <w:rPr>
          <w:rFonts w:hint="eastAsia" w:hAnsi="宋体" w:cs="宋体"/>
          <w:sz w:val="21"/>
          <w:szCs w:val="21"/>
        </w:rPr>
        <w:t>当提交意见时，请提及文档编号</w:t>
      </w:r>
      <w:r>
        <w:rPr>
          <w:sz w:val="21"/>
          <w:szCs w:val="21"/>
        </w:rPr>
        <w:t>1458</w:t>
      </w:r>
      <w:r>
        <w:rPr>
          <w:rFonts w:hint="eastAsia" w:hAnsi="宋体" w:cs="宋体"/>
          <w:sz w:val="21"/>
          <w:szCs w:val="21"/>
        </w:rPr>
        <w:t>。</w:t>
      </w:r>
      <w:bookmarkEnd w:id="7"/>
      <w:r>
        <w:rPr>
          <w:rFonts w:hint="eastAsia" w:hAnsi="宋体" w:cs="宋体"/>
          <w:sz w:val="21"/>
          <w:szCs w:val="21"/>
        </w:rPr>
        <w:t>在文件被下次修订或者更新之前，意见可能不被监管机构所采用。</w:t>
      </w:r>
    </w:p>
    <w:bookmarkEnd w:id="5"/>
    <w:p w14:paraId="04BAF84C">
      <w:pPr>
        <w:kinsoku w:val="0"/>
        <w:overflowPunct w:val="0"/>
        <w:snapToGrid w:val="0"/>
        <w:spacing w:afterLines="50" w:line="360" w:lineRule="auto"/>
        <w:jc w:val="both"/>
        <w:rPr>
          <w:sz w:val="21"/>
          <w:szCs w:val="21"/>
        </w:rPr>
      </w:pPr>
      <w:r>
        <w:rPr>
          <w:rFonts w:hint="eastAsia" w:cs="宋体"/>
          <w:sz w:val="21"/>
          <w:szCs w:val="21"/>
        </w:rPr>
        <w:t>有关本指南文件的使用或判读相关问题，请通过</w:t>
      </w:r>
      <w:r>
        <w:rPr>
          <w:sz w:val="21"/>
          <w:szCs w:val="21"/>
        </w:rPr>
        <w:t>301-796-6269</w:t>
      </w:r>
      <w:r>
        <w:rPr>
          <w:rFonts w:hint="eastAsia" w:cs="宋体"/>
          <w:sz w:val="21"/>
          <w:szCs w:val="21"/>
        </w:rPr>
        <w:t>或电子邮箱地址</w:t>
      </w:r>
      <w:r>
        <w:fldChar w:fldCharType="begin"/>
      </w:r>
      <w:r>
        <w:instrText xml:space="preserve"> HYPERLINK "mailto:tam.cillie@fda.hhs.gov" </w:instrText>
      </w:r>
      <w:r>
        <w:fldChar w:fldCharType="separate"/>
      </w:r>
      <w:r>
        <w:rPr>
          <w:b/>
          <w:bCs/>
          <w:sz w:val="21"/>
          <w:szCs w:val="21"/>
          <w:u w:val="double"/>
        </w:rPr>
        <w:t>tam.cillie@fda.hhs.gov(mailto:mailto:tam.cillie@fda.hhs.gov)</w:t>
      </w:r>
      <w:r>
        <w:rPr>
          <w:b/>
          <w:bCs/>
          <w:sz w:val="21"/>
          <w:szCs w:val="21"/>
          <w:u w:val="double"/>
        </w:rPr>
        <w:fldChar w:fldCharType="end"/>
      </w:r>
      <w:r>
        <w:rPr>
          <w:rFonts w:hint="eastAsia" w:cs="宋体"/>
          <w:sz w:val="21"/>
          <w:szCs w:val="21"/>
        </w:rPr>
        <w:t>联系</w:t>
      </w:r>
      <w:r>
        <w:rPr>
          <w:sz w:val="21"/>
          <w:szCs w:val="21"/>
        </w:rPr>
        <w:t>Tam Cillie</w:t>
      </w:r>
      <w:r>
        <w:rPr>
          <w:rFonts w:hint="eastAsia" w:cs="宋体"/>
          <w:sz w:val="21"/>
          <w:szCs w:val="21"/>
        </w:rPr>
        <w:t>。</w:t>
      </w:r>
    </w:p>
    <w:p w14:paraId="784F7839">
      <w:pPr>
        <w:snapToGrid w:val="0"/>
        <w:spacing w:afterLines="50" w:line="360" w:lineRule="auto"/>
        <w:jc w:val="both"/>
        <w:outlineLvl w:val="1"/>
        <w:rPr>
          <w:sz w:val="21"/>
          <w:szCs w:val="21"/>
        </w:rPr>
      </w:pPr>
      <w:bookmarkStart w:id="8" w:name="_Toc496720447"/>
      <w:bookmarkStart w:id="9" w:name="_Hlk495399801"/>
      <w:r>
        <w:rPr>
          <w:rFonts w:hint="eastAsia" w:cs="宋体"/>
          <w:b/>
          <w:bCs/>
          <w:sz w:val="21"/>
          <w:szCs w:val="21"/>
        </w:rPr>
        <w:t>额外副本</w:t>
      </w:r>
      <w:bookmarkEnd w:id="8"/>
    </w:p>
    <w:bookmarkEnd w:id="9"/>
    <w:p w14:paraId="3EB61F3F">
      <w:pPr>
        <w:kinsoku w:val="0"/>
        <w:overflowPunct w:val="0"/>
        <w:snapToGrid w:val="0"/>
        <w:spacing w:afterLines="50" w:line="360" w:lineRule="auto"/>
        <w:jc w:val="both"/>
        <w:rPr>
          <w:sz w:val="21"/>
          <w:szCs w:val="21"/>
        </w:rPr>
      </w:pPr>
      <w:bookmarkStart w:id="10" w:name="_Hlk495399819"/>
      <w:r>
        <w:rPr>
          <w:rFonts w:hint="eastAsia" w:hAnsi="宋体" w:cs="宋体"/>
          <w:sz w:val="21"/>
          <w:szCs w:val="21"/>
        </w:rPr>
        <w:t>额外副本可以通过</w:t>
      </w:r>
      <w:r>
        <w:rPr>
          <w:rFonts w:hint="eastAsia"/>
          <w:sz w:val="21"/>
          <w:szCs w:val="21"/>
        </w:rPr>
        <w:t>互联网</w:t>
      </w:r>
      <w:r>
        <w:rPr>
          <w:rFonts w:hint="eastAsia" w:hAnsi="宋体" w:cs="宋体"/>
          <w:sz w:val="21"/>
          <w:szCs w:val="21"/>
        </w:rPr>
        <w:t>获取。</w:t>
      </w:r>
      <w:r>
        <w:rPr>
          <w:rFonts w:hint="eastAsia" w:cs="宋体"/>
          <w:sz w:val="21"/>
          <w:szCs w:val="21"/>
        </w:rPr>
        <w:t>您还可将电子邮件请求发送至</w:t>
      </w:r>
      <w:r>
        <w:rPr>
          <w:b/>
          <w:bCs/>
          <w:sz w:val="21"/>
          <w:szCs w:val="21"/>
          <w:u w:val="double"/>
        </w:rPr>
        <w:t>CDRH-Guidance@fda.hhs.gov(mailto:CDRH-Guidance@fda.hhs.gov)</w:t>
      </w:r>
      <w:r>
        <w:rPr>
          <w:rFonts w:hint="eastAsia" w:cs="宋体"/>
          <w:sz w:val="21"/>
          <w:szCs w:val="21"/>
        </w:rPr>
        <w:t>，以接收指南文件的副本。请使用文档</w:t>
      </w:r>
      <w:r>
        <w:rPr>
          <w:rFonts w:hint="eastAsia" w:hAnsi="宋体" w:cs="宋体"/>
          <w:sz w:val="21"/>
          <w:szCs w:val="21"/>
        </w:rPr>
        <w:t>编</w:t>
      </w:r>
      <w:r>
        <w:rPr>
          <w:rFonts w:hint="eastAsia" w:cs="宋体"/>
          <w:sz w:val="21"/>
          <w:szCs w:val="21"/>
        </w:rPr>
        <w:t>号（</w:t>
      </w:r>
      <w:r>
        <w:rPr>
          <w:sz w:val="21"/>
          <w:szCs w:val="21"/>
        </w:rPr>
        <w:t>1178</w:t>
      </w:r>
      <w:r>
        <w:rPr>
          <w:rFonts w:hint="eastAsia" w:cs="宋体"/>
          <w:sz w:val="21"/>
          <w:szCs w:val="21"/>
        </w:rPr>
        <w:t>）来确定索取的指南。</w:t>
      </w:r>
    </w:p>
    <w:bookmarkEnd w:id="10"/>
    <w:p w14:paraId="61BAB682">
      <w:pPr>
        <w:kinsoku w:val="0"/>
        <w:overflowPunct w:val="0"/>
        <w:snapToGrid w:val="0"/>
        <w:spacing w:afterLines="50" w:line="360" w:lineRule="auto"/>
        <w:jc w:val="center"/>
        <w:rPr>
          <w:rFonts w:ascii="Calibri" w:hAnsi="Calibri" w:cs="Calibri"/>
          <w:kern w:val="2"/>
          <w:sz w:val="21"/>
          <w:szCs w:val="21"/>
        </w:rPr>
      </w:pPr>
      <w:r>
        <w:rPr>
          <w:sz w:val="28"/>
          <w:szCs w:val="28"/>
        </w:rPr>
        <w:br w:type="page"/>
      </w:r>
      <w:r>
        <w:rPr>
          <w:rFonts w:hint="eastAsia" w:cs="宋体"/>
          <w:b/>
          <w:bCs/>
          <w:sz w:val="28"/>
          <w:szCs w:val="28"/>
        </w:rPr>
        <w:t>目录</w:t>
      </w:r>
      <w:r>
        <w:rPr>
          <w:b/>
          <w:bCs/>
          <w:color w:val="FF0000"/>
          <w:sz w:val="21"/>
          <w:szCs w:val="21"/>
        </w:rPr>
        <w:fldChar w:fldCharType="begin"/>
      </w:r>
      <w:r>
        <w:rPr>
          <w:b/>
          <w:bCs/>
          <w:color w:val="FF0000"/>
          <w:sz w:val="21"/>
          <w:szCs w:val="21"/>
        </w:rPr>
        <w:instrText xml:space="preserve"> TOC \o "1-3" \n \h \z \u </w:instrText>
      </w:r>
      <w:r>
        <w:rPr>
          <w:b/>
          <w:bCs/>
          <w:color w:val="FF0000"/>
          <w:sz w:val="21"/>
          <w:szCs w:val="21"/>
        </w:rPr>
        <w:fldChar w:fldCharType="separate"/>
      </w:r>
    </w:p>
    <w:p w14:paraId="46D2035E">
      <w:pPr>
        <w:pStyle w:val="9"/>
        <w:tabs>
          <w:tab w:val="left" w:pos="567"/>
          <w:tab w:val="right" w:leader="dot" w:pos="8303"/>
        </w:tabs>
        <w:spacing w:line="288" w:lineRule="auto"/>
        <w:rPr>
          <w:rFonts w:ascii="Calibri" w:hAnsi="Calibri" w:cs="Calibri"/>
          <w:b/>
          <w:bCs/>
          <w:kern w:val="2"/>
          <w:sz w:val="21"/>
          <w:szCs w:val="21"/>
        </w:rPr>
      </w:pPr>
      <w:r>
        <w:fldChar w:fldCharType="begin"/>
      </w:r>
      <w:r>
        <w:instrText xml:space="preserve"> HYPERLINK \l "_Toc496720448" </w:instrText>
      </w:r>
      <w:r>
        <w:fldChar w:fldCharType="separate"/>
      </w:r>
      <w:r>
        <w:rPr>
          <w:rStyle w:val="15"/>
          <w:b/>
          <w:bCs/>
          <w:spacing w:val="-1"/>
          <w:w w:val="101"/>
        </w:rPr>
        <w:t>1.</w:t>
      </w:r>
      <w:r>
        <w:rPr>
          <w:rFonts w:ascii="Calibri" w:hAnsi="Calibri" w:cs="Calibri"/>
          <w:b/>
          <w:bCs/>
          <w:kern w:val="2"/>
          <w:sz w:val="21"/>
          <w:szCs w:val="21"/>
        </w:rPr>
        <w:tab/>
      </w:r>
      <w:r>
        <w:rPr>
          <w:rStyle w:val="15"/>
          <w:rFonts w:hint="eastAsia" w:cs="宋体"/>
          <w:b/>
          <w:bCs/>
        </w:rPr>
        <w:t>目的</w:t>
      </w:r>
      <w:r>
        <w:rPr>
          <w:rStyle w:val="15"/>
          <w:rFonts w:hint="eastAsia" w:cs="宋体"/>
          <w:b/>
          <w:bCs/>
        </w:rPr>
        <w:fldChar w:fldCharType="end"/>
      </w:r>
    </w:p>
    <w:p w14:paraId="52A84BB8">
      <w:pPr>
        <w:pStyle w:val="9"/>
        <w:tabs>
          <w:tab w:val="left" w:pos="567"/>
          <w:tab w:val="right" w:leader="dot" w:pos="8303"/>
        </w:tabs>
        <w:spacing w:line="288" w:lineRule="auto"/>
        <w:rPr>
          <w:rFonts w:ascii="Calibri" w:hAnsi="Calibri" w:cs="Calibri"/>
          <w:b/>
          <w:bCs/>
          <w:kern w:val="2"/>
          <w:sz w:val="21"/>
          <w:szCs w:val="21"/>
        </w:rPr>
      </w:pPr>
      <w:r>
        <w:fldChar w:fldCharType="begin"/>
      </w:r>
      <w:r>
        <w:instrText xml:space="preserve"> HYPERLINK \l "_Toc496720450" </w:instrText>
      </w:r>
      <w:r>
        <w:fldChar w:fldCharType="separate"/>
      </w:r>
      <w:r>
        <w:rPr>
          <w:rStyle w:val="15"/>
          <w:b/>
          <w:bCs/>
          <w:spacing w:val="-1"/>
          <w:w w:val="101"/>
        </w:rPr>
        <w:t>2.</w:t>
      </w:r>
      <w:r>
        <w:rPr>
          <w:rFonts w:ascii="Calibri" w:hAnsi="Calibri" w:cs="Calibri"/>
          <w:b/>
          <w:bCs/>
          <w:kern w:val="2"/>
          <w:sz w:val="21"/>
          <w:szCs w:val="21"/>
        </w:rPr>
        <w:tab/>
      </w:r>
      <w:r>
        <w:rPr>
          <w:rStyle w:val="15"/>
          <w:rFonts w:hint="eastAsia" w:cs="宋体"/>
          <w:b/>
          <w:bCs/>
        </w:rPr>
        <w:t>背景</w:t>
      </w:r>
      <w:r>
        <w:rPr>
          <w:rStyle w:val="15"/>
          <w:rFonts w:hint="eastAsia" w:cs="宋体"/>
          <w:b/>
          <w:bCs/>
        </w:rPr>
        <w:fldChar w:fldCharType="end"/>
      </w:r>
    </w:p>
    <w:p w14:paraId="260F527F">
      <w:pPr>
        <w:pStyle w:val="9"/>
        <w:tabs>
          <w:tab w:val="left" w:pos="567"/>
          <w:tab w:val="right" w:leader="dot" w:pos="8303"/>
        </w:tabs>
        <w:spacing w:line="288" w:lineRule="auto"/>
        <w:rPr>
          <w:rFonts w:ascii="Calibri" w:hAnsi="Calibri" w:cs="Calibri"/>
          <w:b/>
          <w:bCs/>
          <w:kern w:val="2"/>
          <w:sz w:val="21"/>
          <w:szCs w:val="21"/>
        </w:rPr>
      </w:pPr>
      <w:r>
        <w:fldChar w:fldCharType="begin"/>
      </w:r>
      <w:r>
        <w:instrText xml:space="preserve"> HYPERLINK \l "_Toc496720453" </w:instrText>
      </w:r>
      <w:r>
        <w:fldChar w:fldCharType="separate"/>
      </w:r>
      <w:r>
        <w:rPr>
          <w:rStyle w:val="15"/>
          <w:b/>
          <w:bCs/>
          <w:spacing w:val="-1"/>
          <w:w w:val="101"/>
        </w:rPr>
        <w:t>3.</w:t>
      </w:r>
      <w:r>
        <w:rPr>
          <w:rFonts w:ascii="Calibri" w:hAnsi="Calibri" w:cs="Calibri"/>
          <w:b/>
          <w:bCs/>
          <w:kern w:val="2"/>
          <w:sz w:val="21"/>
          <w:szCs w:val="21"/>
        </w:rPr>
        <w:tab/>
      </w:r>
      <w:r>
        <w:rPr>
          <w:rStyle w:val="15"/>
          <w:rFonts w:hint="eastAsia" w:cs="宋体"/>
          <w:b/>
          <w:bCs/>
        </w:rPr>
        <w:t>简易510</w:t>
      </w:r>
      <w:r>
        <w:rPr>
          <w:rStyle w:val="15"/>
          <w:b/>
          <w:bCs/>
        </w:rPr>
        <w:t>(k)</w:t>
      </w:r>
      <w:r>
        <w:rPr>
          <w:rStyle w:val="15"/>
          <w:rFonts w:hint="eastAsia" w:cs="宋体"/>
          <w:b/>
          <w:bCs/>
        </w:rPr>
        <w:t>提交件的内容和格式</w:t>
      </w:r>
      <w:r>
        <w:rPr>
          <w:rStyle w:val="15"/>
          <w:rFonts w:hint="eastAsia" w:cs="宋体"/>
          <w:b/>
          <w:bCs/>
        </w:rPr>
        <w:fldChar w:fldCharType="end"/>
      </w:r>
    </w:p>
    <w:p w14:paraId="658E392B">
      <w:pPr>
        <w:pStyle w:val="9"/>
        <w:tabs>
          <w:tab w:val="left" w:pos="567"/>
          <w:tab w:val="right" w:leader="dot" w:pos="8303"/>
        </w:tabs>
        <w:spacing w:line="288" w:lineRule="auto"/>
        <w:rPr>
          <w:rFonts w:ascii="Calibri" w:hAnsi="Calibri" w:cs="Calibri"/>
          <w:b/>
          <w:bCs/>
          <w:kern w:val="2"/>
          <w:sz w:val="21"/>
          <w:szCs w:val="21"/>
        </w:rPr>
      </w:pPr>
      <w:r>
        <w:fldChar w:fldCharType="begin"/>
      </w:r>
      <w:r>
        <w:instrText xml:space="preserve"> HYPERLINK \l "_Toc496720458" </w:instrText>
      </w:r>
      <w:r>
        <w:fldChar w:fldCharType="separate"/>
      </w:r>
      <w:r>
        <w:rPr>
          <w:rStyle w:val="15"/>
          <w:b/>
          <w:bCs/>
          <w:spacing w:val="-1"/>
          <w:w w:val="101"/>
        </w:rPr>
        <w:t>4.</w:t>
      </w:r>
      <w:r>
        <w:rPr>
          <w:rFonts w:ascii="Calibri" w:hAnsi="Calibri" w:cs="Calibri"/>
          <w:b/>
          <w:bCs/>
          <w:kern w:val="2"/>
          <w:sz w:val="21"/>
          <w:szCs w:val="21"/>
        </w:rPr>
        <w:tab/>
      </w:r>
      <w:r>
        <w:rPr>
          <w:rStyle w:val="15"/>
          <w:rFonts w:hint="eastAsia" w:cs="宋体"/>
          <w:b/>
          <w:bCs/>
        </w:rPr>
        <w:t>范围</w:t>
      </w:r>
      <w:r>
        <w:rPr>
          <w:rStyle w:val="15"/>
          <w:rFonts w:hint="eastAsia" w:cs="宋体"/>
          <w:b/>
          <w:bCs/>
        </w:rPr>
        <w:fldChar w:fldCharType="end"/>
      </w:r>
    </w:p>
    <w:p w14:paraId="65E6273C">
      <w:pPr>
        <w:pStyle w:val="9"/>
        <w:tabs>
          <w:tab w:val="left" w:pos="567"/>
          <w:tab w:val="right" w:leader="dot" w:pos="8303"/>
        </w:tabs>
        <w:spacing w:line="288" w:lineRule="auto"/>
        <w:rPr>
          <w:rFonts w:ascii="Calibri" w:hAnsi="Calibri" w:cs="Calibri"/>
          <w:b/>
          <w:bCs/>
          <w:kern w:val="2"/>
          <w:sz w:val="21"/>
          <w:szCs w:val="21"/>
        </w:rPr>
      </w:pPr>
      <w:r>
        <w:fldChar w:fldCharType="begin"/>
      </w:r>
      <w:r>
        <w:instrText xml:space="preserve"> HYPERLINK \l "_Toc496720461" </w:instrText>
      </w:r>
      <w:r>
        <w:fldChar w:fldCharType="separate"/>
      </w:r>
      <w:r>
        <w:rPr>
          <w:rStyle w:val="15"/>
          <w:b/>
          <w:bCs/>
          <w:spacing w:val="-1"/>
          <w:w w:val="101"/>
        </w:rPr>
        <w:t>5.</w:t>
      </w:r>
      <w:r>
        <w:rPr>
          <w:rFonts w:ascii="Calibri" w:hAnsi="Calibri" w:cs="Calibri"/>
          <w:b/>
          <w:bCs/>
          <w:kern w:val="2"/>
          <w:sz w:val="21"/>
          <w:szCs w:val="21"/>
        </w:rPr>
        <w:tab/>
      </w:r>
      <w:r>
        <w:rPr>
          <w:rStyle w:val="15"/>
          <w:rFonts w:hint="eastAsia" w:cs="宋体"/>
          <w:b/>
          <w:bCs/>
        </w:rPr>
        <w:t>健康风险</w:t>
      </w:r>
      <w:r>
        <w:rPr>
          <w:rStyle w:val="15"/>
          <w:rFonts w:hint="eastAsia" w:cs="宋体"/>
          <w:b/>
          <w:bCs/>
        </w:rPr>
        <w:fldChar w:fldCharType="end"/>
      </w:r>
    </w:p>
    <w:p w14:paraId="792257B5">
      <w:pPr>
        <w:pStyle w:val="9"/>
        <w:tabs>
          <w:tab w:val="left" w:pos="567"/>
          <w:tab w:val="right" w:leader="dot" w:pos="8303"/>
        </w:tabs>
        <w:spacing w:line="288" w:lineRule="auto"/>
        <w:rPr>
          <w:rFonts w:ascii="Calibri" w:hAnsi="Calibri" w:cs="Calibri"/>
          <w:b/>
          <w:bCs/>
          <w:kern w:val="2"/>
          <w:sz w:val="21"/>
          <w:szCs w:val="21"/>
        </w:rPr>
      </w:pPr>
      <w:r>
        <w:fldChar w:fldCharType="begin"/>
      </w:r>
      <w:r>
        <w:instrText xml:space="preserve"> HYPERLINK \l "_Toc496720463" </w:instrText>
      </w:r>
      <w:r>
        <w:fldChar w:fldCharType="separate"/>
      </w:r>
      <w:r>
        <w:rPr>
          <w:rStyle w:val="15"/>
          <w:b/>
          <w:bCs/>
          <w:spacing w:val="-1"/>
          <w:w w:val="101"/>
        </w:rPr>
        <w:t>6.</w:t>
      </w:r>
      <w:r>
        <w:rPr>
          <w:rFonts w:ascii="Calibri" w:hAnsi="Calibri" w:cs="Calibri"/>
          <w:b/>
          <w:bCs/>
          <w:kern w:val="2"/>
          <w:sz w:val="21"/>
          <w:szCs w:val="21"/>
        </w:rPr>
        <w:tab/>
      </w:r>
      <w:r>
        <w:rPr>
          <w:rStyle w:val="15"/>
          <w:rFonts w:hint="eastAsia" w:cs="宋体"/>
          <w:b/>
          <w:bCs/>
        </w:rPr>
        <w:t>硬件验证活动</w:t>
      </w:r>
      <w:r>
        <w:rPr>
          <w:rStyle w:val="15"/>
          <w:rFonts w:hint="eastAsia" w:cs="宋体"/>
          <w:b/>
          <w:bCs/>
        </w:rPr>
        <w:fldChar w:fldCharType="end"/>
      </w:r>
    </w:p>
    <w:p w14:paraId="7182903D">
      <w:pPr>
        <w:pStyle w:val="9"/>
        <w:tabs>
          <w:tab w:val="left" w:pos="567"/>
          <w:tab w:val="right" w:leader="dot" w:pos="8303"/>
        </w:tabs>
        <w:spacing w:line="288" w:lineRule="auto"/>
        <w:rPr>
          <w:rFonts w:ascii="Calibri" w:hAnsi="Calibri" w:cs="Calibri"/>
          <w:b/>
          <w:bCs/>
          <w:kern w:val="2"/>
          <w:sz w:val="21"/>
          <w:szCs w:val="21"/>
        </w:rPr>
      </w:pPr>
      <w:r>
        <w:fldChar w:fldCharType="begin"/>
      </w:r>
      <w:r>
        <w:instrText xml:space="preserve"> HYPERLINK \l "_Toc496720465" </w:instrText>
      </w:r>
      <w:r>
        <w:fldChar w:fldCharType="separate"/>
      </w:r>
      <w:r>
        <w:rPr>
          <w:rStyle w:val="15"/>
          <w:b/>
          <w:bCs/>
          <w:spacing w:val="-1"/>
          <w:w w:val="101"/>
        </w:rPr>
        <w:t>7.</w:t>
      </w:r>
      <w:r>
        <w:rPr>
          <w:rFonts w:ascii="Calibri" w:hAnsi="Calibri" w:cs="Calibri"/>
          <w:b/>
          <w:bCs/>
          <w:kern w:val="2"/>
          <w:sz w:val="21"/>
          <w:szCs w:val="21"/>
        </w:rPr>
        <w:tab/>
      </w:r>
      <w:r>
        <w:rPr>
          <w:rStyle w:val="15"/>
          <w:rFonts w:hint="eastAsia" w:cs="宋体"/>
          <w:b/>
          <w:bCs/>
        </w:rPr>
        <w:t>软件确认活动</w:t>
      </w:r>
      <w:r>
        <w:rPr>
          <w:rStyle w:val="15"/>
          <w:rFonts w:hint="eastAsia" w:cs="宋体"/>
          <w:b/>
          <w:bCs/>
        </w:rPr>
        <w:fldChar w:fldCharType="end"/>
      </w:r>
    </w:p>
    <w:p w14:paraId="737252FB">
      <w:pPr>
        <w:pStyle w:val="9"/>
        <w:tabs>
          <w:tab w:val="left" w:pos="567"/>
          <w:tab w:val="right" w:leader="dot" w:pos="8303"/>
        </w:tabs>
        <w:spacing w:line="288" w:lineRule="auto"/>
        <w:rPr>
          <w:rFonts w:ascii="Calibri" w:hAnsi="Calibri" w:cs="Calibri"/>
          <w:b/>
          <w:bCs/>
          <w:kern w:val="2"/>
          <w:sz w:val="21"/>
          <w:szCs w:val="21"/>
        </w:rPr>
      </w:pPr>
      <w:r>
        <w:fldChar w:fldCharType="begin"/>
      </w:r>
      <w:r>
        <w:instrText xml:space="preserve"> HYPERLINK \l "_Toc496720467" </w:instrText>
      </w:r>
      <w:r>
        <w:fldChar w:fldCharType="separate"/>
      </w:r>
      <w:r>
        <w:rPr>
          <w:rStyle w:val="15"/>
          <w:b/>
          <w:bCs/>
          <w:spacing w:val="-1"/>
          <w:w w:val="101"/>
        </w:rPr>
        <w:t>8.</w:t>
      </w:r>
      <w:r>
        <w:rPr>
          <w:rFonts w:ascii="Calibri" w:hAnsi="Calibri" w:cs="Calibri"/>
          <w:b/>
          <w:bCs/>
          <w:kern w:val="2"/>
          <w:sz w:val="21"/>
          <w:szCs w:val="21"/>
        </w:rPr>
        <w:tab/>
      </w:r>
      <w:r>
        <w:rPr>
          <w:rStyle w:val="15"/>
          <w:rFonts w:hint="eastAsia" w:cs="宋体"/>
          <w:b/>
          <w:bCs/>
        </w:rPr>
        <w:t>呼吸暂停监护仪的设计和</w:t>
      </w:r>
      <w:r>
        <w:rPr>
          <w:rStyle w:val="15"/>
          <w:b/>
          <w:bCs/>
        </w:rPr>
        <w:t>/</w:t>
      </w:r>
      <w:r>
        <w:rPr>
          <w:rStyle w:val="15"/>
          <w:rFonts w:hint="eastAsia" w:cs="宋体"/>
          <w:b/>
          <w:bCs/>
        </w:rPr>
        <w:t>或功能建议</w:t>
      </w:r>
      <w:r>
        <w:rPr>
          <w:rStyle w:val="15"/>
          <w:rFonts w:hint="eastAsia" w:cs="宋体"/>
          <w:b/>
          <w:bCs/>
        </w:rPr>
        <w:fldChar w:fldCharType="end"/>
      </w:r>
    </w:p>
    <w:p w14:paraId="06630572">
      <w:pPr>
        <w:pStyle w:val="9"/>
        <w:tabs>
          <w:tab w:val="left" w:pos="567"/>
          <w:tab w:val="right" w:leader="dot" w:pos="8303"/>
        </w:tabs>
        <w:spacing w:line="288" w:lineRule="auto"/>
        <w:rPr>
          <w:rFonts w:ascii="Calibri" w:hAnsi="Calibri" w:cs="Calibri"/>
          <w:b/>
          <w:bCs/>
          <w:kern w:val="2"/>
          <w:sz w:val="21"/>
          <w:szCs w:val="21"/>
        </w:rPr>
      </w:pPr>
      <w:r>
        <w:fldChar w:fldCharType="begin"/>
      </w:r>
      <w:r>
        <w:instrText xml:space="preserve"> HYPERLINK \l "_Toc496720472" </w:instrText>
      </w:r>
      <w:r>
        <w:fldChar w:fldCharType="separate"/>
      </w:r>
      <w:r>
        <w:rPr>
          <w:rStyle w:val="15"/>
          <w:b/>
          <w:bCs/>
          <w:spacing w:val="-1"/>
          <w:w w:val="101"/>
        </w:rPr>
        <w:t>9.</w:t>
      </w:r>
      <w:r>
        <w:rPr>
          <w:rFonts w:ascii="Calibri" w:hAnsi="Calibri" w:cs="Calibri"/>
          <w:b/>
          <w:bCs/>
          <w:kern w:val="2"/>
          <w:sz w:val="21"/>
          <w:szCs w:val="21"/>
        </w:rPr>
        <w:tab/>
      </w:r>
      <w:r>
        <w:rPr>
          <w:rStyle w:val="15"/>
          <w:rFonts w:hint="eastAsia" w:cs="宋体"/>
          <w:b/>
          <w:bCs/>
        </w:rPr>
        <w:t>可见和可闻指示器和报警</w:t>
      </w:r>
      <w:r>
        <w:rPr>
          <w:rStyle w:val="15"/>
          <w:rFonts w:hint="eastAsia" w:cs="宋体"/>
          <w:b/>
          <w:bCs/>
        </w:rPr>
        <w:fldChar w:fldCharType="end"/>
      </w:r>
    </w:p>
    <w:p w14:paraId="22311509">
      <w:pPr>
        <w:pStyle w:val="10"/>
        <w:tabs>
          <w:tab w:val="left" w:pos="567"/>
          <w:tab w:val="left" w:pos="1050"/>
          <w:tab w:val="right" w:leader="dot" w:pos="8303"/>
        </w:tabs>
        <w:spacing w:line="288" w:lineRule="auto"/>
        <w:ind w:left="0" w:leftChars="0"/>
        <w:rPr>
          <w:rFonts w:ascii="Calibri" w:hAnsi="Calibri" w:cs="Calibri"/>
          <w:b/>
          <w:bCs/>
          <w:kern w:val="2"/>
          <w:sz w:val="21"/>
          <w:szCs w:val="21"/>
        </w:rPr>
      </w:pPr>
      <w:r>
        <w:fldChar w:fldCharType="begin"/>
      </w:r>
      <w:r>
        <w:instrText xml:space="preserve"> HYPERLINK \l "_Toc496720473" </w:instrText>
      </w:r>
      <w:r>
        <w:fldChar w:fldCharType="separate"/>
      </w:r>
      <w:r>
        <w:rPr>
          <w:rStyle w:val="15"/>
          <w:b/>
          <w:bCs/>
          <w:spacing w:val="1"/>
          <w:w w:val="102"/>
        </w:rPr>
        <w:t>9.1</w:t>
      </w:r>
      <w:r>
        <w:rPr>
          <w:rFonts w:ascii="Calibri" w:hAnsi="Calibri" w:cs="Calibri"/>
          <w:b/>
          <w:bCs/>
          <w:kern w:val="2"/>
          <w:sz w:val="21"/>
          <w:szCs w:val="21"/>
        </w:rPr>
        <w:tab/>
      </w:r>
      <w:r>
        <w:rPr>
          <w:rStyle w:val="15"/>
          <w:rFonts w:hint="eastAsia" w:cs="宋体"/>
          <w:b/>
          <w:bCs/>
        </w:rPr>
        <w:t>监护仪</w:t>
      </w:r>
      <w:r>
        <w:rPr>
          <w:rStyle w:val="15"/>
          <w:rFonts w:hint="eastAsia" w:cs="宋体"/>
          <w:b/>
          <w:bCs/>
        </w:rPr>
        <w:fldChar w:fldCharType="end"/>
      </w:r>
    </w:p>
    <w:p w14:paraId="05D5250D">
      <w:pPr>
        <w:pStyle w:val="10"/>
        <w:tabs>
          <w:tab w:val="left" w:pos="567"/>
          <w:tab w:val="left" w:pos="1050"/>
          <w:tab w:val="right" w:leader="dot" w:pos="8303"/>
        </w:tabs>
        <w:spacing w:line="288" w:lineRule="auto"/>
        <w:ind w:left="0" w:leftChars="0"/>
        <w:rPr>
          <w:rFonts w:ascii="Calibri" w:hAnsi="Calibri" w:cs="Calibri"/>
          <w:b/>
          <w:bCs/>
          <w:kern w:val="2"/>
          <w:sz w:val="21"/>
          <w:szCs w:val="21"/>
        </w:rPr>
      </w:pPr>
      <w:r>
        <w:fldChar w:fldCharType="begin"/>
      </w:r>
      <w:r>
        <w:instrText xml:space="preserve"> HYPERLINK \l "_Toc496720476" </w:instrText>
      </w:r>
      <w:r>
        <w:fldChar w:fldCharType="separate"/>
      </w:r>
      <w:r>
        <w:rPr>
          <w:rStyle w:val="15"/>
          <w:b/>
          <w:bCs/>
          <w:spacing w:val="1"/>
          <w:w w:val="102"/>
        </w:rPr>
        <w:t>9.2</w:t>
      </w:r>
      <w:r>
        <w:rPr>
          <w:rFonts w:ascii="Calibri" w:hAnsi="Calibri" w:cs="Calibri"/>
          <w:b/>
          <w:bCs/>
          <w:kern w:val="2"/>
          <w:sz w:val="21"/>
          <w:szCs w:val="21"/>
        </w:rPr>
        <w:tab/>
      </w:r>
      <w:r>
        <w:rPr>
          <w:rStyle w:val="15"/>
          <w:rFonts w:hint="eastAsia" w:cs="宋体"/>
          <w:b/>
          <w:bCs/>
        </w:rPr>
        <w:t>远程报警装置</w:t>
      </w:r>
      <w:r>
        <w:rPr>
          <w:rStyle w:val="15"/>
          <w:rFonts w:hint="eastAsia" w:cs="宋体"/>
          <w:b/>
          <w:bCs/>
        </w:rPr>
        <w:fldChar w:fldCharType="end"/>
      </w:r>
    </w:p>
    <w:p w14:paraId="62199A1B">
      <w:pPr>
        <w:pStyle w:val="9"/>
        <w:tabs>
          <w:tab w:val="left" w:pos="567"/>
          <w:tab w:val="left" w:pos="630"/>
          <w:tab w:val="right" w:leader="dot" w:pos="8303"/>
        </w:tabs>
        <w:spacing w:line="288" w:lineRule="auto"/>
        <w:rPr>
          <w:rFonts w:ascii="Calibri" w:hAnsi="Calibri" w:cs="Calibri"/>
          <w:b/>
          <w:bCs/>
          <w:kern w:val="2"/>
          <w:sz w:val="21"/>
          <w:szCs w:val="21"/>
        </w:rPr>
      </w:pPr>
      <w:r>
        <w:fldChar w:fldCharType="begin"/>
      </w:r>
      <w:r>
        <w:instrText xml:space="preserve"> HYPERLINK \l "_Toc496720480" </w:instrText>
      </w:r>
      <w:r>
        <w:fldChar w:fldCharType="separate"/>
      </w:r>
      <w:r>
        <w:rPr>
          <w:rStyle w:val="15"/>
          <w:b/>
          <w:bCs/>
          <w:spacing w:val="-1"/>
          <w:w w:val="101"/>
        </w:rPr>
        <w:t>10.</w:t>
      </w:r>
      <w:r>
        <w:rPr>
          <w:rFonts w:ascii="Calibri" w:hAnsi="Calibri" w:cs="Calibri"/>
          <w:b/>
          <w:bCs/>
          <w:kern w:val="2"/>
          <w:sz w:val="21"/>
          <w:szCs w:val="21"/>
        </w:rPr>
        <w:tab/>
      </w:r>
      <w:r>
        <w:rPr>
          <w:rStyle w:val="15"/>
          <w:rFonts w:hint="eastAsia" w:cs="宋体"/>
          <w:b/>
          <w:bCs/>
        </w:rPr>
        <w:t>电气和机械安全</w:t>
      </w:r>
      <w:r>
        <w:rPr>
          <w:rStyle w:val="15"/>
          <w:rFonts w:hint="eastAsia" w:cs="宋体"/>
          <w:b/>
          <w:bCs/>
        </w:rPr>
        <w:fldChar w:fldCharType="end"/>
      </w:r>
    </w:p>
    <w:p w14:paraId="4F6B6778">
      <w:pPr>
        <w:pStyle w:val="10"/>
        <w:tabs>
          <w:tab w:val="left" w:pos="567"/>
          <w:tab w:val="left" w:pos="1260"/>
          <w:tab w:val="right" w:leader="dot" w:pos="8303"/>
        </w:tabs>
        <w:spacing w:line="288" w:lineRule="auto"/>
        <w:ind w:left="0" w:leftChars="0"/>
        <w:rPr>
          <w:rFonts w:ascii="Calibri" w:hAnsi="Calibri" w:cs="Calibri"/>
          <w:b/>
          <w:bCs/>
          <w:kern w:val="2"/>
          <w:sz w:val="21"/>
          <w:szCs w:val="21"/>
        </w:rPr>
      </w:pPr>
      <w:r>
        <w:fldChar w:fldCharType="begin"/>
      </w:r>
      <w:r>
        <w:instrText xml:space="preserve"> HYPERLINK \l "_Toc496720481" </w:instrText>
      </w:r>
      <w:r>
        <w:fldChar w:fldCharType="separate"/>
      </w:r>
      <w:r>
        <w:rPr>
          <w:rStyle w:val="15"/>
          <w:b/>
          <w:bCs/>
          <w:spacing w:val="1"/>
          <w:w w:val="102"/>
        </w:rPr>
        <w:t>10.1</w:t>
      </w:r>
      <w:r>
        <w:rPr>
          <w:rFonts w:ascii="Calibri" w:hAnsi="Calibri" w:cs="Calibri"/>
          <w:b/>
          <w:bCs/>
          <w:kern w:val="2"/>
          <w:sz w:val="21"/>
          <w:szCs w:val="21"/>
        </w:rPr>
        <w:tab/>
      </w:r>
      <w:r>
        <w:rPr>
          <w:rStyle w:val="15"/>
          <w:rFonts w:hint="eastAsia" w:cs="宋体"/>
          <w:b/>
          <w:bCs/>
        </w:rPr>
        <w:t>辅助输出</w:t>
      </w:r>
      <w:r>
        <w:rPr>
          <w:rStyle w:val="15"/>
          <w:rFonts w:hint="eastAsia" w:cs="宋体"/>
          <w:b/>
          <w:bCs/>
        </w:rPr>
        <w:fldChar w:fldCharType="end"/>
      </w:r>
    </w:p>
    <w:p w14:paraId="68725C69">
      <w:pPr>
        <w:pStyle w:val="10"/>
        <w:tabs>
          <w:tab w:val="left" w:pos="567"/>
          <w:tab w:val="left" w:pos="1260"/>
          <w:tab w:val="right" w:leader="dot" w:pos="8303"/>
        </w:tabs>
        <w:spacing w:line="288" w:lineRule="auto"/>
        <w:ind w:left="0" w:leftChars="0"/>
        <w:rPr>
          <w:rFonts w:ascii="Calibri" w:hAnsi="Calibri" w:cs="Calibri"/>
          <w:b/>
          <w:bCs/>
          <w:kern w:val="2"/>
          <w:sz w:val="21"/>
          <w:szCs w:val="21"/>
        </w:rPr>
      </w:pPr>
      <w:r>
        <w:fldChar w:fldCharType="begin"/>
      </w:r>
      <w:r>
        <w:instrText xml:space="preserve"> HYPERLINK \l "_Toc496720483" </w:instrText>
      </w:r>
      <w:r>
        <w:fldChar w:fldCharType="separate"/>
      </w:r>
      <w:r>
        <w:rPr>
          <w:rStyle w:val="15"/>
          <w:b/>
          <w:bCs/>
          <w:spacing w:val="1"/>
          <w:w w:val="102"/>
        </w:rPr>
        <w:t>10.2</w:t>
      </w:r>
      <w:r>
        <w:rPr>
          <w:rFonts w:ascii="Calibri" w:hAnsi="Calibri" w:cs="Calibri"/>
          <w:b/>
          <w:bCs/>
          <w:kern w:val="2"/>
          <w:sz w:val="21"/>
          <w:szCs w:val="21"/>
        </w:rPr>
        <w:tab/>
      </w:r>
      <w:r>
        <w:rPr>
          <w:rStyle w:val="15"/>
          <w:rFonts w:hint="eastAsia" w:cs="宋体"/>
          <w:b/>
          <w:bCs/>
        </w:rPr>
        <w:t>交流电源接地和极性</w:t>
      </w:r>
      <w:r>
        <w:rPr>
          <w:rStyle w:val="15"/>
          <w:rFonts w:hint="eastAsia" w:cs="宋体"/>
          <w:b/>
          <w:bCs/>
        </w:rPr>
        <w:fldChar w:fldCharType="end"/>
      </w:r>
    </w:p>
    <w:p w14:paraId="1921C617">
      <w:pPr>
        <w:pStyle w:val="10"/>
        <w:tabs>
          <w:tab w:val="left" w:pos="567"/>
          <w:tab w:val="left" w:pos="1260"/>
          <w:tab w:val="right" w:leader="dot" w:pos="8303"/>
        </w:tabs>
        <w:spacing w:line="288" w:lineRule="auto"/>
        <w:ind w:left="0" w:leftChars="0"/>
        <w:rPr>
          <w:rFonts w:ascii="Calibri" w:hAnsi="Calibri" w:cs="Calibri"/>
          <w:b/>
          <w:bCs/>
          <w:kern w:val="2"/>
          <w:sz w:val="21"/>
          <w:szCs w:val="21"/>
        </w:rPr>
      </w:pPr>
      <w:r>
        <w:fldChar w:fldCharType="begin"/>
      </w:r>
      <w:r>
        <w:instrText xml:space="preserve"> HYPERLINK \l "_Toc496720485" </w:instrText>
      </w:r>
      <w:r>
        <w:fldChar w:fldCharType="separate"/>
      </w:r>
      <w:r>
        <w:rPr>
          <w:rStyle w:val="15"/>
          <w:b/>
          <w:bCs/>
          <w:spacing w:val="1"/>
          <w:w w:val="102"/>
        </w:rPr>
        <w:t>10.3</w:t>
      </w:r>
      <w:r>
        <w:rPr>
          <w:rFonts w:ascii="Calibri" w:hAnsi="Calibri" w:cs="Calibri"/>
          <w:b/>
          <w:bCs/>
          <w:kern w:val="2"/>
          <w:sz w:val="21"/>
          <w:szCs w:val="21"/>
        </w:rPr>
        <w:tab/>
      </w:r>
      <w:r>
        <w:rPr>
          <w:rStyle w:val="15"/>
          <w:rFonts w:hint="eastAsia" w:cs="宋体"/>
          <w:b/>
          <w:bCs/>
        </w:rPr>
        <w:t>连接器保护</w:t>
      </w:r>
      <w:r>
        <w:rPr>
          <w:rStyle w:val="15"/>
          <w:rFonts w:hint="eastAsia" w:cs="宋体"/>
          <w:b/>
          <w:bCs/>
        </w:rPr>
        <w:fldChar w:fldCharType="end"/>
      </w:r>
    </w:p>
    <w:p w14:paraId="431AD7F1">
      <w:pPr>
        <w:pStyle w:val="9"/>
        <w:tabs>
          <w:tab w:val="left" w:pos="567"/>
          <w:tab w:val="left" w:pos="630"/>
          <w:tab w:val="right" w:leader="dot" w:pos="8303"/>
        </w:tabs>
        <w:spacing w:line="288" w:lineRule="auto"/>
        <w:rPr>
          <w:rFonts w:ascii="Calibri" w:hAnsi="Calibri" w:cs="Calibri"/>
          <w:b/>
          <w:bCs/>
          <w:kern w:val="2"/>
          <w:sz w:val="21"/>
          <w:szCs w:val="21"/>
        </w:rPr>
      </w:pPr>
      <w:r>
        <w:fldChar w:fldCharType="begin"/>
      </w:r>
      <w:r>
        <w:instrText xml:space="preserve"> HYPERLINK \l "_Toc496720488" </w:instrText>
      </w:r>
      <w:r>
        <w:fldChar w:fldCharType="separate"/>
      </w:r>
      <w:r>
        <w:rPr>
          <w:rStyle w:val="15"/>
          <w:b/>
          <w:bCs/>
          <w:spacing w:val="-1"/>
          <w:w w:val="101"/>
        </w:rPr>
        <w:t>11.</w:t>
      </w:r>
      <w:r>
        <w:rPr>
          <w:rFonts w:ascii="Calibri" w:hAnsi="Calibri" w:cs="Calibri"/>
          <w:b/>
          <w:bCs/>
          <w:kern w:val="2"/>
          <w:sz w:val="21"/>
          <w:szCs w:val="21"/>
        </w:rPr>
        <w:tab/>
      </w:r>
      <w:r>
        <w:rPr>
          <w:rStyle w:val="15"/>
          <w:rFonts w:hint="eastAsia" w:cs="宋体"/>
          <w:b/>
          <w:bCs/>
        </w:rPr>
        <w:t>电磁兼容性</w:t>
      </w:r>
      <w:r>
        <w:rPr>
          <w:rStyle w:val="15"/>
          <w:rFonts w:hint="eastAsia" w:cs="宋体"/>
          <w:b/>
          <w:bCs/>
        </w:rPr>
        <w:fldChar w:fldCharType="end"/>
      </w:r>
    </w:p>
    <w:p w14:paraId="1BE45D82">
      <w:pPr>
        <w:pStyle w:val="10"/>
        <w:tabs>
          <w:tab w:val="left" w:pos="567"/>
          <w:tab w:val="left" w:pos="1260"/>
          <w:tab w:val="right" w:leader="dot" w:pos="8303"/>
        </w:tabs>
        <w:spacing w:line="288" w:lineRule="auto"/>
        <w:ind w:left="0" w:leftChars="0"/>
        <w:rPr>
          <w:rFonts w:ascii="Calibri" w:hAnsi="Calibri" w:cs="Calibri"/>
          <w:b/>
          <w:bCs/>
          <w:kern w:val="2"/>
          <w:sz w:val="21"/>
          <w:szCs w:val="21"/>
        </w:rPr>
      </w:pPr>
      <w:r>
        <w:fldChar w:fldCharType="begin"/>
      </w:r>
      <w:r>
        <w:instrText xml:space="preserve"> HYPERLINK \l "_Toc496720490" </w:instrText>
      </w:r>
      <w:r>
        <w:fldChar w:fldCharType="separate"/>
      </w:r>
      <w:r>
        <w:rPr>
          <w:rStyle w:val="15"/>
          <w:b/>
          <w:bCs/>
          <w:spacing w:val="1"/>
          <w:w w:val="102"/>
        </w:rPr>
        <w:t>11.1</w:t>
      </w:r>
      <w:r>
        <w:rPr>
          <w:rFonts w:ascii="Calibri" w:hAnsi="Calibri" w:cs="Calibri"/>
          <w:b/>
          <w:bCs/>
          <w:kern w:val="2"/>
          <w:sz w:val="21"/>
          <w:szCs w:val="21"/>
        </w:rPr>
        <w:tab/>
      </w:r>
      <w:r>
        <w:rPr>
          <w:rStyle w:val="15"/>
          <w:rFonts w:hint="eastAsia" w:cs="宋体"/>
          <w:b/>
          <w:bCs/>
        </w:rPr>
        <w:t>磁场发射</w:t>
      </w:r>
      <w:r>
        <w:rPr>
          <w:rStyle w:val="15"/>
          <w:rFonts w:hint="eastAsia" w:cs="宋体"/>
          <w:b/>
          <w:bCs/>
        </w:rPr>
        <w:fldChar w:fldCharType="end"/>
      </w:r>
    </w:p>
    <w:p w14:paraId="5F524904">
      <w:pPr>
        <w:pStyle w:val="10"/>
        <w:tabs>
          <w:tab w:val="left" w:pos="567"/>
          <w:tab w:val="left" w:pos="1260"/>
          <w:tab w:val="right" w:leader="dot" w:pos="8303"/>
        </w:tabs>
        <w:spacing w:line="288" w:lineRule="auto"/>
        <w:ind w:left="0" w:leftChars="0"/>
        <w:rPr>
          <w:rFonts w:ascii="Calibri" w:hAnsi="Calibri" w:cs="Calibri"/>
          <w:b/>
          <w:bCs/>
          <w:kern w:val="2"/>
          <w:sz w:val="21"/>
          <w:szCs w:val="21"/>
        </w:rPr>
      </w:pPr>
      <w:r>
        <w:fldChar w:fldCharType="begin"/>
      </w:r>
      <w:r>
        <w:instrText xml:space="preserve"> HYPERLINK \l "_Toc496720492" </w:instrText>
      </w:r>
      <w:r>
        <w:fldChar w:fldCharType="separate"/>
      </w:r>
      <w:r>
        <w:rPr>
          <w:rStyle w:val="15"/>
          <w:b/>
          <w:bCs/>
          <w:spacing w:val="1"/>
          <w:w w:val="102"/>
        </w:rPr>
        <w:t>11.2</w:t>
      </w:r>
      <w:r>
        <w:rPr>
          <w:rFonts w:ascii="Calibri" w:hAnsi="Calibri" w:cs="Calibri"/>
          <w:b/>
          <w:bCs/>
          <w:kern w:val="2"/>
          <w:sz w:val="21"/>
          <w:szCs w:val="21"/>
        </w:rPr>
        <w:tab/>
      </w:r>
      <w:r>
        <w:rPr>
          <w:rStyle w:val="15"/>
          <w:rFonts w:hint="eastAsia" w:cs="宋体"/>
          <w:b/>
          <w:bCs/>
        </w:rPr>
        <w:t>传导电磁能量</w:t>
      </w:r>
      <w:r>
        <w:rPr>
          <w:rStyle w:val="15"/>
          <w:rFonts w:hint="eastAsia" w:cs="宋体"/>
          <w:b/>
          <w:bCs/>
        </w:rPr>
        <w:fldChar w:fldCharType="end"/>
      </w:r>
    </w:p>
    <w:p w14:paraId="310663C7">
      <w:pPr>
        <w:pStyle w:val="10"/>
        <w:tabs>
          <w:tab w:val="left" w:pos="567"/>
          <w:tab w:val="left" w:pos="1260"/>
          <w:tab w:val="right" w:leader="dot" w:pos="8303"/>
        </w:tabs>
        <w:spacing w:line="288" w:lineRule="auto"/>
        <w:ind w:left="0" w:leftChars="0"/>
        <w:rPr>
          <w:rFonts w:ascii="Calibri" w:hAnsi="Calibri" w:cs="Calibri"/>
          <w:b/>
          <w:bCs/>
          <w:kern w:val="2"/>
          <w:sz w:val="21"/>
          <w:szCs w:val="21"/>
        </w:rPr>
      </w:pPr>
      <w:r>
        <w:fldChar w:fldCharType="begin"/>
      </w:r>
      <w:r>
        <w:instrText xml:space="preserve"> HYPERLINK \l "_Toc496720494" </w:instrText>
      </w:r>
      <w:r>
        <w:fldChar w:fldCharType="separate"/>
      </w:r>
      <w:r>
        <w:rPr>
          <w:rStyle w:val="15"/>
          <w:b/>
          <w:bCs/>
          <w:spacing w:val="1"/>
          <w:w w:val="102"/>
        </w:rPr>
        <w:t>11.3</w:t>
      </w:r>
      <w:r>
        <w:rPr>
          <w:rFonts w:ascii="Calibri" w:hAnsi="Calibri" w:cs="Calibri"/>
          <w:b/>
          <w:bCs/>
          <w:kern w:val="2"/>
          <w:sz w:val="21"/>
          <w:szCs w:val="21"/>
        </w:rPr>
        <w:tab/>
      </w:r>
      <w:r>
        <w:rPr>
          <w:rStyle w:val="15"/>
          <w:rFonts w:hint="eastAsia" w:cs="宋体"/>
          <w:b/>
          <w:bCs/>
        </w:rPr>
        <w:t>工频磁场抗扰度</w:t>
      </w:r>
      <w:r>
        <w:rPr>
          <w:rStyle w:val="15"/>
          <w:rFonts w:hint="eastAsia" w:cs="宋体"/>
          <w:b/>
          <w:bCs/>
        </w:rPr>
        <w:fldChar w:fldCharType="end"/>
      </w:r>
    </w:p>
    <w:p w14:paraId="775C44B6">
      <w:pPr>
        <w:pStyle w:val="9"/>
        <w:tabs>
          <w:tab w:val="left" w:pos="567"/>
          <w:tab w:val="left" w:pos="630"/>
          <w:tab w:val="right" w:leader="dot" w:pos="8303"/>
        </w:tabs>
        <w:spacing w:line="288" w:lineRule="auto"/>
        <w:rPr>
          <w:rFonts w:ascii="Calibri" w:hAnsi="Calibri" w:cs="Calibri"/>
          <w:b/>
          <w:bCs/>
          <w:kern w:val="2"/>
          <w:sz w:val="21"/>
          <w:szCs w:val="21"/>
        </w:rPr>
      </w:pPr>
      <w:r>
        <w:fldChar w:fldCharType="begin"/>
      </w:r>
      <w:r>
        <w:instrText xml:space="preserve"> HYPERLINK \l "_Toc496720497" </w:instrText>
      </w:r>
      <w:r>
        <w:fldChar w:fldCharType="separate"/>
      </w:r>
      <w:r>
        <w:rPr>
          <w:rStyle w:val="15"/>
          <w:b/>
          <w:bCs/>
          <w:spacing w:val="-1"/>
          <w:w w:val="101"/>
        </w:rPr>
        <w:t>12.</w:t>
      </w:r>
      <w:r>
        <w:rPr>
          <w:rFonts w:ascii="Calibri" w:hAnsi="Calibri" w:cs="Calibri"/>
          <w:b/>
          <w:bCs/>
          <w:kern w:val="2"/>
          <w:sz w:val="21"/>
          <w:szCs w:val="21"/>
        </w:rPr>
        <w:tab/>
      </w:r>
      <w:r>
        <w:rPr>
          <w:rStyle w:val="15"/>
          <w:rFonts w:hint="eastAsia" w:cs="宋体"/>
          <w:b/>
          <w:bCs/>
        </w:rPr>
        <w:t>呼吸暂停监护仪的性能测试</w:t>
      </w:r>
      <w:r>
        <w:rPr>
          <w:rStyle w:val="15"/>
          <w:rFonts w:hint="eastAsia" w:cs="宋体"/>
          <w:b/>
          <w:bCs/>
        </w:rPr>
        <w:fldChar w:fldCharType="end"/>
      </w:r>
    </w:p>
    <w:p w14:paraId="5ED1201C">
      <w:pPr>
        <w:pStyle w:val="9"/>
        <w:tabs>
          <w:tab w:val="left" w:pos="567"/>
          <w:tab w:val="left" w:pos="840"/>
          <w:tab w:val="right" w:leader="dot" w:pos="8303"/>
        </w:tabs>
        <w:spacing w:line="288" w:lineRule="auto"/>
        <w:rPr>
          <w:rFonts w:ascii="Calibri" w:hAnsi="Calibri" w:cs="Calibri"/>
          <w:b/>
          <w:bCs/>
          <w:kern w:val="2"/>
          <w:sz w:val="21"/>
          <w:szCs w:val="21"/>
        </w:rPr>
      </w:pPr>
      <w:r>
        <w:fldChar w:fldCharType="begin"/>
      </w:r>
      <w:r>
        <w:instrText xml:space="preserve"> HYPERLINK \l "_Toc496720498" </w:instrText>
      </w:r>
      <w:r>
        <w:fldChar w:fldCharType="separate"/>
      </w:r>
      <w:r>
        <w:rPr>
          <w:rStyle w:val="15"/>
          <w:b/>
          <w:bCs/>
          <w:spacing w:val="1"/>
          <w:w w:val="102"/>
        </w:rPr>
        <w:t>12.1</w:t>
      </w:r>
      <w:r>
        <w:rPr>
          <w:rFonts w:ascii="Calibri" w:hAnsi="Calibri" w:cs="Calibri"/>
          <w:b/>
          <w:bCs/>
          <w:kern w:val="2"/>
          <w:sz w:val="21"/>
          <w:szCs w:val="21"/>
        </w:rPr>
        <w:tab/>
      </w:r>
      <w:r>
        <w:rPr>
          <w:rStyle w:val="15"/>
          <w:rFonts w:hint="eastAsia" w:cs="宋体"/>
          <w:b/>
          <w:bCs/>
        </w:rPr>
        <w:t>呼吸暂停持续时间设置</w:t>
      </w:r>
      <w:r>
        <w:rPr>
          <w:rStyle w:val="15"/>
          <w:rFonts w:hint="eastAsia" w:cs="宋体"/>
          <w:b/>
          <w:bCs/>
        </w:rPr>
        <w:fldChar w:fldCharType="end"/>
      </w:r>
    </w:p>
    <w:p w14:paraId="2507013C">
      <w:pPr>
        <w:pStyle w:val="10"/>
        <w:tabs>
          <w:tab w:val="left" w:pos="567"/>
          <w:tab w:val="left" w:pos="1260"/>
          <w:tab w:val="right" w:leader="dot" w:pos="8303"/>
        </w:tabs>
        <w:spacing w:line="288" w:lineRule="auto"/>
        <w:ind w:left="0" w:leftChars="0"/>
        <w:rPr>
          <w:rFonts w:ascii="Calibri" w:hAnsi="Calibri" w:cs="Calibri"/>
          <w:b/>
          <w:bCs/>
          <w:kern w:val="2"/>
          <w:sz w:val="21"/>
          <w:szCs w:val="21"/>
        </w:rPr>
      </w:pPr>
      <w:r>
        <w:fldChar w:fldCharType="begin"/>
      </w:r>
      <w:r>
        <w:instrText xml:space="preserve"> HYPERLINK \l "_Toc496720500" </w:instrText>
      </w:r>
      <w:r>
        <w:fldChar w:fldCharType="separate"/>
      </w:r>
      <w:r>
        <w:rPr>
          <w:rStyle w:val="15"/>
          <w:b/>
          <w:bCs/>
          <w:spacing w:val="1"/>
          <w:w w:val="102"/>
        </w:rPr>
        <w:t>12.2</w:t>
      </w:r>
      <w:r>
        <w:rPr>
          <w:rFonts w:ascii="Calibri" w:hAnsi="Calibri" w:cs="Calibri"/>
          <w:b/>
          <w:bCs/>
          <w:kern w:val="2"/>
          <w:sz w:val="21"/>
          <w:szCs w:val="21"/>
        </w:rPr>
        <w:tab/>
      </w:r>
      <w:r>
        <w:rPr>
          <w:rStyle w:val="15"/>
          <w:rFonts w:hint="eastAsia" w:cs="宋体"/>
          <w:b/>
          <w:bCs/>
        </w:rPr>
        <w:t>心率监测器</w:t>
      </w:r>
      <w:r>
        <w:rPr>
          <w:rStyle w:val="15"/>
          <w:rFonts w:hint="eastAsia" w:cs="宋体"/>
          <w:b/>
          <w:bCs/>
        </w:rPr>
        <w:fldChar w:fldCharType="end"/>
      </w:r>
    </w:p>
    <w:p w14:paraId="04BC47AD">
      <w:pPr>
        <w:pStyle w:val="10"/>
        <w:tabs>
          <w:tab w:val="left" w:pos="567"/>
          <w:tab w:val="left" w:pos="1260"/>
          <w:tab w:val="right" w:leader="dot" w:pos="8303"/>
        </w:tabs>
        <w:spacing w:line="288" w:lineRule="auto"/>
        <w:ind w:left="0" w:leftChars="0"/>
        <w:rPr>
          <w:rFonts w:ascii="Calibri" w:hAnsi="Calibri" w:cs="Calibri"/>
          <w:b/>
          <w:bCs/>
          <w:kern w:val="2"/>
          <w:sz w:val="21"/>
          <w:szCs w:val="21"/>
        </w:rPr>
      </w:pPr>
      <w:r>
        <w:fldChar w:fldCharType="begin"/>
      </w:r>
      <w:r>
        <w:instrText xml:space="preserve"> HYPERLINK \l "_Toc496720501" </w:instrText>
      </w:r>
      <w:r>
        <w:fldChar w:fldCharType="separate"/>
      </w:r>
      <w:r>
        <w:rPr>
          <w:rStyle w:val="15"/>
          <w:b/>
          <w:bCs/>
          <w:spacing w:val="1"/>
          <w:w w:val="102"/>
        </w:rPr>
        <w:t>12.3</w:t>
      </w:r>
      <w:r>
        <w:rPr>
          <w:rFonts w:ascii="Calibri" w:hAnsi="Calibri" w:cs="Calibri"/>
          <w:b/>
          <w:bCs/>
          <w:kern w:val="2"/>
          <w:sz w:val="21"/>
          <w:szCs w:val="21"/>
        </w:rPr>
        <w:tab/>
      </w:r>
      <w:r>
        <w:rPr>
          <w:rStyle w:val="15"/>
          <w:rFonts w:hint="eastAsia" w:cs="宋体"/>
          <w:b/>
          <w:bCs/>
        </w:rPr>
        <w:t>自测</w:t>
      </w:r>
      <w:r>
        <w:rPr>
          <w:rStyle w:val="15"/>
          <w:rFonts w:hint="eastAsia" w:cs="宋体"/>
          <w:b/>
          <w:bCs/>
        </w:rPr>
        <w:fldChar w:fldCharType="end"/>
      </w:r>
    </w:p>
    <w:p w14:paraId="31A82EAD">
      <w:pPr>
        <w:pStyle w:val="9"/>
        <w:tabs>
          <w:tab w:val="left" w:pos="567"/>
          <w:tab w:val="left" w:pos="630"/>
          <w:tab w:val="right" w:leader="dot" w:pos="8303"/>
        </w:tabs>
        <w:spacing w:line="288" w:lineRule="auto"/>
        <w:rPr>
          <w:rFonts w:ascii="Calibri" w:hAnsi="Calibri" w:cs="Calibri"/>
          <w:b/>
          <w:bCs/>
          <w:kern w:val="2"/>
          <w:sz w:val="21"/>
          <w:szCs w:val="21"/>
        </w:rPr>
      </w:pPr>
      <w:r>
        <w:fldChar w:fldCharType="begin"/>
      </w:r>
      <w:r>
        <w:instrText xml:space="preserve"> HYPERLINK \l "_Toc496720503" </w:instrText>
      </w:r>
      <w:r>
        <w:fldChar w:fldCharType="separate"/>
      </w:r>
      <w:r>
        <w:rPr>
          <w:rStyle w:val="15"/>
          <w:b/>
          <w:bCs/>
          <w:spacing w:val="-1"/>
          <w:w w:val="101"/>
        </w:rPr>
        <w:t>13.</w:t>
      </w:r>
      <w:r>
        <w:rPr>
          <w:rFonts w:ascii="Calibri" w:hAnsi="Calibri" w:cs="Calibri"/>
          <w:b/>
          <w:bCs/>
          <w:kern w:val="2"/>
          <w:sz w:val="21"/>
          <w:szCs w:val="21"/>
        </w:rPr>
        <w:tab/>
      </w:r>
      <w:r>
        <w:rPr>
          <w:rStyle w:val="15"/>
          <w:rFonts w:hint="eastAsia" w:cs="宋体"/>
          <w:b/>
          <w:bCs/>
        </w:rPr>
        <w:t>生物相容性和无菌性</w:t>
      </w:r>
      <w:r>
        <w:rPr>
          <w:rStyle w:val="15"/>
          <w:rFonts w:hint="eastAsia" w:cs="宋体"/>
          <w:b/>
          <w:bCs/>
        </w:rPr>
        <w:fldChar w:fldCharType="end"/>
      </w:r>
    </w:p>
    <w:p w14:paraId="704D6C7B">
      <w:pPr>
        <w:pStyle w:val="9"/>
        <w:tabs>
          <w:tab w:val="left" w:pos="567"/>
          <w:tab w:val="left" w:pos="630"/>
          <w:tab w:val="right" w:leader="dot" w:pos="8303"/>
        </w:tabs>
        <w:spacing w:line="288" w:lineRule="auto"/>
        <w:rPr>
          <w:rFonts w:ascii="Calibri" w:hAnsi="Calibri" w:cs="Calibri"/>
          <w:b/>
          <w:bCs/>
          <w:kern w:val="2"/>
          <w:sz w:val="21"/>
          <w:szCs w:val="21"/>
        </w:rPr>
      </w:pPr>
      <w:r>
        <w:fldChar w:fldCharType="begin"/>
      </w:r>
      <w:r>
        <w:instrText xml:space="preserve"> HYPERLINK \l "_Toc496720505" </w:instrText>
      </w:r>
      <w:r>
        <w:fldChar w:fldCharType="separate"/>
      </w:r>
      <w:r>
        <w:rPr>
          <w:rStyle w:val="15"/>
          <w:b/>
          <w:bCs/>
          <w:spacing w:val="-1"/>
          <w:w w:val="101"/>
        </w:rPr>
        <w:t>14.</w:t>
      </w:r>
      <w:r>
        <w:rPr>
          <w:rFonts w:ascii="Calibri" w:hAnsi="Calibri" w:cs="Calibri"/>
          <w:b/>
          <w:bCs/>
          <w:kern w:val="2"/>
          <w:sz w:val="21"/>
          <w:szCs w:val="21"/>
        </w:rPr>
        <w:tab/>
      </w:r>
      <w:r>
        <w:rPr>
          <w:rStyle w:val="15"/>
          <w:rFonts w:hint="eastAsia" w:cs="宋体"/>
          <w:b/>
          <w:bCs/>
        </w:rPr>
        <w:t>临床研究</w:t>
      </w:r>
      <w:r>
        <w:rPr>
          <w:rStyle w:val="15"/>
          <w:rFonts w:hint="eastAsia" w:cs="宋体"/>
          <w:b/>
          <w:bCs/>
        </w:rPr>
        <w:fldChar w:fldCharType="end"/>
      </w:r>
    </w:p>
    <w:p w14:paraId="60A527FD">
      <w:pPr>
        <w:pStyle w:val="9"/>
        <w:tabs>
          <w:tab w:val="left" w:pos="567"/>
          <w:tab w:val="left" w:pos="630"/>
          <w:tab w:val="right" w:leader="dot" w:pos="8303"/>
        </w:tabs>
        <w:spacing w:line="288" w:lineRule="auto"/>
        <w:rPr>
          <w:rFonts w:ascii="Calibri" w:hAnsi="Calibri" w:cs="Calibri"/>
          <w:b/>
          <w:bCs/>
          <w:kern w:val="2"/>
          <w:sz w:val="21"/>
          <w:szCs w:val="21"/>
        </w:rPr>
      </w:pPr>
      <w:r>
        <w:fldChar w:fldCharType="begin"/>
      </w:r>
      <w:r>
        <w:instrText xml:space="preserve"> HYPERLINK \l "_Toc496720513" </w:instrText>
      </w:r>
      <w:r>
        <w:fldChar w:fldCharType="separate"/>
      </w:r>
      <w:r>
        <w:rPr>
          <w:rStyle w:val="15"/>
          <w:b/>
          <w:bCs/>
          <w:spacing w:val="-1"/>
          <w:w w:val="101"/>
        </w:rPr>
        <w:t>15.</w:t>
      </w:r>
      <w:r>
        <w:rPr>
          <w:rFonts w:ascii="Calibri" w:hAnsi="Calibri" w:cs="Calibri"/>
          <w:b/>
          <w:bCs/>
          <w:kern w:val="2"/>
          <w:sz w:val="21"/>
          <w:szCs w:val="21"/>
        </w:rPr>
        <w:tab/>
      </w:r>
      <w:r>
        <w:rPr>
          <w:rStyle w:val="15"/>
          <w:rFonts w:hint="eastAsia" w:cs="宋体"/>
          <w:b/>
          <w:bCs/>
        </w:rPr>
        <w:t>标签</w:t>
      </w:r>
      <w:r>
        <w:rPr>
          <w:rStyle w:val="15"/>
          <w:rFonts w:hint="eastAsia" w:cs="宋体"/>
          <w:b/>
          <w:bCs/>
        </w:rPr>
        <w:fldChar w:fldCharType="end"/>
      </w:r>
    </w:p>
    <w:p w14:paraId="06E697BC">
      <w:pPr>
        <w:pStyle w:val="10"/>
        <w:tabs>
          <w:tab w:val="right" w:leader="dot" w:pos="8303"/>
        </w:tabs>
        <w:ind w:left="480"/>
        <w:rPr>
          <w:rFonts w:ascii="Calibri" w:hAnsi="Calibri" w:cs="Calibri"/>
          <w:kern w:val="2"/>
          <w:sz w:val="21"/>
          <w:szCs w:val="21"/>
        </w:rPr>
      </w:pPr>
    </w:p>
    <w:p w14:paraId="7B397E29">
      <w:pPr>
        <w:kinsoku w:val="0"/>
        <w:overflowPunct w:val="0"/>
        <w:snapToGrid w:val="0"/>
        <w:spacing w:afterLines="50" w:line="360" w:lineRule="auto"/>
        <w:rPr>
          <w:b/>
          <w:bCs/>
          <w:color w:val="FF0000"/>
          <w:sz w:val="21"/>
          <w:szCs w:val="21"/>
        </w:rPr>
      </w:pPr>
      <w:r>
        <w:rPr>
          <w:b/>
          <w:bCs/>
          <w:color w:val="FF0000"/>
          <w:sz w:val="21"/>
          <w:szCs w:val="21"/>
        </w:rPr>
        <w:fldChar w:fldCharType="end"/>
      </w:r>
    </w:p>
    <w:p w14:paraId="687CC2A5">
      <w:pPr>
        <w:pBdr>
          <w:top w:val="single" w:color="BFBFBF" w:sz="12" w:space="1"/>
        </w:pBdr>
        <w:snapToGrid w:val="0"/>
        <w:spacing w:afterLines="50" w:line="360" w:lineRule="auto"/>
        <w:jc w:val="center"/>
        <w:rPr>
          <w:b/>
          <w:bCs/>
          <w:sz w:val="44"/>
          <w:szCs w:val="44"/>
        </w:rPr>
      </w:pPr>
      <w:r>
        <w:rPr>
          <w:b/>
          <w:bCs/>
          <w:sz w:val="44"/>
          <w:szCs w:val="44"/>
        </w:rPr>
        <w:t>II</w:t>
      </w:r>
      <w:r>
        <w:rPr>
          <w:rFonts w:hint="eastAsia" w:cs="宋体"/>
          <w:b/>
          <w:bCs/>
          <w:sz w:val="44"/>
          <w:szCs w:val="44"/>
        </w:rPr>
        <w:t>类特殊控制指南文件：呼吸暂停监护仪；行业和</w:t>
      </w:r>
      <w:r>
        <w:rPr>
          <w:b/>
          <w:bCs/>
          <w:sz w:val="44"/>
          <w:szCs w:val="44"/>
        </w:rPr>
        <w:t>FDA</w:t>
      </w:r>
      <w:r>
        <w:rPr>
          <w:rFonts w:hint="eastAsia" w:cs="宋体"/>
          <w:b/>
          <w:bCs/>
          <w:sz w:val="44"/>
          <w:szCs w:val="44"/>
        </w:rPr>
        <w:t>指南</w:t>
      </w:r>
    </w:p>
    <w:p w14:paraId="57A657BF">
      <w:pPr>
        <w:pStyle w:val="2"/>
        <w:numPr>
          <w:ilvl w:val="0"/>
          <w:numId w:val="1"/>
        </w:numPr>
        <w:tabs>
          <w:tab w:val="left" w:pos="484"/>
        </w:tabs>
        <w:kinsoku w:val="0"/>
        <w:overflowPunct w:val="0"/>
        <w:snapToGrid w:val="0"/>
        <w:spacing w:before="0" w:afterLines="50" w:line="360" w:lineRule="auto"/>
        <w:ind w:left="0" w:firstLine="0"/>
        <w:jc w:val="both"/>
        <w:rPr>
          <w:rFonts w:ascii="Times New Roman" w:hAnsi="Times New Roman" w:cs="Times New Roman"/>
          <w:b w:val="0"/>
          <w:bCs w:val="0"/>
          <w:sz w:val="28"/>
          <w:szCs w:val="28"/>
        </w:rPr>
      </w:pPr>
      <w:bookmarkStart w:id="11" w:name="_Toc496720448"/>
      <w:r>
        <w:rPr>
          <w:rFonts w:hint="eastAsia" w:ascii="Times New Roman" w:hAnsi="Times New Roman" w:cs="宋体"/>
          <w:sz w:val="28"/>
          <w:szCs w:val="28"/>
        </w:rPr>
        <w:t>目的</w:t>
      </w:r>
      <w:bookmarkEnd w:id="11"/>
    </w:p>
    <w:p w14:paraId="663A8485">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br w:type="page"/>
      </w:r>
      <w:r>
        <w:rPr>
          <w:rFonts w:hint="eastAsia" w:ascii="Times New Roman" w:hAnsi="Times New Roman" w:cs="宋体"/>
          <w:sz w:val="21"/>
          <w:szCs w:val="21"/>
        </w:rPr>
        <w:t>本指南文件描述了呼吸暂停监护仪可符合</w:t>
      </w:r>
      <w:r>
        <w:rPr>
          <w:rFonts w:ascii="Times New Roman" w:hAnsi="Times New Roman" w:cs="Times New Roman"/>
          <w:sz w:val="21"/>
          <w:szCs w:val="21"/>
        </w:rPr>
        <w:t>II</w:t>
      </w:r>
      <w:r>
        <w:rPr>
          <w:rFonts w:hint="eastAsia" w:ascii="Times New Roman" w:hAnsi="Times New Roman" w:cs="宋体"/>
          <w:sz w:val="21"/>
          <w:szCs w:val="21"/>
        </w:rPr>
        <w:t>类器械特殊控制要求的方法。本指南文件被指定为特殊控制方法：制造商提交的上市前通知应证实建议器械符合本指南文件的特定建议或一些交替控制可提供安全性和有效性的等效保证。它确定了应纳入</w:t>
      </w:r>
      <w:r>
        <w:rPr>
          <w:rFonts w:ascii="Times New Roman" w:hAnsi="Times New Roman" w:cs="Times New Roman"/>
          <w:sz w:val="21"/>
          <w:szCs w:val="21"/>
        </w:rPr>
        <w:t>510(k)</w:t>
      </w:r>
      <w:r>
        <w:rPr>
          <w:rFonts w:hint="eastAsia" w:ascii="Times New Roman" w:hAnsi="Times New Roman" w:cs="宋体"/>
          <w:sz w:val="21"/>
          <w:szCs w:val="21"/>
        </w:rPr>
        <w:t>上市前通知申请中的相关材料。本文件未描述上市前通知提交件相关所有</w:t>
      </w:r>
      <w:r>
        <w:rPr>
          <w:rFonts w:ascii="Times New Roman" w:hAnsi="Times New Roman" w:cs="Times New Roman"/>
          <w:sz w:val="21"/>
          <w:szCs w:val="21"/>
        </w:rPr>
        <w:t>FDA</w:t>
      </w:r>
      <w:r>
        <w:rPr>
          <w:rFonts w:hint="eastAsia" w:ascii="Times New Roman" w:hAnsi="Times New Roman" w:cs="宋体"/>
          <w:sz w:val="21"/>
          <w:szCs w:val="21"/>
        </w:rPr>
        <w:t>要求。</w:t>
      </w:r>
    </w:p>
    <w:p w14:paraId="570E6201">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本最终分类规格（或对器械进行分类的最终规则（若这是一份建议））的有效日期之后，任何提交呼吸暂停监护仪的</w:t>
      </w:r>
      <w:r>
        <w:rPr>
          <w:rFonts w:ascii="Times New Roman" w:hAnsi="Times New Roman" w:cs="Times New Roman"/>
          <w:sz w:val="21"/>
          <w:szCs w:val="21"/>
        </w:rPr>
        <w:t>510(k)</w:t>
      </w:r>
      <w:r>
        <w:rPr>
          <w:rFonts w:hint="eastAsia" w:ascii="Times New Roman" w:hAnsi="Times New Roman" w:cs="宋体"/>
          <w:sz w:val="21"/>
          <w:szCs w:val="21"/>
        </w:rPr>
        <w:t>上市前通知的公司均需要解决特殊控制指南文件中涵盖的问题。公司必须表明其器械能够通过满足本指南文件的建议或通过可提供安全性和有效性等效保证的一些其他方法来解决本指南文件中确认的安全性和有效性问题。</w:t>
      </w:r>
    </w:p>
    <w:p w14:paraId="6881F194">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12" w:name="_Toc496720449"/>
      <w:r>
        <w:rPr>
          <w:rFonts w:hint="eastAsia" w:ascii="Times New Roman" w:hAnsi="Times New Roman" w:cs="宋体"/>
          <w:sz w:val="21"/>
          <w:szCs w:val="21"/>
          <w:u w:val="double"/>
        </w:rPr>
        <w:t>回到顶部</w:t>
      </w:r>
      <w:bookmarkEnd w:id="12"/>
    </w:p>
    <w:p w14:paraId="59291F32">
      <w:pPr>
        <w:numPr>
          <w:ilvl w:val="0"/>
          <w:numId w:val="1"/>
        </w:numPr>
        <w:pBdr>
          <w:top w:val="single" w:color="BFBFBF" w:sz="12" w:space="1"/>
        </w:pBdr>
        <w:tabs>
          <w:tab w:val="left" w:pos="484"/>
        </w:tabs>
        <w:kinsoku w:val="0"/>
        <w:overflowPunct w:val="0"/>
        <w:snapToGrid w:val="0"/>
        <w:spacing w:afterLines="50" w:line="360" w:lineRule="auto"/>
        <w:ind w:firstLine="0"/>
        <w:jc w:val="both"/>
        <w:outlineLvl w:val="0"/>
        <w:rPr>
          <w:sz w:val="28"/>
          <w:szCs w:val="28"/>
        </w:rPr>
      </w:pPr>
      <w:bookmarkStart w:id="13" w:name="_Toc496720450"/>
      <w:r>
        <w:rPr>
          <w:rFonts w:hint="eastAsia" w:cs="宋体"/>
          <w:b/>
          <w:bCs/>
          <w:sz w:val="28"/>
          <w:szCs w:val="28"/>
        </w:rPr>
        <w:t>背景</w:t>
      </w:r>
      <w:bookmarkEnd w:id="13"/>
    </w:p>
    <w:p w14:paraId="34800553">
      <w:pPr>
        <w:kinsoku w:val="0"/>
        <w:overflowPunct w:val="0"/>
        <w:snapToGrid w:val="0"/>
        <w:spacing w:afterLines="50" w:line="360" w:lineRule="auto"/>
        <w:rPr>
          <w:sz w:val="21"/>
          <w:szCs w:val="21"/>
        </w:rPr>
      </w:pPr>
      <w:r>
        <w:rPr>
          <w:sz w:val="21"/>
          <w:szCs w:val="21"/>
        </w:rPr>
        <w:t>FDA</w:t>
      </w:r>
      <w:r>
        <w:rPr>
          <w:rFonts w:hint="eastAsia" w:cs="宋体"/>
          <w:sz w:val="21"/>
          <w:szCs w:val="21"/>
        </w:rPr>
        <w:t>认为特殊控制与一般控制足以提供这些器械的安全性和有效性的合理保证。因此，预期要销售通用类型器械的制造商必须（</w:t>
      </w:r>
      <w:r>
        <w:rPr>
          <w:sz w:val="21"/>
          <w:szCs w:val="21"/>
        </w:rPr>
        <w:t>1</w:t>
      </w:r>
      <w:r>
        <w:rPr>
          <w:rFonts w:hint="eastAsia" w:cs="宋体"/>
          <w:sz w:val="21"/>
          <w:szCs w:val="21"/>
        </w:rPr>
        <w:t>）符合《联邦食品、药品和化妆品法案》（该法案）的一般控制，其中包括</w:t>
      </w:r>
      <w:r>
        <w:rPr>
          <w:b/>
          <w:bCs/>
          <w:sz w:val="21"/>
          <w:szCs w:val="21"/>
        </w:rPr>
        <w:t>21 CFR 807</w:t>
      </w:r>
      <w:r>
        <w:rPr>
          <w:rFonts w:hint="eastAsia" w:cs="宋体"/>
          <w:b/>
          <w:bCs/>
          <w:sz w:val="21"/>
          <w:szCs w:val="21"/>
        </w:rPr>
        <w:t>（</w:t>
      </w:r>
      <w:r>
        <w:rPr>
          <w:b/>
          <w:bCs/>
          <w:sz w:val="21"/>
          <w:szCs w:val="21"/>
        </w:rPr>
        <w:t>http://www.accessdata.fda.gov/scripts/cdrh/cfdocs/cfcfr/CFRSearch.cfm? CFRPart=807&amp;showFR=1</w:t>
      </w:r>
      <w:r>
        <w:rPr>
          <w:rFonts w:hint="eastAsia" w:cs="宋体"/>
          <w:b/>
          <w:bCs/>
          <w:sz w:val="21"/>
          <w:szCs w:val="21"/>
        </w:rPr>
        <w:t>）</w:t>
      </w:r>
      <w:r>
        <w:rPr>
          <w:rFonts w:hint="eastAsia" w:cs="宋体"/>
          <w:sz w:val="21"/>
          <w:szCs w:val="21"/>
        </w:rPr>
        <w:t>子部分</w:t>
      </w:r>
      <w:r>
        <w:rPr>
          <w:sz w:val="21"/>
          <w:szCs w:val="21"/>
        </w:rPr>
        <w:t>E</w:t>
      </w:r>
      <w:r>
        <w:rPr>
          <w:rFonts w:hint="eastAsia" w:cs="宋体"/>
          <w:sz w:val="21"/>
          <w:szCs w:val="21"/>
        </w:rPr>
        <w:t>所述</w:t>
      </w:r>
      <w:r>
        <w:rPr>
          <w:sz w:val="21"/>
          <w:szCs w:val="21"/>
        </w:rPr>
        <w:t>510(k)</w:t>
      </w:r>
      <w:r>
        <w:rPr>
          <w:rFonts w:hint="eastAsia" w:cs="宋体"/>
          <w:sz w:val="21"/>
          <w:szCs w:val="21"/>
        </w:rPr>
        <w:t>要求，（</w:t>
      </w:r>
      <w:r>
        <w:rPr>
          <w:sz w:val="21"/>
          <w:szCs w:val="21"/>
        </w:rPr>
        <w:t>2</w:t>
      </w:r>
      <w:r>
        <w:rPr>
          <w:rFonts w:hint="eastAsia" w:cs="宋体"/>
          <w:sz w:val="21"/>
          <w:szCs w:val="21"/>
        </w:rPr>
        <w:t>）处理本指南文件中识别出的手术缝合器相关特定健康风险，（</w:t>
      </w:r>
      <w:r>
        <w:rPr>
          <w:sz w:val="21"/>
          <w:szCs w:val="21"/>
        </w:rPr>
        <w:t>3</w:t>
      </w:r>
      <w:r>
        <w:rPr>
          <w:rFonts w:hint="eastAsia" w:cs="宋体"/>
          <w:sz w:val="21"/>
          <w:szCs w:val="21"/>
        </w:rPr>
        <w:t>）在销售器械之前，获取</w:t>
      </w:r>
      <w:r>
        <w:rPr>
          <w:sz w:val="21"/>
          <w:szCs w:val="21"/>
        </w:rPr>
        <w:t>FDA</w:t>
      </w:r>
      <w:r>
        <w:rPr>
          <w:rFonts w:hint="eastAsia" w:cs="宋体"/>
          <w:sz w:val="21"/>
          <w:szCs w:val="21"/>
        </w:rPr>
        <w:t>的实质等同性确定，除非该法案的上市前通知要求中豁免该器械（参考</w:t>
      </w:r>
      <w:r>
        <w:fldChar w:fldCharType="begin"/>
      </w:r>
      <w:r>
        <w:instrText xml:space="preserve"> HYPERLINK "http://www.accessdata.fda.gov/scripts/cdrh/cfdocs/cfcfr/CFRSearch.cfm?FR=807.85" </w:instrText>
      </w:r>
      <w:r>
        <w:fldChar w:fldCharType="separate"/>
      </w:r>
      <w:r>
        <w:rPr>
          <w:b/>
          <w:bCs/>
          <w:sz w:val="21"/>
          <w:szCs w:val="21"/>
          <w:u w:val="double"/>
        </w:rPr>
        <w:t>21CFR807.85</w:t>
      </w:r>
      <w:r>
        <w:rPr>
          <w:rFonts w:hint="eastAsia" w:cs="宋体"/>
          <w:b/>
          <w:bCs/>
          <w:sz w:val="21"/>
          <w:szCs w:val="21"/>
          <w:u w:val="double"/>
        </w:rPr>
        <w:t>（</w:t>
      </w:r>
      <w:r>
        <w:rPr>
          <w:b/>
          <w:bCs/>
          <w:sz w:val="21"/>
          <w:szCs w:val="21"/>
          <w:u w:val="double"/>
        </w:rPr>
        <w:t>http://www.accessdata.fda.gov/scripts/cdrh/cfdocs/cfcfr/CFRSearch.cfm?FR=807.85</w:t>
      </w:r>
      <w:r>
        <w:rPr>
          <w:rFonts w:hint="eastAsia" w:cs="宋体"/>
          <w:b/>
          <w:bCs/>
          <w:sz w:val="21"/>
          <w:szCs w:val="21"/>
          <w:u w:val="double"/>
        </w:rPr>
        <w:t>）</w:t>
      </w:r>
      <w:r>
        <w:rPr>
          <w:rFonts w:hint="eastAsia" w:cs="宋体"/>
          <w:b/>
          <w:bCs/>
          <w:sz w:val="21"/>
          <w:szCs w:val="21"/>
          <w:u w:val="double"/>
        </w:rPr>
        <w:fldChar w:fldCharType="end"/>
      </w:r>
      <w:r>
        <w:rPr>
          <w:rFonts w:hint="eastAsia" w:cs="宋体"/>
          <w:sz w:val="21"/>
          <w:szCs w:val="21"/>
        </w:rPr>
        <w:t>）。</w:t>
      </w:r>
    </w:p>
    <w:p w14:paraId="2D99EA53">
      <w:pPr>
        <w:snapToGrid w:val="0"/>
        <w:spacing w:afterLines="50" w:line="360" w:lineRule="auto"/>
        <w:rPr>
          <w:sz w:val="21"/>
          <w:szCs w:val="21"/>
        </w:rPr>
      </w:pPr>
      <w:r>
        <w:rPr>
          <w:rFonts w:hint="eastAsia" w:cs="宋体"/>
          <w:sz w:val="21"/>
          <w:szCs w:val="21"/>
        </w:rPr>
        <w:t>本特殊控制指南文件确认了器械（</w:t>
      </w:r>
      <w:r>
        <w:rPr>
          <w:rFonts w:hint="eastAsia" w:cs="宋体"/>
          <w:b/>
          <w:bCs/>
          <w:sz w:val="21"/>
          <w:szCs w:val="21"/>
          <w:u w:val="double"/>
        </w:rPr>
        <w:t>参考第</w:t>
      </w:r>
      <w:r>
        <w:rPr>
          <w:b/>
          <w:bCs/>
          <w:sz w:val="21"/>
          <w:szCs w:val="21"/>
          <w:u w:val="double"/>
        </w:rPr>
        <w:t>4</w:t>
      </w:r>
      <w:r>
        <w:rPr>
          <w:rFonts w:hint="eastAsia" w:cs="宋体"/>
          <w:b/>
          <w:bCs/>
          <w:sz w:val="21"/>
          <w:szCs w:val="21"/>
          <w:u w:val="double"/>
        </w:rPr>
        <w:t>节</w:t>
      </w:r>
      <w:r>
        <w:rPr>
          <w:b/>
          <w:bCs/>
          <w:sz w:val="21"/>
          <w:szCs w:val="21"/>
          <w:u w:val="double"/>
        </w:rPr>
        <w:t>–</w:t>
      </w:r>
      <w:r>
        <w:rPr>
          <w:rFonts w:hint="eastAsia" w:cs="宋体"/>
          <w:b/>
          <w:bCs/>
          <w:sz w:val="21"/>
          <w:szCs w:val="21"/>
          <w:u w:val="double"/>
        </w:rPr>
        <w:t>范围</w:t>
      </w:r>
      <w:r>
        <w:rPr>
          <w:rFonts w:hint="eastAsia" w:cs="宋体"/>
          <w:sz w:val="21"/>
          <w:szCs w:val="21"/>
        </w:rPr>
        <w:t>）的分类法规和产品代码。此外，本特殊控制指南文件的其他节列出了</w:t>
      </w:r>
      <w:r>
        <w:rPr>
          <w:sz w:val="21"/>
          <w:szCs w:val="21"/>
        </w:rPr>
        <w:t>FDA</w:t>
      </w:r>
      <w:r>
        <w:rPr>
          <w:rFonts w:hint="eastAsia" w:cs="宋体"/>
          <w:sz w:val="21"/>
          <w:szCs w:val="21"/>
        </w:rPr>
        <w:t>识别出的健康风险，并说明措施（如果制造商遵循）与一般控制通常将能够处理通用类型器械相关风险，并获得及时</w:t>
      </w:r>
      <w:r>
        <w:rPr>
          <w:sz w:val="21"/>
          <w:szCs w:val="21"/>
        </w:rPr>
        <w:t>510(k)</w:t>
      </w:r>
      <w:r>
        <w:rPr>
          <w:rFonts w:hint="eastAsia" w:cs="宋体"/>
          <w:sz w:val="21"/>
          <w:szCs w:val="21"/>
        </w:rPr>
        <w:t>审查和许可。本文件是对其他</w:t>
      </w:r>
      <w:r>
        <w:rPr>
          <w:sz w:val="21"/>
          <w:szCs w:val="21"/>
        </w:rPr>
        <w:t>510(k)</w:t>
      </w:r>
      <w:r>
        <w:rPr>
          <w:rFonts w:hint="eastAsia" w:cs="宋体"/>
          <w:sz w:val="21"/>
          <w:szCs w:val="21"/>
        </w:rPr>
        <w:t>提交件的特定内容要求相关</w:t>
      </w:r>
      <w:r>
        <w:rPr>
          <w:sz w:val="21"/>
          <w:szCs w:val="21"/>
        </w:rPr>
        <w:t>FDA</w:t>
      </w:r>
      <w:r>
        <w:rPr>
          <w:rFonts w:hint="eastAsia" w:cs="宋体"/>
          <w:sz w:val="21"/>
          <w:szCs w:val="21"/>
        </w:rPr>
        <w:t>文件的补充。您还应参考</w:t>
      </w:r>
      <w:r>
        <w:fldChar w:fldCharType="begin"/>
      </w:r>
      <w:r>
        <w:instrText xml:space="preserve"> HYPERLINK "http://www.accessdata.fda.gov/scripts/cdrh/cfdocs/cfcfr/CFRSearch.cfm?FR=807.87" </w:instrText>
      </w:r>
      <w:r>
        <w:fldChar w:fldCharType="separate"/>
      </w:r>
      <w:r>
        <w:rPr>
          <w:b/>
          <w:bCs/>
          <w:sz w:val="21"/>
          <w:szCs w:val="21"/>
          <w:u w:val="double"/>
        </w:rPr>
        <w:t>21CFR807.87</w:t>
      </w:r>
      <w:r>
        <w:rPr>
          <w:rFonts w:hint="eastAsia" w:cs="宋体"/>
          <w:b/>
          <w:bCs/>
          <w:sz w:val="21"/>
          <w:szCs w:val="21"/>
          <w:u w:val="double"/>
        </w:rPr>
        <w:t>（</w:t>
      </w:r>
      <w:r>
        <w:rPr>
          <w:b/>
          <w:bCs/>
          <w:sz w:val="21"/>
          <w:szCs w:val="21"/>
          <w:u w:val="double"/>
        </w:rPr>
        <w:t>http://www.accessdata.fda.gov/scripts/cdrh/cfdocs/cfcfr/CFRSearch.cfm?FR=807.87</w:t>
      </w:r>
      <w:r>
        <w:rPr>
          <w:rFonts w:hint="eastAsia" w:cs="宋体"/>
          <w:b/>
          <w:bCs/>
          <w:sz w:val="21"/>
          <w:szCs w:val="21"/>
          <w:u w:val="double"/>
        </w:rPr>
        <w:t>）</w:t>
      </w:r>
      <w:r>
        <w:rPr>
          <w:rFonts w:hint="eastAsia" w:cs="宋体"/>
          <w:b/>
          <w:bCs/>
          <w:sz w:val="21"/>
          <w:szCs w:val="21"/>
          <w:u w:val="double"/>
        </w:rPr>
        <w:fldChar w:fldCharType="end"/>
      </w:r>
      <w:r>
        <w:rPr>
          <w:rFonts w:hint="eastAsia" w:cs="宋体"/>
          <w:sz w:val="21"/>
          <w:szCs w:val="21"/>
        </w:rPr>
        <w:t>和该主题相关其他管理局文件，例如：</w:t>
      </w:r>
      <w:r>
        <w:fldChar w:fldCharType="begin"/>
      </w:r>
      <w:r>
        <w:instrText xml:space="preserve"> HYPERLINK "https://www.fda.gov/MedicalDevices/DeviceRegulationandGuidance/HowtoMarketYourDevice/PremarketSubmissions/PremarketNotification510k/default.htm" </w:instrText>
      </w:r>
      <w:r>
        <w:fldChar w:fldCharType="separate"/>
      </w:r>
      <w:r>
        <w:rPr>
          <w:rFonts w:hint="eastAsia" w:cs="宋体"/>
          <w:b/>
          <w:bCs/>
          <w:sz w:val="21"/>
          <w:szCs w:val="21"/>
          <w:u w:val="double"/>
        </w:rPr>
        <w:t>上市前通知</w:t>
      </w:r>
      <w:r>
        <w:rPr>
          <w:b/>
          <w:bCs/>
          <w:sz w:val="21"/>
          <w:szCs w:val="21"/>
          <w:u w:val="double"/>
        </w:rPr>
        <w:t>510(k)</w:t>
      </w:r>
      <w:r>
        <w:rPr>
          <w:rFonts w:hint="eastAsia" w:cs="宋体"/>
          <w:b/>
          <w:bCs/>
          <w:sz w:val="21"/>
          <w:szCs w:val="21"/>
          <w:u w:val="double"/>
        </w:rPr>
        <w:t>（</w:t>
      </w:r>
      <w:r>
        <w:rPr>
          <w:b/>
          <w:bCs/>
          <w:sz w:val="21"/>
          <w:szCs w:val="21"/>
          <w:u w:val="double"/>
        </w:rPr>
        <w:t>/MedicalDevices/DeviceRegulationandGuidance/HowtoMarketYourDevice/PremarketSubmissions/PremarketNotification510k/default.htm</w:t>
      </w:r>
      <w:r>
        <w:rPr>
          <w:rFonts w:hint="eastAsia" w:cs="宋体"/>
          <w:b/>
          <w:bCs/>
          <w:sz w:val="21"/>
          <w:szCs w:val="21"/>
          <w:u w:val="double"/>
        </w:rPr>
        <w:t>）</w:t>
      </w:r>
      <w:r>
        <w:rPr>
          <w:rFonts w:hint="eastAsia" w:cs="宋体"/>
          <w:b/>
          <w:bCs/>
          <w:sz w:val="21"/>
          <w:szCs w:val="21"/>
          <w:u w:val="double"/>
        </w:rPr>
        <w:fldChar w:fldCharType="end"/>
      </w:r>
      <w:r>
        <w:rPr>
          <w:rFonts w:hint="eastAsia" w:cs="宋体"/>
          <w:sz w:val="21"/>
          <w:szCs w:val="21"/>
        </w:rPr>
        <w:t>。</w:t>
      </w:r>
    </w:p>
    <w:p w14:paraId="535F0878">
      <w:pPr>
        <w:kinsoku w:val="0"/>
        <w:overflowPunct w:val="0"/>
        <w:snapToGrid w:val="0"/>
        <w:spacing w:afterLines="50" w:line="360" w:lineRule="auto"/>
        <w:jc w:val="both"/>
        <w:rPr>
          <w:sz w:val="21"/>
          <w:szCs w:val="21"/>
        </w:rPr>
      </w:pPr>
      <w:r>
        <w:rPr>
          <w:sz w:val="21"/>
          <w:szCs w:val="21"/>
        </w:rPr>
        <w:br w:type="page"/>
      </w:r>
      <w:r>
        <w:rPr>
          <w:rFonts w:hint="eastAsia" w:cs="宋体"/>
          <w:sz w:val="21"/>
          <w:szCs w:val="21"/>
        </w:rPr>
        <w:t>依据“</w:t>
      </w:r>
      <w:r>
        <w:rPr>
          <w:rFonts w:hint="eastAsia" w:cs="宋体"/>
          <w:b/>
          <w:bCs/>
          <w:sz w:val="21"/>
          <w:szCs w:val="21"/>
        </w:rPr>
        <w:t>新</w:t>
      </w:r>
      <w:r>
        <w:rPr>
          <w:b/>
          <w:bCs/>
          <w:sz w:val="21"/>
          <w:szCs w:val="21"/>
        </w:rPr>
        <w:t>510(k)</w:t>
      </w:r>
      <w:r>
        <w:rPr>
          <w:rFonts w:hint="eastAsia" w:cs="宋体"/>
          <w:b/>
          <w:bCs/>
          <w:sz w:val="21"/>
          <w:szCs w:val="21"/>
        </w:rPr>
        <w:t>模式</w:t>
      </w:r>
      <w:r>
        <w:rPr>
          <w:b/>
          <w:bCs/>
          <w:sz w:val="21"/>
          <w:szCs w:val="21"/>
        </w:rPr>
        <w:t>—</w:t>
      </w:r>
      <w:r>
        <w:rPr>
          <w:rFonts w:hint="eastAsia" w:cs="宋体"/>
          <w:b/>
          <w:bCs/>
          <w:sz w:val="21"/>
          <w:szCs w:val="21"/>
        </w:rPr>
        <w:t>用于在上市前通知中证实实质等同性的替代方法；最终指南文件</w:t>
      </w:r>
      <w:r>
        <w:rPr>
          <w:b/>
          <w:bCs/>
          <w:sz w:val="21"/>
          <w:szCs w:val="21"/>
          <w:vertAlign w:val="superscript"/>
        </w:rPr>
        <w:t>1</w:t>
      </w:r>
      <w:r>
        <w:rPr>
          <w:rFonts w:hint="eastAsia" w:cs="宋体"/>
          <w:sz w:val="21"/>
          <w:szCs w:val="21"/>
        </w:rPr>
        <w:t>”，制造商可提交传统</w:t>
      </w:r>
      <w:r>
        <w:rPr>
          <w:sz w:val="21"/>
          <w:szCs w:val="21"/>
        </w:rPr>
        <w:t>510(k)</w:t>
      </w:r>
      <w:r>
        <w:rPr>
          <w:rFonts w:hint="eastAsia" w:cs="宋体"/>
          <w:sz w:val="21"/>
          <w:szCs w:val="21"/>
        </w:rPr>
        <w:t>，也可选择提交简易510</w:t>
      </w:r>
      <w:r>
        <w:rPr>
          <w:sz w:val="21"/>
          <w:szCs w:val="21"/>
        </w:rPr>
        <w:t>(k)</w:t>
      </w:r>
      <w:r>
        <w:rPr>
          <w:rFonts w:hint="eastAsia" w:cs="宋体"/>
          <w:sz w:val="21"/>
          <w:szCs w:val="21"/>
        </w:rPr>
        <w:t>或特殊</w:t>
      </w:r>
      <w:r>
        <w:rPr>
          <w:sz w:val="21"/>
          <w:szCs w:val="21"/>
        </w:rPr>
        <w:t>510(k)</w:t>
      </w:r>
      <w:r>
        <w:rPr>
          <w:rFonts w:hint="eastAsia" w:cs="宋体"/>
          <w:sz w:val="21"/>
          <w:szCs w:val="21"/>
        </w:rPr>
        <w:t>。</w:t>
      </w:r>
      <w:r>
        <w:rPr>
          <w:sz w:val="21"/>
          <w:szCs w:val="21"/>
        </w:rPr>
        <w:t>FDA</w:t>
      </w:r>
      <w:r>
        <w:rPr>
          <w:rFonts w:hint="eastAsia" w:cs="宋体"/>
          <w:sz w:val="21"/>
          <w:szCs w:val="21"/>
        </w:rPr>
        <w:t>认为简易510</w:t>
      </w:r>
      <w:r>
        <w:rPr>
          <w:sz w:val="21"/>
          <w:szCs w:val="21"/>
        </w:rPr>
        <w:t>(k)</w:t>
      </w:r>
      <w:r>
        <w:rPr>
          <w:rFonts w:hint="eastAsia" w:cs="宋体"/>
          <w:sz w:val="21"/>
          <w:szCs w:val="21"/>
        </w:rPr>
        <w:t>提供了一种最简易方法，证实新器械的实质等同性，尤其是在发布</w:t>
      </w:r>
      <w:r>
        <w:rPr>
          <w:sz w:val="21"/>
          <w:szCs w:val="21"/>
        </w:rPr>
        <w:t>II</w:t>
      </w:r>
      <w:r>
        <w:rPr>
          <w:rFonts w:hint="eastAsia" w:cs="宋体"/>
          <w:sz w:val="21"/>
          <w:szCs w:val="21"/>
        </w:rPr>
        <w:t>类特殊控制指南文件之后。考虑改造其获认可器械的制造商可通过提交特殊</w:t>
      </w:r>
      <w:r>
        <w:rPr>
          <w:sz w:val="21"/>
          <w:szCs w:val="21"/>
        </w:rPr>
        <w:t>510(k)</w:t>
      </w:r>
      <w:r>
        <w:rPr>
          <w:rFonts w:hint="eastAsia" w:cs="宋体"/>
          <w:sz w:val="21"/>
          <w:szCs w:val="21"/>
        </w:rPr>
        <w:t>减少法规负担。</w:t>
      </w:r>
    </w:p>
    <w:p w14:paraId="5EDD5FDC">
      <w:pPr>
        <w:pStyle w:val="3"/>
        <w:kinsoku w:val="0"/>
        <w:overflowPunct w:val="0"/>
        <w:snapToGrid w:val="0"/>
        <w:spacing w:afterLines="50" w:line="360" w:lineRule="auto"/>
        <w:ind w:left="0"/>
        <w:jc w:val="both"/>
        <w:rPr>
          <w:rFonts w:ascii="Times New Roman" w:hAnsi="Times New Roman" w:cs="Times New Roman"/>
          <w:b w:val="0"/>
          <w:bCs w:val="0"/>
          <w:sz w:val="21"/>
          <w:szCs w:val="21"/>
        </w:rPr>
      </w:pPr>
      <w:r>
        <w:rPr>
          <w:rFonts w:hint="eastAsia" w:ascii="Times New Roman" w:hAnsi="Times New Roman" w:cs="宋体"/>
          <w:sz w:val="21"/>
          <w:szCs w:val="21"/>
        </w:rPr>
        <w:t>最简易方法</w:t>
      </w:r>
    </w:p>
    <w:p w14:paraId="590A935D">
      <w:pPr>
        <w:pStyle w:val="5"/>
        <w:kinsoku w:val="0"/>
        <w:overflowPunct w:val="0"/>
        <w:snapToGrid w:val="0"/>
        <w:spacing w:afterLines="50" w:line="360" w:lineRule="auto"/>
        <w:ind w:left="0"/>
        <w:rPr>
          <w:rFonts w:ascii="Times New Roman" w:hAnsi="Times New Roman" w:cs="Times New Roman"/>
          <w:sz w:val="21"/>
          <w:szCs w:val="21"/>
        </w:rPr>
      </w:pPr>
      <w:r>
        <w:rPr>
          <w:rFonts w:hint="eastAsia" w:ascii="Times New Roman" w:hAnsi="Times New Roman" w:cs="宋体"/>
          <w:sz w:val="21"/>
          <w:szCs w:val="21"/>
        </w:rPr>
        <w:t>本指南文件中识别出的问题代表我们认为需要在器械上市之前解决的问题。在开发指南文件的过程中，我们仔细考虑了供管理局决策的相关法定标准。我们还考虑了您在尝试通过指南文件中建议的方式符合法定和监管标准以及尝试解决我们识别出的问题时所产生的负担。我们认为我们已经考虑到最简易方法来解决本指南文件所示问题。但如果您认为有可用于解决问题的较简单方法，则应遵循“</w:t>
      </w:r>
      <w:r>
        <w:fldChar w:fldCharType="begin"/>
      </w:r>
      <w:r>
        <w:instrText xml:space="preserve"> HYPERLINK "https://www.fda.gov/MedicalDevices/DeviceRegulationandGuidance/Overview/MedicalDeviceProvisionsofFDAModernizationAct/ucm136685.htm" </w:instrText>
      </w:r>
      <w:r>
        <w:fldChar w:fldCharType="separate"/>
      </w:r>
      <w:r>
        <w:rPr>
          <w:rFonts w:hint="eastAsia" w:ascii="Times New Roman" w:hAnsi="Times New Roman" w:cs="宋体"/>
          <w:b/>
          <w:bCs/>
          <w:sz w:val="21"/>
          <w:szCs w:val="21"/>
          <w:u w:val="double"/>
        </w:rPr>
        <w:t>用于解决负担最少问题的建议方法</w:t>
      </w:r>
      <w:r>
        <w:rPr>
          <w:rFonts w:hint="eastAsia" w:ascii="Times New Roman" w:hAnsi="Times New Roman" w:cs="宋体"/>
          <w:b/>
          <w:bCs/>
          <w:sz w:val="21"/>
          <w:szCs w:val="21"/>
          <w:u w:val="double"/>
        </w:rPr>
        <w:fldChar w:fldCharType="end"/>
      </w:r>
      <w:r>
        <w:rPr>
          <w:rFonts w:hint="eastAsia" w:ascii="Times New Roman" w:hAnsi="Times New Roman" w:cs="宋体"/>
          <w:b/>
          <w:bCs/>
          <w:sz w:val="21"/>
          <w:szCs w:val="21"/>
          <w:u w:val="double"/>
        </w:rPr>
        <w:t>（</w:t>
      </w:r>
      <w:r>
        <w:rPr>
          <w:rFonts w:ascii="Times New Roman" w:hAnsi="Times New Roman" w:cs="Times New Roman"/>
          <w:b/>
          <w:bCs/>
          <w:sz w:val="21"/>
          <w:szCs w:val="21"/>
          <w:u w:val="double"/>
        </w:rPr>
        <w:t>/MedicalDevices/DeviceRegulationandGuidance/Overview/MedicalDeviceProvisionsofFD AModernizationAct/ucm136685.htm</w:t>
      </w:r>
      <w:r>
        <w:rPr>
          <w:rFonts w:hint="eastAsia" w:ascii="Times New Roman" w:hAnsi="Times New Roman" w:cs="宋体"/>
          <w:b/>
          <w:bCs/>
          <w:sz w:val="21"/>
          <w:szCs w:val="21"/>
          <w:u w:val="double"/>
        </w:rPr>
        <w:t>）</w:t>
      </w:r>
      <w:r>
        <w:rPr>
          <w:rFonts w:hint="eastAsia" w:ascii="Times New Roman" w:hAnsi="Times New Roman" w:cs="宋体"/>
          <w:sz w:val="21"/>
          <w:szCs w:val="21"/>
        </w:rPr>
        <w:t>”文件所述程序。</w:t>
      </w:r>
    </w:p>
    <w:p w14:paraId="4A8604ED">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14" w:name="_Toc496720452"/>
      <w:r>
        <w:rPr>
          <w:rFonts w:hint="eastAsia" w:ascii="Times New Roman" w:hAnsi="Times New Roman" w:cs="宋体"/>
          <w:sz w:val="21"/>
          <w:szCs w:val="21"/>
          <w:u w:val="double"/>
        </w:rPr>
        <w:t>回到顶部</w:t>
      </w:r>
      <w:bookmarkEnd w:id="14"/>
    </w:p>
    <w:p w14:paraId="3E83246A">
      <w:pPr>
        <w:numPr>
          <w:ilvl w:val="0"/>
          <w:numId w:val="1"/>
        </w:numPr>
        <w:pBdr>
          <w:top w:val="single" w:color="BFBFBF" w:sz="12" w:space="1"/>
        </w:pBdr>
        <w:tabs>
          <w:tab w:val="left" w:pos="484"/>
        </w:tabs>
        <w:kinsoku w:val="0"/>
        <w:overflowPunct w:val="0"/>
        <w:snapToGrid w:val="0"/>
        <w:spacing w:afterLines="50" w:line="360" w:lineRule="auto"/>
        <w:ind w:firstLine="0"/>
        <w:jc w:val="both"/>
        <w:outlineLvl w:val="0"/>
        <w:rPr>
          <w:sz w:val="28"/>
          <w:szCs w:val="28"/>
        </w:rPr>
      </w:pPr>
      <w:bookmarkStart w:id="15" w:name="_Toc496720453"/>
      <w:r>
        <w:rPr>
          <w:rFonts w:hint="eastAsia" w:cs="宋体"/>
          <w:b/>
          <w:bCs/>
          <w:sz w:val="28"/>
          <w:szCs w:val="28"/>
        </w:rPr>
        <w:t>简易510</w:t>
      </w:r>
      <w:r>
        <w:rPr>
          <w:b/>
          <w:bCs/>
          <w:sz w:val="28"/>
          <w:szCs w:val="28"/>
        </w:rPr>
        <w:t>(k)</w:t>
      </w:r>
      <w:r>
        <w:rPr>
          <w:rFonts w:hint="eastAsia" w:cs="宋体"/>
          <w:b/>
          <w:bCs/>
          <w:sz w:val="28"/>
          <w:szCs w:val="28"/>
        </w:rPr>
        <w:t>提交件的内容和格式</w:t>
      </w:r>
      <w:bookmarkEnd w:id="15"/>
    </w:p>
    <w:p w14:paraId="0B6A9549">
      <w:pPr>
        <w:pStyle w:val="5"/>
        <w:kinsoku w:val="0"/>
        <w:overflowPunct w:val="0"/>
        <w:snapToGrid w:val="0"/>
        <w:spacing w:afterLines="50" w:line="360" w:lineRule="auto"/>
        <w:ind w:left="0"/>
        <w:rPr>
          <w:rFonts w:ascii="Times New Roman" w:hAnsi="Times New Roman" w:cs="Times New Roman"/>
          <w:sz w:val="21"/>
          <w:szCs w:val="21"/>
        </w:rPr>
      </w:pPr>
      <w:r>
        <w:rPr>
          <w:rFonts w:hint="eastAsia" w:ascii="Times New Roman" w:hAnsi="Times New Roman" w:cs="宋体"/>
          <w:sz w:val="21"/>
          <w:szCs w:val="21"/>
        </w:rPr>
        <w:t>简易510</w:t>
      </w:r>
      <w:r>
        <w:rPr>
          <w:rFonts w:ascii="Times New Roman" w:hAnsi="Times New Roman" w:cs="Times New Roman"/>
          <w:sz w:val="21"/>
          <w:szCs w:val="21"/>
        </w:rPr>
        <w:t>(k)</w:t>
      </w:r>
      <w:r>
        <w:rPr>
          <w:rFonts w:hint="eastAsia" w:ascii="Times New Roman" w:hAnsi="Times New Roman" w:cs="宋体"/>
          <w:sz w:val="21"/>
          <w:szCs w:val="21"/>
        </w:rPr>
        <w:t>提交件必须包含</w:t>
      </w:r>
      <w:r>
        <w:fldChar w:fldCharType="begin"/>
      </w:r>
      <w:r>
        <w:instrText xml:space="preserve"> HYPERLINK "http://www.accessdata.fda.gov/scripts/cdrh/cfdocs/cfcfr/CFRSearch.cfm?FR=807.87" </w:instrText>
      </w:r>
      <w:r>
        <w:fldChar w:fldCharType="separate"/>
      </w:r>
      <w:r>
        <w:rPr>
          <w:rFonts w:ascii="Times New Roman" w:hAnsi="Times New Roman" w:cs="Times New Roman"/>
          <w:b/>
          <w:bCs/>
          <w:sz w:val="21"/>
          <w:szCs w:val="21"/>
          <w:u w:val="double"/>
        </w:rPr>
        <w:t>21CFR807.87</w:t>
      </w:r>
      <w:r>
        <w:rPr>
          <w:rFonts w:hint="eastAsia" w:ascii="Times New Roman" w:hAnsi="Times New Roman" w:cs="宋体"/>
          <w:b/>
          <w:bCs/>
          <w:sz w:val="21"/>
          <w:szCs w:val="21"/>
          <w:u w:val="double"/>
        </w:rPr>
        <w:t>（</w:t>
      </w:r>
      <w:r>
        <w:rPr>
          <w:rFonts w:ascii="Times New Roman" w:hAnsi="Times New Roman" w:cs="Times New Roman"/>
          <w:b/>
          <w:bCs/>
          <w:sz w:val="21"/>
          <w:szCs w:val="21"/>
          <w:u w:val="double"/>
        </w:rPr>
        <w:t>http://www.accessdata.fda.gov/scripts/cdrh/cfdocs/cfcfr/CFRSearch.cfm?FR=807.87</w:t>
      </w:r>
      <w:r>
        <w:rPr>
          <w:rFonts w:hint="eastAsia" w:ascii="Times New Roman" w:hAnsi="Times New Roman" w:cs="宋体"/>
          <w:b/>
          <w:bCs/>
          <w:sz w:val="21"/>
          <w:szCs w:val="21"/>
          <w:u w:val="double"/>
        </w:rPr>
        <w:t>）</w:t>
      </w:r>
      <w:r>
        <w:rPr>
          <w:rFonts w:hint="eastAsia" w:ascii="Times New Roman" w:hAnsi="Times New Roman" w:cs="宋体"/>
          <w:b/>
          <w:bCs/>
          <w:sz w:val="21"/>
          <w:szCs w:val="21"/>
          <w:u w:val="double"/>
        </w:rPr>
        <w:fldChar w:fldCharType="end"/>
      </w:r>
      <w:r>
        <w:rPr>
          <w:rFonts w:hint="eastAsia" w:ascii="Times New Roman" w:hAnsi="Times New Roman" w:cs="宋体"/>
          <w:sz w:val="21"/>
          <w:szCs w:val="21"/>
        </w:rPr>
        <w:t>中确认的所需元素，其中包括足以说明器械、其预期用途和使用说明的建议器械标签。在简易510</w:t>
      </w:r>
      <w:r>
        <w:rPr>
          <w:rFonts w:ascii="Times New Roman" w:hAnsi="Times New Roman" w:cs="Times New Roman"/>
          <w:sz w:val="21"/>
          <w:szCs w:val="21"/>
        </w:rPr>
        <w:t>(k)</w:t>
      </w:r>
      <w:r>
        <w:rPr>
          <w:rFonts w:hint="eastAsia" w:ascii="Times New Roman" w:hAnsi="Times New Roman" w:cs="宋体"/>
          <w:sz w:val="21"/>
          <w:szCs w:val="21"/>
        </w:rPr>
        <w:t>中，</w:t>
      </w:r>
      <w:r>
        <w:rPr>
          <w:rFonts w:ascii="Times New Roman" w:hAnsi="Times New Roman" w:cs="Times New Roman"/>
          <w:sz w:val="21"/>
          <w:szCs w:val="21"/>
        </w:rPr>
        <w:t>FDA</w:t>
      </w:r>
      <w:r>
        <w:rPr>
          <w:rFonts w:hint="eastAsia" w:ascii="Times New Roman" w:hAnsi="Times New Roman" w:cs="宋体"/>
          <w:sz w:val="21"/>
          <w:szCs w:val="21"/>
        </w:rPr>
        <w:t>会认为总结报告的内容是</w:t>
      </w:r>
      <w:r>
        <w:rPr>
          <w:rFonts w:ascii="Times New Roman" w:hAnsi="Times New Roman" w:cs="Times New Roman"/>
          <w:sz w:val="21"/>
          <w:szCs w:val="21"/>
        </w:rPr>
        <w:t>21 CFR 807.87(f)</w:t>
      </w:r>
      <w:r>
        <w:rPr>
          <w:rFonts w:hint="eastAsia" w:ascii="Times New Roman" w:hAnsi="Times New Roman" w:cs="宋体"/>
          <w:sz w:val="21"/>
          <w:szCs w:val="21"/>
        </w:rPr>
        <w:t>或</w:t>
      </w:r>
      <w:r>
        <w:rPr>
          <w:rFonts w:ascii="Times New Roman" w:hAnsi="Times New Roman" w:cs="Times New Roman"/>
          <w:sz w:val="21"/>
          <w:szCs w:val="21"/>
        </w:rPr>
        <w:t>(g)</w:t>
      </w:r>
      <w:r>
        <w:rPr>
          <w:rFonts w:hint="eastAsia" w:ascii="Times New Roman" w:hAnsi="Times New Roman" w:cs="宋体"/>
          <w:sz w:val="21"/>
          <w:szCs w:val="21"/>
        </w:rPr>
        <w:t>的含义中的适当支持数据；因此，您应纳入总结报告。报告应说明如何在器械开发和测试过程中使用本特殊控制指南文件，并应简要说明所采用方法或测试和被应用于解决本指南文件中所识别出风险以及任何其他器械特定风险的测试数据的总结或验收标准的描述。本节建议信息符合</w:t>
      </w:r>
      <w:r>
        <w:rPr>
          <w:rFonts w:ascii="Times New Roman" w:hAnsi="Times New Roman" w:cs="Times New Roman"/>
          <w:sz w:val="21"/>
          <w:szCs w:val="21"/>
        </w:rPr>
        <w:t>807.87</w:t>
      </w:r>
      <w:r>
        <w:rPr>
          <w:rFonts w:hint="eastAsia" w:ascii="Times New Roman" w:hAnsi="Times New Roman" w:cs="宋体"/>
          <w:sz w:val="21"/>
          <w:szCs w:val="21"/>
        </w:rPr>
        <w:t>的一些要求以及应包含在简易510</w:t>
      </w:r>
      <w:r>
        <w:rPr>
          <w:rFonts w:ascii="Times New Roman" w:hAnsi="Times New Roman" w:cs="Times New Roman"/>
          <w:sz w:val="21"/>
          <w:szCs w:val="21"/>
        </w:rPr>
        <w:t>(k)</w:t>
      </w:r>
      <w:r>
        <w:rPr>
          <w:rFonts w:hint="eastAsia" w:ascii="Times New Roman" w:hAnsi="Times New Roman" w:cs="宋体"/>
          <w:sz w:val="21"/>
          <w:szCs w:val="21"/>
        </w:rPr>
        <w:t>中的一些其他项目。</w:t>
      </w:r>
    </w:p>
    <w:p w14:paraId="6C69371E">
      <w:pPr>
        <w:pStyle w:val="3"/>
        <w:kinsoku w:val="0"/>
        <w:overflowPunct w:val="0"/>
        <w:snapToGrid w:val="0"/>
        <w:spacing w:afterLines="50" w:line="360" w:lineRule="auto"/>
        <w:ind w:left="0"/>
        <w:jc w:val="both"/>
        <w:rPr>
          <w:rFonts w:ascii="Times New Roman" w:hAnsi="Times New Roman" w:cs="Times New Roman"/>
          <w:b w:val="0"/>
          <w:bCs w:val="0"/>
          <w:sz w:val="21"/>
          <w:szCs w:val="21"/>
        </w:rPr>
      </w:pPr>
      <w:r>
        <w:rPr>
          <w:rFonts w:ascii="Times New Roman" w:hAnsi="Times New Roman" w:cs="Times New Roman"/>
          <w:sz w:val="21"/>
          <w:szCs w:val="21"/>
        </w:rPr>
        <w:br w:type="page"/>
      </w:r>
      <w:bookmarkStart w:id="16" w:name="_Toc496720454"/>
      <w:r>
        <w:rPr>
          <w:rFonts w:hint="eastAsia" w:ascii="Times New Roman" w:hAnsi="Times New Roman" w:cs="宋体"/>
          <w:sz w:val="21"/>
          <w:szCs w:val="21"/>
        </w:rPr>
        <w:t>封面</w:t>
      </w:r>
      <w:bookmarkEnd w:id="16"/>
    </w:p>
    <w:p w14:paraId="06AEC6CF">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封面应将提交件明确确定为简易510</w:t>
      </w:r>
      <w:r>
        <w:rPr>
          <w:rFonts w:ascii="Times New Roman" w:hAnsi="Times New Roman" w:cs="Times New Roman"/>
          <w:sz w:val="21"/>
          <w:szCs w:val="21"/>
        </w:rPr>
        <w:t>(k)</w:t>
      </w:r>
      <w:r>
        <w:rPr>
          <w:rFonts w:hint="eastAsia" w:ascii="Times New Roman" w:hAnsi="Times New Roman" w:cs="宋体"/>
          <w:sz w:val="21"/>
          <w:szCs w:val="21"/>
        </w:rPr>
        <w:t>，并引用本</w:t>
      </w:r>
      <w:r>
        <w:rPr>
          <w:rFonts w:ascii="Times New Roman" w:hAnsi="Times New Roman" w:cs="Times New Roman"/>
          <w:sz w:val="21"/>
          <w:szCs w:val="21"/>
        </w:rPr>
        <w:t>II</w:t>
      </w:r>
      <w:r>
        <w:rPr>
          <w:rFonts w:hint="eastAsia" w:ascii="Times New Roman" w:hAnsi="Times New Roman" w:cs="宋体"/>
          <w:sz w:val="21"/>
          <w:szCs w:val="21"/>
        </w:rPr>
        <w:t>类特殊控制指南文件的标题。</w:t>
      </w:r>
    </w:p>
    <w:p w14:paraId="1648CDC0">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17" w:name="_Toc496720455"/>
      <w:r>
        <w:rPr>
          <w:rFonts w:hint="eastAsia" w:ascii="Times New Roman" w:hAnsi="Times New Roman" w:cs="宋体"/>
          <w:sz w:val="21"/>
          <w:szCs w:val="21"/>
        </w:rPr>
        <w:t>建议标签</w:t>
      </w:r>
      <w:bookmarkEnd w:id="17"/>
    </w:p>
    <w:p w14:paraId="029FA479">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建议标签应足以说明器械、其预期用途和使用说明。（有关本指南文件所涵盖类型器械的标签中应包含的特定信息，参考第</w:t>
      </w:r>
      <w:r>
        <w:rPr>
          <w:rFonts w:ascii="Times New Roman" w:hAnsi="Times New Roman" w:cs="Times New Roman"/>
          <w:sz w:val="21"/>
          <w:szCs w:val="21"/>
        </w:rPr>
        <w:t>15</w:t>
      </w:r>
      <w:r>
        <w:rPr>
          <w:rFonts w:hint="eastAsia" w:ascii="Times New Roman" w:hAnsi="Times New Roman" w:cs="宋体"/>
          <w:sz w:val="21"/>
          <w:szCs w:val="21"/>
        </w:rPr>
        <w:t>节。）</w:t>
      </w:r>
    </w:p>
    <w:p w14:paraId="4CA5EFD2">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18" w:name="_Toc496720456"/>
      <w:r>
        <w:rPr>
          <w:rFonts w:hint="eastAsia" w:ascii="Times New Roman" w:hAnsi="Times New Roman" w:cs="宋体"/>
          <w:sz w:val="21"/>
          <w:szCs w:val="21"/>
        </w:rPr>
        <w:t>总结报告</w:t>
      </w:r>
      <w:bookmarkEnd w:id="18"/>
    </w:p>
    <w:p w14:paraId="2C0B4875">
      <w:pPr>
        <w:pStyle w:val="5"/>
        <w:numPr>
          <w:ilvl w:val="0"/>
          <w:numId w:val="2"/>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总结报告应包含：</w:t>
      </w:r>
    </w:p>
    <w:p w14:paraId="28D63463">
      <w:pPr>
        <w:pStyle w:val="5"/>
        <w:numPr>
          <w:ilvl w:val="0"/>
          <w:numId w:val="2"/>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器械及其预期用途的描述。描述应包含性能规格的完整讨论，并且在适当情况下，还应包含器械的详细、带标记图纸。您还应提交“使用适应症”附件。</w:t>
      </w:r>
      <w:r>
        <w:rPr>
          <w:rFonts w:ascii="Times New Roman" w:hAnsi="Times New Roman" w:cs="Times New Roman"/>
          <w:sz w:val="21"/>
          <w:szCs w:val="21"/>
          <w:vertAlign w:val="superscript"/>
        </w:rPr>
        <w:t>2</w:t>
      </w:r>
    </w:p>
    <w:p w14:paraId="685C2AF7">
      <w:pPr>
        <w:pStyle w:val="5"/>
        <w:numPr>
          <w:ilvl w:val="0"/>
          <w:numId w:val="2"/>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器械设计需求的描述</w:t>
      </w:r>
    </w:p>
    <w:p w14:paraId="4F81D642">
      <w:pPr>
        <w:pStyle w:val="5"/>
        <w:numPr>
          <w:ilvl w:val="0"/>
          <w:numId w:val="2"/>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用于评估一般以及特定器械设计中风险概况的风险分析方法的确认和分析结果。（有关</w:t>
      </w:r>
      <w:r>
        <w:rPr>
          <w:rFonts w:ascii="Times New Roman" w:hAnsi="Times New Roman" w:cs="Times New Roman"/>
          <w:sz w:val="21"/>
          <w:szCs w:val="21"/>
        </w:rPr>
        <w:t>FDA</w:t>
      </w:r>
      <w:r>
        <w:rPr>
          <w:rFonts w:hint="eastAsia" w:ascii="Times New Roman" w:hAnsi="Times New Roman" w:cs="宋体"/>
          <w:sz w:val="21"/>
          <w:szCs w:val="21"/>
        </w:rPr>
        <w:t>已经识别出的通常与该器械的使用相关的健康风险，参考第</w:t>
      </w:r>
      <w:r>
        <w:rPr>
          <w:rFonts w:ascii="Times New Roman" w:hAnsi="Times New Roman" w:cs="Times New Roman"/>
          <w:sz w:val="21"/>
          <w:szCs w:val="21"/>
        </w:rPr>
        <w:t>5</w:t>
      </w:r>
      <w:r>
        <w:rPr>
          <w:rFonts w:hint="eastAsia" w:ascii="Times New Roman" w:hAnsi="Times New Roman" w:cs="宋体"/>
          <w:sz w:val="21"/>
          <w:szCs w:val="21"/>
        </w:rPr>
        <w:t>节。）</w:t>
      </w:r>
    </w:p>
    <w:p w14:paraId="3B4F6437">
      <w:pPr>
        <w:pStyle w:val="5"/>
        <w:numPr>
          <w:ilvl w:val="0"/>
          <w:numId w:val="2"/>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可解决本</w:t>
      </w:r>
      <w:r>
        <w:rPr>
          <w:rFonts w:ascii="Times New Roman" w:hAnsi="Times New Roman" w:cs="Times New Roman"/>
          <w:sz w:val="21"/>
          <w:szCs w:val="21"/>
        </w:rPr>
        <w:t>II</w:t>
      </w:r>
      <w:r>
        <w:rPr>
          <w:rFonts w:hint="eastAsia" w:ascii="Times New Roman" w:hAnsi="Times New Roman" w:cs="宋体"/>
          <w:sz w:val="21"/>
          <w:szCs w:val="21"/>
        </w:rPr>
        <w:t>类特殊控制指南文件中所识别出风险以及您的风险分析中所识别出其他风险的器械特性论述。</w:t>
      </w:r>
    </w:p>
    <w:p w14:paraId="363787AE">
      <w:pPr>
        <w:pStyle w:val="5"/>
        <w:numPr>
          <w:ilvl w:val="0"/>
          <w:numId w:val="2"/>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已经使用或计划用于处理本</w:t>
      </w:r>
      <w:r>
        <w:rPr>
          <w:rFonts w:ascii="Times New Roman" w:hAnsi="Times New Roman" w:cs="Times New Roman"/>
          <w:sz w:val="21"/>
          <w:szCs w:val="21"/>
        </w:rPr>
        <w:t>II</w:t>
      </w:r>
      <w:r>
        <w:rPr>
          <w:rFonts w:hint="eastAsia" w:ascii="Times New Roman" w:hAnsi="Times New Roman" w:cs="宋体"/>
          <w:sz w:val="21"/>
          <w:szCs w:val="21"/>
        </w:rPr>
        <w:t>类特殊控制指南文件的第</w:t>
      </w:r>
      <w:r>
        <w:rPr>
          <w:rFonts w:ascii="Times New Roman" w:hAnsi="Times New Roman" w:cs="Times New Roman"/>
          <w:sz w:val="21"/>
          <w:szCs w:val="21"/>
        </w:rPr>
        <w:t>6-14</w:t>
      </w:r>
      <w:r>
        <w:rPr>
          <w:rFonts w:hint="eastAsia" w:ascii="Times New Roman" w:hAnsi="Times New Roman" w:cs="宋体"/>
          <w:sz w:val="21"/>
          <w:szCs w:val="21"/>
        </w:rPr>
        <w:t>节中识别出的每个性能方面的测试方法的简要描述。如果您遵循建议测试方法，您可引用该方法，而非描述该方法。如果您修改建议测试方法，您可引用该方法，但还应提供充分信息，解释说明修改的性质和原因。对于每项测试，您应（</w:t>
      </w:r>
      <w:r>
        <w:rPr>
          <w:rFonts w:ascii="Times New Roman" w:hAnsi="Times New Roman" w:cs="Times New Roman"/>
          <w:sz w:val="21"/>
          <w:szCs w:val="21"/>
        </w:rPr>
        <w:t>1</w:t>
      </w:r>
      <w:r>
        <w:rPr>
          <w:rFonts w:hint="eastAsia" w:ascii="Times New Roman" w:hAnsi="Times New Roman" w:cs="宋体"/>
          <w:sz w:val="21"/>
          <w:szCs w:val="21"/>
        </w:rPr>
        <w:t>）以清晰且简洁的方式简要说明测试产生的数据或（</w:t>
      </w:r>
      <w:r>
        <w:rPr>
          <w:rFonts w:ascii="Times New Roman" w:hAnsi="Times New Roman" w:cs="Times New Roman"/>
          <w:sz w:val="21"/>
          <w:szCs w:val="21"/>
        </w:rPr>
        <w:t>2</w:t>
      </w:r>
      <w:r>
        <w:rPr>
          <w:rFonts w:hint="eastAsia" w:ascii="Times New Roman" w:hAnsi="Times New Roman" w:cs="宋体"/>
          <w:sz w:val="21"/>
          <w:szCs w:val="21"/>
        </w:rPr>
        <w:t>）描述您将应用于测试结果的验收标准</w:t>
      </w:r>
      <w:r>
        <w:rPr>
          <w:rFonts w:ascii="Times New Roman" w:hAnsi="Times New Roman" w:cs="Times New Roman"/>
          <w:sz w:val="21"/>
          <w:szCs w:val="21"/>
          <w:vertAlign w:val="superscript"/>
        </w:rPr>
        <w:t>3</w:t>
      </w:r>
      <w:r>
        <w:rPr>
          <w:rFonts w:hint="eastAsia" w:ascii="Times New Roman" w:hAnsi="Times New Roman" w:cs="宋体"/>
          <w:sz w:val="21"/>
          <w:szCs w:val="21"/>
        </w:rPr>
        <w:t>。（另请参见</w:t>
      </w:r>
      <w:r>
        <w:fldChar w:fldCharType="begin"/>
      </w:r>
      <w:r>
        <w:instrText xml:space="preserve"> HYPERLINK "http://www.accessdata.fda.gov/scripts/cdrh/cfdocs/cfcfr/CFRSearch.cfm?FR=820.30" </w:instrText>
      </w:r>
      <w:r>
        <w:fldChar w:fldCharType="separate"/>
      </w:r>
      <w:r>
        <w:rPr>
          <w:rFonts w:ascii="Times New Roman" w:hAnsi="Times New Roman" w:cs="Times New Roman"/>
          <w:sz w:val="21"/>
          <w:szCs w:val="21"/>
          <w:u w:val="double"/>
        </w:rPr>
        <w:t>21 CFR 820.30</w:t>
      </w:r>
      <w:r>
        <w:rPr>
          <w:rFonts w:ascii="Times New Roman" w:hAnsi="Times New Roman" w:cs="Times New Roman"/>
          <w:sz w:val="21"/>
          <w:szCs w:val="21"/>
          <w:u w:val="double"/>
        </w:rPr>
        <w:fldChar w:fldCharType="end"/>
      </w:r>
      <w:r>
        <w:fldChar w:fldCharType="begin"/>
      </w:r>
      <w:r>
        <w:instrText xml:space="preserve"> HYPERLINK "http://www.accessdata.fda.gov/scripts/cdrh/cfdocs/cfcfr/CFRSearch.cfm?FR=820.30" </w:instrText>
      </w:r>
      <w:r>
        <w:fldChar w:fldCharType="separate"/>
      </w:r>
      <w:r>
        <w:rPr>
          <w:rFonts w:hint="eastAsia" w:ascii="Times New Roman" w:hAnsi="Times New Roman" w:cs="宋体"/>
          <w:b/>
          <w:bCs/>
          <w:sz w:val="21"/>
          <w:szCs w:val="21"/>
          <w:u w:val="double"/>
        </w:rPr>
        <w:t>（</w:t>
      </w:r>
      <w:r>
        <w:rPr>
          <w:rFonts w:ascii="Times New Roman" w:hAnsi="Times New Roman" w:cs="Times New Roman"/>
          <w:b/>
          <w:bCs/>
          <w:sz w:val="21"/>
          <w:szCs w:val="21"/>
          <w:u w:val="double"/>
        </w:rPr>
        <w:t>http://www.accessdata.fda.gov/scripts/cdrh/cfdocs/cfcfr/CFRSearch.cfm?FR=820.30</w:t>
      </w:r>
      <w:r>
        <w:rPr>
          <w:rFonts w:hint="eastAsia" w:ascii="Times New Roman" w:hAnsi="Times New Roman" w:cs="宋体"/>
          <w:b/>
          <w:bCs/>
          <w:sz w:val="21"/>
          <w:szCs w:val="21"/>
          <w:u w:val="double"/>
        </w:rPr>
        <w:t>）</w:t>
      </w:r>
      <w:r>
        <w:rPr>
          <w:rFonts w:hint="eastAsia" w:ascii="Times New Roman" w:hAnsi="Times New Roman" w:cs="宋体"/>
          <w:b/>
          <w:bCs/>
          <w:sz w:val="21"/>
          <w:szCs w:val="21"/>
          <w:u w:val="double"/>
        </w:rPr>
        <w:fldChar w:fldCharType="end"/>
      </w:r>
      <w:r>
        <w:rPr>
          <w:rFonts w:hint="eastAsia" w:ascii="Times New Roman" w:hAnsi="Times New Roman" w:cs="宋体"/>
          <w:sz w:val="21"/>
          <w:szCs w:val="21"/>
        </w:rPr>
        <w:t>子部分</w:t>
      </w:r>
      <w:r>
        <w:rPr>
          <w:rFonts w:ascii="Times New Roman" w:hAnsi="Times New Roman" w:cs="Times New Roman"/>
          <w:sz w:val="21"/>
          <w:szCs w:val="21"/>
        </w:rPr>
        <w:t>C—</w:t>
      </w:r>
      <w:r>
        <w:rPr>
          <w:rFonts w:hint="eastAsia" w:ascii="Times New Roman" w:hAnsi="Times New Roman" w:cs="宋体"/>
          <w:sz w:val="21"/>
          <w:szCs w:val="21"/>
        </w:rPr>
        <w:t>质量体系法规相关设计控制。）</w:t>
      </w:r>
    </w:p>
    <w:p w14:paraId="74E376D9">
      <w:pPr>
        <w:pStyle w:val="5"/>
        <w:numPr>
          <w:ilvl w:val="0"/>
          <w:numId w:val="2"/>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如果器械设计或测试的任意部分依赖于获得认可的标准，则（</w:t>
      </w:r>
      <w:r>
        <w:rPr>
          <w:rFonts w:ascii="Times New Roman" w:hAnsi="Times New Roman" w:cs="Times New Roman"/>
          <w:sz w:val="21"/>
          <w:szCs w:val="21"/>
        </w:rPr>
        <w:t>1</w:t>
      </w:r>
      <w:r>
        <w:rPr>
          <w:rFonts w:hint="eastAsia" w:ascii="Times New Roman" w:hAnsi="Times New Roman" w:cs="宋体"/>
          <w:sz w:val="21"/>
          <w:szCs w:val="21"/>
        </w:rPr>
        <w:t>）将在产品上市之前执行测试，并符合指定验收标准的声明或（</w:t>
      </w:r>
      <w:r>
        <w:rPr>
          <w:rFonts w:ascii="Times New Roman" w:hAnsi="Times New Roman" w:cs="Times New Roman"/>
          <w:sz w:val="21"/>
          <w:szCs w:val="21"/>
        </w:rPr>
        <w:t>2</w:t>
      </w:r>
      <w:r>
        <w:rPr>
          <w:rFonts w:hint="eastAsia" w:ascii="Times New Roman" w:hAnsi="Times New Roman" w:cs="宋体"/>
          <w:sz w:val="21"/>
          <w:szCs w:val="21"/>
        </w:rPr>
        <w:t>）标准合规声明。</w:t>
      </w:r>
      <w:r>
        <w:rPr>
          <w:rFonts w:hint="eastAsia" w:ascii="Times New Roman" w:hAnsi="Times New Roman" w:cs="宋体"/>
          <w:b/>
          <w:bCs/>
          <w:sz w:val="21"/>
          <w:szCs w:val="21"/>
        </w:rPr>
        <w:t>请注意：必须在提交获得认可的标准合规声明之前完成测试</w:t>
      </w:r>
      <w:r>
        <w:rPr>
          <w:rFonts w:ascii="Times New Roman" w:hAnsi="Times New Roman" w:cs="Times New Roman"/>
          <w:b/>
          <w:bCs/>
          <w:sz w:val="21"/>
          <w:szCs w:val="21"/>
          <w:vertAlign w:val="superscript"/>
        </w:rPr>
        <w:t>4</w:t>
      </w:r>
      <w:r>
        <w:rPr>
          <w:rFonts w:hint="eastAsia" w:ascii="Times New Roman" w:hAnsi="Times New Roman" w:cs="宋体"/>
          <w:b/>
          <w:bCs/>
          <w:sz w:val="21"/>
          <w:szCs w:val="21"/>
        </w:rPr>
        <w:t>。</w:t>
      </w:r>
      <w:r>
        <w:rPr>
          <w:rFonts w:ascii="Times New Roman" w:hAnsi="Times New Roman" w:cs="Times New Roman"/>
          <w:sz w:val="21"/>
          <w:szCs w:val="21"/>
        </w:rPr>
        <w:t>(21</w:t>
      </w:r>
      <w:r>
        <w:fldChar w:fldCharType="begin"/>
      </w:r>
      <w:r>
        <w:instrText xml:space="preserve"> HYPERLINK "https://www.fda.gov/MedicalDevices/DeviceRegulationandGuidance/GuidanceDocuments/ucm073752.htm" </w:instrText>
      </w:r>
      <w:r>
        <w:fldChar w:fldCharType="separate"/>
      </w:r>
      <w:r>
        <w:rPr>
          <w:rFonts w:ascii="Times New Roman" w:hAnsi="Times New Roman" w:cs="Times New Roman"/>
          <w:sz w:val="21"/>
          <w:szCs w:val="21"/>
        </w:rPr>
        <w:t xml:space="preserve"> USC 514(c)(2)(B))</w:t>
      </w:r>
      <w:r>
        <w:rPr>
          <w:rFonts w:hint="eastAsia" w:ascii="Times New Roman" w:hAnsi="Times New Roman" w:cs="宋体"/>
          <w:sz w:val="21"/>
          <w:szCs w:val="21"/>
        </w:rPr>
        <w:t>。有关更多信息，参见</w:t>
      </w:r>
      <w:r>
        <w:rPr>
          <w:rFonts w:ascii="Times New Roman" w:hAnsi="Times New Roman" w:cs="Times New Roman"/>
          <w:sz w:val="21"/>
          <w:szCs w:val="21"/>
        </w:rPr>
        <w:t>FDA</w:t>
      </w:r>
      <w:r>
        <w:rPr>
          <w:rFonts w:hint="eastAsia" w:ascii="Times New Roman" w:hAnsi="Times New Roman" w:cs="宋体"/>
          <w:sz w:val="21"/>
          <w:szCs w:val="21"/>
        </w:rPr>
        <w:t>指南文件，</w:t>
      </w:r>
      <w:r>
        <w:rPr>
          <w:rFonts w:hint="eastAsia" w:ascii="Times New Roman" w:hAnsi="Times New Roman" w:cs="宋体"/>
          <w:b/>
          <w:bCs/>
          <w:sz w:val="21"/>
          <w:szCs w:val="21"/>
          <w:u w:val="double"/>
        </w:rPr>
        <w:t>实质等同性确定中标准的使用；最终行业和</w:t>
      </w:r>
      <w:r>
        <w:rPr>
          <w:rFonts w:ascii="Times New Roman" w:hAnsi="Times New Roman" w:cs="Times New Roman"/>
          <w:b/>
          <w:bCs/>
          <w:sz w:val="21"/>
          <w:szCs w:val="21"/>
          <w:u w:val="double"/>
        </w:rPr>
        <w:t>FDA</w:t>
      </w:r>
      <w:r>
        <w:rPr>
          <w:rFonts w:hint="eastAsia" w:ascii="Times New Roman" w:hAnsi="Times New Roman" w:cs="宋体"/>
          <w:b/>
          <w:bCs/>
          <w:sz w:val="21"/>
          <w:szCs w:val="21"/>
          <w:u w:val="double"/>
        </w:rPr>
        <w:t>指南文件（</w:t>
      </w:r>
      <w:r>
        <w:rPr>
          <w:rFonts w:ascii="Times New Roman" w:hAnsi="Times New Roman" w:cs="Times New Roman"/>
          <w:b/>
          <w:bCs/>
          <w:sz w:val="21"/>
          <w:szCs w:val="21"/>
          <w:u w:val="double"/>
        </w:rPr>
        <w:t>/MedicalDevices/DeviceRegulationandGuidance/GuidanceDocuments/ucm073752.htm</w:t>
      </w:r>
      <w:r>
        <w:rPr>
          <w:rFonts w:ascii="Times New Roman" w:hAnsi="Times New Roman" w:cs="Times New Roman"/>
          <w:b/>
          <w:bCs/>
          <w:sz w:val="21"/>
          <w:szCs w:val="21"/>
          <w:u w:val="double"/>
        </w:rPr>
        <w:fldChar w:fldCharType="end"/>
      </w:r>
      <w:r>
        <w:rPr>
          <w:rFonts w:hint="eastAsia" w:ascii="Times New Roman" w:hAnsi="Times New Roman" w:cs="宋体"/>
          <w:b/>
          <w:bCs/>
          <w:sz w:val="21"/>
          <w:szCs w:val="21"/>
        </w:rPr>
        <w:t>）。</w:t>
      </w:r>
    </w:p>
    <w:p w14:paraId="0495CB1A">
      <w:pPr>
        <w:pStyle w:val="5"/>
        <w:kinsoku w:val="0"/>
        <w:overflowPunct w:val="0"/>
        <w:snapToGrid w:val="0"/>
        <w:spacing w:afterLines="50" w:line="360" w:lineRule="auto"/>
        <w:ind w:left="0"/>
        <w:rPr>
          <w:rFonts w:ascii="Times New Roman" w:hAnsi="Times New Roman" w:cs="Times New Roman"/>
          <w:sz w:val="21"/>
          <w:szCs w:val="21"/>
        </w:rPr>
      </w:pPr>
      <w:r>
        <w:rPr>
          <w:rFonts w:ascii="Times New Roman" w:hAnsi="Times New Roman" w:cs="Times New Roman"/>
          <w:sz w:val="21"/>
          <w:szCs w:val="21"/>
        </w:rPr>
        <w:br w:type="page"/>
      </w:r>
      <w:r>
        <w:rPr>
          <w:rFonts w:hint="eastAsia" w:ascii="Times New Roman" w:hAnsi="Times New Roman" w:cs="宋体"/>
          <w:sz w:val="21"/>
          <w:szCs w:val="21"/>
        </w:rPr>
        <w:t>如果不清楚如何解决</w:t>
      </w:r>
      <w:r>
        <w:rPr>
          <w:rFonts w:ascii="Times New Roman" w:hAnsi="Times New Roman" w:cs="Times New Roman"/>
          <w:sz w:val="21"/>
          <w:szCs w:val="21"/>
        </w:rPr>
        <w:t>FDA</w:t>
      </w:r>
      <w:r>
        <w:rPr>
          <w:rFonts w:hint="eastAsia" w:ascii="Times New Roman" w:hAnsi="Times New Roman" w:cs="宋体"/>
          <w:sz w:val="21"/>
          <w:szCs w:val="21"/>
        </w:rPr>
        <w:t>识别出的风险或通过风险分析识别出的风险，我们会要求提供器械性能特性方面的相关附加信息。</w:t>
      </w:r>
      <w:r>
        <w:fldChar w:fldCharType="begin"/>
      </w:r>
      <w:r>
        <w:instrText xml:space="preserve"> HYPERLINK "file:///F:\\北京杏林医联翻译中心-专职审校及翻译\\201710\\09142%20CFDA%20待校对（10.31交）\\09142%20CFDA%20待校对（10.31交）\\待校对-齐\\acceptance%20criteria.%20(Under%2021%20CFR%20807.87(l)%20(http:\\www.accessdata.fda.gov\\scripts\\cdrh\\cfdocs\\cfcfr\\CFRSearch.cfm%3fFR=807.87)" </w:instrText>
      </w:r>
      <w:r>
        <w:fldChar w:fldCharType="separate"/>
      </w:r>
      <w:r>
        <w:rPr>
          <w:rStyle w:val="15"/>
          <w:rFonts w:hint="eastAsia" w:ascii="Times New Roman" w:hAnsi="Times New Roman" w:cs="宋体"/>
          <w:color w:val="auto"/>
          <w:sz w:val="21"/>
          <w:szCs w:val="21"/>
          <w:u w:val="none"/>
        </w:rPr>
        <w:t>我们还会要求提供需要用于评估验收标准充分性的附加信息。（依据</w:t>
      </w:r>
      <w:r>
        <w:rPr>
          <w:rStyle w:val="15"/>
          <w:rFonts w:ascii="Times New Roman" w:hAnsi="Times New Roman" w:cs="Times New Roman"/>
          <w:b/>
          <w:bCs/>
          <w:color w:val="auto"/>
          <w:sz w:val="21"/>
          <w:szCs w:val="21"/>
        </w:rPr>
        <w:t>21 CFR 807.87(l) (http://www.accessdata.fda.gov/scripts/cdrh/cfdocs/cfcfr/CFRSearch.cfm?FR=807.87)</w:t>
      </w:r>
      <w:r>
        <w:rPr>
          <w:rStyle w:val="15"/>
          <w:rFonts w:ascii="Times New Roman" w:hAnsi="Times New Roman" w:cs="Times New Roman"/>
          <w:b/>
          <w:bCs/>
          <w:color w:val="auto"/>
          <w:sz w:val="21"/>
          <w:szCs w:val="21"/>
        </w:rPr>
        <w:fldChar w:fldCharType="end"/>
      </w:r>
      <w:r>
        <w:rPr>
          <w:rFonts w:hint="eastAsia" w:ascii="Times New Roman" w:hAnsi="Times New Roman" w:cs="宋体"/>
          <w:sz w:val="21"/>
          <w:szCs w:val="21"/>
        </w:rPr>
        <w:t>，我们会要求提供需要用于确定实质等同性的附加信息。</w:t>
      </w:r>
    </w:p>
    <w:p w14:paraId="1E77918E">
      <w:pPr>
        <w:pStyle w:val="5"/>
        <w:kinsoku w:val="0"/>
        <w:overflowPunct w:val="0"/>
        <w:snapToGrid w:val="0"/>
        <w:spacing w:afterLines="50" w:line="360" w:lineRule="auto"/>
        <w:ind w:left="0"/>
        <w:rPr>
          <w:rFonts w:ascii="Times New Roman" w:hAnsi="Times New Roman" w:cs="Times New Roman"/>
          <w:sz w:val="21"/>
          <w:szCs w:val="21"/>
        </w:rPr>
      </w:pPr>
      <w:r>
        <w:rPr>
          <w:rFonts w:hint="eastAsia" w:ascii="Times New Roman" w:hAnsi="Times New Roman" w:cs="宋体"/>
          <w:sz w:val="21"/>
          <w:szCs w:val="21"/>
        </w:rPr>
        <w:t>作为提交简易510</w:t>
      </w:r>
      <w:r>
        <w:rPr>
          <w:rFonts w:ascii="Times New Roman" w:hAnsi="Times New Roman" w:cs="Times New Roman"/>
          <w:sz w:val="21"/>
          <w:szCs w:val="21"/>
        </w:rPr>
        <w:t>(k)</w:t>
      </w:r>
      <w:r>
        <w:rPr>
          <w:rFonts w:hint="eastAsia" w:ascii="Times New Roman" w:hAnsi="Times New Roman" w:cs="宋体"/>
          <w:sz w:val="21"/>
          <w:szCs w:val="21"/>
        </w:rPr>
        <w:t>的替代方法，您可提交传统</w:t>
      </w:r>
      <w:r>
        <w:rPr>
          <w:rFonts w:ascii="Times New Roman" w:hAnsi="Times New Roman" w:cs="Times New Roman"/>
          <w:sz w:val="21"/>
          <w:szCs w:val="21"/>
        </w:rPr>
        <w:t>510(k)</w:t>
      </w:r>
      <w:r>
        <w:rPr>
          <w:rFonts w:hint="eastAsia" w:ascii="Times New Roman" w:hAnsi="Times New Roman" w:cs="宋体"/>
          <w:sz w:val="21"/>
          <w:szCs w:val="21"/>
        </w:rPr>
        <w:t>，其中应提供</w:t>
      </w:r>
      <w:r>
        <w:fldChar w:fldCharType="begin"/>
      </w:r>
      <w:r>
        <w:instrText xml:space="preserve"> HYPERLINK "file:///F:\\北京杏林医联翻译中心-专职审校及翻译\\201710\\09142%20CFDA%20待校对（10.31交）\\09142%20CFDA%20待校对（10.31交）\\待校对-齐\\provides%20all%20of%20the%20information%20and%20data%20required%20under%2021CFR%20807.87%20(http:\\www.accessdata.fda.gov\\scripts\\cdrh\\cfdocs\\cfcfr\\CFRSearch.cfm%3fFR=807.87)" </w:instrText>
      </w:r>
      <w:r>
        <w:fldChar w:fldCharType="separate"/>
      </w:r>
      <w:r>
        <w:rPr>
          <w:rStyle w:val="15"/>
          <w:rFonts w:ascii="Times New Roman" w:hAnsi="Times New Roman" w:cs="Times New Roman"/>
          <w:b/>
          <w:bCs/>
          <w:color w:val="auto"/>
          <w:sz w:val="21"/>
          <w:szCs w:val="21"/>
        </w:rPr>
        <w:t>21CFR 807.87 (http://www.accessdata.fda.gov/scripts/cdrh/cfdocs/cfcfr/CFRSearch.cfm?FR=807.87)</w:t>
      </w:r>
      <w:r>
        <w:rPr>
          <w:rStyle w:val="15"/>
          <w:rFonts w:ascii="Times New Roman" w:hAnsi="Times New Roman" w:cs="Times New Roman"/>
          <w:b/>
          <w:bCs/>
          <w:color w:val="auto"/>
          <w:sz w:val="21"/>
          <w:szCs w:val="21"/>
        </w:rPr>
        <w:fldChar w:fldCharType="end"/>
      </w:r>
      <w:r>
        <w:rPr>
          <w:rFonts w:hint="eastAsia" w:ascii="Times New Roman" w:hAnsi="Times New Roman" w:cs="宋体"/>
          <w:sz w:val="21"/>
          <w:szCs w:val="21"/>
        </w:rPr>
        <w:t>要求的所有信息和数据以及本指南文件中所示所有信息和数据。传统</w:t>
      </w:r>
      <w:r>
        <w:rPr>
          <w:rFonts w:ascii="Times New Roman" w:hAnsi="Times New Roman" w:cs="Times New Roman"/>
          <w:sz w:val="21"/>
          <w:szCs w:val="21"/>
        </w:rPr>
        <w:t>510(k)</w:t>
      </w:r>
      <w:r>
        <w:rPr>
          <w:rFonts w:hint="eastAsia" w:ascii="Times New Roman" w:hAnsi="Times New Roman" w:cs="宋体"/>
          <w:sz w:val="21"/>
          <w:szCs w:val="21"/>
        </w:rPr>
        <w:t>应包含所有方法、数据、验收标准和结论。考虑对获认可器械进行改造的制造商应考虑提交特殊</w:t>
      </w:r>
      <w:r>
        <w:rPr>
          <w:rFonts w:ascii="Times New Roman" w:hAnsi="Times New Roman" w:cs="Times New Roman"/>
          <w:sz w:val="21"/>
          <w:szCs w:val="21"/>
        </w:rPr>
        <w:t>510(k)</w:t>
      </w:r>
      <w:r>
        <w:rPr>
          <w:rFonts w:hint="eastAsia" w:ascii="Times New Roman" w:hAnsi="Times New Roman" w:cs="宋体"/>
          <w:sz w:val="21"/>
          <w:szCs w:val="21"/>
        </w:rPr>
        <w:t>。</w:t>
      </w:r>
    </w:p>
    <w:p w14:paraId="262FDD21">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上述一般讨论适用于应符合特殊控制指南文件的器械。下文所示为如何将本特殊控制指南文件应用于呼吸暂停监护仪上市前通知的具体论述。</w:t>
      </w:r>
    </w:p>
    <w:p w14:paraId="3EAF5208">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注：除另有规定外，应在以下条件下执行支持传统或简易510</w:t>
      </w:r>
      <w:r>
        <w:rPr>
          <w:rFonts w:ascii="Times New Roman" w:hAnsi="Times New Roman" w:cs="Times New Roman"/>
          <w:sz w:val="21"/>
          <w:szCs w:val="21"/>
        </w:rPr>
        <w:t>(k)</w:t>
      </w:r>
      <w:r>
        <w:rPr>
          <w:rFonts w:hint="eastAsia" w:ascii="Times New Roman" w:hAnsi="Times New Roman" w:cs="宋体"/>
          <w:sz w:val="21"/>
          <w:szCs w:val="21"/>
        </w:rPr>
        <w:t>的测试：</w:t>
      </w:r>
    </w:p>
    <w:p w14:paraId="4A55FCA1">
      <w:pPr>
        <w:pStyle w:val="5"/>
        <w:numPr>
          <w:ilvl w:val="0"/>
          <w:numId w:val="3"/>
        </w:numPr>
        <w:kinsoku w:val="0"/>
        <w:overflowPunct w:val="0"/>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rPr>
        <w:t>15</w:t>
      </w:r>
      <w:r>
        <w:rPr>
          <w:rFonts w:hint="eastAsia" w:ascii="Times New Roman" w:hAnsi="Times New Roman" w:cs="宋体"/>
          <w:sz w:val="21"/>
          <w:szCs w:val="21"/>
        </w:rPr>
        <w:t>至</w:t>
      </w:r>
      <w:r>
        <w:rPr>
          <w:rFonts w:ascii="Times New Roman" w:hAnsi="Times New Roman" w:cs="Times New Roman"/>
          <w:sz w:val="21"/>
          <w:szCs w:val="21"/>
        </w:rPr>
        <w:t xml:space="preserve">35 </w:t>
      </w:r>
      <w:r>
        <w:rPr>
          <w:rFonts w:hint="eastAsia" w:ascii="Times New Roman" w:hAnsi="Times New Roman" w:cs="宋体"/>
          <w:sz w:val="21"/>
          <w:szCs w:val="21"/>
        </w:rPr>
        <w:t>℃之间的环境温度</w:t>
      </w:r>
    </w:p>
    <w:p w14:paraId="51D1E65C">
      <w:pPr>
        <w:pStyle w:val="5"/>
        <w:numPr>
          <w:ilvl w:val="0"/>
          <w:numId w:val="3"/>
        </w:numPr>
        <w:kinsoku w:val="0"/>
        <w:overflowPunct w:val="0"/>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rPr>
        <w:t>68</w:t>
      </w:r>
      <w:r>
        <w:rPr>
          <w:rFonts w:hint="eastAsia" w:ascii="Times New Roman" w:hAnsi="Times New Roman" w:cs="宋体"/>
          <w:sz w:val="21"/>
          <w:szCs w:val="21"/>
        </w:rPr>
        <w:t>至</w:t>
      </w:r>
      <w:r>
        <w:rPr>
          <w:rFonts w:ascii="Times New Roman" w:hAnsi="Times New Roman" w:cs="Times New Roman"/>
          <w:sz w:val="21"/>
          <w:szCs w:val="21"/>
        </w:rPr>
        <w:t>106 kPa</w:t>
      </w:r>
      <w:r>
        <w:rPr>
          <w:rFonts w:hint="eastAsia" w:ascii="Times New Roman" w:hAnsi="Times New Roman" w:cs="宋体"/>
          <w:sz w:val="21"/>
          <w:szCs w:val="21"/>
        </w:rPr>
        <w:t>之间的大气压</w:t>
      </w:r>
    </w:p>
    <w:p w14:paraId="6A865F7B">
      <w:pPr>
        <w:pStyle w:val="5"/>
        <w:numPr>
          <w:ilvl w:val="0"/>
          <w:numId w:val="3"/>
        </w:numPr>
        <w:kinsoku w:val="0"/>
        <w:overflowPunct w:val="0"/>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rPr>
        <w:t>30</w:t>
      </w:r>
      <w:r>
        <w:rPr>
          <w:rFonts w:hint="eastAsia" w:ascii="Times New Roman" w:hAnsi="Times New Roman" w:cs="宋体"/>
          <w:sz w:val="21"/>
          <w:szCs w:val="21"/>
        </w:rPr>
        <w:t>至</w:t>
      </w:r>
      <w:r>
        <w:rPr>
          <w:rFonts w:ascii="Times New Roman" w:hAnsi="Times New Roman" w:cs="Times New Roman"/>
          <w:sz w:val="21"/>
          <w:szCs w:val="21"/>
        </w:rPr>
        <w:t>90%</w:t>
      </w:r>
      <w:r>
        <w:rPr>
          <w:rFonts w:hint="eastAsia" w:ascii="Times New Roman" w:hAnsi="Times New Roman" w:cs="宋体"/>
          <w:sz w:val="21"/>
          <w:szCs w:val="21"/>
        </w:rPr>
        <w:t>之间的环境湿度</w:t>
      </w:r>
    </w:p>
    <w:p w14:paraId="49006F90">
      <w:pPr>
        <w:pStyle w:val="5"/>
        <w:numPr>
          <w:ilvl w:val="0"/>
          <w:numId w:val="3"/>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对于线路供电器械，则为</w:t>
      </w:r>
      <w:r>
        <w:rPr>
          <w:rFonts w:ascii="Times New Roman" w:hAnsi="Times New Roman" w:cs="Times New Roman"/>
          <w:sz w:val="21"/>
          <w:szCs w:val="21"/>
        </w:rPr>
        <w:t>110</w:t>
      </w:r>
      <w:r>
        <w:rPr>
          <w:rFonts w:hint="eastAsia" w:ascii="Times New Roman" w:hAnsi="Times New Roman" w:cs="宋体"/>
          <w:sz w:val="21"/>
          <w:szCs w:val="21"/>
        </w:rPr>
        <w:t>至</w:t>
      </w:r>
      <w:r>
        <w:rPr>
          <w:rFonts w:ascii="Times New Roman" w:hAnsi="Times New Roman" w:cs="Times New Roman"/>
          <w:sz w:val="21"/>
          <w:szCs w:val="21"/>
        </w:rPr>
        <w:t>125 V rms</w:t>
      </w:r>
      <w:r>
        <w:rPr>
          <w:rFonts w:hint="eastAsia" w:ascii="Times New Roman" w:hAnsi="Times New Roman" w:cs="宋体"/>
          <w:sz w:val="21"/>
          <w:szCs w:val="21"/>
        </w:rPr>
        <w:t>之间的线电压。</w:t>
      </w:r>
    </w:p>
    <w:p w14:paraId="48866BA0">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19" w:name="_Toc496720457"/>
      <w:r>
        <w:rPr>
          <w:rFonts w:hint="eastAsia" w:ascii="Times New Roman" w:hAnsi="Times New Roman" w:cs="宋体"/>
          <w:sz w:val="21"/>
          <w:szCs w:val="21"/>
          <w:u w:val="double"/>
        </w:rPr>
        <w:t>回到顶部</w:t>
      </w:r>
      <w:bookmarkEnd w:id="19"/>
    </w:p>
    <w:p w14:paraId="49CCF80C">
      <w:pPr>
        <w:numPr>
          <w:ilvl w:val="0"/>
          <w:numId w:val="1"/>
        </w:numPr>
        <w:pBdr>
          <w:top w:val="single" w:color="BFBFBF" w:sz="12" w:space="1"/>
        </w:pBdr>
        <w:tabs>
          <w:tab w:val="left" w:pos="484"/>
        </w:tabs>
        <w:kinsoku w:val="0"/>
        <w:overflowPunct w:val="0"/>
        <w:snapToGrid w:val="0"/>
        <w:spacing w:afterLines="50" w:line="360" w:lineRule="auto"/>
        <w:ind w:firstLine="0"/>
        <w:jc w:val="both"/>
        <w:outlineLvl w:val="0"/>
        <w:rPr>
          <w:sz w:val="28"/>
          <w:szCs w:val="28"/>
        </w:rPr>
      </w:pPr>
      <w:bookmarkStart w:id="20" w:name="_Toc496720458"/>
      <w:r>
        <w:rPr>
          <w:rFonts w:hint="eastAsia" w:cs="宋体"/>
          <w:b/>
          <w:bCs/>
          <w:sz w:val="28"/>
          <w:szCs w:val="28"/>
        </w:rPr>
        <w:t>范围</w:t>
      </w:r>
      <w:bookmarkEnd w:id="20"/>
    </w:p>
    <w:p w14:paraId="72EF217F">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本文档的范围限于以下器械：</w:t>
      </w:r>
    </w:p>
    <w:p w14:paraId="5165FB2E">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呼吸暂停监护仪，</w:t>
      </w:r>
      <w:r>
        <w:rPr>
          <w:rFonts w:ascii="Times New Roman" w:hAnsi="Times New Roman" w:cs="Times New Roman"/>
          <w:sz w:val="21"/>
          <w:szCs w:val="21"/>
        </w:rPr>
        <w:t>21 CFR 868.2377</w:t>
      </w:r>
      <w:r>
        <w:rPr>
          <w:rFonts w:hint="eastAsia" w:ascii="Times New Roman" w:hAnsi="Times New Roman" w:cs="宋体"/>
          <w:sz w:val="21"/>
          <w:szCs w:val="21"/>
        </w:rPr>
        <w:t>，产品代码</w:t>
      </w:r>
      <w:r>
        <w:rPr>
          <w:rFonts w:ascii="Times New Roman" w:hAnsi="Times New Roman" w:cs="Times New Roman"/>
          <w:sz w:val="21"/>
          <w:szCs w:val="21"/>
        </w:rPr>
        <w:t>FLS</w:t>
      </w:r>
      <w:r>
        <w:rPr>
          <w:rFonts w:hint="eastAsia" w:ascii="Times New Roman" w:hAnsi="Times New Roman" w:cs="宋体"/>
          <w:sz w:val="21"/>
          <w:szCs w:val="21"/>
        </w:rPr>
        <w:t>，专门小组</w:t>
      </w:r>
      <w:r>
        <w:rPr>
          <w:rFonts w:ascii="Times New Roman" w:hAnsi="Times New Roman" w:cs="Times New Roman"/>
          <w:sz w:val="21"/>
          <w:szCs w:val="21"/>
        </w:rPr>
        <w:t>73</w:t>
      </w:r>
    </w:p>
    <w:p w14:paraId="68162412">
      <w:pPr>
        <w:pStyle w:val="3"/>
        <w:kinsoku w:val="0"/>
        <w:overflowPunct w:val="0"/>
        <w:snapToGrid w:val="0"/>
        <w:spacing w:afterLines="50" w:line="360" w:lineRule="auto"/>
        <w:ind w:left="0"/>
        <w:jc w:val="both"/>
        <w:rPr>
          <w:rFonts w:ascii="Times New Roman" w:hAnsi="Times New Roman" w:cs="Times New Roman"/>
          <w:b w:val="0"/>
          <w:bCs w:val="0"/>
          <w:sz w:val="21"/>
          <w:szCs w:val="21"/>
        </w:rPr>
      </w:pPr>
      <w:r>
        <w:rPr>
          <w:rFonts w:ascii="Times New Roman" w:hAnsi="Times New Roman" w:cs="Times New Roman"/>
          <w:sz w:val="21"/>
          <w:szCs w:val="21"/>
        </w:rPr>
        <w:br w:type="page"/>
      </w:r>
      <w:bookmarkStart w:id="21" w:name="_Toc496720459"/>
      <w:r>
        <w:rPr>
          <w:rFonts w:ascii="Times New Roman" w:hAnsi="Times New Roman" w:cs="Times New Roman"/>
          <w:sz w:val="21"/>
          <w:szCs w:val="21"/>
        </w:rPr>
        <w:t xml:space="preserve">§ 868.2377 -- </w:t>
      </w:r>
      <w:r>
        <w:rPr>
          <w:rFonts w:hint="eastAsia" w:ascii="Times New Roman" w:hAnsi="Times New Roman" w:cs="宋体"/>
          <w:sz w:val="21"/>
          <w:szCs w:val="21"/>
        </w:rPr>
        <w:t>呼吸暂停监护仪。</w:t>
      </w:r>
      <w:bookmarkEnd w:id="21"/>
    </w:p>
    <w:p w14:paraId="381CDBDB">
      <w:pPr>
        <w:pStyle w:val="5"/>
        <w:numPr>
          <w:ilvl w:val="0"/>
          <w:numId w:val="4"/>
        </w:numPr>
        <w:tabs>
          <w:tab w:val="left" w:pos="468"/>
        </w:tabs>
        <w:kinsoku w:val="0"/>
        <w:overflowPunct w:val="0"/>
        <w:snapToGrid w:val="0"/>
        <w:spacing w:afterLines="50" w:line="360" w:lineRule="auto"/>
        <w:ind w:left="0" w:firstLine="0"/>
        <w:jc w:val="both"/>
        <w:rPr>
          <w:rFonts w:ascii="Times New Roman" w:hAnsi="Times New Roman" w:cs="Times New Roman"/>
          <w:sz w:val="21"/>
          <w:szCs w:val="21"/>
        </w:rPr>
      </w:pPr>
      <w:r>
        <w:rPr>
          <w:rFonts w:hint="eastAsia" w:ascii="Times New Roman" w:hAnsi="Times New Roman" w:cs="宋体"/>
          <w:i/>
          <w:iCs/>
          <w:sz w:val="21"/>
          <w:szCs w:val="21"/>
        </w:rPr>
        <w:t>标识。</w:t>
      </w:r>
      <w:r>
        <w:rPr>
          <w:rFonts w:hint="eastAsia" w:ascii="Times New Roman" w:hAnsi="Times New Roman" w:cs="宋体"/>
          <w:sz w:val="21"/>
          <w:szCs w:val="21"/>
        </w:rPr>
        <w:t>呼吸暂停监护仪是一套完整系统，预期主要用于在最后一次检测到呼吸的时间之后的呼吸停止之后提供报警。呼吸暂停监护仪还包括间接呼吸暂停检测方法，例如：与充分呼吸与否相关联的心率和其他生理参数的监测。</w:t>
      </w:r>
    </w:p>
    <w:p w14:paraId="7EFC8BF6">
      <w:pPr>
        <w:pStyle w:val="5"/>
        <w:numPr>
          <w:ilvl w:val="0"/>
          <w:numId w:val="4"/>
        </w:numPr>
        <w:tabs>
          <w:tab w:val="left" w:pos="468"/>
        </w:tabs>
        <w:kinsoku w:val="0"/>
        <w:overflowPunct w:val="0"/>
        <w:snapToGrid w:val="0"/>
        <w:spacing w:afterLines="50" w:line="360" w:lineRule="auto"/>
        <w:ind w:left="0" w:firstLine="0"/>
        <w:jc w:val="both"/>
        <w:rPr>
          <w:rFonts w:ascii="Times New Roman" w:hAnsi="Times New Roman" w:cs="Times New Roman"/>
          <w:sz w:val="21"/>
          <w:szCs w:val="21"/>
        </w:rPr>
      </w:pPr>
      <w:r>
        <w:rPr>
          <w:rFonts w:hint="eastAsia" w:ascii="Times New Roman" w:hAnsi="Times New Roman" w:cs="宋体"/>
          <w:i/>
          <w:iCs/>
          <w:sz w:val="21"/>
          <w:szCs w:val="21"/>
        </w:rPr>
        <w:t>分类。</w:t>
      </w:r>
      <w:r>
        <w:rPr>
          <w:rFonts w:ascii="Times New Roman" w:hAnsi="Times New Roman" w:cs="Times New Roman"/>
          <w:sz w:val="21"/>
          <w:szCs w:val="21"/>
        </w:rPr>
        <w:t>II</w:t>
      </w:r>
      <w:r>
        <w:rPr>
          <w:rFonts w:hint="eastAsia" w:ascii="Times New Roman" w:hAnsi="Times New Roman" w:cs="宋体"/>
          <w:sz w:val="21"/>
          <w:szCs w:val="21"/>
        </w:rPr>
        <w:t>类（特殊控制）“</w:t>
      </w:r>
      <w:r>
        <w:rPr>
          <w:rFonts w:ascii="Times New Roman" w:hAnsi="Times New Roman" w:cs="Times New Roman"/>
          <w:sz w:val="21"/>
          <w:szCs w:val="21"/>
        </w:rPr>
        <w:t>II</w:t>
      </w:r>
      <w:r>
        <w:rPr>
          <w:rFonts w:hint="eastAsia" w:ascii="Times New Roman" w:hAnsi="Times New Roman" w:cs="宋体"/>
          <w:sz w:val="21"/>
          <w:szCs w:val="21"/>
        </w:rPr>
        <w:t>类特殊控制指南文件：呼吸暂停监护仪；最终行业和</w:t>
      </w:r>
      <w:r>
        <w:rPr>
          <w:rFonts w:ascii="Times New Roman" w:hAnsi="Times New Roman" w:cs="Times New Roman"/>
          <w:sz w:val="21"/>
          <w:szCs w:val="21"/>
        </w:rPr>
        <w:t>FDA</w:t>
      </w:r>
      <w:r>
        <w:rPr>
          <w:rFonts w:hint="eastAsia" w:ascii="Times New Roman" w:hAnsi="Times New Roman" w:cs="宋体"/>
          <w:sz w:val="21"/>
          <w:szCs w:val="21"/>
        </w:rPr>
        <w:t>指南文件。”</w:t>
      </w:r>
    </w:p>
    <w:p w14:paraId="555BEB67">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22" w:name="_Toc496720460"/>
      <w:r>
        <w:rPr>
          <w:rFonts w:hint="eastAsia" w:ascii="Times New Roman" w:hAnsi="Times New Roman" w:cs="宋体"/>
          <w:sz w:val="21"/>
          <w:szCs w:val="21"/>
          <w:u w:val="double"/>
        </w:rPr>
        <w:t>回到顶部</w:t>
      </w:r>
      <w:bookmarkEnd w:id="22"/>
    </w:p>
    <w:p w14:paraId="41C2CDEC">
      <w:pPr>
        <w:numPr>
          <w:ilvl w:val="0"/>
          <w:numId w:val="1"/>
        </w:numPr>
        <w:pBdr>
          <w:top w:val="single" w:color="BFBFBF" w:sz="12" w:space="1"/>
        </w:pBdr>
        <w:tabs>
          <w:tab w:val="left" w:pos="484"/>
        </w:tabs>
        <w:kinsoku w:val="0"/>
        <w:overflowPunct w:val="0"/>
        <w:snapToGrid w:val="0"/>
        <w:spacing w:afterLines="50" w:line="360" w:lineRule="auto"/>
        <w:ind w:firstLine="0"/>
        <w:jc w:val="both"/>
        <w:outlineLvl w:val="0"/>
        <w:rPr>
          <w:sz w:val="28"/>
          <w:szCs w:val="28"/>
        </w:rPr>
      </w:pPr>
      <w:bookmarkStart w:id="23" w:name="_Toc496720461"/>
      <w:r>
        <w:rPr>
          <w:rFonts w:hint="eastAsia" w:cs="宋体"/>
          <w:b/>
          <w:bCs/>
          <w:sz w:val="28"/>
          <w:szCs w:val="28"/>
        </w:rPr>
        <w:t>健康风险</w:t>
      </w:r>
      <w:bookmarkEnd w:id="23"/>
    </w:p>
    <w:p w14:paraId="74DB0DD1">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下文所示为</w:t>
      </w:r>
      <w:r>
        <w:rPr>
          <w:rFonts w:ascii="Times New Roman" w:hAnsi="Times New Roman" w:cs="Times New Roman"/>
          <w:sz w:val="21"/>
          <w:szCs w:val="21"/>
        </w:rPr>
        <w:t>FDA</w:t>
      </w:r>
      <w:r>
        <w:rPr>
          <w:rFonts w:hint="eastAsia" w:ascii="Times New Roman" w:hAnsi="Times New Roman" w:cs="宋体"/>
          <w:sz w:val="21"/>
          <w:szCs w:val="21"/>
        </w:rPr>
        <w:t>识别出的通常与本文件所述呼吸暂停监护仪的使用相关的健康风险。建议用于缓解这些识别出风险的措施如本指南文件的下表</w:t>
      </w:r>
      <w:r>
        <w:rPr>
          <w:rFonts w:ascii="Times New Roman" w:hAnsi="Times New Roman" w:cs="Times New Roman"/>
          <w:sz w:val="21"/>
          <w:szCs w:val="21"/>
        </w:rPr>
        <w:t>1</w:t>
      </w:r>
      <w:r>
        <w:rPr>
          <w:rFonts w:hint="eastAsia" w:ascii="Times New Roman" w:hAnsi="Times New Roman" w:cs="宋体"/>
          <w:sz w:val="21"/>
          <w:szCs w:val="21"/>
        </w:rPr>
        <w:t>所示。您还应在提交</w:t>
      </w:r>
      <w:r>
        <w:rPr>
          <w:rFonts w:ascii="Times New Roman" w:hAnsi="Times New Roman" w:cs="Times New Roman"/>
          <w:sz w:val="21"/>
          <w:szCs w:val="21"/>
        </w:rPr>
        <w:t>510(k)</w:t>
      </w:r>
      <w:r>
        <w:rPr>
          <w:rFonts w:hint="eastAsia" w:ascii="Times New Roman" w:hAnsi="Times New Roman" w:cs="宋体"/>
          <w:sz w:val="21"/>
          <w:szCs w:val="21"/>
        </w:rPr>
        <w:t>之前执行风险分析，以识别其他器械特定风险。上市前通知应说明风险分析方法。如果您选择采用替代方法处理本指南文件识别出的特别风险或识别出额外风险，则您应提供充分的详细信息，以支持用于处理该风险的方法。</w:t>
      </w:r>
    </w:p>
    <w:tbl>
      <w:tblPr>
        <w:tblStyle w:val="12"/>
        <w:tblW w:w="5000" w:type="pct"/>
        <w:tblInd w:w="0" w:type="dxa"/>
        <w:tblLayout w:type="autofit"/>
        <w:tblCellMar>
          <w:top w:w="0" w:type="dxa"/>
          <w:left w:w="0" w:type="dxa"/>
          <w:bottom w:w="0" w:type="dxa"/>
          <w:right w:w="0" w:type="dxa"/>
        </w:tblCellMar>
      </w:tblPr>
      <w:tblGrid>
        <w:gridCol w:w="3580"/>
        <w:gridCol w:w="4903"/>
      </w:tblGrid>
      <w:tr w14:paraId="03DDEA15">
        <w:tblPrEx>
          <w:tblCellMar>
            <w:top w:w="0" w:type="dxa"/>
            <w:left w:w="0" w:type="dxa"/>
            <w:bottom w:w="0" w:type="dxa"/>
            <w:right w:w="0" w:type="dxa"/>
          </w:tblCellMar>
        </w:tblPrEx>
        <w:tc>
          <w:tcPr>
            <w:tcW w:w="2110"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65E636BE">
            <w:pPr>
              <w:pStyle w:val="28"/>
              <w:kinsoku w:val="0"/>
              <w:overflowPunct w:val="0"/>
              <w:snapToGrid w:val="0"/>
              <w:spacing w:line="360" w:lineRule="auto"/>
              <w:jc w:val="both"/>
              <w:rPr>
                <w:sz w:val="21"/>
                <w:szCs w:val="21"/>
              </w:rPr>
            </w:pPr>
            <w:r>
              <w:rPr>
                <w:rFonts w:hint="eastAsia" w:cs="宋体"/>
                <w:b/>
                <w:bCs/>
                <w:sz w:val="21"/>
                <w:szCs w:val="21"/>
              </w:rPr>
              <w:t>所识别出风险</w:t>
            </w:r>
          </w:p>
        </w:tc>
        <w:tc>
          <w:tcPr>
            <w:tcW w:w="2890"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344EB80D">
            <w:pPr>
              <w:pStyle w:val="28"/>
              <w:kinsoku w:val="0"/>
              <w:overflowPunct w:val="0"/>
              <w:snapToGrid w:val="0"/>
              <w:spacing w:line="360" w:lineRule="auto"/>
              <w:jc w:val="both"/>
              <w:rPr>
                <w:sz w:val="21"/>
                <w:szCs w:val="21"/>
              </w:rPr>
            </w:pPr>
            <w:r>
              <w:rPr>
                <w:rFonts w:hint="eastAsia" w:cs="宋体"/>
                <w:b/>
                <w:bCs/>
                <w:sz w:val="21"/>
                <w:szCs w:val="21"/>
              </w:rPr>
              <w:t>建议缓解措施</w:t>
            </w:r>
          </w:p>
        </w:tc>
      </w:tr>
      <w:tr w14:paraId="5E817EF7">
        <w:tblPrEx>
          <w:tblCellMar>
            <w:top w:w="0" w:type="dxa"/>
            <w:left w:w="0" w:type="dxa"/>
            <w:bottom w:w="0" w:type="dxa"/>
            <w:right w:w="0" w:type="dxa"/>
          </w:tblCellMar>
        </w:tblPrEx>
        <w:tc>
          <w:tcPr>
            <w:tcW w:w="2110"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2117DB8D">
            <w:pPr>
              <w:pStyle w:val="28"/>
              <w:kinsoku w:val="0"/>
              <w:overflowPunct w:val="0"/>
              <w:snapToGrid w:val="0"/>
              <w:spacing w:line="360" w:lineRule="auto"/>
              <w:jc w:val="both"/>
              <w:rPr>
                <w:sz w:val="21"/>
                <w:szCs w:val="21"/>
              </w:rPr>
            </w:pPr>
            <w:r>
              <w:rPr>
                <w:rFonts w:hint="eastAsia" w:cs="宋体"/>
                <w:sz w:val="21"/>
                <w:szCs w:val="21"/>
              </w:rPr>
              <w:t>不充分报警</w:t>
            </w:r>
          </w:p>
        </w:tc>
        <w:tc>
          <w:tcPr>
            <w:tcW w:w="2890"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084FA9C3">
            <w:pPr>
              <w:pStyle w:val="28"/>
              <w:kinsoku w:val="0"/>
              <w:overflowPunct w:val="0"/>
              <w:snapToGrid w:val="0"/>
              <w:spacing w:line="360" w:lineRule="auto"/>
              <w:jc w:val="both"/>
              <w:rPr>
                <w:b/>
                <w:bCs/>
                <w:sz w:val="21"/>
                <w:szCs w:val="21"/>
              </w:rPr>
            </w:pPr>
            <w:r>
              <w:rPr>
                <w:rFonts w:hint="eastAsia" w:cs="宋体"/>
                <w:b/>
                <w:bCs/>
                <w:sz w:val="21"/>
                <w:szCs w:val="21"/>
              </w:rPr>
              <w:t>第</w:t>
            </w:r>
            <w:r>
              <w:rPr>
                <w:b/>
                <w:bCs/>
                <w:sz w:val="21"/>
                <w:szCs w:val="21"/>
              </w:rPr>
              <w:t>9</w:t>
            </w:r>
            <w:r>
              <w:rPr>
                <w:rFonts w:hint="eastAsia" w:cs="宋体"/>
                <w:b/>
                <w:bCs/>
                <w:sz w:val="21"/>
                <w:szCs w:val="21"/>
              </w:rPr>
              <w:t>节</w:t>
            </w:r>
          </w:p>
        </w:tc>
      </w:tr>
      <w:tr w14:paraId="5D369738">
        <w:tblPrEx>
          <w:tblCellMar>
            <w:top w:w="0" w:type="dxa"/>
            <w:left w:w="0" w:type="dxa"/>
            <w:bottom w:w="0" w:type="dxa"/>
            <w:right w:w="0" w:type="dxa"/>
          </w:tblCellMar>
        </w:tblPrEx>
        <w:tc>
          <w:tcPr>
            <w:tcW w:w="2110"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70B6F46F">
            <w:pPr>
              <w:pStyle w:val="28"/>
              <w:kinsoku w:val="0"/>
              <w:overflowPunct w:val="0"/>
              <w:snapToGrid w:val="0"/>
              <w:spacing w:line="360" w:lineRule="auto"/>
              <w:jc w:val="both"/>
              <w:rPr>
                <w:sz w:val="21"/>
                <w:szCs w:val="21"/>
              </w:rPr>
            </w:pPr>
            <w:r>
              <w:rPr>
                <w:rFonts w:hint="eastAsia" w:cs="宋体"/>
                <w:sz w:val="21"/>
                <w:szCs w:val="21"/>
              </w:rPr>
              <w:t>电击</w:t>
            </w:r>
          </w:p>
        </w:tc>
        <w:tc>
          <w:tcPr>
            <w:tcW w:w="2890"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1F618A16">
            <w:pPr>
              <w:pStyle w:val="28"/>
              <w:kinsoku w:val="0"/>
              <w:overflowPunct w:val="0"/>
              <w:snapToGrid w:val="0"/>
              <w:spacing w:line="360" w:lineRule="auto"/>
              <w:jc w:val="both"/>
              <w:rPr>
                <w:b/>
                <w:bCs/>
                <w:sz w:val="21"/>
                <w:szCs w:val="21"/>
              </w:rPr>
            </w:pPr>
            <w:r>
              <w:rPr>
                <w:rFonts w:hint="eastAsia" w:cs="宋体"/>
                <w:b/>
                <w:bCs/>
                <w:sz w:val="21"/>
                <w:szCs w:val="21"/>
              </w:rPr>
              <w:t>第</w:t>
            </w:r>
            <w:r>
              <w:rPr>
                <w:b/>
                <w:bCs/>
                <w:sz w:val="21"/>
                <w:szCs w:val="21"/>
              </w:rPr>
              <w:t>10</w:t>
            </w:r>
            <w:r>
              <w:rPr>
                <w:rFonts w:hint="eastAsia" w:cs="宋体"/>
                <w:b/>
                <w:bCs/>
                <w:sz w:val="21"/>
                <w:szCs w:val="21"/>
              </w:rPr>
              <w:t>节</w:t>
            </w:r>
          </w:p>
        </w:tc>
      </w:tr>
      <w:tr w14:paraId="27348384">
        <w:tblPrEx>
          <w:tblCellMar>
            <w:top w:w="0" w:type="dxa"/>
            <w:left w:w="0" w:type="dxa"/>
            <w:bottom w:w="0" w:type="dxa"/>
            <w:right w:w="0" w:type="dxa"/>
          </w:tblCellMar>
        </w:tblPrEx>
        <w:tc>
          <w:tcPr>
            <w:tcW w:w="2110"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26751983">
            <w:pPr>
              <w:pStyle w:val="28"/>
              <w:kinsoku w:val="0"/>
              <w:overflowPunct w:val="0"/>
              <w:snapToGrid w:val="0"/>
              <w:spacing w:line="360" w:lineRule="auto"/>
              <w:jc w:val="both"/>
              <w:rPr>
                <w:sz w:val="21"/>
                <w:szCs w:val="21"/>
              </w:rPr>
            </w:pPr>
            <w:r>
              <w:rPr>
                <w:rFonts w:hint="eastAsia" w:cs="宋体"/>
                <w:sz w:val="21"/>
                <w:szCs w:val="21"/>
              </w:rPr>
              <w:t>电磁干扰</w:t>
            </w:r>
          </w:p>
        </w:tc>
        <w:tc>
          <w:tcPr>
            <w:tcW w:w="2890"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69241316">
            <w:pPr>
              <w:pStyle w:val="28"/>
              <w:kinsoku w:val="0"/>
              <w:overflowPunct w:val="0"/>
              <w:snapToGrid w:val="0"/>
              <w:spacing w:line="360" w:lineRule="auto"/>
              <w:jc w:val="both"/>
              <w:rPr>
                <w:b/>
                <w:bCs/>
                <w:sz w:val="21"/>
                <w:szCs w:val="21"/>
              </w:rPr>
            </w:pPr>
            <w:r>
              <w:rPr>
                <w:rFonts w:hint="eastAsia" w:cs="宋体"/>
                <w:b/>
                <w:bCs/>
                <w:sz w:val="21"/>
                <w:szCs w:val="21"/>
              </w:rPr>
              <w:t>第</w:t>
            </w:r>
            <w:r>
              <w:rPr>
                <w:b/>
                <w:bCs/>
                <w:sz w:val="21"/>
                <w:szCs w:val="21"/>
              </w:rPr>
              <w:t>11</w:t>
            </w:r>
            <w:r>
              <w:rPr>
                <w:rFonts w:hint="eastAsia" w:cs="宋体"/>
                <w:b/>
                <w:bCs/>
                <w:sz w:val="21"/>
                <w:szCs w:val="21"/>
              </w:rPr>
              <w:t>节</w:t>
            </w:r>
          </w:p>
        </w:tc>
      </w:tr>
      <w:tr w14:paraId="254FE82C">
        <w:tblPrEx>
          <w:tblCellMar>
            <w:top w:w="0" w:type="dxa"/>
            <w:left w:w="0" w:type="dxa"/>
            <w:bottom w:w="0" w:type="dxa"/>
            <w:right w:w="0" w:type="dxa"/>
          </w:tblCellMar>
        </w:tblPrEx>
        <w:tc>
          <w:tcPr>
            <w:tcW w:w="2110"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7C1890DA">
            <w:pPr>
              <w:pStyle w:val="28"/>
              <w:kinsoku w:val="0"/>
              <w:overflowPunct w:val="0"/>
              <w:snapToGrid w:val="0"/>
              <w:spacing w:line="360" w:lineRule="auto"/>
              <w:jc w:val="both"/>
              <w:rPr>
                <w:sz w:val="21"/>
                <w:szCs w:val="21"/>
              </w:rPr>
            </w:pPr>
            <w:r>
              <w:rPr>
                <w:rFonts w:hint="eastAsia" w:cs="宋体"/>
                <w:sz w:val="21"/>
                <w:szCs w:val="21"/>
              </w:rPr>
              <w:t>不准确检测</w:t>
            </w:r>
          </w:p>
        </w:tc>
        <w:tc>
          <w:tcPr>
            <w:tcW w:w="2890"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3D3AE6EC">
            <w:pPr>
              <w:pStyle w:val="28"/>
              <w:kinsoku w:val="0"/>
              <w:overflowPunct w:val="0"/>
              <w:snapToGrid w:val="0"/>
              <w:spacing w:line="360" w:lineRule="auto"/>
              <w:jc w:val="both"/>
              <w:rPr>
                <w:b/>
                <w:bCs/>
                <w:sz w:val="21"/>
                <w:szCs w:val="21"/>
              </w:rPr>
            </w:pPr>
            <w:r>
              <w:rPr>
                <w:rFonts w:hint="eastAsia" w:cs="宋体"/>
                <w:b/>
                <w:bCs/>
                <w:sz w:val="21"/>
                <w:szCs w:val="21"/>
              </w:rPr>
              <w:t>第</w:t>
            </w:r>
            <w:r>
              <w:rPr>
                <w:b/>
                <w:bCs/>
                <w:sz w:val="21"/>
                <w:szCs w:val="21"/>
              </w:rPr>
              <w:t>12</w:t>
            </w:r>
            <w:r>
              <w:rPr>
                <w:rFonts w:hint="eastAsia" w:cs="宋体"/>
                <w:b/>
                <w:bCs/>
                <w:sz w:val="21"/>
                <w:szCs w:val="21"/>
              </w:rPr>
              <w:t>、</w:t>
            </w:r>
            <w:r>
              <w:rPr>
                <w:b/>
                <w:bCs/>
                <w:sz w:val="21"/>
                <w:szCs w:val="21"/>
              </w:rPr>
              <w:t>14</w:t>
            </w:r>
            <w:r>
              <w:rPr>
                <w:rFonts w:hint="eastAsia" w:cs="宋体"/>
                <w:b/>
                <w:bCs/>
                <w:sz w:val="21"/>
                <w:szCs w:val="21"/>
              </w:rPr>
              <w:t>节</w:t>
            </w:r>
          </w:p>
        </w:tc>
      </w:tr>
      <w:tr w14:paraId="159A1AEA">
        <w:tblPrEx>
          <w:tblCellMar>
            <w:top w:w="0" w:type="dxa"/>
            <w:left w:w="0" w:type="dxa"/>
            <w:bottom w:w="0" w:type="dxa"/>
            <w:right w:w="0" w:type="dxa"/>
          </w:tblCellMar>
        </w:tblPrEx>
        <w:tc>
          <w:tcPr>
            <w:tcW w:w="2110"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1AB6B480">
            <w:pPr>
              <w:pStyle w:val="28"/>
              <w:kinsoku w:val="0"/>
              <w:overflowPunct w:val="0"/>
              <w:snapToGrid w:val="0"/>
              <w:spacing w:line="360" w:lineRule="auto"/>
              <w:jc w:val="both"/>
              <w:rPr>
                <w:sz w:val="21"/>
                <w:szCs w:val="21"/>
              </w:rPr>
            </w:pPr>
            <w:r>
              <w:rPr>
                <w:rFonts w:hint="eastAsia" w:cs="宋体"/>
                <w:sz w:val="21"/>
                <w:szCs w:val="21"/>
              </w:rPr>
              <w:t>组织反应性</w:t>
            </w:r>
          </w:p>
        </w:tc>
        <w:tc>
          <w:tcPr>
            <w:tcW w:w="2890"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422419F1">
            <w:pPr>
              <w:pStyle w:val="28"/>
              <w:kinsoku w:val="0"/>
              <w:overflowPunct w:val="0"/>
              <w:snapToGrid w:val="0"/>
              <w:spacing w:line="360" w:lineRule="auto"/>
              <w:jc w:val="both"/>
              <w:rPr>
                <w:b/>
                <w:bCs/>
                <w:sz w:val="21"/>
                <w:szCs w:val="21"/>
              </w:rPr>
            </w:pPr>
            <w:r>
              <w:rPr>
                <w:rFonts w:hint="eastAsia" w:cs="宋体"/>
                <w:b/>
                <w:bCs/>
                <w:sz w:val="21"/>
                <w:szCs w:val="21"/>
              </w:rPr>
              <w:t>第</w:t>
            </w:r>
            <w:r>
              <w:rPr>
                <w:b/>
                <w:bCs/>
                <w:sz w:val="21"/>
                <w:szCs w:val="21"/>
              </w:rPr>
              <w:t>13</w:t>
            </w:r>
            <w:r>
              <w:rPr>
                <w:rFonts w:hint="eastAsia" w:cs="宋体"/>
                <w:b/>
                <w:bCs/>
                <w:sz w:val="21"/>
                <w:szCs w:val="21"/>
              </w:rPr>
              <w:t>节</w:t>
            </w:r>
          </w:p>
        </w:tc>
      </w:tr>
    </w:tbl>
    <w:p w14:paraId="5A69AC8F">
      <w:pPr>
        <w:pStyle w:val="3"/>
        <w:kinsoku w:val="0"/>
        <w:overflowPunct w:val="0"/>
        <w:snapToGrid w:val="0"/>
        <w:spacing w:afterLines="50" w:line="360" w:lineRule="auto"/>
        <w:ind w:left="0"/>
        <w:jc w:val="both"/>
        <w:rPr>
          <w:rFonts w:ascii="Times New Roman" w:hAnsi="Times New Roman" w:cs="Times New Roman"/>
          <w:sz w:val="21"/>
          <w:szCs w:val="21"/>
          <w:u w:val="double"/>
        </w:rPr>
      </w:pPr>
    </w:p>
    <w:p w14:paraId="5BE4CFBB">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24" w:name="_Toc496720462"/>
      <w:r>
        <w:rPr>
          <w:rFonts w:hint="eastAsia" w:ascii="Times New Roman" w:hAnsi="Times New Roman" w:cs="宋体"/>
          <w:sz w:val="21"/>
          <w:szCs w:val="21"/>
          <w:u w:val="double"/>
        </w:rPr>
        <w:t>回到顶部</w:t>
      </w:r>
      <w:bookmarkEnd w:id="24"/>
    </w:p>
    <w:p w14:paraId="3605BB53">
      <w:pPr>
        <w:numPr>
          <w:ilvl w:val="0"/>
          <w:numId w:val="1"/>
        </w:numPr>
        <w:pBdr>
          <w:top w:val="single" w:color="BFBFBF" w:sz="12" w:space="1"/>
        </w:pBdr>
        <w:tabs>
          <w:tab w:val="left" w:pos="484"/>
        </w:tabs>
        <w:kinsoku w:val="0"/>
        <w:overflowPunct w:val="0"/>
        <w:snapToGrid w:val="0"/>
        <w:spacing w:afterLines="50" w:line="360" w:lineRule="auto"/>
        <w:ind w:firstLine="0"/>
        <w:jc w:val="both"/>
        <w:outlineLvl w:val="0"/>
        <w:rPr>
          <w:sz w:val="28"/>
          <w:szCs w:val="28"/>
        </w:rPr>
      </w:pPr>
      <w:bookmarkStart w:id="25" w:name="_Toc496720463"/>
      <w:r>
        <w:rPr>
          <w:rFonts w:hint="eastAsia" w:cs="宋体"/>
          <w:b/>
          <w:bCs/>
          <w:sz w:val="28"/>
          <w:szCs w:val="28"/>
        </w:rPr>
        <w:t>硬件验证活动</w:t>
      </w:r>
      <w:bookmarkEnd w:id="25"/>
    </w:p>
    <w:p w14:paraId="194D58E9">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您应描述为确保器械硬件符合其规格所采取的步骤。该信息应包含硬件验证过程的简要论述。应具体确定与风险分析过程中识别出的风险相关的验证活动。应提供验证活动的总结，其中包括：</w:t>
      </w:r>
    </w:p>
    <w:p w14:paraId="553AD0BA">
      <w:pPr>
        <w:pStyle w:val="5"/>
        <w:numPr>
          <w:ilvl w:val="0"/>
          <w:numId w:val="5"/>
        </w:numPr>
        <w:kinsoku w:val="0"/>
        <w:overflowPunct w:val="0"/>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rPr>
        <w:br w:type="page"/>
      </w:r>
      <w:bookmarkStart w:id="26" w:name="_Hlk495393682"/>
      <w:r>
        <w:rPr>
          <w:rFonts w:hint="eastAsia" w:ascii="Times New Roman" w:hAnsi="Times New Roman" w:cs="宋体"/>
          <w:sz w:val="21"/>
          <w:szCs w:val="21"/>
        </w:rPr>
        <w:t>测试方法和目标的详细描述，适当情况下，包括测试装置的图纸；</w:t>
      </w:r>
    </w:p>
    <w:p w14:paraId="639B5F3E">
      <w:pPr>
        <w:pStyle w:val="5"/>
        <w:numPr>
          <w:ilvl w:val="0"/>
          <w:numId w:val="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测试验收标准的明确声明以及如何选择标准；</w:t>
      </w:r>
    </w:p>
    <w:p w14:paraId="465E60DB">
      <w:pPr>
        <w:pStyle w:val="5"/>
        <w:numPr>
          <w:ilvl w:val="0"/>
          <w:numId w:val="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测试方法如何模拟预期使用环境的论述；</w:t>
      </w:r>
    </w:p>
    <w:p w14:paraId="6B48F2D0">
      <w:pPr>
        <w:pStyle w:val="5"/>
        <w:numPr>
          <w:ilvl w:val="0"/>
          <w:numId w:val="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测试结果；</w:t>
      </w:r>
    </w:p>
    <w:p w14:paraId="0AEA5F7B">
      <w:pPr>
        <w:pStyle w:val="5"/>
        <w:numPr>
          <w:ilvl w:val="0"/>
          <w:numId w:val="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测试结果的分析；及</w:t>
      </w:r>
    </w:p>
    <w:p w14:paraId="2C94F2B3">
      <w:pPr>
        <w:pStyle w:val="5"/>
        <w:numPr>
          <w:ilvl w:val="0"/>
          <w:numId w:val="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通过测试得出的结论的明确声明。</w:t>
      </w:r>
    </w:p>
    <w:p w14:paraId="099C1CEA">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27" w:name="_Toc496720464"/>
      <w:r>
        <w:rPr>
          <w:rFonts w:hint="eastAsia" w:ascii="Times New Roman" w:hAnsi="Times New Roman" w:cs="宋体"/>
          <w:sz w:val="21"/>
          <w:szCs w:val="21"/>
          <w:u w:val="double"/>
        </w:rPr>
        <w:t>回到顶部</w:t>
      </w:r>
      <w:bookmarkEnd w:id="27"/>
    </w:p>
    <w:bookmarkEnd w:id="26"/>
    <w:p w14:paraId="5C993010">
      <w:pPr>
        <w:numPr>
          <w:ilvl w:val="0"/>
          <w:numId w:val="1"/>
        </w:numPr>
        <w:pBdr>
          <w:top w:val="single" w:color="BFBFBF" w:sz="12" w:space="1"/>
        </w:pBdr>
        <w:tabs>
          <w:tab w:val="left" w:pos="484"/>
        </w:tabs>
        <w:kinsoku w:val="0"/>
        <w:overflowPunct w:val="0"/>
        <w:snapToGrid w:val="0"/>
        <w:spacing w:afterLines="50" w:line="360" w:lineRule="auto"/>
        <w:ind w:firstLine="0"/>
        <w:jc w:val="both"/>
        <w:outlineLvl w:val="0"/>
        <w:rPr>
          <w:sz w:val="28"/>
          <w:szCs w:val="28"/>
        </w:rPr>
      </w:pPr>
      <w:bookmarkStart w:id="28" w:name="_Toc496720465"/>
      <w:r>
        <w:rPr>
          <w:rFonts w:hint="eastAsia" w:cs="宋体"/>
          <w:b/>
          <w:bCs/>
          <w:sz w:val="28"/>
          <w:szCs w:val="28"/>
        </w:rPr>
        <w:t>软件验证活动</w:t>
      </w:r>
      <w:bookmarkEnd w:id="28"/>
    </w:p>
    <w:p w14:paraId="67C2A230">
      <w:pPr>
        <w:kinsoku w:val="0"/>
        <w:overflowPunct w:val="0"/>
        <w:snapToGrid w:val="0"/>
        <w:spacing w:afterLines="50" w:line="360" w:lineRule="auto"/>
        <w:rPr>
          <w:sz w:val="21"/>
          <w:szCs w:val="21"/>
        </w:rPr>
      </w:pPr>
      <w:bookmarkStart w:id="29" w:name="_Hlk495393760"/>
      <w:r>
        <w:rPr>
          <w:rFonts w:hint="eastAsia" w:cs="宋体"/>
          <w:sz w:val="21"/>
          <w:szCs w:val="21"/>
        </w:rPr>
        <w:t>有关应提供的软件文档的讨论，请参考</w:t>
      </w:r>
      <w:r>
        <w:fldChar w:fldCharType="begin"/>
      </w:r>
      <w:r>
        <w:instrText xml:space="preserve"> HYPERLINK "https://www.fda.gov/MedicalDevices/DeviceRegulationandGuidance/GuidanceDocuments/ucm089543.htm" </w:instrText>
      </w:r>
      <w:r>
        <w:fldChar w:fldCharType="separate"/>
      </w:r>
      <w:r>
        <w:rPr>
          <w:rFonts w:hint="eastAsia" w:cs="宋体"/>
          <w:b/>
          <w:bCs/>
          <w:i/>
          <w:iCs/>
          <w:sz w:val="21"/>
          <w:szCs w:val="21"/>
          <w:u w:val="double"/>
        </w:rPr>
        <w:t>医疗器械软件上市前提交件内容的指南文件</w:t>
      </w:r>
      <w:r>
        <w:rPr>
          <w:rFonts w:hint="eastAsia" w:cs="宋体"/>
          <w:b/>
          <w:bCs/>
          <w:sz w:val="21"/>
          <w:szCs w:val="21"/>
          <w:u w:val="double"/>
        </w:rPr>
        <w:t>（</w:t>
      </w:r>
      <w:r>
        <w:rPr>
          <w:b/>
          <w:bCs/>
          <w:sz w:val="21"/>
          <w:szCs w:val="21"/>
          <w:u w:val="double"/>
        </w:rPr>
        <w:t>/MedicalDevices/DeviceRegulationandGuidance/GuidanceDocuments/ucm089543.htm</w:t>
      </w:r>
      <w:r>
        <w:rPr>
          <w:rFonts w:hint="eastAsia" w:cs="宋体"/>
          <w:b/>
          <w:bCs/>
          <w:sz w:val="21"/>
          <w:szCs w:val="21"/>
          <w:u w:val="double"/>
        </w:rPr>
        <w:t>）</w:t>
      </w:r>
      <w:r>
        <w:rPr>
          <w:rFonts w:hint="eastAsia" w:cs="宋体"/>
          <w:b/>
          <w:bCs/>
          <w:sz w:val="21"/>
          <w:szCs w:val="21"/>
          <w:u w:val="double"/>
        </w:rPr>
        <w:fldChar w:fldCharType="end"/>
      </w:r>
      <w:r>
        <w:rPr>
          <w:rFonts w:hint="eastAsia" w:cs="宋体"/>
          <w:sz w:val="21"/>
          <w:szCs w:val="21"/>
        </w:rPr>
        <w:t>（以下简称</w:t>
      </w:r>
      <w:r>
        <w:rPr>
          <w:rFonts w:hint="eastAsia" w:cs="宋体"/>
          <w:i/>
          <w:iCs/>
          <w:sz w:val="21"/>
          <w:szCs w:val="21"/>
        </w:rPr>
        <w:t>软件指南文件</w:t>
      </w:r>
      <w:r>
        <w:rPr>
          <w:rFonts w:hint="eastAsia" w:cs="宋体"/>
          <w:sz w:val="21"/>
          <w:szCs w:val="21"/>
        </w:rPr>
        <w:t>）。</w:t>
      </w:r>
      <w:bookmarkEnd w:id="29"/>
      <w:r>
        <w:rPr>
          <w:rFonts w:hint="eastAsia" w:cs="宋体"/>
          <w:sz w:val="21"/>
          <w:szCs w:val="21"/>
        </w:rPr>
        <w:t>如</w:t>
      </w:r>
      <w:r>
        <w:rPr>
          <w:rFonts w:hint="eastAsia" w:cs="宋体"/>
          <w:i/>
          <w:iCs/>
          <w:sz w:val="21"/>
          <w:szCs w:val="21"/>
        </w:rPr>
        <w:t>软件指南文件</w:t>
      </w:r>
      <w:r>
        <w:rPr>
          <w:rFonts w:hint="eastAsia" w:cs="宋体"/>
          <w:sz w:val="21"/>
          <w:szCs w:val="21"/>
        </w:rPr>
        <w:t>所示，“关注等级”与软件故障的可能后果相关，可以是轻微、中等或严重。呼吸暂停监护仪软件通常被视为“严重关注等级”。如果您认为应将呼吸暂停监护仪中的软件视为轻微或中等关注等级，则应提供明确的科学合理性解释，讨论软件故障的可能后果。</w:t>
      </w:r>
    </w:p>
    <w:p w14:paraId="76C8A0CF">
      <w:pPr>
        <w:kinsoku w:val="0"/>
        <w:overflowPunct w:val="0"/>
        <w:snapToGrid w:val="0"/>
        <w:spacing w:afterLines="50" w:line="360" w:lineRule="auto"/>
        <w:rPr>
          <w:sz w:val="21"/>
          <w:szCs w:val="21"/>
        </w:rPr>
      </w:pPr>
      <w:bookmarkStart w:id="30" w:name="_Hlk495393804"/>
      <w:r>
        <w:rPr>
          <w:rFonts w:hint="eastAsia" w:cs="宋体"/>
          <w:sz w:val="21"/>
          <w:szCs w:val="21"/>
        </w:rPr>
        <w:t>我们鼓励您利用获得认可的软件标准，并提供上文引用的</w:t>
      </w:r>
      <w:r>
        <w:rPr>
          <w:sz w:val="21"/>
          <w:szCs w:val="21"/>
        </w:rPr>
        <w:t>FDA</w:t>
      </w:r>
      <w:r>
        <w:rPr>
          <w:rFonts w:hint="eastAsia" w:cs="宋体"/>
          <w:sz w:val="21"/>
          <w:szCs w:val="21"/>
        </w:rPr>
        <w:t>指南文件，</w:t>
      </w:r>
      <w:r>
        <w:rPr>
          <w:rFonts w:hint="eastAsia" w:cs="宋体"/>
          <w:b/>
          <w:bCs/>
          <w:sz w:val="21"/>
          <w:szCs w:val="21"/>
        </w:rPr>
        <w:t>实质等同性确定中标准的使用</w:t>
      </w:r>
      <w:r>
        <w:rPr>
          <w:rFonts w:hint="eastAsia" w:cs="宋体"/>
          <w:sz w:val="21"/>
          <w:szCs w:val="21"/>
        </w:rPr>
        <w:t>中所述声明或合规声明。请访问以下网站，搜索医疗器械包含软件时已经获得认可的标准，</w:t>
      </w:r>
      <w:r>
        <w:fldChar w:fldCharType="begin"/>
      </w:r>
      <w:r>
        <w:instrText xml:space="preserve"> HYPERLINK "http://www.accessdata.fda.gov/scripts/cdrh/cfdocs/cfStandards/search.cfm" </w:instrText>
      </w:r>
      <w:r>
        <w:fldChar w:fldCharType="separate"/>
      </w:r>
      <w:r>
        <w:rPr>
          <w:b/>
          <w:bCs/>
          <w:sz w:val="21"/>
          <w:szCs w:val="21"/>
          <w:u w:val="double"/>
        </w:rPr>
        <w:t>http://www.accessdata.fda.gov/scripts/cdrh/cfdocs/cfStandards/search.cfm</w:t>
      </w:r>
      <w:r>
        <w:rPr>
          <w:rFonts w:hint="eastAsia" w:cs="宋体"/>
          <w:b/>
          <w:bCs/>
          <w:sz w:val="21"/>
          <w:szCs w:val="21"/>
          <w:u w:val="double"/>
        </w:rPr>
        <w:t>（</w:t>
      </w:r>
      <w:r>
        <w:rPr>
          <w:b/>
          <w:bCs/>
          <w:sz w:val="21"/>
          <w:szCs w:val="21"/>
          <w:u w:val="double"/>
        </w:rPr>
        <w:t>http://www.accessdata.fda.gov/scripts/cdrh/cfdocs/cfStandards/search.cfm</w:t>
      </w:r>
      <w:r>
        <w:rPr>
          <w:b/>
          <w:bCs/>
          <w:sz w:val="21"/>
          <w:szCs w:val="21"/>
          <w:u w:val="double"/>
        </w:rPr>
        <w:fldChar w:fldCharType="end"/>
      </w:r>
      <w:r>
        <w:rPr>
          <w:rFonts w:hint="eastAsia" w:cs="宋体"/>
          <w:b/>
          <w:bCs/>
          <w:sz w:val="21"/>
          <w:szCs w:val="21"/>
        </w:rPr>
        <w:t>）</w:t>
      </w:r>
      <w:r>
        <w:rPr>
          <w:rFonts w:hint="eastAsia" w:cs="宋体"/>
          <w:sz w:val="21"/>
          <w:szCs w:val="21"/>
        </w:rPr>
        <w:t>。</w:t>
      </w:r>
      <w:bookmarkEnd w:id="30"/>
      <w:r>
        <w:rPr>
          <w:rFonts w:hint="eastAsia" w:cs="宋体"/>
          <w:sz w:val="21"/>
          <w:szCs w:val="21"/>
        </w:rPr>
        <w:t>我们针对获得认可的每个软件标准创建了补充信息表。补充信息表包含一个表格，表格指出提供合规声明时应在提交件中包含的文档。</w:t>
      </w:r>
    </w:p>
    <w:p w14:paraId="102F3EF2">
      <w:pPr>
        <w:kinsoku w:val="0"/>
        <w:overflowPunct w:val="0"/>
        <w:snapToGrid w:val="0"/>
        <w:spacing w:afterLines="50" w:line="360" w:lineRule="auto"/>
        <w:jc w:val="both"/>
        <w:rPr>
          <w:sz w:val="21"/>
          <w:szCs w:val="21"/>
        </w:rPr>
      </w:pPr>
      <w:bookmarkStart w:id="31" w:name="_Hlk495393846"/>
      <w:r>
        <w:rPr>
          <w:sz w:val="21"/>
          <w:szCs w:val="21"/>
        </w:rPr>
        <w:fldChar w:fldCharType="begin"/>
      </w:r>
      <w:r>
        <w:rPr>
          <w:sz w:val="21"/>
          <w:szCs w:val="21"/>
        </w:rPr>
        <w:instrText xml:space="preserve"> HYPERLINK "https://www.fda.gov/MedicalDevices/DeviceRegulationandGuidance/GuidanceDocuments/ssLINK/ucm073778.htm" </w:instrText>
      </w:r>
      <w:r>
        <w:rPr>
          <w:sz w:val="21"/>
          <w:szCs w:val="21"/>
        </w:rPr>
        <w:fldChar w:fldCharType="separate"/>
      </w:r>
      <w:r>
        <w:rPr>
          <w:rFonts w:hint="eastAsia" w:cs="宋体"/>
          <w:sz w:val="21"/>
          <w:szCs w:val="21"/>
        </w:rPr>
        <w:t>如果器械包含现成软件，则应提供</w:t>
      </w:r>
      <w:r>
        <w:rPr>
          <w:rFonts w:hint="eastAsia" w:cs="宋体"/>
          <w:b/>
          <w:bCs/>
          <w:sz w:val="21"/>
          <w:szCs w:val="21"/>
          <w:u w:val="double"/>
        </w:rPr>
        <w:t>行业指南文件，</w:t>
      </w:r>
      <w:r>
        <w:rPr>
          <w:b/>
          <w:bCs/>
          <w:sz w:val="21"/>
          <w:szCs w:val="21"/>
          <w:u w:val="double"/>
        </w:rPr>
        <w:t>FDA</w:t>
      </w:r>
      <w:r>
        <w:rPr>
          <w:rFonts w:hint="eastAsia" w:cs="宋体"/>
          <w:b/>
          <w:bCs/>
          <w:sz w:val="21"/>
          <w:szCs w:val="21"/>
          <w:u w:val="double"/>
        </w:rPr>
        <w:t>审查员和医疗器械中现成软件使用的合规</w:t>
      </w:r>
      <w:r>
        <w:rPr>
          <w:b/>
          <w:bCs/>
          <w:sz w:val="21"/>
          <w:szCs w:val="21"/>
          <w:u w:val="double"/>
        </w:rPr>
        <w:t>(ssLINK/ucm073778.htm)</w:t>
      </w:r>
      <w:r>
        <w:rPr>
          <w:sz w:val="21"/>
          <w:szCs w:val="21"/>
        </w:rPr>
        <w:fldChar w:fldCharType="end"/>
      </w:r>
      <w:r>
        <w:rPr>
          <w:rFonts w:hint="eastAsia" w:cs="宋体"/>
          <w:sz w:val="21"/>
          <w:szCs w:val="21"/>
        </w:rPr>
        <w:t>中建议的附加信息。</w:t>
      </w:r>
    </w:p>
    <w:p w14:paraId="2C358B45">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32" w:name="_Toc496720466"/>
      <w:r>
        <w:rPr>
          <w:rFonts w:hint="eastAsia" w:ascii="Times New Roman" w:hAnsi="Times New Roman" w:cs="宋体"/>
          <w:sz w:val="21"/>
          <w:szCs w:val="21"/>
          <w:u w:val="double"/>
        </w:rPr>
        <w:t>回到顶部</w:t>
      </w:r>
      <w:bookmarkEnd w:id="32"/>
    </w:p>
    <w:bookmarkEnd w:id="31"/>
    <w:p w14:paraId="5D88CB54">
      <w:pPr>
        <w:numPr>
          <w:ilvl w:val="0"/>
          <w:numId w:val="1"/>
        </w:numPr>
        <w:tabs>
          <w:tab w:val="left" w:pos="484"/>
        </w:tabs>
        <w:kinsoku w:val="0"/>
        <w:overflowPunct w:val="0"/>
        <w:snapToGrid w:val="0"/>
        <w:spacing w:afterLines="50" w:line="360" w:lineRule="auto"/>
        <w:ind w:firstLine="0"/>
        <w:jc w:val="both"/>
        <w:outlineLvl w:val="0"/>
        <w:rPr>
          <w:sz w:val="28"/>
          <w:szCs w:val="28"/>
        </w:rPr>
      </w:pPr>
      <w:r>
        <w:rPr>
          <w:b/>
          <w:bCs/>
          <w:sz w:val="21"/>
          <w:szCs w:val="21"/>
        </w:rPr>
        <w:br w:type="page"/>
      </w:r>
      <w:bookmarkStart w:id="33" w:name="_Toc496720467"/>
      <w:r>
        <w:rPr>
          <w:rFonts w:hint="eastAsia" w:cs="宋体"/>
          <w:b/>
          <w:bCs/>
          <w:sz w:val="28"/>
          <w:szCs w:val="28"/>
        </w:rPr>
        <w:t>呼吸暂停监护仪的设计和</w:t>
      </w:r>
      <w:r>
        <w:rPr>
          <w:b/>
          <w:bCs/>
          <w:sz w:val="28"/>
          <w:szCs w:val="28"/>
        </w:rPr>
        <w:t>/</w:t>
      </w:r>
      <w:r>
        <w:rPr>
          <w:rFonts w:hint="eastAsia" w:cs="宋体"/>
          <w:b/>
          <w:bCs/>
          <w:sz w:val="28"/>
          <w:szCs w:val="28"/>
        </w:rPr>
        <w:t>或功能建议</w:t>
      </w:r>
      <w:bookmarkEnd w:id="33"/>
    </w:p>
    <w:p w14:paraId="741F321C">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呼吸暂停监护仪应包含：</w:t>
      </w:r>
    </w:p>
    <w:p w14:paraId="7E6301EF">
      <w:pPr>
        <w:pStyle w:val="5"/>
        <w:numPr>
          <w:ilvl w:val="0"/>
          <w:numId w:val="6"/>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至少一个用于检测呼吸暂停的主要</w:t>
      </w:r>
      <w:r>
        <w:rPr>
          <w:rFonts w:ascii="Times New Roman" w:hAnsi="Times New Roman" w:cs="Times New Roman"/>
          <w:sz w:val="21"/>
          <w:szCs w:val="21"/>
        </w:rPr>
        <w:t>/</w:t>
      </w:r>
      <w:r>
        <w:rPr>
          <w:rFonts w:hint="eastAsia" w:ascii="Times New Roman" w:hAnsi="Times New Roman" w:cs="宋体"/>
          <w:sz w:val="21"/>
          <w:szCs w:val="21"/>
        </w:rPr>
        <w:t>直接方法；</w:t>
      </w:r>
    </w:p>
    <w:p w14:paraId="691CFC18">
      <w:pPr>
        <w:pStyle w:val="5"/>
        <w:numPr>
          <w:ilvl w:val="0"/>
          <w:numId w:val="6"/>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至少一个用于检测呼吸暂停的辅助</w:t>
      </w:r>
      <w:r>
        <w:rPr>
          <w:rFonts w:ascii="Times New Roman" w:hAnsi="Times New Roman" w:cs="Times New Roman"/>
          <w:sz w:val="21"/>
          <w:szCs w:val="21"/>
        </w:rPr>
        <w:t>/</w:t>
      </w:r>
      <w:r>
        <w:rPr>
          <w:rFonts w:hint="eastAsia" w:ascii="Times New Roman" w:hAnsi="Times New Roman" w:cs="宋体"/>
          <w:sz w:val="21"/>
          <w:szCs w:val="21"/>
        </w:rPr>
        <w:t>间接方法，例如：心率；</w:t>
      </w:r>
    </w:p>
    <w:p w14:paraId="4E41F2DD">
      <w:pPr>
        <w:pStyle w:val="5"/>
        <w:numPr>
          <w:ilvl w:val="0"/>
          <w:numId w:val="6"/>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用于测量窒息发作持续时间的计时器；</w:t>
      </w:r>
    </w:p>
    <w:p w14:paraId="4FAC0C92">
      <w:pPr>
        <w:pStyle w:val="5"/>
        <w:numPr>
          <w:ilvl w:val="0"/>
          <w:numId w:val="6"/>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发出窒息发作信号的可见和可闻报警；</w:t>
      </w:r>
    </w:p>
    <w:p w14:paraId="3B35857A">
      <w:pPr>
        <w:pStyle w:val="5"/>
        <w:numPr>
          <w:ilvl w:val="0"/>
          <w:numId w:val="6"/>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发出由于窒息发作而产生辅助</w:t>
      </w:r>
      <w:r>
        <w:rPr>
          <w:rFonts w:ascii="Times New Roman" w:hAnsi="Times New Roman" w:cs="Times New Roman"/>
          <w:sz w:val="21"/>
          <w:szCs w:val="21"/>
        </w:rPr>
        <w:t>/</w:t>
      </w:r>
      <w:r>
        <w:rPr>
          <w:rFonts w:hint="eastAsia" w:ascii="Times New Roman" w:hAnsi="Times New Roman" w:cs="宋体"/>
          <w:sz w:val="21"/>
          <w:szCs w:val="21"/>
        </w:rPr>
        <w:t>间接条件信号的可见和可闻报警；及</w:t>
      </w:r>
    </w:p>
    <w:p w14:paraId="6336A928">
      <w:pPr>
        <w:pStyle w:val="5"/>
        <w:numPr>
          <w:ilvl w:val="0"/>
          <w:numId w:val="6"/>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在传感器故障发生后的</w:t>
      </w:r>
      <w:r>
        <w:rPr>
          <w:rFonts w:ascii="Times New Roman" w:hAnsi="Times New Roman" w:cs="Times New Roman"/>
          <w:sz w:val="21"/>
          <w:szCs w:val="21"/>
        </w:rPr>
        <w:t>5</w:t>
      </w:r>
      <w:r>
        <w:rPr>
          <w:rFonts w:hint="eastAsia" w:ascii="Times New Roman" w:hAnsi="Times New Roman" w:cs="宋体"/>
          <w:sz w:val="21"/>
          <w:szCs w:val="21"/>
        </w:rPr>
        <w:t>秒内激活的主要</w:t>
      </w:r>
      <w:r>
        <w:rPr>
          <w:rFonts w:ascii="Times New Roman" w:hAnsi="Times New Roman" w:cs="Times New Roman"/>
          <w:sz w:val="21"/>
          <w:szCs w:val="21"/>
        </w:rPr>
        <w:t>/</w:t>
      </w:r>
      <w:r>
        <w:rPr>
          <w:rFonts w:hint="eastAsia" w:ascii="Times New Roman" w:hAnsi="Times New Roman" w:cs="宋体"/>
          <w:sz w:val="21"/>
          <w:szCs w:val="21"/>
        </w:rPr>
        <w:t>直接和辅助</w:t>
      </w:r>
      <w:r>
        <w:rPr>
          <w:rFonts w:ascii="Times New Roman" w:hAnsi="Times New Roman" w:cs="Times New Roman"/>
          <w:sz w:val="21"/>
          <w:szCs w:val="21"/>
        </w:rPr>
        <w:t>/</w:t>
      </w:r>
      <w:r>
        <w:rPr>
          <w:rFonts w:hint="eastAsia" w:ascii="Times New Roman" w:hAnsi="Times New Roman" w:cs="宋体"/>
          <w:sz w:val="21"/>
          <w:szCs w:val="21"/>
        </w:rPr>
        <w:t>间接呼吸暂停检测方法的传感器故障报警。</w:t>
      </w:r>
    </w:p>
    <w:p w14:paraId="5B7A333E">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主要</w:t>
      </w:r>
      <w:r>
        <w:rPr>
          <w:rFonts w:ascii="Times New Roman" w:hAnsi="Times New Roman" w:cs="Times New Roman"/>
          <w:sz w:val="21"/>
          <w:szCs w:val="21"/>
        </w:rPr>
        <w:t>/</w:t>
      </w:r>
      <w:r>
        <w:rPr>
          <w:rFonts w:hint="eastAsia" w:ascii="Times New Roman" w:hAnsi="Times New Roman" w:cs="宋体"/>
          <w:sz w:val="21"/>
          <w:szCs w:val="21"/>
        </w:rPr>
        <w:t>直接检测方法应为以下类型之一：</w:t>
      </w:r>
    </w:p>
    <w:p w14:paraId="68894B8D">
      <w:pPr>
        <w:pStyle w:val="5"/>
        <w:numPr>
          <w:ilvl w:val="0"/>
          <w:numId w:val="7"/>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仅用于检测中枢性呼吸暂停的方法；</w:t>
      </w:r>
    </w:p>
    <w:p w14:paraId="683E57A1">
      <w:pPr>
        <w:pStyle w:val="5"/>
        <w:numPr>
          <w:ilvl w:val="0"/>
          <w:numId w:val="7"/>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用于检测阻塞性呼吸暂停和中枢性呼吸暂停，但无法区分它们的方法；或</w:t>
      </w:r>
    </w:p>
    <w:p w14:paraId="633A4B80">
      <w:pPr>
        <w:pStyle w:val="5"/>
        <w:numPr>
          <w:ilvl w:val="0"/>
          <w:numId w:val="7"/>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用于检测两种类型的呼吸暂停，并能够区分它们的方法。</w:t>
      </w:r>
    </w:p>
    <w:p w14:paraId="06B440EE">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仅用于检测中枢性呼吸暂停的方法实例包括：阻抗呼吸描记法、电感应体积描记术和气动腹部传感器。用于检测中枢性和阻塞性呼吸暂停，但无法区分它们的方法包括：气道热敏电阻、二氧化碳传感器和近端气道压力传感器。能够检测两种类型的呼吸暂停，并区分它们的方法实例是呼吸感应体积描记法。这些方法的组合可用于监测两种类型的呼吸暂停，并区分它们。</w:t>
      </w:r>
    </w:p>
    <w:p w14:paraId="4C88218C">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检测呼吸暂停的辅助</w:t>
      </w:r>
      <w:r>
        <w:rPr>
          <w:rFonts w:ascii="Times New Roman" w:hAnsi="Times New Roman" w:cs="Times New Roman"/>
          <w:sz w:val="21"/>
          <w:szCs w:val="21"/>
        </w:rPr>
        <w:t>/</w:t>
      </w:r>
      <w:r>
        <w:rPr>
          <w:rFonts w:hint="eastAsia" w:ascii="Times New Roman" w:hAnsi="Times New Roman" w:cs="宋体"/>
          <w:sz w:val="21"/>
          <w:szCs w:val="21"/>
        </w:rPr>
        <w:t>间接方法可测量由于呼吸暂停而变化的生理参数。例如：呼吸暂停可能会导致缺氧，进而导致心动过缓。因此，脉搏血氧测定和心率监测可被用作辅助检测方法。</w:t>
      </w:r>
    </w:p>
    <w:p w14:paraId="5884F4DD">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34" w:name="_Toc496720468"/>
      <w:r>
        <w:rPr>
          <w:rFonts w:hint="eastAsia" w:ascii="Times New Roman" w:hAnsi="Times New Roman" w:cs="宋体"/>
          <w:sz w:val="21"/>
          <w:szCs w:val="21"/>
        </w:rPr>
        <w:t>窒息防护</w:t>
      </w:r>
      <w:bookmarkEnd w:id="34"/>
    </w:p>
    <w:p w14:paraId="247202BC">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呼吸暂停监护仪应配备布线或保留装置或其他设计和</w:t>
      </w:r>
      <w:r>
        <w:rPr>
          <w:rFonts w:ascii="Times New Roman" w:hAnsi="Times New Roman" w:cs="Times New Roman"/>
          <w:sz w:val="21"/>
          <w:szCs w:val="21"/>
        </w:rPr>
        <w:t>/</w:t>
      </w:r>
      <w:r>
        <w:rPr>
          <w:rFonts w:hint="eastAsia" w:ascii="Times New Roman" w:hAnsi="Times New Roman" w:cs="宋体"/>
          <w:sz w:val="21"/>
          <w:szCs w:val="21"/>
        </w:rPr>
        <w:t>或功能，以最大限度地降低由于电线或管路而造成的患者窒息风险。这在将监护仪用于婴儿和幼儿时尤其重要。</w:t>
      </w:r>
    </w:p>
    <w:p w14:paraId="6B6DBC78">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35" w:name="_Toc496720469"/>
      <w:r>
        <w:rPr>
          <w:rFonts w:hint="eastAsia" w:ascii="Times New Roman" w:hAnsi="Times New Roman" w:cs="宋体"/>
          <w:sz w:val="21"/>
          <w:szCs w:val="21"/>
        </w:rPr>
        <w:t>电池电源和备用电池电源建议</w:t>
      </w:r>
      <w:bookmarkEnd w:id="35"/>
    </w:p>
    <w:p w14:paraId="20546702">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br w:type="page"/>
      </w:r>
      <w:r>
        <w:rPr>
          <w:rFonts w:ascii="Times New Roman" w:hAnsi="Times New Roman" w:cs="Times New Roman"/>
          <w:sz w:val="21"/>
          <w:szCs w:val="21"/>
        </w:rPr>
        <w:t>FDA</w:t>
      </w:r>
      <w:r>
        <w:rPr>
          <w:rFonts w:hint="eastAsia" w:ascii="Times New Roman" w:hAnsi="Times New Roman" w:cs="宋体"/>
          <w:sz w:val="21"/>
          <w:szCs w:val="21"/>
        </w:rPr>
        <w:t>建议所有呼吸暂停监护仪包含以下电池电源和备用电池电源设计功能。</w:t>
      </w:r>
    </w:p>
    <w:p w14:paraId="3C9AC90C">
      <w:pPr>
        <w:pStyle w:val="5"/>
        <w:numPr>
          <w:ilvl w:val="0"/>
          <w:numId w:val="8"/>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呼吸暂停监护仪应配备备用电池电源，在线路电源中断（交流电源监护仪）或主电池电源失效（直流电源监护仪）时，应自动激活备用电池电源。</w:t>
      </w:r>
    </w:p>
    <w:p w14:paraId="133A1213">
      <w:pPr>
        <w:pStyle w:val="5"/>
        <w:numPr>
          <w:ilvl w:val="0"/>
          <w:numId w:val="8"/>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呼吸暂停监护仪应包含可见就绪信号，指示监护仪通电，并区分不同电源（例如：线路电源和电池电源）。</w:t>
      </w:r>
    </w:p>
    <w:p w14:paraId="777B7635">
      <w:pPr>
        <w:pStyle w:val="5"/>
        <w:numPr>
          <w:ilvl w:val="0"/>
          <w:numId w:val="8"/>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如果呼吸暂停监护仪配备可充电电池，则监护仪应包含可见信号，在电池正在充电时提供指示。</w:t>
      </w:r>
    </w:p>
    <w:p w14:paraId="301F3FDA">
      <w:pPr>
        <w:pStyle w:val="5"/>
        <w:numPr>
          <w:ilvl w:val="0"/>
          <w:numId w:val="8"/>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备用电池电源应在监护仪电源中断（例如：线路电源或主要电池电源）的</w:t>
      </w:r>
      <w:r>
        <w:rPr>
          <w:rFonts w:ascii="Times New Roman" w:hAnsi="Times New Roman" w:cs="Times New Roman"/>
          <w:sz w:val="21"/>
          <w:szCs w:val="21"/>
        </w:rPr>
        <w:t>5</w:t>
      </w:r>
      <w:r>
        <w:rPr>
          <w:rFonts w:hint="eastAsia" w:ascii="Times New Roman" w:hAnsi="Times New Roman" w:cs="宋体"/>
          <w:sz w:val="21"/>
          <w:szCs w:val="21"/>
        </w:rPr>
        <w:t>秒内自动激活。</w:t>
      </w:r>
    </w:p>
    <w:p w14:paraId="3E53B593">
      <w:pPr>
        <w:pStyle w:val="5"/>
        <w:numPr>
          <w:ilvl w:val="0"/>
          <w:numId w:val="8"/>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监护仪应在线路电源（交流电源监护仪）或主要电源（直流电源监护仪）恢复之后的</w:t>
      </w:r>
      <w:r>
        <w:rPr>
          <w:rFonts w:ascii="Times New Roman" w:hAnsi="Times New Roman" w:cs="Times New Roman"/>
          <w:sz w:val="21"/>
          <w:szCs w:val="21"/>
        </w:rPr>
        <w:t>5</w:t>
      </w:r>
      <w:r>
        <w:rPr>
          <w:rFonts w:hint="eastAsia" w:ascii="Times New Roman" w:hAnsi="Times New Roman" w:cs="宋体"/>
          <w:sz w:val="21"/>
          <w:szCs w:val="21"/>
        </w:rPr>
        <w:t>秒之内重新开始正常运行。</w:t>
      </w:r>
    </w:p>
    <w:p w14:paraId="170561AF">
      <w:pPr>
        <w:pStyle w:val="5"/>
        <w:numPr>
          <w:ilvl w:val="0"/>
          <w:numId w:val="8"/>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从线路电源更换为备用电池电源之后和从备用电池电源更换为线路电源之后，应保存所有器械设置。</w:t>
      </w:r>
    </w:p>
    <w:p w14:paraId="795BA35B">
      <w:pPr>
        <w:pStyle w:val="5"/>
        <w:numPr>
          <w:ilvl w:val="0"/>
          <w:numId w:val="8"/>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如果监护仪采用交流电源，并且线路电源由于监护仪过流保护和激活机制的激活而中断，则不应激活备用电池电源，因为这可能会导致监护仪损坏、火灾等。</w:t>
      </w:r>
    </w:p>
    <w:p w14:paraId="52EADDD1">
      <w:pPr>
        <w:pStyle w:val="5"/>
        <w:numPr>
          <w:ilvl w:val="0"/>
          <w:numId w:val="8"/>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电池在充满电时的容量应足以支持监护仪至少</w:t>
      </w:r>
      <w:r>
        <w:rPr>
          <w:rFonts w:ascii="Times New Roman" w:hAnsi="Times New Roman" w:cs="Times New Roman"/>
          <w:sz w:val="21"/>
          <w:szCs w:val="21"/>
        </w:rPr>
        <w:t>8</w:t>
      </w:r>
      <w:r>
        <w:rPr>
          <w:rFonts w:hint="eastAsia" w:ascii="Times New Roman" w:hAnsi="Times New Roman" w:cs="宋体"/>
          <w:sz w:val="21"/>
          <w:szCs w:val="21"/>
        </w:rPr>
        <w:t>小时的正常运行。</w:t>
      </w:r>
    </w:p>
    <w:p w14:paraId="0D6B9662">
      <w:pPr>
        <w:pStyle w:val="5"/>
        <w:numPr>
          <w:ilvl w:val="0"/>
          <w:numId w:val="8"/>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在设计电池外壳或电池箱时，应考虑到气体聚集和着火以及电池意外短路的风险。</w:t>
      </w:r>
    </w:p>
    <w:p w14:paraId="06E04D47">
      <w:pPr>
        <w:pStyle w:val="5"/>
        <w:numPr>
          <w:ilvl w:val="0"/>
          <w:numId w:val="8"/>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如果电池的不正确连接或更换可能会导致安全危害或故障，则监护仪的设计应防止不正确连接极性。</w:t>
      </w:r>
    </w:p>
    <w:p w14:paraId="0AA43FDA">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36" w:name="_Toc496720470"/>
      <w:r>
        <w:rPr>
          <w:rFonts w:hint="eastAsia" w:ascii="Times New Roman" w:hAnsi="Times New Roman" w:cs="宋体"/>
          <w:sz w:val="21"/>
          <w:szCs w:val="21"/>
        </w:rPr>
        <w:t>远程报警装置：电池电源和备用电池电源建议</w:t>
      </w:r>
      <w:bookmarkEnd w:id="36"/>
    </w:p>
    <w:p w14:paraId="08CA4023">
      <w:pPr>
        <w:pStyle w:val="5"/>
        <w:kinsoku w:val="0"/>
        <w:overflowPunct w:val="0"/>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rPr>
        <w:t>FDA</w:t>
      </w:r>
      <w:r>
        <w:rPr>
          <w:rFonts w:hint="eastAsia" w:ascii="Times New Roman" w:hAnsi="Times New Roman" w:cs="宋体"/>
          <w:sz w:val="21"/>
          <w:szCs w:val="21"/>
        </w:rPr>
        <w:t>建议所有包含远程报警装置的呼吸暂停监护仪（例如：旨在用于家庭使用的呼吸暂停监护仪）包含以下电池电源和备用电池电源设计功能。</w:t>
      </w:r>
    </w:p>
    <w:p w14:paraId="0522FBB9">
      <w:pPr>
        <w:pStyle w:val="5"/>
        <w:numPr>
          <w:ilvl w:val="0"/>
          <w:numId w:val="9"/>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远程报警装置应配备备用电池电源，在线路电源中断（交流电源监护仪）或主电池电源失效（直流电源监护仪）时，应自动激活备用电池电源。</w:t>
      </w:r>
    </w:p>
    <w:p w14:paraId="325B5329">
      <w:pPr>
        <w:pStyle w:val="5"/>
        <w:numPr>
          <w:ilvl w:val="0"/>
          <w:numId w:val="9"/>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远程报警装置应包含可见就绪信号，指示远程报警装置通电，并区分不同电源（例如：线路电源和电池电源）。</w:t>
      </w:r>
    </w:p>
    <w:p w14:paraId="15D2E0B4">
      <w:pPr>
        <w:pStyle w:val="5"/>
        <w:numPr>
          <w:ilvl w:val="0"/>
          <w:numId w:val="9"/>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如果远程报警装置配备可充电电池，则装置应包含可见信号，在电池正在充电时提供指示。</w:t>
      </w:r>
    </w:p>
    <w:p w14:paraId="08123372">
      <w:pPr>
        <w:pStyle w:val="5"/>
        <w:numPr>
          <w:ilvl w:val="0"/>
          <w:numId w:val="9"/>
        </w:numPr>
        <w:kinsoku w:val="0"/>
        <w:overflowPunct w:val="0"/>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rPr>
        <w:br w:type="page"/>
      </w:r>
      <w:r>
        <w:rPr>
          <w:rFonts w:hint="eastAsia" w:ascii="Times New Roman" w:hAnsi="Times New Roman" w:cs="宋体"/>
          <w:sz w:val="21"/>
          <w:szCs w:val="21"/>
        </w:rPr>
        <w:t>备用电池电源应在远程报警装置电源中断（例如：监护仪、线路电源或主要电池电源）的</w:t>
      </w:r>
      <w:r>
        <w:rPr>
          <w:rFonts w:ascii="Times New Roman" w:hAnsi="Times New Roman" w:cs="Times New Roman"/>
          <w:sz w:val="21"/>
          <w:szCs w:val="21"/>
        </w:rPr>
        <w:t>5</w:t>
      </w:r>
      <w:r>
        <w:rPr>
          <w:rFonts w:hint="eastAsia" w:ascii="Times New Roman" w:hAnsi="Times New Roman" w:cs="宋体"/>
          <w:sz w:val="21"/>
          <w:szCs w:val="21"/>
        </w:rPr>
        <w:t>秒内自动激活。</w:t>
      </w:r>
    </w:p>
    <w:p w14:paraId="3487B762">
      <w:pPr>
        <w:pStyle w:val="5"/>
        <w:numPr>
          <w:ilvl w:val="0"/>
          <w:numId w:val="9"/>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远程报警装置应在线路电源（交流电源远程报警装置）或主要电源（直流电源远程报警装置）恢复之后的</w:t>
      </w:r>
      <w:r>
        <w:rPr>
          <w:rFonts w:ascii="Times New Roman" w:hAnsi="Times New Roman" w:cs="Times New Roman"/>
          <w:sz w:val="21"/>
          <w:szCs w:val="21"/>
        </w:rPr>
        <w:t>5</w:t>
      </w:r>
      <w:r>
        <w:rPr>
          <w:rFonts w:hint="eastAsia" w:ascii="Times New Roman" w:hAnsi="Times New Roman" w:cs="宋体"/>
          <w:sz w:val="21"/>
          <w:szCs w:val="21"/>
        </w:rPr>
        <w:t>秒之内重新开始正常运行。</w:t>
      </w:r>
    </w:p>
    <w:p w14:paraId="54E4BF63">
      <w:pPr>
        <w:pStyle w:val="5"/>
        <w:numPr>
          <w:ilvl w:val="0"/>
          <w:numId w:val="9"/>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如果远程报警装置采用交流电源，并且线路电源由于装置过流保护和激活机制的激活而中断，则不应激活备用电池电源，因为这可能会导致装置损坏、火灾等。</w:t>
      </w:r>
    </w:p>
    <w:p w14:paraId="61A2750B">
      <w:pPr>
        <w:pStyle w:val="5"/>
        <w:numPr>
          <w:ilvl w:val="0"/>
          <w:numId w:val="9"/>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电池在充满电时的容量应足以支持远程报警装置至少</w:t>
      </w:r>
      <w:r>
        <w:rPr>
          <w:rFonts w:ascii="Times New Roman" w:hAnsi="Times New Roman" w:cs="Times New Roman"/>
          <w:sz w:val="21"/>
          <w:szCs w:val="21"/>
        </w:rPr>
        <w:t>8</w:t>
      </w:r>
      <w:r>
        <w:rPr>
          <w:rFonts w:hint="eastAsia" w:ascii="Times New Roman" w:hAnsi="Times New Roman" w:cs="宋体"/>
          <w:sz w:val="21"/>
          <w:szCs w:val="21"/>
        </w:rPr>
        <w:t>小时的正常运行。</w:t>
      </w:r>
    </w:p>
    <w:p w14:paraId="67B861E4">
      <w:pPr>
        <w:pStyle w:val="5"/>
        <w:numPr>
          <w:ilvl w:val="0"/>
          <w:numId w:val="9"/>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在设计电池外壳或电池箱时，应考虑到气体聚集和着火以及电池意外短路的风险。</w:t>
      </w:r>
    </w:p>
    <w:p w14:paraId="39685F6D">
      <w:pPr>
        <w:pStyle w:val="5"/>
        <w:numPr>
          <w:ilvl w:val="0"/>
          <w:numId w:val="9"/>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如果电池的不正确连接或更换可能会导致安全危害或故障，则监护仪的设计应防止不正确连接极性。</w:t>
      </w:r>
    </w:p>
    <w:p w14:paraId="2B0D382D">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37" w:name="_Toc496720471"/>
      <w:r>
        <w:rPr>
          <w:rFonts w:hint="eastAsia" w:ascii="Times New Roman" w:hAnsi="Times New Roman" w:cs="宋体"/>
          <w:sz w:val="21"/>
          <w:szCs w:val="21"/>
          <w:u w:val="double"/>
        </w:rPr>
        <w:t>回到顶部</w:t>
      </w:r>
      <w:bookmarkEnd w:id="37"/>
    </w:p>
    <w:p w14:paraId="28D6D6FA">
      <w:pPr>
        <w:numPr>
          <w:ilvl w:val="0"/>
          <w:numId w:val="1"/>
        </w:numPr>
        <w:pBdr>
          <w:top w:val="single" w:color="BFBFBF" w:sz="12" w:space="1"/>
        </w:pBdr>
        <w:tabs>
          <w:tab w:val="left" w:pos="484"/>
        </w:tabs>
        <w:kinsoku w:val="0"/>
        <w:overflowPunct w:val="0"/>
        <w:snapToGrid w:val="0"/>
        <w:spacing w:afterLines="50" w:line="360" w:lineRule="auto"/>
        <w:ind w:firstLine="0"/>
        <w:jc w:val="both"/>
        <w:outlineLvl w:val="0"/>
        <w:rPr>
          <w:sz w:val="28"/>
          <w:szCs w:val="28"/>
        </w:rPr>
      </w:pPr>
      <w:bookmarkStart w:id="38" w:name="_Toc496720472"/>
      <w:r>
        <w:rPr>
          <w:rFonts w:hint="eastAsia" w:cs="宋体"/>
          <w:b/>
          <w:bCs/>
          <w:sz w:val="28"/>
          <w:szCs w:val="28"/>
        </w:rPr>
        <w:t>可见和可闻指示器和报警</w:t>
      </w:r>
      <w:bookmarkEnd w:id="38"/>
    </w:p>
    <w:p w14:paraId="4C3F4A24">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监护仪和远程报警装置的可见和可闻指示器和报警应符合下表所示标准，并包含第</w:t>
      </w:r>
      <w:r>
        <w:rPr>
          <w:rFonts w:ascii="Times New Roman" w:hAnsi="Times New Roman" w:cs="Times New Roman"/>
          <w:b/>
          <w:bCs/>
          <w:sz w:val="21"/>
          <w:szCs w:val="21"/>
          <w:u w:val="double"/>
        </w:rPr>
        <w:t>9.1</w:t>
      </w:r>
      <w:r>
        <w:rPr>
          <w:rFonts w:hint="eastAsia" w:ascii="Times New Roman" w:hAnsi="Times New Roman" w:cs="宋体"/>
          <w:sz w:val="21"/>
          <w:szCs w:val="21"/>
        </w:rPr>
        <w:t>节和第</w:t>
      </w:r>
      <w:r>
        <w:rPr>
          <w:rFonts w:ascii="Times New Roman" w:hAnsi="Times New Roman" w:cs="Times New Roman"/>
          <w:b/>
          <w:bCs/>
          <w:sz w:val="21"/>
          <w:szCs w:val="21"/>
          <w:u w:val="double"/>
        </w:rPr>
        <w:t>9.2</w:t>
      </w:r>
      <w:r>
        <w:rPr>
          <w:rFonts w:hint="eastAsia" w:ascii="Times New Roman" w:hAnsi="Times New Roman" w:cs="宋体"/>
          <w:sz w:val="21"/>
          <w:szCs w:val="21"/>
        </w:rPr>
        <w:t>节所示修改。</w:t>
      </w:r>
    </w:p>
    <w:p w14:paraId="5151FB7A">
      <w:pPr>
        <w:pStyle w:val="5"/>
        <w:kinsoku w:val="0"/>
        <w:overflowPunct w:val="0"/>
        <w:snapToGrid w:val="0"/>
        <w:spacing w:afterLines="50" w:line="360" w:lineRule="auto"/>
        <w:ind w:left="0"/>
        <w:jc w:val="both"/>
        <w:rPr>
          <w:rFonts w:ascii="Times New Roman" w:hAnsi="Times New Roman" w:cs="Times New Roman"/>
          <w:sz w:val="21"/>
          <w:szCs w:val="21"/>
        </w:rPr>
      </w:pPr>
      <w:bookmarkStart w:id="39" w:name="_Hlk495393943"/>
      <w:r>
        <w:rPr>
          <w:rFonts w:ascii="Times New Roman" w:hAnsi="Times New Roman" w:cs="Times New Roman"/>
          <w:sz w:val="21"/>
          <w:szCs w:val="21"/>
        </w:rPr>
        <w:t>ASTM F1463-93 (1999)</w:t>
      </w:r>
      <w:r>
        <w:rPr>
          <w:rFonts w:hint="eastAsia" w:ascii="Times New Roman" w:hAnsi="Times New Roman" w:cs="宋体"/>
          <w:sz w:val="21"/>
          <w:szCs w:val="21"/>
        </w:rPr>
        <w:t>：用在麻醉和呼吸护理中的医疗设备中报警信号的标准规格</w:t>
      </w:r>
    </w:p>
    <w:p w14:paraId="70A2214E">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或</w:t>
      </w:r>
    </w:p>
    <w:p w14:paraId="47D6B9C7">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t>ISO 9703-1 (1992)</w:t>
      </w:r>
      <w:r>
        <w:rPr>
          <w:rFonts w:hint="eastAsia" w:ascii="Times New Roman" w:hAnsi="Times New Roman" w:cs="宋体"/>
          <w:sz w:val="21"/>
          <w:szCs w:val="21"/>
        </w:rPr>
        <w:t>：麻醉和呼吸护理报警信号</w:t>
      </w:r>
      <w:r>
        <w:rPr>
          <w:rFonts w:ascii="Times New Roman" w:hAnsi="Times New Roman" w:cs="Times New Roman"/>
          <w:sz w:val="21"/>
          <w:szCs w:val="21"/>
        </w:rPr>
        <w:t>—</w:t>
      </w:r>
      <w:r>
        <w:rPr>
          <w:rFonts w:hint="eastAsia" w:ascii="Times New Roman" w:hAnsi="Times New Roman" w:cs="宋体"/>
          <w:sz w:val="21"/>
          <w:szCs w:val="21"/>
        </w:rPr>
        <w:t>第</w:t>
      </w:r>
      <w:r>
        <w:rPr>
          <w:rFonts w:ascii="Times New Roman" w:hAnsi="Times New Roman" w:cs="Times New Roman"/>
          <w:sz w:val="21"/>
          <w:szCs w:val="21"/>
        </w:rPr>
        <w:t>1</w:t>
      </w:r>
      <w:r>
        <w:rPr>
          <w:rFonts w:hint="eastAsia" w:ascii="Times New Roman" w:hAnsi="Times New Roman" w:cs="宋体"/>
          <w:sz w:val="21"/>
          <w:szCs w:val="21"/>
        </w:rPr>
        <w:t>部分：可见报警信号</w:t>
      </w:r>
    </w:p>
    <w:p w14:paraId="78B71844">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与</w:t>
      </w:r>
    </w:p>
    <w:p w14:paraId="4D4CE7F2">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t>ISO 9703-2 (1994)</w:t>
      </w:r>
      <w:r>
        <w:rPr>
          <w:rFonts w:hint="eastAsia" w:ascii="Times New Roman" w:hAnsi="Times New Roman" w:cs="宋体"/>
          <w:sz w:val="21"/>
          <w:szCs w:val="21"/>
        </w:rPr>
        <w:t>：麻醉和呼吸护理报警信号</w:t>
      </w:r>
      <w:r>
        <w:rPr>
          <w:rFonts w:ascii="Times New Roman" w:hAnsi="Times New Roman" w:cs="Times New Roman"/>
          <w:sz w:val="21"/>
          <w:szCs w:val="21"/>
        </w:rPr>
        <w:t>—</w:t>
      </w:r>
      <w:r>
        <w:rPr>
          <w:rFonts w:hint="eastAsia" w:ascii="Times New Roman" w:hAnsi="Times New Roman" w:cs="宋体"/>
          <w:sz w:val="21"/>
          <w:szCs w:val="21"/>
        </w:rPr>
        <w:t>第</w:t>
      </w:r>
      <w:r>
        <w:rPr>
          <w:rFonts w:ascii="Times New Roman" w:hAnsi="Times New Roman" w:cs="Times New Roman"/>
          <w:sz w:val="21"/>
          <w:szCs w:val="21"/>
        </w:rPr>
        <w:t>2</w:t>
      </w:r>
      <w:r>
        <w:rPr>
          <w:rFonts w:hint="eastAsia" w:ascii="Times New Roman" w:hAnsi="Times New Roman" w:cs="宋体"/>
          <w:sz w:val="21"/>
          <w:szCs w:val="21"/>
        </w:rPr>
        <w:t>部分：听觉报警信号</w:t>
      </w:r>
    </w:p>
    <w:bookmarkEnd w:id="39"/>
    <w:p w14:paraId="3ABD472A">
      <w:pPr>
        <w:pStyle w:val="3"/>
        <w:numPr>
          <w:ilvl w:val="1"/>
          <w:numId w:val="10"/>
        </w:numPr>
        <w:tabs>
          <w:tab w:val="left" w:pos="516"/>
        </w:tabs>
        <w:kinsoku w:val="0"/>
        <w:overflowPunct w:val="0"/>
        <w:snapToGrid w:val="0"/>
        <w:spacing w:afterLines="50" w:line="360" w:lineRule="auto"/>
        <w:ind w:left="0" w:firstLine="0"/>
        <w:jc w:val="both"/>
        <w:rPr>
          <w:rFonts w:ascii="Times New Roman" w:hAnsi="Times New Roman" w:cs="Times New Roman"/>
          <w:b w:val="0"/>
          <w:bCs w:val="0"/>
          <w:sz w:val="21"/>
          <w:szCs w:val="21"/>
        </w:rPr>
      </w:pPr>
      <w:r>
        <w:rPr>
          <w:rFonts w:hint="eastAsia" w:ascii="Times New Roman" w:hAnsi="Times New Roman" w:cs="宋体"/>
          <w:sz w:val="21"/>
          <w:szCs w:val="21"/>
        </w:rPr>
        <w:t>监护仪</w:t>
      </w:r>
    </w:p>
    <w:p w14:paraId="7918191C">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呼吸暂停监护仪应包含具备下述特性的可见和可闻报警信号。</w:t>
      </w:r>
    </w:p>
    <w:p w14:paraId="3FDD39C5">
      <w:pPr>
        <w:pStyle w:val="3"/>
        <w:kinsoku w:val="0"/>
        <w:overflowPunct w:val="0"/>
        <w:snapToGrid w:val="0"/>
        <w:spacing w:afterLines="50" w:line="360" w:lineRule="auto"/>
        <w:ind w:left="0"/>
        <w:jc w:val="both"/>
        <w:rPr>
          <w:rFonts w:ascii="Times New Roman" w:hAnsi="Times New Roman" w:cs="Times New Roman"/>
          <w:b w:val="0"/>
          <w:bCs w:val="0"/>
          <w:sz w:val="21"/>
          <w:szCs w:val="21"/>
        </w:rPr>
      </w:pPr>
      <w:r>
        <w:rPr>
          <w:rFonts w:ascii="Times New Roman" w:hAnsi="Times New Roman" w:cs="Times New Roman"/>
          <w:b w:val="0"/>
          <w:bCs w:val="0"/>
          <w:sz w:val="21"/>
          <w:szCs w:val="21"/>
        </w:rPr>
        <w:br w:type="page"/>
      </w:r>
      <w:bookmarkStart w:id="40" w:name="_Toc496720474"/>
      <w:r>
        <w:rPr>
          <w:rFonts w:hint="eastAsia" w:ascii="Times New Roman" w:hAnsi="Times New Roman" w:cs="宋体"/>
          <w:sz w:val="21"/>
          <w:szCs w:val="21"/>
        </w:rPr>
        <w:t>可见报警信号</w:t>
      </w:r>
      <w:bookmarkEnd w:id="40"/>
    </w:p>
    <w:p w14:paraId="0D8CB2D8">
      <w:pPr>
        <w:pStyle w:val="5"/>
        <w:numPr>
          <w:ilvl w:val="0"/>
          <w:numId w:val="11"/>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不应能够永久禁用可见报警信号。</w:t>
      </w:r>
    </w:p>
    <w:p w14:paraId="59F517C8">
      <w:pPr>
        <w:pStyle w:val="5"/>
        <w:numPr>
          <w:ilvl w:val="0"/>
          <w:numId w:val="12"/>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即使导致可见报警信号激活的条件得到解决，可见报警信号仍应继续处于激活状态，直至经过手动重置。</w:t>
      </w:r>
    </w:p>
    <w:p w14:paraId="665451CE">
      <w:pPr>
        <w:pStyle w:val="5"/>
        <w:numPr>
          <w:ilvl w:val="0"/>
          <w:numId w:val="12"/>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重置控件应发挥作用，以便连续激活和重置控件的故障均不会永久禁用可见报警信号。</w:t>
      </w:r>
    </w:p>
    <w:p w14:paraId="151A7DFF">
      <w:pPr>
        <w:pStyle w:val="5"/>
        <w:numPr>
          <w:ilvl w:val="0"/>
          <w:numId w:val="12"/>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应为主要</w:t>
      </w:r>
      <w:r>
        <w:rPr>
          <w:rFonts w:ascii="Times New Roman" w:hAnsi="Times New Roman" w:cs="Times New Roman"/>
          <w:sz w:val="21"/>
          <w:szCs w:val="21"/>
        </w:rPr>
        <w:t>/</w:t>
      </w:r>
      <w:r>
        <w:rPr>
          <w:rFonts w:hint="eastAsia" w:ascii="Times New Roman" w:hAnsi="Times New Roman" w:cs="宋体"/>
          <w:sz w:val="21"/>
          <w:szCs w:val="21"/>
        </w:rPr>
        <w:t>直接和辅助</w:t>
      </w:r>
      <w:r>
        <w:rPr>
          <w:rFonts w:ascii="Times New Roman" w:hAnsi="Times New Roman" w:cs="Times New Roman"/>
          <w:sz w:val="21"/>
          <w:szCs w:val="21"/>
        </w:rPr>
        <w:t>/</w:t>
      </w:r>
      <w:r>
        <w:rPr>
          <w:rFonts w:hint="eastAsia" w:ascii="Times New Roman" w:hAnsi="Times New Roman" w:cs="宋体"/>
          <w:sz w:val="21"/>
          <w:szCs w:val="21"/>
        </w:rPr>
        <w:t>间接呼吸暂停检测方法提供可见传感器故障报警信号。传感器故障报警信号应在传感器发生故障之后的</w:t>
      </w:r>
      <w:r>
        <w:rPr>
          <w:rFonts w:ascii="Times New Roman" w:hAnsi="Times New Roman" w:cs="Times New Roman"/>
          <w:sz w:val="21"/>
          <w:szCs w:val="21"/>
        </w:rPr>
        <w:t>5</w:t>
      </w:r>
      <w:r>
        <w:rPr>
          <w:rFonts w:hint="eastAsia" w:ascii="Times New Roman" w:hAnsi="Times New Roman" w:cs="宋体"/>
          <w:sz w:val="21"/>
          <w:szCs w:val="21"/>
        </w:rPr>
        <w:t>秒内激活。</w:t>
      </w:r>
    </w:p>
    <w:p w14:paraId="1FF69080">
      <w:pPr>
        <w:pStyle w:val="5"/>
        <w:numPr>
          <w:ilvl w:val="0"/>
          <w:numId w:val="12"/>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在电池的剩余电量不足以支持正常运行之前，可见电池电量低报警信号应至少激活</w:t>
      </w:r>
      <w:r>
        <w:rPr>
          <w:rFonts w:ascii="Times New Roman" w:hAnsi="Times New Roman" w:cs="Times New Roman"/>
          <w:sz w:val="21"/>
          <w:szCs w:val="21"/>
        </w:rPr>
        <w:t>15</w:t>
      </w:r>
      <w:r>
        <w:rPr>
          <w:rFonts w:hint="eastAsia" w:ascii="Times New Roman" w:hAnsi="Times New Roman" w:cs="宋体"/>
          <w:sz w:val="21"/>
          <w:szCs w:val="21"/>
        </w:rPr>
        <w:t>分，但不得超过</w:t>
      </w:r>
      <w:r>
        <w:rPr>
          <w:rFonts w:ascii="Times New Roman" w:hAnsi="Times New Roman" w:cs="Times New Roman"/>
          <w:sz w:val="21"/>
          <w:szCs w:val="21"/>
        </w:rPr>
        <w:t>2</w:t>
      </w:r>
      <w:r>
        <w:rPr>
          <w:rFonts w:hint="eastAsia" w:ascii="Times New Roman" w:hAnsi="Times New Roman" w:cs="宋体"/>
          <w:sz w:val="21"/>
          <w:szCs w:val="21"/>
        </w:rPr>
        <w:t>小时。</w:t>
      </w:r>
    </w:p>
    <w:p w14:paraId="1A92AF58">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41" w:name="_Toc496720475"/>
      <w:r>
        <w:rPr>
          <w:rFonts w:hint="eastAsia" w:ascii="Times New Roman" w:hAnsi="Times New Roman" w:cs="宋体"/>
          <w:sz w:val="21"/>
          <w:szCs w:val="21"/>
        </w:rPr>
        <w:t>可闻报警信号</w:t>
      </w:r>
      <w:bookmarkEnd w:id="41"/>
    </w:p>
    <w:p w14:paraId="1EB1B75E">
      <w:pPr>
        <w:pStyle w:val="5"/>
        <w:numPr>
          <w:ilvl w:val="0"/>
          <w:numId w:val="13"/>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预期用于家庭使用的监护仪的可闻报警信号最低振幅应为</w:t>
      </w:r>
      <w:r>
        <w:rPr>
          <w:rFonts w:ascii="Times New Roman" w:hAnsi="Times New Roman" w:cs="Times New Roman"/>
          <w:sz w:val="21"/>
          <w:szCs w:val="21"/>
        </w:rPr>
        <w:t>75 dB(A)</w:t>
      </w:r>
      <w:r>
        <w:rPr>
          <w:rFonts w:hint="eastAsia" w:ascii="Times New Roman" w:hAnsi="Times New Roman" w:cs="宋体"/>
          <w:sz w:val="21"/>
          <w:szCs w:val="21"/>
        </w:rPr>
        <w:t>，预期用于医院使用的监护仪的可闻报警信号最低振幅应为</w:t>
      </w:r>
      <w:r>
        <w:rPr>
          <w:rFonts w:ascii="Times New Roman" w:hAnsi="Times New Roman" w:cs="Times New Roman"/>
          <w:sz w:val="21"/>
          <w:szCs w:val="21"/>
        </w:rPr>
        <w:t>70 dB(A)</w:t>
      </w:r>
      <w:r>
        <w:rPr>
          <w:rFonts w:hint="eastAsia" w:ascii="Times New Roman" w:hAnsi="Times New Roman" w:cs="宋体"/>
          <w:sz w:val="21"/>
          <w:szCs w:val="21"/>
        </w:rPr>
        <w:t>。</w:t>
      </w:r>
    </w:p>
    <w:p w14:paraId="5AE94E2E">
      <w:pPr>
        <w:pStyle w:val="5"/>
        <w:numPr>
          <w:ilvl w:val="0"/>
          <w:numId w:val="13"/>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可闻就绪信号（若为指示监护仪的正常运行而提供）的声音应与可闻报警信号不同，并且振幅无需超过</w:t>
      </w:r>
      <w:r>
        <w:rPr>
          <w:rFonts w:ascii="Times New Roman" w:hAnsi="Times New Roman" w:cs="Times New Roman"/>
          <w:sz w:val="21"/>
          <w:szCs w:val="21"/>
        </w:rPr>
        <w:t>70 dB(A)</w:t>
      </w:r>
      <w:r>
        <w:rPr>
          <w:rFonts w:hint="eastAsia" w:ascii="Times New Roman" w:hAnsi="Times New Roman" w:cs="宋体"/>
          <w:sz w:val="21"/>
          <w:szCs w:val="21"/>
        </w:rPr>
        <w:t>。</w:t>
      </w:r>
    </w:p>
    <w:p w14:paraId="15777AB3">
      <w:pPr>
        <w:pStyle w:val="5"/>
        <w:numPr>
          <w:ilvl w:val="0"/>
          <w:numId w:val="13"/>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不应能够永久禁用可闻报警信号。</w:t>
      </w:r>
    </w:p>
    <w:p w14:paraId="20ABB919">
      <w:pPr>
        <w:pStyle w:val="5"/>
        <w:numPr>
          <w:ilvl w:val="0"/>
          <w:numId w:val="13"/>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手动消音的可闻报警应在</w:t>
      </w:r>
      <w:r>
        <w:rPr>
          <w:rFonts w:ascii="Times New Roman" w:hAnsi="Times New Roman" w:cs="Times New Roman"/>
          <w:sz w:val="21"/>
          <w:szCs w:val="21"/>
        </w:rPr>
        <w:t>2</w:t>
      </w:r>
      <w:r>
        <w:rPr>
          <w:rFonts w:hint="eastAsia" w:ascii="Times New Roman" w:hAnsi="Times New Roman" w:cs="宋体"/>
          <w:sz w:val="21"/>
          <w:szCs w:val="21"/>
        </w:rPr>
        <w:t>分钟之内再次发出报警，除非引起报警的条件已得到解决。</w:t>
      </w:r>
    </w:p>
    <w:p w14:paraId="757ED865">
      <w:pPr>
        <w:pStyle w:val="5"/>
        <w:numPr>
          <w:ilvl w:val="0"/>
          <w:numId w:val="13"/>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重置控件应发挥作用，以便连续激活和重置控件的故障均不会永久禁用可闻报警信号。</w:t>
      </w:r>
    </w:p>
    <w:p w14:paraId="6C190B55">
      <w:pPr>
        <w:pStyle w:val="5"/>
        <w:numPr>
          <w:ilvl w:val="0"/>
          <w:numId w:val="13"/>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应为主要</w:t>
      </w:r>
      <w:r>
        <w:rPr>
          <w:rFonts w:ascii="Times New Roman" w:hAnsi="Times New Roman" w:cs="Times New Roman"/>
          <w:sz w:val="21"/>
          <w:szCs w:val="21"/>
        </w:rPr>
        <w:t>/</w:t>
      </w:r>
      <w:r>
        <w:rPr>
          <w:rFonts w:hint="eastAsia" w:ascii="Times New Roman" w:hAnsi="Times New Roman" w:cs="宋体"/>
          <w:sz w:val="21"/>
          <w:szCs w:val="21"/>
        </w:rPr>
        <w:t>直接和辅助</w:t>
      </w:r>
      <w:r>
        <w:rPr>
          <w:rFonts w:ascii="Times New Roman" w:hAnsi="Times New Roman" w:cs="Times New Roman"/>
          <w:sz w:val="21"/>
          <w:szCs w:val="21"/>
        </w:rPr>
        <w:t>/</w:t>
      </w:r>
      <w:r>
        <w:rPr>
          <w:rFonts w:hint="eastAsia" w:ascii="Times New Roman" w:hAnsi="Times New Roman" w:cs="宋体"/>
          <w:sz w:val="21"/>
          <w:szCs w:val="21"/>
        </w:rPr>
        <w:t>间接呼吸暂停检测方法提供可闻传感器故障报警信号。传感器故障报警信号应在传感器发生故障之后的</w:t>
      </w:r>
      <w:r>
        <w:rPr>
          <w:rFonts w:ascii="Times New Roman" w:hAnsi="Times New Roman" w:cs="Times New Roman"/>
          <w:sz w:val="21"/>
          <w:szCs w:val="21"/>
        </w:rPr>
        <w:t>5</w:t>
      </w:r>
      <w:r>
        <w:rPr>
          <w:rFonts w:hint="eastAsia" w:ascii="Times New Roman" w:hAnsi="Times New Roman" w:cs="宋体"/>
          <w:sz w:val="21"/>
          <w:szCs w:val="21"/>
        </w:rPr>
        <w:t>秒内激活。</w:t>
      </w:r>
    </w:p>
    <w:p w14:paraId="25E6C2F0">
      <w:pPr>
        <w:pStyle w:val="5"/>
        <w:numPr>
          <w:ilvl w:val="0"/>
          <w:numId w:val="13"/>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在电池的剩余电量不足以支持正常运行之前，可闻电池电量低报警信号应至少激活</w:t>
      </w:r>
      <w:r>
        <w:rPr>
          <w:rFonts w:ascii="Times New Roman" w:hAnsi="Times New Roman" w:cs="Times New Roman"/>
          <w:sz w:val="21"/>
          <w:szCs w:val="21"/>
        </w:rPr>
        <w:t>15</w:t>
      </w:r>
      <w:r>
        <w:rPr>
          <w:rFonts w:hint="eastAsia" w:ascii="Times New Roman" w:hAnsi="Times New Roman" w:cs="宋体"/>
          <w:sz w:val="21"/>
          <w:szCs w:val="21"/>
        </w:rPr>
        <w:t>分，但不得超过</w:t>
      </w:r>
      <w:r>
        <w:rPr>
          <w:rFonts w:ascii="Times New Roman" w:hAnsi="Times New Roman" w:cs="Times New Roman"/>
          <w:sz w:val="21"/>
          <w:szCs w:val="21"/>
        </w:rPr>
        <w:t>2</w:t>
      </w:r>
      <w:r>
        <w:rPr>
          <w:rFonts w:hint="eastAsia" w:ascii="Times New Roman" w:hAnsi="Times New Roman" w:cs="宋体"/>
          <w:sz w:val="21"/>
          <w:szCs w:val="21"/>
        </w:rPr>
        <w:t>小时。</w:t>
      </w:r>
    </w:p>
    <w:p w14:paraId="58A003A4">
      <w:pPr>
        <w:pStyle w:val="3"/>
        <w:numPr>
          <w:ilvl w:val="1"/>
          <w:numId w:val="10"/>
        </w:numPr>
        <w:tabs>
          <w:tab w:val="left" w:pos="516"/>
        </w:tabs>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42" w:name="_Toc496720476"/>
      <w:r>
        <w:rPr>
          <w:rFonts w:hint="eastAsia" w:ascii="Times New Roman" w:hAnsi="Times New Roman" w:cs="宋体"/>
          <w:sz w:val="21"/>
          <w:szCs w:val="21"/>
        </w:rPr>
        <w:t>远程报警装置</w:t>
      </w:r>
      <w:bookmarkEnd w:id="42"/>
    </w:p>
    <w:p w14:paraId="523C10F5">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旨在用于家庭使用的呼吸暂停监护仪应包含远程报警装置。监护仪的报警信号被驱动时以及装置无法检测到监护仪的报警信号时，远程报警装置应发出报警。远程报警装置的使用不得禁用呼吸暂停监护仪的报警信号。</w:t>
      </w:r>
    </w:p>
    <w:p w14:paraId="28EF35FF">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远程报警装置应包含具备下述特性的可见和可闻报警信号。</w:t>
      </w:r>
    </w:p>
    <w:p w14:paraId="3F3B4686">
      <w:pPr>
        <w:pStyle w:val="3"/>
        <w:kinsoku w:val="0"/>
        <w:overflowPunct w:val="0"/>
        <w:snapToGrid w:val="0"/>
        <w:spacing w:afterLines="50" w:line="360" w:lineRule="auto"/>
        <w:ind w:left="0"/>
        <w:jc w:val="both"/>
        <w:rPr>
          <w:rFonts w:ascii="Times New Roman" w:hAnsi="Times New Roman" w:cs="Times New Roman"/>
          <w:b w:val="0"/>
          <w:bCs w:val="0"/>
          <w:sz w:val="21"/>
          <w:szCs w:val="21"/>
        </w:rPr>
      </w:pPr>
      <w:r>
        <w:rPr>
          <w:rFonts w:ascii="Times New Roman" w:hAnsi="Times New Roman" w:cs="Times New Roman"/>
          <w:b w:val="0"/>
          <w:bCs w:val="0"/>
          <w:sz w:val="21"/>
          <w:szCs w:val="21"/>
        </w:rPr>
        <w:br w:type="page"/>
      </w:r>
      <w:bookmarkStart w:id="43" w:name="_Toc496720477"/>
      <w:r>
        <w:rPr>
          <w:rFonts w:hint="eastAsia" w:ascii="Times New Roman" w:hAnsi="Times New Roman" w:cs="宋体"/>
          <w:sz w:val="21"/>
          <w:szCs w:val="21"/>
        </w:rPr>
        <w:t>可见报警信号</w:t>
      </w:r>
      <w:bookmarkEnd w:id="43"/>
    </w:p>
    <w:p w14:paraId="37482DFF">
      <w:pPr>
        <w:pStyle w:val="5"/>
        <w:numPr>
          <w:ilvl w:val="0"/>
          <w:numId w:val="14"/>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不应能够永久禁用可见报警信号。</w:t>
      </w:r>
    </w:p>
    <w:p w14:paraId="24E5EA78">
      <w:pPr>
        <w:pStyle w:val="5"/>
        <w:numPr>
          <w:ilvl w:val="0"/>
          <w:numId w:val="14"/>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即使导致可见报警信号激活的条件得到解决，可见报警信号仍应继续处于激活状态，直至经过手动重置。</w:t>
      </w:r>
    </w:p>
    <w:p w14:paraId="6F7B5194">
      <w:pPr>
        <w:pStyle w:val="5"/>
        <w:numPr>
          <w:ilvl w:val="0"/>
          <w:numId w:val="14"/>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重置控件应发挥作用，以便连续激活和重置控件的故障均不会永久禁用可见报警信号。</w:t>
      </w:r>
    </w:p>
    <w:p w14:paraId="46BC297E">
      <w:pPr>
        <w:pStyle w:val="5"/>
        <w:numPr>
          <w:ilvl w:val="0"/>
          <w:numId w:val="14"/>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应为主要</w:t>
      </w:r>
      <w:r>
        <w:rPr>
          <w:rFonts w:ascii="Times New Roman" w:hAnsi="Times New Roman" w:cs="Times New Roman"/>
          <w:sz w:val="21"/>
          <w:szCs w:val="21"/>
        </w:rPr>
        <w:t>/</w:t>
      </w:r>
      <w:r>
        <w:rPr>
          <w:rFonts w:hint="eastAsia" w:ascii="Times New Roman" w:hAnsi="Times New Roman" w:cs="宋体"/>
          <w:sz w:val="21"/>
          <w:szCs w:val="21"/>
        </w:rPr>
        <w:t>直接和辅助</w:t>
      </w:r>
      <w:r>
        <w:rPr>
          <w:rFonts w:ascii="Times New Roman" w:hAnsi="Times New Roman" w:cs="Times New Roman"/>
          <w:sz w:val="21"/>
          <w:szCs w:val="21"/>
        </w:rPr>
        <w:t>/</w:t>
      </w:r>
      <w:r>
        <w:rPr>
          <w:rFonts w:hint="eastAsia" w:ascii="Times New Roman" w:hAnsi="Times New Roman" w:cs="宋体"/>
          <w:sz w:val="21"/>
          <w:szCs w:val="21"/>
        </w:rPr>
        <w:t>间接呼吸暂停检测方法提供可见传感器故障报警信号。传感器故障报警信号应在传感器发生故障之后的</w:t>
      </w:r>
      <w:r>
        <w:rPr>
          <w:rFonts w:ascii="Times New Roman" w:hAnsi="Times New Roman" w:cs="Times New Roman"/>
          <w:sz w:val="21"/>
          <w:szCs w:val="21"/>
        </w:rPr>
        <w:t>5</w:t>
      </w:r>
      <w:r>
        <w:rPr>
          <w:rFonts w:hint="eastAsia" w:ascii="Times New Roman" w:hAnsi="Times New Roman" w:cs="宋体"/>
          <w:sz w:val="21"/>
          <w:szCs w:val="21"/>
        </w:rPr>
        <w:t>秒内激活。</w:t>
      </w:r>
    </w:p>
    <w:p w14:paraId="0467D969">
      <w:pPr>
        <w:pStyle w:val="5"/>
        <w:numPr>
          <w:ilvl w:val="0"/>
          <w:numId w:val="14"/>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在电池的剩余电量不足以支持正常运行之前，可见电池电量低报警信号应至少激活</w:t>
      </w:r>
      <w:r>
        <w:rPr>
          <w:rFonts w:ascii="Times New Roman" w:hAnsi="Times New Roman" w:cs="Times New Roman"/>
          <w:sz w:val="21"/>
          <w:szCs w:val="21"/>
        </w:rPr>
        <w:t>15</w:t>
      </w:r>
      <w:r>
        <w:rPr>
          <w:rFonts w:hint="eastAsia" w:ascii="Times New Roman" w:hAnsi="Times New Roman" w:cs="宋体"/>
          <w:sz w:val="21"/>
          <w:szCs w:val="21"/>
        </w:rPr>
        <w:t>分，但不得超过</w:t>
      </w:r>
      <w:r>
        <w:rPr>
          <w:rFonts w:ascii="Times New Roman" w:hAnsi="Times New Roman" w:cs="Times New Roman"/>
          <w:sz w:val="21"/>
          <w:szCs w:val="21"/>
        </w:rPr>
        <w:t>2</w:t>
      </w:r>
      <w:r>
        <w:rPr>
          <w:rFonts w:hint="eastAsia" w:ascii="Times New Roman" w:hAnsi="Times New Roman" w:cs="宋体"/>
          <w:sz w:val="21"/>
          <w:szCs w:val="21"/>
        </w:rPr>
        <w:t>小时。</w:t>
      </w:r>
    </w:p>
    <w:p w14:paraId="436CAA2D">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44" w:name="_Toc496720478"/>
      <w:r>
        <w:rPr>
          <w:rFonts w:hint="eastAsia" w:ascii="Times New Roman" w:hAnsi="Times New Roman" w:cs="宋体"/>
          <w:sz w:val="21"/>
          <w:szCs w:val="21"/>
        </w:rPr>
        <w:t>可闻报警信号</w:t>
      </w:r>
      <w:bookmarkEnd w:id="44"/>
    </w:p>
    <w:p w14:paraId="3D12E34D">
      <w:pPr>
        <w:pStyle w:val="5"/>
        <w:numPr>
          <w:ilvl w:val="0"/>
          <w:numId w:val="1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可闻报警信号的最低振幅应为</w:t>
      </w:r>
      <w:r>
        <w:rPr>
          <w:rFonts w:ascii="Times New Roman" w:hAnsi="Times New Roman" w:cs="Times New Roman"/>
          <w:sz w:val="21"/>
          <w:szCs w:val="21"/>
        </w:rPr>
        <w:t>75 dB(A)</w:t>
      </w:r>
      <w:r>
        <w:rPr>
          <w:rFonts w:hint="eastAsia" w:ascii="Times New Roman" w:hAnsi="Times New Roman" w:cs="宋体"/>
          <w:sz w:val="21"/>
          <w:szCs w:val="21"/>
        </w:rPr>
        <w:t>。</w:t>
      </w:r>
    </w:p>
    <w:p w14:paraId="4E7506CE">
      <w:pPr>
        <w:pStyle w:val="5"/>
        <w:numPr>
          <w:ilvl w:val="0"/>
          <w:numId w:val="1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可闻就绪信号（若为指示远程报警装置的正常运行而提供）的声音应与可闻报警信号不同，并且振幅无需超过</w:t>
      </w:r>
      <w:r>
        <w:rPr>
          <w:rFonts w:ascii="Times New Roman" w:hAnsi="Times New Roman" w:cs="Times New Roman"/>
          <w:sz w:val="21"/>
          <w:szCs w:val="21"/>
        </w:rPr>
        <w:t>70 dB(A)</w:t>
      </w:r>
      <w:r>
        <w:rPr>
          <w:rFonts w:hint="eastAsia" w:ascii="Times New Roman" w:hAnsi="Times New Roman" w:cs="宋体"/>
          <w:sz w:val="21"/>
          <w:szCs w:val="21"/>
        </w:rPr>
        <w:t>。</w:t>
      </w:r>
    </w:p>
    <w:p w14:paraId="1D216D03">
      <w:pPr>
        <w:pStyle w:val="5"/>
        <w:numPr>
          <w:ilvl w:val="0"/>
          <w:numId w:val="1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不应能够永久禁用可闻报警信号。</w:t>
      </w:r>
    </w:p>
    <w:p w14:paraId="054AE3EA">
      <w:pPr>
        <w:pStyle w:val="5"/>
        <w:numPr>
          <w:ilvl w:val="0"/>
          <w:numId w:val="1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手动消音的可闻报警应在</w:t>
      </w:r>
      <w:r>
        <w:rPr>
          <w:rFonts w:ascii="Times New Roman" w:hAnsi="Times New Roman" w:cs="Times New Roman"/>
          <w:sz w:val="21"/>
          <w:szCs w:val="21"/>
        </w:rPr>
        <w:t>2</w:t>
      </w:r>
      <w:r>
        <w:rPr>
          <w:rFonts w:hint="eastAsia" w:ascii="Times New Roman" w:hAnsi="Times New Roman" w:cs="宋体"/>
          <w:sz w:val="21"/>
          <w:szCs w:val="21"/>
        </w:rPr>
        <w:t>分钟之内再次发出报警，除非引起报警的条件已得到解决。</w:t>
      </w:r>
    </w:p>
    <w:p w14:paraId="5F27EDF9">
      <w:pPr>
        <w:pStyle w:val="5"/>
        <w:numPr>
          <w:ilvl w:val="0"/>
          <w:numId w:val="1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重置控件应发挥作用，以便连续激活和重置控件的故障均不会永久禁用可闻报警信号。</w:t>
      </w:r>
    </w:p>
    <w:p w14:paraId="7AD635D2">
      <w:pPr>
        <w:pStyle w:val="5"/>
        <w:numPr>
          <w:ilvl w:val="0"/>
          <w:numId w:val="1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应为主要</w:t>
      </w:r>
      <w:r>
        <w:rPr>
          <w:rFonts w:ascii="Times New Roman" w:hAnsi="Times New Roman" w:cs="Times New Roman"/>
          <w:sz w:val="21"/>
          <w:szCs w:val="21"/>
        </w:rPr>
        <w:t>/</w:t>
      </w:r>
      <w:r>
        <w:rPr>
          <w:rFonts w:hint="eastAsia" w:ascii="Times New Roman" w:hAnsi="Times New Roman" w:cs="宋体"/>
          <w:sz w:val="21"/>
          <w:szCs w:val="21"/>
        </w:rPr>
        <w:t>直接和辅助</w:t>
      </w:r>
      <w:r>
        <w:rPr>
          <w:rFonts w:ascii="Times New Roman" w:hAnsi="Times New Roman" w:cs="Times New Roman"/>
          <w:sz w:val="21"/>
          <w:szCs w:val="21"/>
        </w:rPr>
        <w:t>/</w:t>
      </w:r>
      <w:r>
        <w:rPr>
          <w:rFonts w:hint="eastAsia" w:ascii="Times New Roman" w:hAnsi="Times New Roman" w:cs="宋体"/>
          <w:sz w:val="21"/>
          <w:szCs w:val="21"/>
        </w:rPr>
        <w:t>间接呼吸暂停检测方法提供可闻传感器故障报警信号。传感器故障报警信号应在传感器发生故障之后的</w:t>
      </w:r>
      <w:r>
        <w:rPr>
          <w:rFonts w:ascii="Times New Roman" w:hAnsi="Times New Roman" w:cs="Times New Roman"/>
          <w:sz w:val="21"/>
          <w:szCs w:val="21"/>
        </w:rPr>
        <w:t>5</w:t>
      </w:r>
      <w:r>
        <w:rPr>
          <w:rFonts w:hint="eastAsia" w:ascii="Times New Roman" w:hAnsi="Times New Roman" w:cs="宋体"/>
          <w:sz w:val="21"/>
          <w:szCs w:val="21"/>
        </w:rPr>
        <w:t>秒内激活。</w:t>
      </w:r>
    </w:p>
    <w:p w14:paraId="4D0A78D4">
      <w:pPr>
        <w:pStyle w:val="5"/>
        <w:numPr>
          <w:ilvl w:val="0"/>
          <w:numId w:val="1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在电池的剩余电量不足以支持正常运行之前，可闻电池电量低报警信号应至少激活</w:t>
      </w:r>
      <w:r>
        <w:rPr>
          <w:rFonts w:ascii="Times New Roman" w:hAnsi="Times New Roman" w:cs="Times New Roman"/>
          <w:sz w:val="21"/>
          <w:szCs w:val="21"/>
        </w:rPr>
        <w:t>15</w:t>
      </w:r>
      <w:r>
        <w:rPr>
          <w:rFonts w:hint="eastAsia" w:ascii="Times New Roman" w:hAnsi="Times New Roman" w:cs="宋体"/>
          <w:sz w:val="21"/>
          <w:szCs w:val="21"/>
        </w:rPr>
        <w:t>分，但不得超过</w:t>
      </w:r>
      <w:r>
        <w:rPr>
          <w:rFonts w:ascii="Times New Roman" w:hAnsi="Times New Roman" w:cs="Times New Roman"/>
          <w:sz w:val="21"/>
          <w:szCs w:val="21"/>
        </w:rPr>
        <w:t>2</w:t>
      </w:r>
      <w:r>
        <w:rPr>
          <w:rFonts w:hint="eastAsia" w:ascii="Times New Roman" w:hAnsi="Times New Roman" w:cs="宋体"/>
          <w:sz w:val="21"/>
          <w:szCs w:val="21"/>
        </w:rPr>
        <w:t>小时。</w:t>
      </w:r>
    </w:p>
    <w:p w14:paraId="48997E91">
      <w:pPr>
        <w:pStyle w:val="5"/>
        <w:numPr>
          <w:ilvl w:val="0"/>
          <w:numId w:val="1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远程报警装置应包含可见就绪信号，指示远程报警装置通电，并区分电池电源和线路电源。</w:t>
      </w:r>
    </w:p>
    <w:p w14:paraId="3A3E9884">
      <w:pPr>
        <w:pStyle w:val="5"/>
        <w:numPr>
          <w:ilvl w:val="0"/>
          <w:numId w:val="1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通常由监护仪或线路电源供电的远程报警装置应在监护仪或线路电源恢复之后重新开始运行，并在</w:t>
      </w:r>
      <w:r>
        <w:rPr>
          <w:rFonts w:ascii="Times New Roman" w:hAnsi="Times New Roman" w:cs="Times New Roman"/>
          <w:sz w:val="21"/>
          <w:szCs w:val="21"/>
        </w:rPr>
        <w:t>5</w:t>
      </w:r>
      <w:r>
        <w:rPr>
          <w:rFonts w:hint="eastAsia" w:ascii="Times New Roman" w:hAnsi="Times New Roman" w:cs="宋体"/>
          <w:sz w:val="21"/>
          <w:szCs w:val="21"/>
        </w:rPr>
        <w:t>秒之内全面运行。</w:t>
      </w:r>
    </w:p>
    <w:p w14:paraId="4B224017">
      <w:pPr>
        <w:pStyle w:val="5"/>
        <w:numPr>
          <w:ilvl w:val="0"/>
          <w:numId w:val="1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配备可充电电池的远程报警装置应包含可见信号，在电池正在充电时提供指示。</w:t>
      </w:r>
    </w:p>
    <w:p w14:paraId="09AB83BF">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45" w:name="_Toc496720479"/>
      <w:r>
        <w:rPr>
          <w:rFonts w:hint="eastAsia" w:ascii="Times New Roman" w:hAnsi="Times New Roman" w:cs="宋体"/>
          <w:sz w:val="21"/>
          <w:szCs w:val="21"/>
          <w:u w:val="double"/>
        </w:rPr>
        <w:t>回到顶部</w:t>
      </w:r>
      <w:bookmarkEnd w:id="45"/>
    </w:p>
    <w:p w14:paraId="1D8E49F7">
      <w:pPr>
        <w:numPr>
          <w:ilvl w:val="0"/>
          <w:numId w:val="1"/>
        </w:numPr>
        <w:pBdr>
          <w:top w:val="single" w:color="BFBFBF" w:sz="12" w:space="1"/>
        </w:pBdr>
        <w:tabs>
          <w:tab w:val="left" w:pos="676"/>
        </w:tabs>
        <w:kinsoku w:val="0"/>
        <w:overflowPunct w:val="0"/>
        <w:snapToGrid w:val="0"/>
        <w:spacing w:afterLines="50" w:line="360" w:lineRule="auto"/>
        <w:ind w:firstLine="0"/>
        <w:jc w:val="both"/>
        <w:outlineLvl w:val="0"/>
        <w:rPr>
          <w:sz w:val="28"/>
          <w:szCs w:val="28"/>
        </w:rPr>
      </w:pPr>
      <w:r>
        <w:rPr>
          <w:sz w:val="21"/>
          <w:szCs w:val="21"/>
        </w:rPr>
        <w:br w:type="page"/>
      </w:r>
      <w:bookmarkStart w:id="46" w:name="_Toc496720480"/>
      <w:r>
        <w:rPr>
          <w:rFonts w:hint="eastAsia" w:cs="宋体"/>
          <w:b/>
          <w:bCs/>
          <w:sz w:val="28"/>
          <w:szCs w:val="28"/>
        </w:rPr>
        <w:t>电气和机械安全</w:t>
      </w:r>
      <w:bookmarkEnd w:id="46"/>
    </w:p>
    <w:p w14:paraId="42BCA5F9">
      <w:pPr>
        <w:kinsoku w:val="0"/>
        <w:overflowPunct w:val="0"/>
        <w:snapToGrid w:val="0"/>
        <w:spacing w:afterLines="50" w:line="360" w:lineRule="auto"/>
        <w:jc w:val="both"/>
        <w:rPr>
          <w:sz w:val="21"/>
          <w:szCs w:val="21"/>
        </w:rPr>
      </w:pPr>
      <w:r>
        <w:rPr>
          <w:rFonts w:hint="eastAsia" w:cs="宋体"/>
          <w:sz w:val="21"/>
          <w:szCs w:val="21"/>
        </w:rPr>
        <w:t>器械应符合</w:t>
      </w:r>
      <w:r>
        <w:rPr>
          <w:sz w:val="21"/>
          <w:szCs w:val="21"/>
        </w:rPr>
        <w:t>BF</w:t>
      </w:r>
      <w:r>
        <w:rPr>
          <w:rFonts w:hint="eastAsia" w:cs="宋体"/>
          <w:sz w:val="21"/>
          <w:szCs w:val="21"/>
        </w:rPr>
        <w:t>型设备相关</w:t>
      </w:r>
      <w:r>
        <w:rPr>
          <w:i/>
          <w:iCs/>
          <w:sz w:val="21"/>
          <w:szCs w:val="21"/>
        </w:rPr>
        <w:t>IEC 60601 1 (1988)</w:t>
      </w:r>
      <w:r>
        <w:rPr>
          <w:rFonts w:hint="eastAsia" w:cs="宋体"/>
          <w:i/>
          <w:iCs/>
          <w:sz w:val="21"/>
          <w:szCs w:val="21"/>
        </w:rPr>
        <w:t>：医用电气设备</w:t>
      </w:r>
      <w:r>
        <w:rPr>
          <w:i/>
          <w:iCs/>
          <w:sz w:val="21"/>
          <w:szCs w:val="21"/>
        </w:rPr>
        <w:t>—</w:t>
      </w:r>
      <w:r>
        <w:rPr>
          <w:rFonts w:hint="eastAsia" w:cs="宋体"/>
          <w:i/>
          <w:iCs/>
          <w:sz w:val="21"/>
          <w:szCs w:val="21"/>
        </w:rPr>
        <w:t>第</w:t>
      </w:r>
      <w:r>
        <w:rPr>
          <w:i/>
          <w:iCs/>
          <w:sz w:val="21"/>
          <w:szCs w:val="21"/>
        </w:rPr>
        <w:t>1</w:t>
      </w:r>
      <w:r>
        <w:rPr>
          <w:rFonts w:hint="eastAsia" w:cs="宋体"/>
          <w:i/>
          <w:iCs/>
          <w:sz w:val="21"/>
          <w:szCs w:val="21"/>
        </w:rPr>
        <w:t>部分：一般安全要求</w:t>
      </w:r>
      <w:r>
        <w:rPr>
          <w:rFonts w:hint="eastAsia" w:cs="宋体"/>
          <w:sz w:val="21"/>
          <w:szCs w:val="21"/>
        </w:rPr>
        <w:t>（包括修订件</w:t>
      </w:r>
      <w:r>
        <w:rPr>
          <w:sz w:val="21"/>
          <w:szCs w:val="21"/>
        </w:rPr>
        <w:t>1</w:t>
      </w:r>
      <w:r>
        <w:rPr>
          <w:rFonts w:hint="eastAsia" w:cs="宋体"/>
          <w:sz w:val="21"/>
          <w:szCs w:val="21"/>
        </w:rPr>
        <w:t>（</w:t>
      </w:r>
      <w:r>
        <w:rPr>
          <w:sz w:val="21"/>
          <w:szCs w:val="21"/>
        </w:rPr>
        <w:t>1991</w:t>
      </w:r>
      <w:r>
        <w:rPr>
          <w:rFonts w:hint="eastAsia" w:cs="宋体"/>
          <w:sz w:val="21"/>
          <w:szCs w:val="21"/>
        </w:rPr>
        <w:t>）和修订件</w:t>
      </w:r>
      <w:r>
        <w:rPr>
          <w:sz w:val="21"/>
          <w:szCs w:val="21"/>
        </w:rPr>
        <w:t>2</w:t>
      </w:r>
      <w:r>
        <w:rPr>
          <w:rFonts w:hint="eastAsia" w:cs="宋体"/>
          <w:sz w:val="21"/>
          <w:szCs w:val="21"/>
        </w:rPr>
        <w:t>（</w:t>
      </w:r>
      <w:r>
        <w:rPr>
          <w:sz w:val="21"/>
          <w:szCs w:val="21"/>
        </w:rPr>
        <w:t>1995</w:t>
      </w:r>
      <w:r>
        <w:rPr>
          <w:rFonts w:hint="eastAsia" w:cs="宋体"/>
          <w:sz w:val="21"/>
          <w:szCs w:val="21"/>
        </w:rPr>
        <w:t>））和</w:t>
      </w:r>
      <w:r>
        <w:rPr>
          <w:sz w:val="21"/>
          <w:szCs w:val="21"/>
        </w:rPr>
        <w:t>IEC 6060111</w:t>
      </w:r>
      <w:r>
        <w:rPr>
          <w:rFonts w:hint="eastAsia" w:cs="宋体"/>
          <w:i/>
          <w:iCs/>
          <w:sz w:val="21"/>
          <w:szCs w:val="21"/>
        </w:rPr>
        <w:t>并列标准：医用电气系统的安全要求</w:t>
      </w:r>
      <w:r>
        <w:rPr>
          <w:rFonts w:hint="eastAsia" w:cs="宋体"/>
          <w:sz w:val="21"/>
          <w:szCs w:val="21"/>
        </w:rPr>
        <w:t>的电气和机械安全要求。此外，器械还应遵循扩展和补充</w:t>
      </w:r>
      <w:r>
        <w:rPr>
          <w:sz w:val="21"/>
          <w:szCs w:val="21"/>
        </w:rPr>
        <w:t>IEC 606011</w:t>
      </w:r>
      <w:r>
        <w:rPr>
          <w:rFonts w:hint="eastAsia" w:cs="宋体"/>
          <w:sz w:val="21"/>
          <w:szCs w:val="21"/>
        </w:rPr>
        <w:t>和</w:t>
      </w:r>
      <w:r>
        <w:rPr>
          <w:sz w:val="21"/>
          <w:szCs w:val="21"/>
        </w:rPr>
        <w:t>IEC 6060111</w:t>
      </w:r>
      <w:r>
        <w:rPr>
          <w:rFonts w:hint="eastAsia" w:cs="宋体"/>
          <w:sz w:val="21"/>
          <w:szCs w:val="21"/>
        </w:rPr>
        <w:t>的本节（</w:t>
      </w:r>
      <w:r>
        <w:rPr>
          <w:sz w:val="21"/>
          <w:szCs w:val="21"/>
        </w:rPr>
        <w:t>10.1 – 10.3</w:t>
      </w:r>
      <w:r>
        <w:rPr>
          <w:rFonts w:hint="eastAsia" w:cs="宋体"/>
          <w:sz w:val="21"/>
          <w:szCs w:val="21"/>
        </w:rPr>
        <w:t>）所示额外建议。</w:t>
      </w:r>
    </w:p>
    <w:p w14:paraId="793A9CD9">
      <w:pPr>
        <w:pStyle w:val="3"/>
        <w:numPr>
          <w:ilvl w:val="1"/>
          <w:numId w:val="1"/>
        </w:numPr>
        <w:tabs>
          <w:tab w:val="left" w:pos="660"/>
        </w:tabs>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47" w:name="_Toc496720481"/>
      <w:bookmarkStart w:id="48" w:name="_Hlk495394039"/>
      <w:r>
        <w:rPr>
          <w:rFonts w:hint="eastAsia" w:ascii="Times New Roman" w:hAnsi="Times New Roman" w:cs="宋体"/>
          <w:sz w:val="21"/>
          <w:szCs w:val="21"/>
        </w:rPr>
        <w:t>辅助输出</w:t>
      </w:r>
      <w:bookmarkEnd w:id="47"/>
    </w:p>
    <w:p w14:paraId="3953B360">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如果器械包含辅助输出（即：数据端口、打印机端口等），则操作员手册应明确说明辅助装置与辅助输出的正确连接。辅助输出端口过程中和之后，器械应在其规格范围内运行。</w:t>
      </w:r>
    </w:p>
    <w:bookmarkEnd w:id="48"/>
    <w:p w14:paraId="652A689C">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49" w:name="_Toc496720482"/>
      <w:bookmarkStart w:id="50" w:name="_Hlk495394079"/>
      <w:r>
        <w:rPr>
          <w:rFonts w:hint="eastAsia" w:ascii="Times New Roman" w:hAnsi="Times New Roman" w:cs="宋体"/>
          <w:sz w:val="21"/>
          <w:szCs w:val="21"/>
        </w:rPr>
        <w:t>建议测试方法</w:t>
      </w:r>
      <w:bookmarkEnd w:id="49"/>
    </w:p>
    <w:bookmarkEnd w:id="50"/>
    <w:p w14:paraId="5E3D67CB">
      <w:pPr>
        <w:pStyle w:val="5"/>
        <w:kinsoku w:val="0"/>
        <w:overflowPunct w:val="0"/>
        <w:snapToGrid w:val="0"/>
        <w:spacing w:afterLines="50" w:line="360" w:lineRule="auto"/>
        <w:ind w:left="0"/>
        <w:jc w:val="both"/>
        <w:rPr>
          <w:rFonts w:ascii="Times New Roman" w:hAnsi="Times New Roman" w:cs="Times New Roman"/>
          <w:sz w:val="21"/>
          <w:szCs w:val="21"/>
        </w:rPr>
      </w:pPr>
      <w:bookmarkStart w:id="51" w:name="_Hlk495394142"/>
      <w:r>
        <w:rPr>
          <w:rFonts w:hint="eastAsia" w:ascii="Times New Roman" w:hAnsi="Times New Roman" w:cs="宋体"/>
          <w:sz w:val="21"/>
          <w:szCs w:val="21"/>
        </w:rPr>
        <w:t>器械处于标准操作模式时，同时使辅助输出的所有引脚短路。验证器械是否在短路过程中和之后在其规格范围内运行。</w:t>
      </w:r>
    </w:p>
    <w:p w14:paraId="6C66F1C5">
      <w:pPr>
        <w:pStyle w:val="3"/>
        <w:numPr>
          <w:ilvl w:val="1"/>
          <w:numId w:val="1"/>
        </w:numPr>
        <w:tabs>
          <w:tab w:val="left" w:pos="660"/>
        </w:tabs>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52" w:name="_Toc496720483"/>
      <w:r>
        <w:rPr>
          <w:rFonts w:hint="eastAsia" w:ascii="Times New Roman" w:hAnsi="Times New Roman" w:cs="宋体"/>
          <w:sz w:val="21"/>
          <w:szCs w:val="21"/>
        </w:rPr>
        <w:t>交流电源接地和极性</w:t>
      </w:r>
      <w:bookmarkEnd w:id="52"/>
    </w:p>
    <w:p w14:paraId="70409A9D">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如果线路电源供电器械的电源线未极化，则在连接电源的任一极性时，器械应在其规格范围内运行。通过接地或未接地电源（即：第三条线接地连接和它在电源线的插头端部断连）运行时，器械应在其规格范围内运行。</w:t>
      </w:r>
    </w:p>
    <w:p w14:paraId="4F51067E">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53" w:name="_Toc496720484"/>
      <w:r>
        <w:rPr>
          <w:rFonts w:hint="eastAsia" w:ascii="Times New Roman" w:hAnsi="Times New Roman" w:cs="宋体"/>
          <w:sz w:val="21"/>
          <w:szCs w:val="21"/>
        </w:rPr>
        <w:t>建议测试方法</w:t>
      </w:r>
      <w:bookmarkEnd w:id="53"/>
    </w:p>
    <w:p w14:paraId="758AE75C">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电源导线、患者接触电路和传感器电路应充分绝缘，以保证患者和器械受到过电压防护。通过接地或未接地电源运行时，验证器械是否在其规格范围内运行。</w:t>
      </w:r>
    </w:p>
    <w:bookmarkEnd w:id="51"/>
    <w:p w14:paraId="3BF81F91">
      <w:pPr>
        <w:pStyle w:val="3"/>
        <w:numPr>
          <w:ilvl w:val="1"/>
          <w:numId w:val="1"/>
        </w:numPr>
        <w:tabs>
          <w:tab w:val="left" w:pos="660"/>
        </w:tabs>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54" w:name="_Toc496720485"/>
      <w:r>
        <w:rPr>
          <w:rFonts w:hint="eastAsia" w:ascii="Times New Roman" w:hAnsi="Times New Roman" w:cs="宋体"/>
          <w:sz w:val="21"/>
          <w:szCs w:val="21"/>
        </w:rPr>
        <w:t>连接器保护</w:t>
      </w:r>
      <w:bookmarkEnd w:id="54"/>
    </w:p>
    <w:p w14:paraId="4F0804B9">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器械连接器（包括电线和管路连接器）的设计应确保无法将其插入非预期插座或采用不当方向插入插座。</w:t>
      </w:r>
    </w:p>
    <w:p w14:paraId="5922DF26">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55" w:name="_Toc496720486"/>
      <w:r>
        <w:rPr>
          <w:rFonts w:hint="eastAsia" w:ascii="Times New Roman" w:hAnsi="Times New Roman" w:cs="宋体"/>
          <w:sz w:val="21"/>
          <w:szCs w:val="21"/>
        </w:rPr>
        <w:t>建议测试方法</w:t>
      </w:r>
      <w:bookmarkEnd w:id="55"/>
    </w:p>
    <w:p w14:paraId="724EC94F">
      <w:pPr>
        <w:kinsoku w:val="0"/>
        <w:overflowPunct w:val="0"/>
        <w:snapToGrid w:val="0"/>
        <w:spacing w:afterLines="50" w:line="360" w:lineRule="auto"/>
        <w:rPr>
          <w:sz w:val="21"/>
          <w:szCs w:val="21"/>
        </w:rPr>
      </w:pPr>
      <w:r>
        <w:rPr>
          <w:sz w:val="21"/>
          <w:szCs w:val="21"/>
        </w:rPr>
        <w:br w:type="page"/>
      </w:r>
      <w:r>
        <w:fldChar w:fldCharType="begin"/>
      </w:r>
      <w:r>
        <w:instrText xml:space="preserve"> HYPERLINK "http://www.accessdata.fda.gov/scripts/cdrh/cfdocs/cfcfr/CFRSearch.cfm?CFRPart=898&amp;amp;showFR=1" </w:instrText>
      </w:r>
      <w:r>
        <w:fldChar w:fldCharType="separate"/>
      </w:r>
      <w:r>
        <w:rPr>
          <w:rFonts w:hint="eastAsia" w:cs="宋体"/>
          <w:sz w:val="21"/>
          <w:szCs w:val="21"/>
        </w:rPr>
        <w:t>电极导线和患者电缆必须遵循</w:t>
      </w:r>
      <w:r>
        <w:rPr>
          <w:b/>
          <w:bCs/>
          <w:sz w:val="21"/>
          <w:szCs w:val="21"/>
          <w:u w:val="double"/>
        </w:rPr>
        <w:t>21CFR898</w:t>
      </w:r>
      <w:r>
        <w:rPr>
          <w:rFonts w:hint="eastAsia" w:cs="宋体"/>
          <w:b/>
          <w:bCs/>
          <w:sz w:val="21"/>
          <w:szCs w:val="21"/>
          <w:u w:val="double"/>
        </w:rPr>
        <w:t>（</w:t>
      </w:r>
      <w:r>
        <w:rPr>
          <w:b/>
          <w:bCs/>
          <w:sz w:val="21"/>
          <w:szCs w:val="21"/>
          <w:u w:val="double"/>
        </w:rPr>
        <w:t>http://www.accessdata.fda.gov/scripts/cdrh/cfdocs/cfcfr/CFRSearch.cfm?CFRPart=898&amp;showFR=1</w:t>
      </w:r>
      <w:r>
        <w:rPr>
          <w:rFonts w:hint="eastAsia" w:cs="宋体"/>
          <w:b/>
          <w:bCs/>
          <w:sz w:val="21"/>
          <w:szCs w:val="21"/>
          <w:u w:val="double"/>
        </w:rPr>
        <w:t>）</w:t>
      </w:r>
      <w:r>
        <w:rPr>
          <w:rFonts w:hint="eastAsia" w:cs="宋体"/>
          <w:b/>
          <w:bCs/>
          <w:sz w:val="21"/>
          <w:szCs w:val="21"/>
          <w:u w:val="double"/>
        </w:rPr>
        <w:fldChar w:fldCharType="end"/>
      </w:r>
      <w:r>
        <w:rPr>
          <w:rFonts w:hint="eastAsia" w:cs="宋体"/>
          <w:sz w:val="21"/>
          <w:szCs w:val="21"/>
        </w:rPr>
        <w:t>电极导线和患者电缆的性能标准的所有适用部分。</w:t>
      </w:r>
    </w:p>
    <w:p w14:paraId="7BC73FE9">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56" w:name="_Toc496720487"/>
      <w:r>
        <w:rPr>
          <w:rFonts w:hint="eastAsia" w:ascii="Times New Roman" w:hAnsi="Times New Roman" w:cs="宋体"/>
          <w:sz w:val="21"/>
          <w:szCs w:val="21"/>
          <w:u w:val="double"/>
        </w:rPr>
        <w:t>回到顶部</w:t>
      </w:r>
      <w:bookmarkEnd w:id="56"/>
    </w:p>
    <w:p w14:paraId="24C6C07F">
      <w:pPr>
        <w:numPr>
          <w:ilvl w:val="0"/>
          <w:numId w:val="1"/>
        </w:numPr>
        <w:pBdr>
          <w:top w:val="single" w:color="BFBFBF" w:sz="12" w:space="1"/>
        </w:pBdr>
        <w:tabs>
          <w:tab w:val="left" w:pos="676"/>
        </w:tabs>
        <w:kinsoku w:val="0"/>
        <w:overflowPunct w:val="0"/>
        <w:snapToGrid w:val="0"/>
        <w:spacing w:afterLines="50" w:line="360" w:lineRule="auto"/>
        <w:ind w:firstLine="0"/>
        <w:jc w:val="both"/>
        <w:outlineLvl w:val="0"/>
        <w:rPr>
          <w:sz w:val="28"/>
          <w:szCs w:val="28"/>
        </w:rPr>
      </w:pPr>
      <w:bookmarkStart w:id="57" w:name="_Toc496720488"/>
      <w:r>
        <w:rPr>
          <w:rFonts w:hint="eastAsia" w:cs="宋体"/>
          <w:b/>
          <w:bCs/>
          <w:sz w:val="28"/>
          <w:szCs w:val="28"/>
        </w:rPr>
        <w:t>电磁兼容性</w:t>
      </w:r>
      <w:bookmarkEnd w:id="57"/>
    </w:p>
    <w:p w14:paraId="5837310E">
      <w:pPr>
        <w:kinsoku w:val="0"/>
        <w:overflowPunct w:val="0"/>
        <w:snapToGrid w:val="0"/>
        <w:spacing w:afterLines="50" w:line="360" w:lineRule="auto"/>
        <w:jc w:val="both"/>
        <w:rPr>
          <w:sz w:val="21"/>
          <w:szCs w:val="21"/>
        </w:rPr>
      </w:pPr>
      <w:bookmarkStart w:id="58" w:name="_Hlk495394225"/>
      <w:r>
        <w:rPr>
          <w:rFonts w:hint="eastAsia" w:cs="宋体"/>
          <w:sz w:val="21"/>
          <w:szCs w:val="21"/>
        </w:rPr>
        <w:t>电磁兼容性（</w:t>
      </w:r>
      <w:r>
        <w:rPr>
          <w:sz w:val="21"/>
          <w:szCs w:val="21"/>
        </w:rPr>
        <w:t>EMC</w:t>
      </w:r>
      <w:r>
        <w:rPr>
          <w:rFonts w:hint="eastAsia" w:cs="宋体"/>
          <w:sz w:val="21"/>
          <w:szCs w:val="21"/>
        </w:rPr>
        <w:t>）是器械在其预期使用环境内正确运行，并且不将过度电磁干扰引入该环境的能力。</w:t>
      </w:r>
      <w:r>
        <w:rPr>
          <w:sz w:val="21"/>
          <w:szCs w:val="21"/>
        </w:rPr>
        <w:t>EMC</w:t>
      </w:r>
      <w:r>
        <w:rPr>
          <w:rFonts w:hint="eastAsia" w:cs="宋体"/>
          <w:sz w:val="21"/>
          <w:szCs w:val="21"/>
        </w:rPr>
        <w:t>测试如</w:t>
      </w:r>
      <w:r>
        <w:rPr>
          <w:i/>
          <w:iCs/>
          <w:sz w:val="21"/>
          <w:szCs w:val="21"/>
        </w:rPr>
        <w:t>IEC 60601-1-2 (2001)</w:t>
      </w:r>
      <w:r>
        <w:rPr>
          <w:rFonts w:hint="eastAsia" w:cs="宋体"/>
          <w:i/>
          <w:iCs/>
          <w:sz w:val="21"/>
          <w:szCs w:val="21"/>
        </w:rPr>
        <w:t>：医用电气设备，第</w:t>
      </w:r>
      <w:r>
        <w:rPr>
          <w:i/>
          <w:iCs/>
          <w:sz w:val="21"/>
          <w:szCs w:val="21"/>
        </w:rPr>
        <w:t>1</w:t>
      </w:r>
      <w:r>
        <w:rPr>
          <w:rFonts w:hint="eastAsia" w:cs="宋体"/>
          <w:i/>
          <w:iCs/>
          <w:sz w:val="21"/>
          <w:szCs w:val="21"/>
        </w:rPr>
        <w:t>部分：一般安全要求，</w:t>
      </w:r>
      <w:r>
        <w:rPr>
          <w:i/>
          <w:iCs/>
          <w:sz w:val="21"/>
          <w:szCs w:val="21"/>
        </w:rPr>
        <w:t>2.</w:t>
      </w:r>
      <w:r>
        <w:rPr>
          <w:rFonts w:hint="eastAsia" w:cs="宋体"/>
          <w:i/>
          <w:iCs/>
          <w:sz w:val="21"/>
          <w:szCs w:val="21"/>
        </w:rPr>
        <w:t>并列标准：电磁兼容性</w:t>
      </w:r>
      <w:r>
        <w:rPr>
          <w:i/>
          <w:iCs/>
          <w:sz w:val="21"/>
          <w:szCs w:val="21"/>
        </w:rPr>
        <w:t>—</w:t>
      </w:r>
      <w:r>
        <w:rPr>
          <w:rFonts w:hint="eastAsia" w:cs="宋体"/>
          <w:i/>
          <w:iCs/>
          <w:sz w:val="21"/>
          <w:szCs w:val="21"/>
        </w:rPr>
        <w:t>要求和测试</w:t>
      </w:r>
      <w:r>
        <w:rPr>
          <w:rFonts w:hint="eastAsia" w:cs="宋体"/>
          <w:sz w:val="21"/>
          <w:szCs w:val="21"/>
        </w:rPr>
        <w:t>所述。</w:t>
      </w:r>
    </w:p>
    <w:bookmarkEnd w:id="58"/>
    <w:p w14:paraId="345F207C">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呼吸暂停监护仪被视为生命支持设备，在依据</w:t>
      </w:r>
      <w:r>
        <w:rPr>
          <w:rFonts w:ascii="Times New Roman" w:hAnsi="Times New Roman" w:cs="Times New Roman"/>
          <w:i/>
          <w:iCs/>
          <w:sz w:val="21"/>
          <w:szCs w:val="21"/>
        </w:rPr>
        <w:t>IEC 60601-1-2 (2001)</w:t>
      </w:r>
      <w:r>
        <w:rPr>
          <w:rFonts w:hint="eastAsia" w:ascii="Times New Roman" w:hAnsi="Times New Roman" w:cs="宋体"/>
          <w:sz w:val="21"/>
          <w:szCs w:val="21"/>
        </w:rPr>
        <w:t>测试器械时，应考虑到这一点。</w:t>
      </w:r>
    </w:p>
    <w:p w14:paraId="4CD21ED5">
      <w:pPr>
        <w:pStyle w:val="5"/>
        <w:kinsoku w:val="0"/>
        <w:overflowPunct w:val="0"/>
        <w:snapToGrid w:val="0"/>
        <w:spacing w:afterLines="50" w:line="360" w:lineRule="auto"/>
        <w:ind w:left="0"/>
        <w:jc w:val="both"/>
        <w:rPr>
          <w:rFonts w:ascii="Times New Roman" w:hAnsi="Times New Roman" w:cs="Times New Roman"/>
          <w:sz w:val="21"/>
          <w:szCs w:val="21"/>
        </w:rPr>
      </w:pPr>
      <w:bookmarkStart w:id="59" w:name="_Hlk495394288"/>
      <w:r>
        <w:rPr>
          <w:rFonts w:hint="eastAsia" w:ascii="Times New Roman" w:hAnsi="Times New Roman" w:cs="宋体"/>
          <w:sz w:val="21"/>
          <w:szCs w:val="21"/>
        </w:rPr>
        <w:t>应完整描述器械的</w:t>
      </w:r>
      <w:r>
        <w:rPr>
          <w:rFonts w:ascii="Times New Roman" w:hAnsi="Times New Roman" w:cs="Times New Roman"/>
          <w:sz w:val="21"/>
          <w:szCs w:val="21"/>
        </w:rPr>
        <w:t>EMC</w:t>
      </w:r>
      <w:r>
        <w:rPr>
          <w:rFonts w:hint="eastAsia" w:ascii="Times New Roman" w:hAnsi="Times New Roman" w:cs="宋体"/>
          <w:sz w:val="21"/>
          <w:szCs w:val="21"/>
        </w:rPr>
        <w:t>特性，并提供在以下情况下验证这些特性的信息：</w:t>
      </w:r>
    </w:p>
    <w:p w14:paraId="432EB9D8">
      <w:pPr>
        <w:pStyle w:val="5"/>
        <w:numPr>
          <w:ilvl w:val="0"/>
          <w:numId w:val="16"/>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应将第三根线接地连接电源线的插头端部，然后测试所有器械。</w:t>
      </w:r>
    </w:p>
    <w:p w14:paraId="433C11A9">
      <w:pPr>
        <w:pStyle w:val="5"/>
        <w:numPr>
          <w:ilvl w:val="0"/>
          <w:numId w:val="16"/>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应断开接地连接电源线插头端部的第三根线，测试预期用于家庭使用的器械。</w:t>
      </w:r>
    </w:p>
    <w:bookmarkEnd w:id="59"/>
    <w:p w14:paraId="39FACFF7">
      <w:pPr>
        <w:pStyle w:val="5"/>
        <w:kinsoku w:val="0"/>
        <w:overflowPunct w:val="0"/>
        <w:snapToGrid w:val="0"/>
        <w:spacing w:afterLines="50" w:line="360" w:lineRule="auto"/>
        <w:ind w:left="0"/>
        <w:jc w:val="both"/>
        <w:rPr>
          <w:rFonts w:ascii="Times New Roman" w:hAnsi="Times New Roman" w:cs="Times New Roman"/>
          <w:sz w:val="21"/>
          <w:szCs w:val="21"/>
        </w:rPr>
      </w:pPr>
      <w:bookmarkStart w:id="60" w:name="_Hlk495394305"/>
      <w:r>
        <w:rPr>
          <w:rFonts w:hint="eastAsia" w:ascii="Times New Roman" w:hAnsi="Times New Roman" w:cs="宋体"/>
          <w:sz w:val="21"/>
          <w:szCs w:val="21"/>
        </w:rPr>
        <w:t>接受抗扰度测试时，暴露至本节指定的电磁干扰水平的过程中和之后，器械应在其规格范围内运行。除另有规定外，应根据该数量测量值中所有误差的</w:t>
      </w:r>
      <w:r>
        <w:rPr>
          <w:rFonts w:ascii="Times New Roman" w:hAnsi="Times New Roman" w:cs="Times New Roman"/>
          <w:sz w:val="21"/>
          <w:szCs w:val="21"/>
        </w:rPr>
        <w:t>rms</w:t>
      </w:r>
      <w:r>
        <w:rPr>
          <w:rFonts w:hint="eastAsia" w:ascii="Times New Roman" w:hAnsi="Times New Roman" w:cs="宋体"/>
          <w:sz w:val="21"/>
          <w:szCs w:val="21"/>
        </w:rPr>
        <w:t>总和</w:t>
      </w:r>
      <w:r>
        <w:rPr>
          <w:rFonts w:hint="eastAsia" w:ascii="Times New Roman" w:hAnsi="Times New Roman" w:cs="宋体"/>
          <w:i/>
          <w:iCs/>
          <w:sz w:val="21"/>
          <w:szCs w:val="21"/>
        </w:rPr>
        <w:t>向上</w:t>
      </w:r>
      <w:r>
        <w:rPr>
          <w:rFonts w:hint="eastAsia" w:ascii="Times New Roman" w:hAnsi="Times New Roman" w:cs="宋体"/>
          <w:sz w:val="21"/>
          <w:szCs w:val="21"/>
        </w:rPr>
        <w:t>调整抗扰度。抗扰度测试过程中，应将患者模拟器用于向传感器提供模拟正常刺激。</w:t>
      </w:r>
    </w:p>
    <w:bookmarkEnd w:id="60"/>
    <w:p w14:paraId="3E2C395A">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根据指定测试条件，器械不应：</w:t>
      </w:r>
    </w:p>
    <w:p w14:paraId="66E160E0">
      <w:pPr>
        <w:pStyle w:val="5"/>
        <w:numPr>
          <w:ilvl w:val="0"/>
          <w:numId w:val="17"/>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指示设备报警；</w:t>
      </w:r>
    </w:p>
    <w:p w14:paraId="20592C79">
      <w:pPr>
        <w:pStyle w:val="5"/>
        <w:numPr>
          <w:ilvl w:val="0"/>
          <w:numId w:val="17"/>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在呼吸暂停期间不发出报警音；发出假报警音；重置器械的报警、指示器或参数；</w:t>
      </w:r>
    </w:p>
    <w:p w14:paraId="74DEDCA8">
      <w:pPr>
        <w:pStyle w:val="5"/>
        <w:numPr>
          <w:ilvl w:val="0"/>
          <w:numId w:val="17"/>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表现出需要操作员干预或系统重置的功能或性能的其他暂时性降低或损失；或</w:t>
      </w:r>
    </w:p>
    <w:p w14:paraId="5BA00197">
      <w:pPr>
        <w:pStyle w:val="5"/>
        <w:numPr>
          <w:ilvl w:val="0"/>
          <w:numId w:val="17"/>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表现出所保存数据的丢失或损坏。</w:t>
      </w:r>
    </w:p>
    <w:p w14:paraId="5B1631B9">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61" w:name="_Toc496720489"/>
      <w:r>
        <w:rPr>
          <w:rFonts w:hint="eastAsia" w:ascii="Times New Roman" w:hAnsi="Times New Roman" w:cs="宋体"/>
          <w:sz w:val="21"/>
          <w:szCs w:val="21"/>
        </w:rPr>
        <w:t>抗扰度测试过程中，任何上述事件均应构成测试失败。</w:t>
      </w:r>
      <w:bookmarkEnd w:id="61"/>
    </w:p>
    <w:p w14:paraId="35459763">
      <w:pPr>
        <w:pStyle w:val="3"/>
        <w:kinsoku w:val="0"/>
        <w:overflowPunct w:val="0"/>
        <w:snapToGrid w:val="0"/>
        <w:spacing w:afterLines="50" w:line="360" w:lineRule="auto"/>
        <w:ind w:left="0"/>
        <w:jc w:val="both"/>
        <w:rPr>
          <w:rFonts w:ascii="Times New Roman" w:hAnsi="Times New Roman" w:cs="Times New Roman"/>
          <w:b w:val="0"/>
          <w:bCs w:val="0"/>
          <w:sz w:val="21"/>
          <w:szCs w:val="21"/>
        </w:rPr>
      </w:pPr>
    </w:p>
    <w:p w14:paraId="09EFDBF8">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br w:type="page"/>
      </w:r>
      <w:r>
        <w:rPr>
          <w:rFonts w:hint="eastAsia" w:ascii="Times New Roman" w:hAnsi="Times New Roman" w:cs="宋体"/>
          <w:sz w:val="21"/>
          <w:szCs w:val="21"/>
        </w:rPr>
        <w:t>依据</w:t>
      </w:r>
      <w:r>
        <w:rPr>
          <w:rFonts w:ascii="Times New Roman" w:hAnsi="Times New Roman" w:cs="Times New Roman"/>
          <w:sz w:val="21"/>
          <w:szCs w:val="21"/>
        </w:rPr>
        <w:t>IEC 60601-1-2 (2001)</w:t>
      </w:r>
      <w:r>
        <w:rPr>
          <w:rFonts w:hint="eastAsia" w:ascii="Times New Roman" w:hAnsi="Times New Roman" w:cs="宋体"/>
          <w:sz w:val="21"/>
          <w:szCs w:val="21"/>
        </w:rPr>
        <w:t>，为进行测试，呼吸暂停监护仪的基本性能应包括：</w:t>
      </w:r>
    </w:p>
    <w:p w14:paraId="7276B35A">
      <w:pPr>
        <w:pStyle w:val="5"/>
        <w:numPr>
          <w:ilvl w:val="0"/>
          <w:numId w:val="18"/>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通过主要</w:t>
      </w:r>
      <w:r>
        <w:rPr>
          <w:rFonts w:ascii="Times New Roman" w:hAnsi="Times New Roman" w:cs="Times New Roman"/>
          <w:sz w:val="21"/>
          <w:szCs w:val="21"/>
        </w:rPr>
        <w:t>/</w:t>
      </w:r>
      <w:r>
        <w:rPr>
          <w:rFonts w:hint="eastAsia" w:ascii="Times New Roman" w:hAnsi="Times New Roman" w:cs="宋体"/>
          <w:sz w:val="21"/>
          <w:szCs w:val="21"/>
        </w:rPr>
        <w:t>直接方法和辅助</w:t>
      </w:r>
      <w:r>
        <w:rPr>
          <w:rFonts w:ascii="Times New Roman" w:hAnsi="Times New Roman" w:cs="Times New Roman"/>
          <w:sz w:val="21"/>
          <w:szCs w:val="21"/>
        </w:rPr>
        <w:t>/</w:t>
      </w:r>
      <w:r>
        <w:rPr>
          <w:rFonts w:hint="eastAsia" w:ascii="Times New Roman" w:hAnsi="Times New Roman" w:cs="宋体"/>
          <w:sz w:val="21"/>
          <w:szCs w:val="21"/>
        </w:rPr>
        <w:t>间接方法检测呼吸暂停。</w:t>
      </w:r>
    </w:p>
    <w:p w14:paraId="60468A40">
      <w:pPr>
        <w:pStyle w:val="5"/>
        <w:numPr>
          <w:ilvl w:val="0"/>
          <w:numId w:val="18"/>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在通过呼吸暂停检测用主要</w:t>
      </w:r>
      <w:r>
        <w:rPr>
          <w:rFonts w:ascii="Times New Roman" w:hAnsi="Times New Roman" w:cs="Times New Roman"/>
          <w:sz w:val="21"/>
          <w:szCs w:val="21"/>
        </w:rPr>
        <w:t>/</w:t>
      </w:r>
      <w:r>
        <w:rPr>
          <w:rFonts w:hint="eastAsia" w:ascii="Times New Roman" w:hAnsi="Times New Roman" w:cs="宋体"/>
          <w:sz w:val="21"/>
          <w:szCs w:val="21"/>
        </w:rPr>
        <w:t>直接方法和辅助</w:t>
      </w:r>
      <w:r>
        <w:rPr>
          <w:rFonts w:ascii="Times New Roman" w:hAnsi="Times New Roman" w:cs="Times New Roman"/>
          <w:sz w:val="21"/>
          <w:szCs w:val="21"/>
        </w:rPr>
        <w:t>/</w:t>
      </w:r>
      <w:r>
        <w:rPr>
          <w:rFonts w:hint="eastAsia" w:ascii="Times New Roman" w:hAnsi="Times New Roman" w:cs="宋体"/>
          <w:sz w:val="21"/>
          <w:szCs w:val="21"/>
        </w:rPr>
        <w:t>间接方法检测到呼吸暂停之后，提供可见和可闻报警信号。</w:t>
      </w:r>
    </w:p>
    <w:p w14:paraId="04FB07A1">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器械应符合经过以下修改和添加的</w:t>
      </w:r>
      <w:r>
        <w:rPr>
          <w:rFonts w:ascii="Times New Roman" w:hAnsi="Times New Roman" w:cs="Times New Roman"/>
          <w:i/>
          <w:iCs/>
          <w:sz w:val="21"/>
          <w:szCs w:val="21"/>
        </w:rPr>
        <w:t>IEC 60601-1-2 (2001)</w:t>
      </w:r>
      <w:r>
        <w:rPr>
          <w:rFonts w:hint="eastAsia" w:ascii="Times New Roman" w:hAnsi="Times New Roman" w:cs="宋体"/>
          <w:sz w:val="21"/>
          <w:szCs w:val="21"/>
        </w:rPr>
        <w:t>：医用电气设备，第</w:t>
      </w:r>
      <w:r>
        <w:rPr>
          <w:rFonts w:ascii="Times New Roman" w:hAnsi="Times New Roman" w:cs="Times New Roman"/>
          <w:sz w:val="21"/>
          <w:szCs w:val="21"/>
        </w:rPr>
        <w:t>1</w:t>
      </w:r>
      <w:r>
        <w:rPr>
          <w:rFonts w:hint="eastAsia" w:ascii="Times New Roman" w:hAnsi="Times New Roman" w:cs="宋体"/>
          <w:sz w:val="21"/>
          <w:szCs w:val="21"/>
        </w:rPr>
        <w:t>部分：一般安全要求，</w:t>
      </w:r>
      <w:r>
        <w:rPr>
          <w:rFonts w:ascii="Times New Roman" w:hAnsi="Times New Roman" w:cs="Times New Roman"/>
          <w:sz w:val="21"/>
          <w:szCs w:val="21"/>
        </w:rPr>
        <w:t>2</w:t>
      </w:r>
      <w:r>
        <w:rPr>
          <w:rFonts w:hint="eastAsia" w:ascii="Times New Roman" w:hAnsi="Times New Roman" w:cs="宋体"/>
          <w:sz w:val="21"/>
          <w:szCs w:val="21"/>
        </w:rPr>
        <w:t>：并列标准：电磁兼容性</w:t>
      </w:r>
      <w:r>
        <w:rPr>
          <w:rFonts w:ascii="Times New Roman" w:hAnsi="Times New Roman" w:cs="Times New Roman"/>
          <w:sz w:val="21"/>
          <w:szCs w:val="21"/>
        </w:rPr>
        <w:t>—</w:t>
      </w:r>
      <w:r>
        <w:rPr>
          <w:rFonts w:hint="eastAsia" w:ascii="Times New Roman" w:hAnsi="Times New Roman" w:cs="宋体"/>
          <w:sz w:val="21"/>
          <w:szCs w:val="21"/>
        </w:rPr>
        <w:t>要求和测试的</w:t>
      </w:r>
      <w:r>
        <w:rPr>
          <w:rFonts w:ascii="Times New Roman" w:hAnsi="Times New Roman" w:cs="Times New Roman"/>
          <w:sz w:val="21"/>
          <w:szCs w:val="21"/>
        </w:rPr>
        <w:t>EMC</w:t>
      </w:r>
      <w:r>
        <w:rPr>
          <w:rFonts w:hint="eastAsia" w:ascii="Times New Roman" w:hAnsi="Times New Roman" w:cs="宋体"/>
          <w:sz w:val="21"/>
          <w:szCs w:val="21"/>
        </w:rPr>
        <w:t>要求：</w:t>
      </w:r>
    </w:p>
    <w:p w14:paraId="528D52B1">
      <w:pPr>
        <w:pStyle w:val="3"/>
        <w:numPr>
          <w:ilvl w:val="1"/>
          <w:numId w:val="1"/>
        </w:numPr>
        <w:tabs>
          <w:tab w:val="left" w:pos="660"/>
        </w:tabs>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62" w:name="_Toc496720490"/>
      <w:r>
        <w:rPr>
          <w:rFonts w:hint="eastAsia" w:ascii="Times New Roman" w:hAnsi="Times New Roman" w:cs="宋体"/>
          <w:sz w:val="21"/>
          <w:szCs w:val="21"/>
        </w:rPr>
        <w:t>磁场发射</w:t>
      </w:r>
      <w:bookmarkEnd w:id="62"/>
    </w:p>
    <w:p w14:paraId="5D238D5B">
      <w:pPr>
        <w:pStyle w:val="5"/>
        <w:kinsoku w:val="0"/>
        <w:overflowPunct w:val="0"/>
        <w:snapToGrid w:val="0"/>
        <w:spacing w:afterLines="50" w:line="360" w:lineRule="auto"/>
        <w:ind w:left="0"/>
        <w:jc w:val="both"/>
        <w:rPr>
          <w:rFonts w:ascii="Times New Roman" w:hAnsi="Times New Roman" w:cs="Times New Roman"/>
          <w:sz w:val="21"/>
          <w:szCs w:val="21"/>
        </w:rPr>
      </w:pPr>
      <w:bookmarkStart w:id="63" w:name="_Hlk495394373"/>
      <w:r>
        <w:rPr>
          <w:rFonts w:hint="eastAsia" w:ascii="Times New Roman" w:hAnsi="Times New Roman" w:cs="宋体"/>
          <w:sz w:val="21"/>
          <w:szCs w:val="21"/>
        </w:rPr>
        <w:t>器械应表现为在其规格范围内运行，并且发出的磁场不超过</w:t>
      </w:r>
      <w:r>
        <w:rPr>
          <w:rFonts w:ascii="Times New Roman" w:hAnsi="Times New Roman" w:cs="Times New Roman"/>
          <w:sz w:val="21"/>
          <w:szCs w:val="21"/>
        </w:rPr>
        <w:t>MIL-STD-461D (1993)</w:t>
      </w:r>
      <w:r>
        <w:rPr>
          <w:rFonts w:hint="eastAsia" w:ascii="Times New Roman" w:hAnsi="Times New Roman" w:cs="宋体"/>
          <w:sz w:val="21"/>
          <w:szCs w:val="21"/>
        </w:rPr>
        <w:t>：电磁干扰、发射和磁化率的控制要求的</w:t>
      </w:r>
      <w:r>
        <w:rPr>
          <w:rFonts w:ascii="Times New Roman" w:hAnsi="Times New Roman" w:cs="Times New Roman"/>
          <w:sz w:val="21"/>
          <w:szCs w:val="21"/>
        </w:rPr>
        <w:t>RE101</w:t>
      </w:r>
      <w:r>
        <w:rPr>
          <w:rFonts w:hint="eastAsia" w:ascii="Times New Roman" w:hAnsi="Times New Roman" w:cs="宋体"/>
          <w:sz w:val="21"/>
          <w:szCs w:val="21"/>
        </w:rPr>
        <w:t>中所示</w:t>
      </w:r>
      <w:r>
        <w:rPr>
          <w:rFonts w:ascii="Times New Roman" w:hAnsi="Times New Roman" w:cs="Times New Roman"/>
          <w:sz w:val="21"/>
          <w:szCs w:val="21"/>
        </w:rPr>
        <w:t>Army</w:t>
      </w:r>
      <w:r>
        <w:rPr>
          <w:rFonts w:hint="eastAsia" w:ascii="Times New Roman" w:hAnsi="Times New Roman" w:cs="宋体"/>
          <w:sz w:val="21"/>
          <w:szCs w:val="21"/>
        </w:rPr>
        <w:t>，</w:t>
      </w:r>
      <w:r>
        <w:rPr>
          <w:rFonts w:ascii="Times New Roman" w:hAnsi="Times New Roman" w:cs="Times New Roman"/>
          <w:sz w:val="21"/>
          <w:szCs w:val="21"/>
        </w:rPr>
        <w:t>7-cm</w:t>
      </w:r>
      <w:r>
        <w:rPr>
          <w:rFonts w:hint="eastAsia" w:ascii="Times New Roman" w:hAnsi="Times New Roman" w:cs="宋体"/>
          <w:sz w:val="21"/>
          <w:szCs w:val="21"/>
        </w:rPr>
        <w:t>距离限值。</w:t>
      </w:r>
    </w:p>
    <w:p w14:paraId="4DC9657B">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64" w:name="_Toc496720491"/>
      <w:r>
        <w:rPr>
          <w:rFonts w:hint="eastAsia" w:ascii="Times New Roman" w:hAnsi="Times New Roman" w:cs="宋体"/>
          <w:sz w:val="21"/>
          <w:szCs w:val="21"/>
        </w:rPr>
        <w:t>建议测试方法</w:t>
      </w:r>
      <w:bookmarkEnd w:id="64"/>
    </w:p>
    <w:p w14:paraId="34FC07B3">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器械正常运行过程中，依据</w:t>
      </w:r>
      <w:r>
        <w:rPr>
          <w:rFonts w:ascii="Times New Roman" w:hAnsi="Times New Roman" w:cs="Times New Roman"/>
          <w:sz w:val="21"/>
          <w:szCs w:val="21"/>
        </w:rPr>
        <w:t>MIL-STD-462D (1993)</w:t>
      </w:r>
      <w:r>
        <w:rPr>
          <w:rFonts w:hint="eastAsia" w:ascii="Times New Roman" w:hAnsi="Times New Roman" w:cs="宋体"/>
          <w:sz w:val="21"/>
          <w:szCs w:val="21"/>
        </w:rPr>
        <w:t>：</w:t>
      </w:r>
      <w:r>
        <w:rPr>
          <w:rFonts w:hint="eastAsia" w:ascii="Times New Roman" w:hAnsi="Times New Roman" w:cs="宋体"/>
          <w:i/>
          <w:iCs/>
          <w:sz w:val="21"/>
          <w:szCs w:val="21"/>
        </w:rPr>
        <w:t>电磁干扰特性测量</w:t>
      </w:r>
      <w:r>
        <w:rPr>
          <w:rFonts w:hint="eastAsia" w:ascii="Times New Roman" w:hAnsi="Times New Roman" w:cs="宋体"/>
          <w:sz w:val="21"/>
          <w:szCs w:val="21"/>
        </w:rPr>
        <w:t>的</w:t>
      </w:r>
      <w:r>
        <w:rPr>
          <w:rFonts w:ascii="Times New Roman" w:hAnsi="Times New Roman" w:cs="Times New Roman"/>
          <w:sz w:val="21"/>
          <w:szCs w:val="21"/>
        </w:rPr>
        <w:t>RE101</w:t>
      </w:r>
      <w:r>
        <w:rPr>
          <w:rFonts w:hint="eastAsia" w:ascii="Times New Roman" w:hAnsi="Times New Roman" w:cs="宋体"/>
          <w:sz w:val="21"/>
          <w:szCs w:val="21"/>
        </w:rPr>
        <w:t>测量处于</w:t>
      </w:r>
      <w:r>
        <w:rPr>
          <w:rFonts w:ascii="Times New Roman" w:hAnsi="Times New Roman" w:cs="Times New Roman"/>
          <w:sz w:val="21"/>
          <w:szCs w:val="21"/>
        </w:rPr>
        <w:t>Army</w:t>
      </w:r>
      <w:r>
        <w:rPr>
          <w:rFonts w:hint="eastAsia" w:ascii="Times New Roman" w:hAnsi="Times New Roman" w:cs="宋体"/>
          <w:sz w:val="21"/>
          <w:szCs w:val="21"/>
        </w:rPr>
        <w:t>，</w:t>
      </w:r>
      <w:r>
        <w:rPr>
          <w:rFonts w:ascii="Times New Roman" w:hAnsi="Times New Roman" w:cs="Times New Roman"/>
          <w:sz w:val="21"/>
          <w:szCs w:val="21"/>
        </w:rPr>
        <w:t>7-cm</w:t>
      </w:r>
      <w:r>
        <w:rPr>
          <w:rFonts w:hint="eastAsia" w:ascii="Times New Roman" w:hAnsi="Times New Roman" w:cs="宋体"/>
          <w:sz w:val="21"/>
          <w:szCs w:val="21"/>
        </w:rPr>
        <w:t>距离时发出的磁场强度。应说明在</w:t>
      </w:r>
      <w:r>
        <w:rPr>
          <w:rFonts w:ascii="Times New Roman" w:hAnsi="Times New Roman" w:cs="Times New Roman"/>
          <w:sz w:val="21"/>
          <w:szCs w:val="21"/>
        </w:rPr>
        <w:t>30 Hz</w:t>
      </w:r>
      <w:r>
        <w:rPr>
          <w:rFonts w:hint="eastAsia" w:ascii="Times New Roman" w:hAnsi="Times New Roman" w:cs="宋体"/>
          <w:sz w:val="21"/>
          <w:szCs w:val="21"/>
        </w:rPr>
        <w:t>至</w:t>
      </w:r>
      <w:r>
        <w:rPr>
          <w:rFonts w:ascii="Times New Roman" w:hAnsi="Times New Roman" w:cs="Times New Roman"/>
          <w:sz w:val="21"/>
          <w:szCs w:val="21"/>
        </w:rPr>
        <w:t>100 kHz</w:t>
      </w:r>
      <w:r>
        <w:rPr>
          <w:rFonts w:hint="eastAsia" w:ascii="Times New Roman" w:hAnsi="Times New Roman" w:cs="宋体"/>
          <w:sz w:val="21"/>
          <w:szCs w:val="21"/>
        </w:rPr>
        <w:t>之间，实测场强不超过</w:t>
      </w:r>
      <w:r>
        <w:rPr>
          <w:rFonts w:ascii="Times New Roman" w:hAnsi="Times New Roman" w:cs="Times New Roman"/>
          <w:sz w:val="21"/>
          <w:szCs w:val="21"/>
        </w:rPr>
        <w:t>MIL-STD-461D</w:t>
      </w:r>
      <w:r>
        <w:rPr>
          <w:rFonts w:hint="eastAsia" w:ascii="Times New Roman" w:hAnsi="Times New Roman" w:cs="宋体"/>
          <w:sz w:val="21"/>
          <w:szCs w:val="21"/>
        </w:rPr>
        <w:t>的</w:t>
      </w:r>
      <w:r>
        <w:rPr>
          <w:rFonts w:ascii="Times New Roman" w:hAnsi="Times New Roman" w:cs="Times New Roman"/>
          <w:sz w:val="21"/>
          <w:szCs w:val="21"/>
        </w:rPr>
        <w:t>RE101</w:t>
      </w:r>
      <w:r>
        <w:rPr>
          <w:rFonts w:hint="eastAsia" w:ascii="Times New Roman" w:hAnsi="Times New Roman" w:cs="宋体"/>
          <w:sz w:val="21"/>
          <w:szCs w:val="21"/>
        </w:rPr>
        <w:t>所示</w:t>
      </w:r>
      <w:r>
        <w:rPr>
          <w:rFonts w:ascii="Times New Roman" w:hAnsi="Times New Roman" w:cs="Times New Roman"/>
          <w:sz w:val="21"/>
          <w:szCs w:val="21"/>
        </w:rPr>
        <w:t>Army</w:t>
      </w:r>
      <w:r>
        <w:rPr>
          <w:rFonts w:hint="eastAsia" w:ascii="Times New Roman" w:hAnsi="Times New Roman" w:cs="宋体"/>
          <w:sz w:val="21"/>
          <w:szCs w:val="21"/>
        </w:rPr>
        <w:t>，</w:t>
      </w:r>
      <w:r>
        <w:rPr>
          <w:rFonts w:ascii="Times New Roman" w:hAnsi="Times New Roman" w:cs="Times New Roman"/>
          <w:sz w:val="21"/>
          <w:szCs w:val="21"/>
        </w:rPr>
        <w:t>7-cm</w:t>
      </w:r>
      <w:r>
        <w:rPr>
          <w:rFonts w:hint="eastAsia" w:ascii="Times New Roman" w:hAnsi="Times New Roman" w:cs="宋体"/>
          <w:sz w:val="21"/>
          <w:szCs w:val="21"/>
        </w:rPr>
        <w:t>限值。</w:t>
      </w:r>
    </w:p>
    <w:bookmarkEnd w:id="63"/>
    <w:p w14:paraId="643B0FE9">
      <w:pPr>
        <w:pStyle w:val="3"/>
        <w:numPr>
          <w:ilvl w:val="1"/>
          <w:numId w:val="1"/>
        </w:numPr>
        <w:tabs>
          <w:tab w:val="left" w:pos="660"/>
        </w:tabs>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65" w:name="_Toc496720492"/>
      <w:r>
        <w:rPr>
          <w:rFonts w:hint="eastAsia" w:ascii="Times New Roman" w:hAnsi="Times New Roman" w:cs="宋体"/>
          <w:sz w:val="21"/>
          <w:szCs w:val="21"/>
        </w:rPr>
        <w:t>传导电磁能量</w:t>
      </w:r>
      <w:bookmarkEnd w:id="65"/>
    </w:p>
    <w:p w14:paraId="66E1C184">
      <w:pPr>
        <w:pStyle w:val="5"/>
        <w:kinsoku w:val="0"/>
        <w:overflowPunct w:val="0"/>
        <w:snapToGrid w:val="0"/>
        <w:spacing w:afterLines="50" w:line="360" w:lineRule="auto"/>
        <w:ind w:left="0"/>
        <w:jc w:val="both"/>
        <w:rPr>
          <w:rFonts w:ascii="Times New Roman" w:hAnsi="Times New Roman" w:cs="Times New Roman"/>
          <w:sz w:val="21"/>
          <w:szCs w:val="21"/>
        </w:rPr>
      </w:pPr>
      <w:bookmarkStart w:id="66" w:name="_Hlk495394489"/>
      <w:r>
        <w:rPr>
          <w:rFonts w:hint="eastAsia" w:ascii="Times New Roman" w:hAnsi="Times New Roman" w:cs="宋体"/>
          <w:sz w:val="21"/>
          <w:szCs w:val="21"/>
        </w:rPr>
        <w:t>每根互连电缆（包括电源线）暴露至在</w:t>
      </w:r>
      <w:r>
        <w:rPr>
          <w:rFonts w:ascii="Times New Roman" w:hAnsi="Times New Roman" w:cs="Times New Roman"/>
          <w:sz w:val="21"/>
          <w:szCs w:val="21"/>
        </w:rPr>
        <w:t>10 kHz</w:t>
      </w:r>
      <w:r>
        <w:rPr>
          <w:rFonts w:hint="eastAsia" w:ascii="Times New Roman" w:hAnsi="Times New Roman" w:cs="宋体"/>
          <w:sz w:val="21"/>
          <w:szCs w:val="21"/>
        </w:rPr>
        <w:t>至</w:t>
      </w:r>
      <w:r>
        <w:rPr>
          <w:rFonts w:ascii="Times New Roman" w:hAnsi="Times New Roman" w:cs="Times New Roman"/>
          <w:sz w:val="21"/>
          <w:szCs w:val="21"/>
        </w:rPr>
        <w:t>100 MHz</w:t>
      </w:r>
      <w:r>
        <w:rPr>
          <w:rFonts w:hint="eastAsia" w:ascii="Times New Roman" w:hAnsi="Times New Roman" w:cs="宋体"/>
          <w:sz w:val="21"/>
          <w:szCs w:val="21"/>
        </w:rPr>
        <w:t>之间的频率处于</w:t>
      </w:r>
      <w:r>
        <w:rPr>
          <w:rFonts w:ascii="Times New Roman" w:hAnsi="Times New Roman" w:cs="Times New Roman"/>
          <w:sz w:val="21"/>
          <w:szCs w:val="21"/>
        </w:rPr>
        <w:t>MIL-STD-461D</w:t>
      </w:r>
      <w:r>
        <w:rPr>
          <w:rFonts w:hint="eastAsia" w:ascii="Times New Roman" w:hAnsi="Times New Roman" w:cs="宋体"/>
          <w:sz w:val="21"/>
          <w:szCs w:val="21"/>
        </w:rPr>
        <w:t>的</w:t>
      </w:r>
      <w:r>
        <w:rPr>
          <w:rFonts w:ascii="Times New Roman" w:hAnsi="Times New Roman" w:cs="Times New Roman"/>
          <w:sz w:val="21"/>
          <w:szCs w:val="21"/>
        </w:rPr>
        <w:t>CS114, Curve #3</w:t>
      </w:r>
      <w:r>
        <w:rPr>
          <w:rFonts w:hint="eastAsia" w:ascii="Times New Roman" w:hAnsi="Times New Roman" w:cs="宋体"/>
          <w:sz w:val="21"/>
          <w:szCs w:val="21"/>
        </w:rPr>
        <w:t>所指定水平的传导电磁能量过程中和之后，器械应在其规格范围内运行。</w:t>
      </w:r>
    </w:p>
    <w:p w14:paraId="5380D181">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67" w:name="_Toc496720493"/>
      <w:r>
        <w:rPr>
          <w:rFonts w:hint="eastAsia" w:ascii="Times New Roman" w:hAnsi="Times New Roman" w:cs="宋体"/>
          <w:sz w:val="21"/>
          <w:szCs w:val="21"/>
        </w:rPr>
        <w:t>建议测试方法</w:t>
      </w:r>
      <w:bookmarkEnd w:id="67"/>
    </w:p>
    <w:p w14:paraId="0065F4DA">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应采用经过以下修改的</w:t>
      </w:r>
      <w:r>
        <w:rPr>
          <w:rFonts w:ascii="Times New Roman" w:hAnsi="Times New Roman" w:cs="Times New Roman"/>
          <w:sz w:val="21"/>
          <w:szCs w:val="21"/>
        </w:rPr>
        <w:t>MIL-STD-462D</w:t>
      </w:r>
      <w:r>
        <w:rPr>
          <w:rFonts w:hint="eastAsia" w:ascii="Times New Roman" w:hAnsi="Times New Roman" w:cs="宋体"/>
          <w:sz w:val="21"/>
          <w:szCs w:val="21"/>
        </w:rPr>
        <w:t>的</w:t>
      </w:r>
      <w:r>
        <w:rPr>
          <w:rFonts w:ascii="Times New Roman" w:hAnsi="Times New Roman" w:cs="Times New Roman"/>
          <w:sz w:val="21"/>
          <w:szCs w:val="21"/>
        </w:rPr>
        <w:t>CS114</w:t>
      </w:r>
      <w:r>
        <w:rPr>
          <w:rFonts w:hint="eastAsia" w:ascii="Times New Roman" w:hAnsi="Times New Roman" w:cs="宋体"/>
          <w:sz w:val="21"/>
          <w:szCs w:val="21"/>
        </w:rPr>
        <w:t>方法测试器械：</w:t>
      </w:r>
    </w:p>
    <w:p w14:paraId="71BC1EC4">
      <w:pPr>
        <w:pStyle w:val="5"/>
        <w:numPr>
          <w:ilvl w:val="0"/>
          <w:numId w:val="19"/>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载波应为包含</w:t>
      </w:r>
      <w:r>
        <w:rPr>
          <w:rFonts w:ascii="Times New Roman" w:hAnsi="Times New Roman" w:cs="Times New Roman"/>
          <w:sz w:val="21"/>
          <w:szCs w:val="21"/>
        </w:rPr>
        <w:t>2 Hz</w:t>
      </w:r>
      <w:r>
        <w:rPr>
          <w:rFonts w:hint="eastAsia" w:ascii="Times New Roman" w:hAnsi="Times New Roman" w:cs="宋体"/>
          <w:sz w:val="21"/>
          <w:szCs w:val="21"/>
        </w:rPr>
        <w:t>正弦波的</w:t>
      </w:r>
      <w:r>
        <w:rPr>
          <w:rFonts w:ascii="Times New Roman" w:hAnsi="Times New Roman" w:cs="Times New Roman"/>
          <w:sz w:val="21"/>
          <w:szCs w:val="21"/>
        </w:rPr>
        <w:t>80%</w:t>
      </w:r>
      <w:r>
        <w:rPr>
          <w:rFonts w:hint="eastAsia" w:ascii="Times New Roman" w:hAnsi="Times New Roman" w:cs="宋体"/>
          <w:sz w:val="21"/>
          <w:szCs w:val="21"/>
        </w:rPr>
        <w:t>调幅载波。</w:t>
      </w:r>
    </w:p>
    <w:p w14:paraId="51B51FF6">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测试应表明在暴露至</w:t>
      </w:r>
      <w:r>
        <w:rPr>
          <w:rFonts w:ascii="Times New Roman" w:hAnsi="Times New Roman" w:cs="Times New Roman"/>
          <w:sz w:val="21"/>
          <w:szCs w:val="21"/>
        </w:rPr>
        <w:t>MIL-STD-461D</w:t>
      </w:r>
      <w:r>
        <w:rPr>
          <w:rFonts w:hint="eastAsia" w:ascii="Times New Roman" w:hAnsi="Times New Roman" w:cs="宋体"/>
          <w:sz w:val="21"/>
          <w:szCs w:val="21"/>
        </w:rPr>
        <w:t>的</w:t>
      </w:r>
      <w:r>
        <w:rPr>
          <w:rFonts w:ascii="Times New Roman" w:hAnsi="Times New Roman" w:cs="Times New Roman"/>
          <w:sz w:val="21"/>
          <w:szCs w:val="21"/>
        </w:rPr>
        <w:t>CS114, Curve #3</w:t>
      </w:r>
      <w:r>
        <w:rPr>
          <w:rFonts w:hint="eastAsia" w:ascii="Times New Roman" w:hAnsi="Times New Roman" w:cs="宋体"/>
          <w:sz w:val="21"/>
          <w:szCs w:val="21"/>
        </w:rPr>
        <w:t>所指定水平的传导电磁能量过程中和之后，器械在其规格范围内运行。</w:t>
      </w:r>
      <w:bookmarkEnd w:id="66"/>
    </w:p>
    <w:p w14:paraId="679791A4">
      <w:pPr>
        <w:pStyle w:val="3"/>
        <w:numPr>
          <w:ilvl w:val="1"/>
          <w:numId w:val="1"/>
        </w:numPr>
        <w:tabs>
          <w:tab w:val="left" w:pos="660"/>
        </w:tabs>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68" w:name="_Toc496720494"/>
      <w:r>
        <w:rPr>
          <w:rFonts w:hint="eastAsia" w:ascii="Times New Roman" w:hAnsi="Times New Roman" w:cs="宋体"/>
          <w:sz w:val="21"/>
          <w:szCs w:val="21"/>
        </w:rPr>
        <w:t>工频磁场抗扰度</w:t>
      </w:r>
      <w:bookmarkEnd w:id="68"/>
    </w:p>
    <w:p w14:paraId="63314409">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在暴露至强度为</w:t>
      </w:r>
      <w:r>
        <w:rPr>
          <w:rFonts w:ascii="Times New Roman" w:hAnsi="Times New Roman" w:cs="Times New Roman"/>
          <w:sz w:val="21"/>
          <w:szCs w:val="21"/>
        </w:rPr>
        <w:t>3 A/m</w:t>
      </w:r>
      <w:r>
        <w:rPr>
          <w:rFonts w:hint="eastAsia" w:ascii="Times New Roman" w:hAnsi="Times New Roman" w:cs="宋体"/>
          <w:sz w:val="21"/>
          <w:szCs w:val="21"/>
        </w:rPr>
        <w:t>的连续、</w:t>
      </w:r>
      <w:r>
        <w:rPr>
          <w:rFonts w:ascii="Times New Roman" w:hAnsi="Times New Roman" w:cs="Times New Roman"/>
          <w:sz w:val="21"/>
          <w:szCs w:val="21"/>
        </w:rPr>
        <w:t>60 Hz</w:t>
      </w:r>
      <w:r>
        <w:rPr>
          <w:rFonts w:hint="eastAsia" w:ascii="Times New Roman" w:hAnsi="Times New Roman" w:cs="宋体"/>
          <w:sz w:val="21"/>
          <w:szCs w:val="21"/>
        </w:rPr>
        <w:t>连续磁场的过程中和之后，器械应在其规格范围内运行。</w:t>
      </w:r>
    </w:p>
    <w:p w14:paraId="18EB4C47">
      <w:pPr>
        <w:pStyle w:val="3"/>
        <w:kinsoku w:val="0"/>
        <w:overflowPunct w:val="0"/>
        <w:snapToGrid w:val="0"/>
        <w:spacing w:afterLines="50" w:line="360" w:lineRule="auto"/>
        <w:ind w:left="0"/>
        <w:jc w:val="both"/>
        <w:rPr>
          <w:rFonts w:ascii="Times New Roman" w:hAnsi="Times New Roman" w:cs="Times New Roman"/>
          <w:b w:val="0"/>
          <w:bCs w:val="0"/>
          <w:sz w:val="21"/>
          <w:szCs w:val="21"/>
        </w:rPr>
      </w:pPr>
      <w:r>
        <w:rPr>
          <w:rFonts w:ascii="Times New Roman" w:hAnsi="Times New Roman" w:cs="Times New Roman"/>
          <w:sz w:val="21"/>
          <w:szCs w:val="21"/>
        </w:rPr>
        <w:br w:type="page"/>
      </w:r>
      <w:bookmarkStart w:id="69" w:name="_Toc496720495"/>
      <w:r>
        <w:rPr>
          <w:rFonts w:hint="eastAsia" w:ascii="Times New Roman" w:hAnsi="Times New Roman" w:cs="宋体"/>
          <w:sz w:val="21"/>
          <w:szCs w:val="21"/>
        </w:rPr>
        <w:t>建议测试方法</w:t>
      </w:r>
      <w:bookmarkEnd w:id="69"/>
    </w:p>
    <w:p w14:paraId="21180B20">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应采用</w:t>
      </w:r>
      <w:r>
        <w:rPr>
          <w:rFonts w:ascii="Times New Roman" w:hAnsi="Times New Roman" w:cs="Times New Roman"/>
          <w:sz w:val="21"/>
          <w:szCs w:val="21"/>
        </w:rPr>
        <w:t>IEC 61000-4-8 (1993)</w:t>
      </w:r>
      <w:r>
        <w:rPr>
          <w:rFonts w:hint="eastAsia" w:ascii="Times New Roman" w:hAnsi="Times New Roman" w:cs="宋体"/>
          <w:sz w:val="21"/>
          <w:szCs w:val="21"/>
        </w:rPr>
        <w:t>：电磁兼容性（</w:t>
      </w:r>
      <w:r>
        <w:rPr>
          <w:rFonts w:ascii="Times New Roman" w:hAnsi="Times New Roman" w:cs="Times New Roman"/>
          <w:sz w:val="21"/>
          <w:szCs w:val="21"/>
        </w:rPr>
        <w:t>EMC</w:t>
      </w:r>
      <w:r>
        <w:rPr>
          <w:rFonts w:hint="eastAsia" w:ascii="Times New Roman" w:hAnsi="Times New Roman" w:cs="宋体"/>
          <w:sz w:val="21"/>
          <w:szCs w:val="21"/>
        </w:rPr>
        <w:t>）</w:t>
      </w:r>
      <w:r>
        <w:rPr>
          <w:rFonts w:ascii="Times New Roman" w:hAnsi="Times New Roman" w:cs="Times New Roman"/>
          <w:sz w:val="21"/>
          <w:szCs w:val="21"/>
        </w:rPr>
        <w:t>—</w:t>
      </w:r>
      <w:r>
        <w:rPr>
          <w:rFonts w:hint="eastAsia" w:ascii="Times New Roman" w:hAnsi="Times New Roman" w:cs="宋体"/>
          <w:sz w:val="21"/>
          <w:szCs w:val="21"/>
        </w:rPr>
        <w:t>第</w:t>
      </w:r>
      <w:r>
        <w:rPr>
          <w:rFonts w:ascii="Times New Roman" w:hAnsi="Times New Roman" w:cs="Times New Roman"/>
          <w:sz w:val="21"/>
          <w:szCs w:val="21"/>
        </w:rPr>
        <w:t>4</w:t>
      </w:r>
      <w:r>
        <w:rPr>
          <w:rFonts w:hint="eastAsia" w:ascii="Times New Roman" w:hAnsi="Times New Roman" w:cs="宋体"/>
          <w:sz w:val="21"/>
          <w:szCs w:val="21"/>
        </w:rPr>
        <w:t>部分：测试和测量技术</w:t>
      </w:r>
      <w:r>
        <w:rPr>
          <w:rFonts w:ascii="Times New Roman" w:hAnsi="Times New Roman" w:cs="Times New Roman"/>
          <w:sz w:val="21"/>
          <w:szCs w:val="21"/>
        </w:rPr>
        <w:t>—</w:t>
      </w:r>
      <w:r>
        <w:rPr>
          <w:rFonts w:hint="eastAsia" w:ascii="Times New Roman" w:hAnsi="Times New Roman" w:cs="宋体"/>
          <w:sz w:val="21"/>
          <w:szCs w:val="21"/>
        </w:rPr>
        <w:t>第</w:t>
      </w:r>
      <w:r>
        <w:rPr>
          <w:rFonts w:ascii="Times New Roman" w:hAnsi="Times New Roman" w:cs="Times New Roman"/>
          <w:sz w:val="21"/>
          <w:szCs w:val="21"/>
        </w:rPr>
        <w:t>8</w:t>
      </w:r>
      <w:r>
        <w:rPr>
          <w:rFonts w:hint="eastAsia" w:ascii="Times New Roman" w:hAnsi="Times New Roman" w:cs="宋体"/>
          <w:sz w:val="21"/>
          <w:szCs w:val="21"/>
        </w:rPr>
        <w:t>部分：工频磁场抗扰度测试中的方法测试器械，但阴极射线管显示器允许出现的</w:t>
      </w:r>
      <w:r>
        <w:rPr>
          <w:rFonts w:ascii="Times New Roman" w:hAnsi="Times New Roman" w:cs="Times New Roman"/>
          <w:sz w:val="21"/>
          <w:szCs w:val="21"/>
        </w:rPr>
        <w:t>0.6</w:t>
      </w:r>
      <w:r>
        <w:rPr>
          <w:rFonts w:hint="eastAsia" w:ascii="Times New Roman" w:hAnsi="Times New Roman" w:cs="宋体"/>
          <w:sz w:val="21"/>
          <w:szCs w:val="21"/>
        </w:rPr>
        <w:t>毫米最大显示器抖动除外。</w:t>
      </w:r>
    </w:p>
    <w:p w14:paraId="60DFDB1D">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70" w:name="_Toc496720496"/>
      <w:r>
        <w:rPr>
          <w:rFonts w:hint="eastAsia" w:ascii="Times New Roman" w:hAnsi="Times New Roman" w:cs="宋体"/>
          <w:sz w:val="21"/>
          <w:szCs w:val="21"/>
          <w:u w:val="double"/>
        </w:rPr>
        <w:t>回到顶部</w:t>
      </w:r>
      <w:bookmarkEnd w:id="70"/>
    </w:p>
    <w:p w14:paraId="11FFF9C3">
      <w:pPr>
        <w:numPr>
          <w:ilvl w:val="0"/>
          <w:numId w:val="1"/>
        </w:numPr>
        <w:pBdr>
          <w:top w:val="single" w:color="BFBFBF" w:sz="12" w:space="1"/>
        </w:pBdr>
        <w:tabs>
          <w:tab w:val="left" w:pos="676"/>
        </w:tabs>
        <w:kinsoku w:val="0"/>
        <w:overflowPunct w:val="0"/>
        <w:snapToGrid w:val="0"/>
        <w:spacing w:afterLines="50" w:line="360" w:lineRule="auto"/>
        <w:ind w:firstLine="0"/>
        <w:jc w:val="both"/>
        <w:outlineLvl w:val="0"/>
        <w:rPr>
          <w:sz w:val="28"/>
          <w:szCs w:val="28"/>
        </w:rPr>
      </w:pPr>
      <w:bookmarkStart w:id="71" w:name="_Toc496720497"/>
      <w:r>
        <w:rPr>
          <w:rFonts w:hint="eastAsia" w:cs="宋体"/>
          <w:b/>
          <w:bCs/>
          <w:sz w:val="28"/>
          <w:szCs w:val="28"/>
        </w:rPr>
        <w:t>呼吸暂停监护仪的性能测试</w:t>
      </w:r>
      <w:bookmarkEnd w:id="71"/>
    </w:p>
    <w:p w14:paraId="05F8B3B1">
      <w:pPr>
        <w:numPr>
          <w:ilvl w:val="1"/>
          <w:numId w:val="1"/>
        </w:numPr>
        <w:tabs>
          <w:tab w:val="left" w:pos="660"/>
        </w:tabs>
        <w:kinsoku w:val="0"/>
        <w:overflowPunct w:val="0"/>
        <w:snapToGrid w:val="0"/>
        <w:spacing w:afterLines="50" w:line="360" w:lineRule="auto"/>
        <w:ind w:firstLine="0"/>
        <w:jc w:val="both"/>
        <w:outlineLvl w:val="0"/>
        <w:rPr>
          <w:sz w:val="21"/>
          <w:szCs w:val="21"/>
        </w:rPr>
      </w:pPr>
      <w:bookmarkStart w:id="72" w:name="_Toc496720498"/>
      <w:r>
        <w:rPr>
          <w:rFonts w:hint="eastAsia" w:cs="宋体"/>
          <w:b/>
          <w:bCs/>
          <w:sz w:val="21"/>
          <w:szCs w:val="21"/>
        </w:rPr>
        <w:t>呼吸暂停持续时间设置</w:t>
      </w:r>
      <w:bookmarkEnd w:id="72"/>
    </w:p>
    <w:p w14:paraId="42B56561">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对于预期用于婴儿和儿科人群的呼吸暂停监护仪，呼吸暂停持续时间设置应默认为</w:t>
      </w:r>
      <w:r>
        <w:rPr>
          <w:rFonts w:ascii="Times New Roman" w:hAnsi="Times New Roman" w:cs="Times New Roman"/>
          <w:sz w:val="21"/>
          <w:szCs w:val="21"/>
        </w:rPr>
        <w:t>20</w:t>
      </w:r>
      <w:r>
        <w:rPr>
          <w:rFonts w:hint="eastAsia" w:ascii="Times New Roman" w:hAnsi="Times New Roman" w:cs="宋体"/>
          <w:sz w:val="21"/>
          <w:szCs w:val="21"/>
        </w:rPr>
        <w:t>秒</w:t>
      </w:r>
      <w:r>
        <w:rPr>
          <w:rFonts w:ascii="Times New Roman" w:hAnsi="Times New Roman" w:cs="Times New Roman"/>
          <w:sz w:val="21"/>
          <w:szCs w:val="21"/>
          <w:vertAlign w:val="superscript"/>
        </w:rPr>
        <w:t>5</w:t>
      </w:r>
      <w:r>
        <w:rPr>
          <w:rFonts w:hint="eastAsia" w:ascii="Times New Roman" w:hAnsi="Times New Roman" w:cs="宋体"/>
          <w:sz w:val="21"/>
          <w:szCs w:val="21"/>
        </w:rPr>
        <w:t>。但您可提供方法变更此设置。如果您提供方法变更默认设置，则应该需要特殊工具和程序，以防无意或未授权调整。此外，器械应提供可见信号，指示</w:t>
      </w:r>
      <w:r>
        <w:rPr>
          <w:rFonts w:ascii="Times New Roman" w:hAnsi="Times New Roman" w:cs="Times New Roman"/>
          <w:sz w:val="21"/>
          <w:szCs w:val="21"/>
        </w:rPr>
        <w:t>20</w:t>
      </w:r>
      <w:r>
        <w:rPr>
          <w:rFonts w:hint="eastAsia" w:ascii="Times New Roman" w:hAnsi="Times New Roman" w:cs="宋体"/>
          <w:sz w:val="21"/>
          <w:szCs w:val="21"/>
        </w:rPr>
        <w:t>秒呼吸暂停持续时间已发生变更。</w:t>
      </w:r>
    </w:p>
    <w:p w14:paraId="7E5DC3D6">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73" w:name="_Toc496720499"/>
      <w:r>
        <w:rPr>
          <w:rFonts w:hint="eastAsia" w:ascii="Times New Roman" w:hAnsi="Times New Roman" w:cs="宋体"/>
          <w:sz w:val="21"/>
          <w:szCs w:val="21"/>
        </w:rPr>
        <w:t>建议测试方法</w:t>
      </w:r>
      <w:bookmarkEnd w:id="73"/>
    </w:p>
    <w:p w14:paraId="1D1A970F">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应验证器械，以证实默认报警为</w:t>
      </w:r>
      <w:r>
        <w:rPr>
          <w:rFonts w:ascii="Times New Roman" w:hAnsi="Times New Roman" w:cs="Times New Roman"/>
          <w:sz w:val="21"/>
          <w:szCs w:val="21"/>
        </w:rPr>
        <w:t>20</w:t>
      </w:r>
      <w:r>
        <w:rPr>
          <w:rFonts w:hint="eastAsia" w:ascii="Times New Roman" w:hAnsi="Times New Roman" w:cs="宋体"/>
          <w:sz w:val="21"/>
          <w:szCs w:val="21"/>
        </w:rPr>
        <w:t>秒。</w:t>
      </w:r>
    </w:p>
    <w:p w14:paraId="479F0997">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如果您提供方法变更默认设置，则应验证设置变更所需特殊工具或程序。此外，还应在</w:t>
      </w:r>
      <w:r>
        <w:rPr>
          <w:rFonts w:ascii="Times New Roman" w:hAnsi="Times New Roman" w:cs="Times New Roman"/>
          <w:sz w:val="21"/>
          <w:szCs w:val="21"/>
        </w:rPr>
        <w:t>20</w:t>
      </w:r>
      <w:r>
        <w:rPr>
          <w:rFonts w:hint="eastAsia" w:ascii="Times New Roman" w:hAnsi="Times New Roman" w:cs="宋体"/>
          <w:sz w:val="21"/>
          <w:szCs w:val="21"/>
        </w:rPr>
        <w:t>秒默认呼吸暂停持续时间设置发生变更时验证是否显示可见指示。</w:t>
      </w:r>
    </w:p>
    <w:p w14:paraId="503BB564">
      <w:pPr>
        <w:pStyle w:val="3"/>
        <w:numPr>
          <w:ilvl w:val="1"/>
          <w:numId w:val="1"/>
        </w:numPr>
        <w:tabs>
          <w:tab w:val="left" w:pos="660"/>
        </w:tabs>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74" w:name="_Toc496720500"/>
      <w:r>
        <w:rPr>
          <w:rFonts w:hint="eastAsia" w:ascii="Times New Roman" w:hAnsi="Times New Roman" w:cs="宋体"/>
          <w:sz w:val="21"/>
          <w:szCs w:val="21"/>
        </w:rPr>
        <w:t>心率监测器</w:t>
      </w:r>
      <w:bookmarkEnd w:id="74"/>
    </w:p>
    <w:p w14:paraId="00FA5AE4">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如果器械结合心率监测器充当辅助</w:t>
      </w:r>
      <w:r>
        <w:rPr>
          <w:rFonts w:ascii="Times New Roman" w:hAnsi="Times New Roman" w:cs="Times New Roman"/>
          <w:sz w:val="21"/>
          <w:szCs w:val="21"/>
        </w:rPr>
        <w:t>/</w:t>
      </w:r>
      <w:r>
        <w:rPr>
          <w:rFonts w:hint="eastAsia" w:ascii="Times New Roman" w:hAnsi="Times New Roman" w:cs="宋体"/>
          <w:sz w:val="21"/>
          <w:szCs w:val="21"/>
        </w:rPr>
        <w:t>间接模态，则器械应符合</w:t>
      </w:r>
      <w:r>
        <w:rPr>
          <w:rFonts w:ascii="Times New Roman" w:hAnsi="Times New Roman" w:cs="Times New Roman"/>
          <w:sz w:val="21"/>
          <w:szCs w:val="21"/>
        </w:rPr>
        <w:t>ANSI/AAMI EC13 – 1992</w:t>
      </w:r>
      <w:r>
        <w:rPr>
          <w:rFonts w:hint="eastAsia" w:ascii="Times New Roman" w:hAnsi="Times New Roman" w:cs="宋体"/>
          <w:sz w:val="21"/>
          <w:szCs w:val="21"/>
        </w:rPr>
        <w:t>的适用要求。</w:t>
      </w:r>
    </w:p>
    <w:p w14:paraId="2E295766">
      <w:pPr>
        <w:pStyle w:val="3"/>
        <w:numPr>
          <w:ilvl w:val="1"/>
          <w:numId w:val="1"/>
        </w:numPr>
        <w:tabs>
          <w:tab w:val="left" w:pos="660"/>
        </w:tabs>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75" w:name="_Toc496720501"/>
      <w:r>
        <w:rPr>
          <w:rFonts w:hint="eastAsia" w:ascii="Times New Roman" w:hAnsi="Times New Roman" w:cs="宋体"/>
          <w:sz w:val="21"/>
          <w:szCs w:val="21"/>
        </w:rPr>
        <w:t>自测</w:t>
      </w:r>
      <w:bookmarkEnd w:id="75"/>
    </w:p>
    <w:p w14:paraId="4596686D">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监护仪应包含自测功能，该功能在监护仪每次打开时执行。除可能执行的其他测试之外，自测应驱动所有可见和可闻报警，以便操作员验证它们正在运行。</w:t>
      </w:r>
    </w:p>
    <w:p w14:paraId="0E06CE5E">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76" w:name="_Toc496720502"/>
      <w:r>
        <w:rPr>
          <w:rFonts w:hint="eastAsia" w:ascii="Times New Roman" w:hAnsi="Times New Roman" w:cs="宋体"/>
          <w:sz w:val="21"/>
          <w:szCs w:val="21"/>
          <w:u w:val="double"/>
        </w:rPr>
        <w:t>回到顶部</w:t>
      </w:r>
      <w:bookmarkEnd w:id="76"/>
    </w:p>
    <w:p w14:paraId="1B3E387C">
      <w:pPr>
        <w:numPr>
          <w:ilvl w:val="0"/>
          <w:numId w:val="1"/>
        </w:numPr>
        <w:pBdr>
          <w:top w:val="single" w:color="BFBFBF" w:sz="12" w:space="1"/>
        </w:pBdr>
        <w:tabs>
          <w:tab w:val="left" w:pos="676"/>
        </w:tabs>
        <w:kinsoku w:val="0"/>
        <w:overflowPunct w:val="0"/>
        <w:snapToGrid w:val="0"/>
        <w:spacing w:afterLines="50" w:line="360" w:lineRule="auto"/>
        <w:ind w:firstLine="0"/>
        <w:jc w:val="both"/>
        <w:outlineLvl w:val="0"/>
        <w:rPr>
          <w:sz w:val="28"/>
          <w:szCs w:val="28"/>
        </w:rPr>
      </w:pPr>
      <w:bookmarkStart w:id="77" w:name="_Toc496720503"/>
      <w:r>
        <w:rPr>
          <w:rFonts w:hint="eastAsia" w:cs="宋体"/>
          <w:b/>
          <w:bCs/>
          <w:sz w:val="28"/>
          <w:szCs w:val="28"/>
        </w:rPr>
        <w:t>生物相容性和无菌性</w:t>
      </w:r>
      <w:bookmarkEnd w:id="77"/>
    </w:p>
    <w:p w14:paraId="22B27DF3">
      <w:pPr>
        <w:kinsoku w:val="0"/>
        <w:overflowPunct w:val="0"/>
        <w:snapToGrid w:val="0"/>
        <w:spacing w:afterLines="50" w:line="360" w:lineRule="auto"/>
        <w:rPr>
          <w:sz w:val="21"/>
          <w:szCs w:val="21"/>
        </w:rPr>
      </w:pPr>
      <w:r>
        <w:rPr>
          <w:sz w:val="21"/>
          <w:szCs w:val="21"/>
        </w:rPr>
        <w:br w:type="page"/>
      </w:r>
      <w:r>
        <w:fldChar w:fldCharType="begin"/>
      </w:r>
      <w:r>
        <w:instrText xml:space="preserve"> HYPERLINK "https://www.fda.gov/MedicalDevices/DeviceRegulationandGuidance/GuidanceDocuments/ssLINK/ucm080735.htm" </w:instrText>
      </w:r>
      <w:r>
        <w:fldChar w:fldCharType="separate"/>
      </w:r>
      <w:r>
        <w:rPr>
          <w:rFonts w:hint="eastAsia" w:cs="宋体"/>
          <w:sz w:val="21"/>
          <w:szCs w:val="21"/>
        </w:rPr>
        <w:t>呼吸暂停监护仪包含连接患者的部件。制造商应评价直接与患者接触的应用部分中材料的生物相容性和无菌性。应将这些材料视为长时间接触皮肤的材料。请参考</w:t>
      </w:r>
      <w:r>
        <w:rPr>
          <w:rFonts w:hint="eastAsia" w:cs="宋体"/>
          <w:b/>
          <w:bCs/>
          <w:sz w:val="21"/>
          <w:szCs w:val="21"/>
          <w:u w:val="double"/>
        </w:rPr>
        <w:t>蓝皮书备忘录，一般程序备忘录</w:t>
      </w:r>
      <w:r>
        <w:rPr>
          <w:b/>
          <w:bCs/>
          <w:sz w:val="21"/>
          <w:szCs w:val="21"/>
          <w:u w:val="double"/>
        </w:rPr>
        <w:t>G95-1</w:t>
      </w:r>
      <w:r>
        <w:rPr>
          <w:b/>
          <w:bCs/>
          <w:sz w:val="21"/>
          <w:szCs w:val="21"/>
          <w:u w:val="double"/>
        </w:rPr>
        <w:fldChar w:fldCharType="end"/>
      </w:r>
      <w:r>
        <w:fldChar w:fldCharType="begin"/>
      </w:r>
      <w:r>
        <w:instrText xml:space="preserve"> HYPERLINK "https://www.fda.gov/MedicalDevices/DeviceRegulationandGuidance/GuidanceDocuments/ucm072783.htm" </w:instrText>
      </w:r>
      <w:r>
        <w:fldChar w:fldCharType="separate"/>
      </w:r>
      <w:r>
        <w:rPr>
          <w:rFonts w:hint="eastAsia" w:cs="宋体"/>
          <w:b/>
          <w:bCs/>
          <w:sz w:val="21"/>
          <w:szCs w:val="21"/>
          <w:u w:val="double"/>
        </w:rPr>
        <w:t>（</w:t>
      </w:r>
      <w:r>
        <w:rPr>
          <w:b/>
          <w:bCs/>
          <w:sz w:val="21"/>
          <w:szCs w:val="21"/>
          <w:u w:val="double"/>
        </w:rPr>
        <w:t>ssLINK/ucm080735.htm</w:t>
      </w:r>
      <w:r>
        <w:rPr>
          <w:rFonts w:hint="eastAsia" w:cs="宋体"/>
          <w:b/>
          <w:bCs/>
          <w:sz w:val="21"/>
          <w:szCs w:val="21"/>
          <w:u w:val="double"/>
        </w:rPr>
        <w:t>）</w:t>
      </w:r>
      <w:r>
        <w:rPr>
          <w:rFonts w:hint="eastAsia" w:cs="宋体"/>
          <w:sz w:val="21"/>
          <w:szCs w:val="21"/>
        </w:rPr>
        <w:t>和</w:t>
      </w:r>
      <w:r>
        <w:rPr>
          <w:rFonts w:hint="eastAsia" w:cs="宋体"/>
          <w:b/>
          <w:bCs/>
          <w:sz w:val="21"/>
          <w:szCs w:val="21"/>
          <w:u w:val="double"/>
        </w:rPr>
        <w:t>更新后</w:t>
      </w:r>
      <w:r>
        <w:rPr>
          <w:b/>
          <w:bCs/>
          <w:sz w:val="21"/>
          <w:szCs w:val="21"/>
          <w:u w:val="double"/>
        </w:rPr>
        <w:t>510(k)</w:t>
      </w:r>
      <w:r>
        <w:rPr>
          <w:rFonts w:hint="eastAsia" w:cs="宋体"/>
          <w:b/>
          <w:bCs/>
          <w:sz w:val="21"/>
          <w:szCs w:val="21"/>
          <w:u w:val="double"/>
        </w:rPr>
        <w:t>无菌性审查指南</w:t>
      </w:r>
      <w:r>
        <w:rPr>
          <w:b/>
          <w:bCs/>
          <w:sz w:val="21"/>
          <w:szCs w:val="21"/>
          <w:u w:val="double"/>
        </w:rPr>
        <w:t>K90-1</w:t>
      </w:r>
      <w:r>
        <w:rPr>
          <w:rFonts w:hint="eastAsia" w:cs="宋体"/>
          <w:b/>
          <w:bCs/>
          <w:sz w:val="21"/>
          <w:szCs w:val="21"/>
          <w:u w:val="double"/>
        </w:rPr>
        <w:t>；最终行业和</w:t>
      </w:r>
      <w:r>
        <w:rPr>
          <w:b/>
          <w:bCs/>
          <w:sz w:val="21"/>
          <w:szCs w:val="21"/>
          <w:u w:val="double"/>
        </w:rPr>
        <w:t>FDA</w:t>
      </w:r>
      <w:r>
        <w:rPr>
          <w:rFonts w:hint="eastAsia" w:cs="宋体"/>
          <w:b/>
          <w:bCs/>
          <w:sz w:val="21"/>
          <w:szCs w:val="21"/>
          <w:u w:val="double"/>
        </w:rPr>
        <w:t>指南文件</w:t>
      </w:r>
      <w:r>
        <w:rPr>
          <w:rFonts w:hint="eastAsia" w:cs="宋体"/>
          <w:b/>
          <w:bCs/>
          <w:sz w:val="21"/>
          <w:szCs w:val="21"/>
          <w:u w:val="double"/>
        </w:rPr>
        <w:fldChar w:fldCharType="end"/>
      </w:r>
      <w:r>
        <w:rPr>
          <w:rFonts w:hint="eastAsia" w:cs="宋体"/>
          <w:b/>
          <w:bCs/>
          <w:sz w:val="21"/>
          <w:szCs w:val="21"/>
          <w:u w:val="double"/>
        </w:rPr>
        <w:t>（</w:t>
      </w:r>
      <w:r>
        <w:rPr>
          <w:b/>
          <w:bCs/>
          <w:sz w:val="21"/>
          <w:szCs w:val="21"/>
          <w:u w:val="double"/>
        </w:rPr>
        <w:t>/MedicalDevices/DeviceRegulationandGuidance/GuidanceDocuments/ucm072783.htm</w:t>
      </w:r>
      <w:r>
        <w:rPr>
          <w:rFonts w:hint="eastAsia" w:cs="宋体"/>
          <w:b/>
          <w:bCs/>
          <w:sz w:val="21"/>
          <w:szCs w:val="21"/>
          <w:u w:val="double"/>
        </w:rPr>
        <w:t>）</w:t>
      </w:r>
      <w:r>
        <w:rPr>
          <w:rFonts w:hint="eastAsia" w:cs="宋体"/>
          <w:sz w:val="21"/>
          <w:szCs w:val="21"/>
        </w:rPr>
        <w:t>，以处理呼吸暂停监护仪的健康风险。</w:t>
      </w:r>
      <w:bookmarkStart w:id="78" w:name="_Hlk495394569"/>
      <w:r>
        <w:rPr>
          <w:rFonts w:hint="eastAsia" w:cs="宋体"/>
          <w:sz w:val="21"/>
          <w:szCs w:val="21"/>
        </w:rPr>
        <w:t>应选择适用于器械接触持续时间和接触程度的测试。如果实质等同对比器械中采用的材料</w:t>
      </w:r>
      <w:r>
        <w:rPr>
          <w:rFonts w:hint="eastAsia" w:cs="宋体"/>
          <w:i/>
          <w:iCs/>
          <w:sz w:val="21"/>
          <w:szCs w:val="21"/>
        </w:rPr>
        <w:t>相同</w:t>
      </w:r>
      <w:r>
        <w:rPr>
          <w:rFonts w:hint="eastAsia" w:cs="宋体"/>
          <w:sz w:val="21"/>
          <w:szCs w:val="21"/>
        </w:rPr>
        <w:t>，并且患者接触类型和持续时间也相同，则可确认实质等同对比器械，代替生物相容性测试。</w:t>
      </w:r>
      <w:bookmarkEnd w:id="78"/>
    </w:p>
    <w:p w14:paraId="16248262">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79" w:name="_Toc496720504"/>
      <w:r>
        <w:rPr>
          <w:rFonts w:hint="eastAsia" w:ascii="Times New Roman" w:hAnsi="Times New Roman" w:cs="宋体"/>
          <w:sz w:val="21"/>
          <w:szCs w:val="21"/>
          <w:u w:val="double"/>
        </w:rPr>
        <w:t>回到顶部</w:t>
      </w:r>
      <w:bookmarkEnd w:id="79"/>
    </w:p>
    <w:p w14:paraId="275669E0">
      <w:pPr>
        <w:numPr>
          <w:ilvl w:val="0"/>
          <w:numId w:val="1"/>
        </w:numPr>
        <w:pBdr>
          <w:top w:val="single" w:color="BFBFBF" w:sz="12" w:space="1"/>
        </w:pBdr>
        <w:tabs>
          <w:tab w:val="left" w:pos="676"/>
        </w:tabs>
        <w:kinsoku w:val="0"/>
        <w:overflowPunct w:val="0"/>
        <w:snapToGrid w:val="0"/>
        <w:spacing w:afterLines="50" w:line="360" w:lineRule="auto"/>
        <w:ind w:firstLine="0"/>
        <w:jc w:val="both"/>
        <w:outlineLvl w:val="0"/>
        <w:rPr>
          <w:sz w:val="28"/>
          <w:szCs w:val="28"/>
        </w:rPr>
      </w:pPr>
      <w:bookmarkStart w:id="80" w:name="_Toc496720505"/>
      <w:r>
        <w:rPr>
          <w:rFonts w:hint="eastAsia" w:cs="宋体"/>
          <w:b/>
          <w:bCs/>
          <w:sz w:val="28"/>
          <w:szCs w:val="28"/>
        </w:rPr>
        <w:t>临床研究</w:t>
      </w:r>
      <w:bookmarkEnd w:id="80"/>
    </w:p>
    <w:p w14:paraId="5DD5E3DD">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t>FDA</w:t>
      </w:r>
      <w:r>
        <w:rPr>
          <w:rFonts w:hint="eastAsia" w:ascii="Times New Roman" w:hAnsi="Times New Roman" w:cs="宋体"/>
          <w:sz w:val="21"/>
          <w:szCs w:val="21"/>
        </w:rPr>
        <w:t>认为应执行临床研究，以完整确认新呼吸暂停监护仪或改造方式会影响临床性能的呼吸暂停监护仪的性能特性。如果您的呼吸暂停监护仪的预期用途与合法上市的呼吸暂停监护仪相同，并且硬件和算法也相同，则您的监护仪不需要预先许可临床研究。如果您认为您的监护仪符合这些标准，则应联系管理局，讨论您的确定基础。如果未执行临床研究，则总结报告应包含简洁的科学合理性解释，以供我们审查。</w:t>
      </w:r>
    </w:p>
    <w:p w14:paraId="4AB044C4">
      <w:pPr>
        <w:kinsoku w:val="0"/>
        <w:overflowPunct w:val="0"/>
        <w:snapToGrid w:val="0"/>
        <w:spacing w:afterLines="50" w:line="360" w:lineRule="auto"/>
        <w:rPr>
          <w:sz w:val="21"/>
          <w:szCs w:val="21"/>
        </w:rPr>
      </w:pPr>
      <w:r>
        <w:fldChar w:fldCharType="begin"/>
      </w:r>
      <w:r>
        <w:instrText xml:space="preserve"> HYPERLINK "http://www.accessdata.fda.gov/scripts/cdrh/cfdocs/cfcfr/CFRSearch.cfm?CFRPart=50&amp;amp;showFR=1" </w:instrText>
      </w:r>
      <w:r>
        <w:fldChar w:fldCharType="separate"/>
      </w:r>
      <w:r>
        <w:rPr>
          <w:sz w:val="21"/>
          <w:szCs w:val="21"/>
        </w:rPr>
        <w:t>FDA</w:t>
      </w:r>
      <w:r>
        <w:rPr>
          <w:rFonts w:hint="eastAsia" w:cs="宋体"/>
          <w:sz w:val="21"/>
          <w:szCs w:val="21"/>
        </w:rPr>
        <w:t>认为有必要对呼吸暂停监护仪执行是否符合上述标准的临床评价，以确保特定器械与合法上市实质等同对比器械一样安全和有效，并且符合用户需求。您应纳入临床研究，并考虑下述问题。临床研究必须遵循</w:t>
      </w:r>
      <w:r>
        <w:rPr>
          <w:sz w:val="21"/>
          <w:szCs w:val="21"/>
        </w:rPr>
        <w:t>21 CFR</w:t>
      </w:r>
      <w:r>
        <w:rPr>
          <w:rFonts w:hint="eastAsia" w:cs="宋体"/>
          <w:sz w:val="21"/>
          <w:szCs w:val="21"/>
        </w:rPr>
        <w:t>第</w:t>
      </w:r>
      <w:r>
        <w:rPr>
          <w:b/>
          <w:bCs/>
          <w:sz w:val="21"/>
          <w:szCs w:val="21"/>
          <w:u w:val="double"/>
        </w:rPr>
        <w:t>50</w:t>
      </w:r>
      <w:r>
        <w:rPr>
          <w:rFonts w:hint="eastAsia" w:cs="宋体"/>
          <w:sz w:val="21"/>
          <w:szCs w:val="21"/>
        </w:rPr>
        <w:t>部分的适用部分</w:t>
      </w:r>
      <w:r>
        <w:rPr>
          <w:rFonts w:hint="eastAsia" w:cs="宋体"/>
          <w:b/>
          <w:bCs/>
          <w:sz w:val="21"/>
          <w:szCs w:val="21"/>
          <w:u w:val="double"/>
        </w:rPr>
        <w:t>（</w:t>
      </w:r>
      <w:r>
        <w:rPr>
          <w:b/>
          <w:bCs/>
          <w:sz w:val="21"/>
          <w:szCs w:val="21"/>
          <w:u w:val="double"/>
        </w:rPr>
        <w:t>http://www.accessdata.fda.gov/scripts/cdrh/cfdocs/cfcfr/CFRSearch.cfm?</w:t>
      </w:r>
      <w:r>
        <w:rPr>
          <w:b/>
          <w:bCs/>
          <w:sz w:val="21"/>
          <w:szCs w:val="21"/>
          <w:u w:val="double"/>
        </w:rPr>
        <w:fldChar w:fldCharType="end"/>
      </w:r>
      <w:r>
        <w:fldChar w:fldCharType="begin"/>
      </w:r>
      <w:r>
        <w:instrText xml:space="preserve"> HYPERLINK "http://www.accessdata.fda.gov/scripts/cdrh/cfdocs/cfcfr/CFRSearch.cfm?CFRPart=56&amp;amp;showFR=1" </w:instrText>
      </w:r>
      <w:r>
        <w:fldChar w:fldCharType="separate"/>
      </w:r>
      <w:r>
        <w:rPr>
          <w:b/>
          <w:bCs/>
          <w:sz w:val="21"/>
          <w:szCs w:val="21"/>
          <w:u w:val="double"/>
        </w:rPr>
        <w:t>CFRPart=50&amp;showFR=1</w:t>
      </w:r>
      <w:r>
        <w:rPr>
          <w:rFonts w:hint="eastAsia" w:cs="宋体"/>
          <w:b/>
          <w:bCs/>
          <w:sz w:val="21"/>
          <w:szCs w:val="21"/>
          <w:u w:val="double"/>
        </w:rPr>
        <w:t>）</w:t>
      </w:r>
      <w:r>
        <w:rPr>
          <w:rFonts w:hint="eastAsia" w:cs="宋体"/>
          <w:sz w:val="21"/>
          <w:szCs w:val="21"/>
        </w:rPr>
        <w:t>和第</w:t>
      </w:r>
      <w:r>
        <w:rPr>
          <w:b/>
          <w:bCs/>
          <w:sz w:val="21"/>
          <w:szCs w:val="21"/>
          <w:u w:val="double"/>
        </w:rPr>
        <w:t>56</w:t>
      </w:r>
      <w:r>
        <w:rPr>
          <w:rFonts w:hint="eastAsia" w:cs="宋体"/>
          <w:sz w:val="21"/>
          <w:szCs w:val="21"/>
        </w:rPr>
        <w:t>部分</w:t>
      </w:r>
      <w:r>
        <w:rPr>
          <w:rFonts w:hint="eastAsia" w:cs="宋体"/>
          <w:b/>
          <w:bCs/>
          <w:sz w:val="21"/>
          <w:szCs w:val="21"/>
          <w:u w:val="double"/>
        </w:rPr>
        <w:t>（</w:t>
      </w:r>
      <w:r>
        <w:rPr>
          <w:b/>
          <w:bCs/>
          <w:sz w:val="21"/>
          <w:szCs w:val="21"/>
          <w:u w:val="double"/>
        </w:rPr>
        <w:t>http://www.accessdata.fda.gov/scripts/cdrh/cfdocs/cfcfr/CFRSearch.cfm?CFRPart=56&amp;showFR=1</w:t>
      </w:r>
      <w:r>
        <w:rPr>
          <w:rFonts w:hint="eastAsia" w:cs="宋体"/>
          <w:b/>
          <w:bCs/>
          <w:sz w:val="21"/>
          <w:szCs w:val="21"/>
          <w:u w:val="double"/>
        </w:rPr>
        <w:t>）</w:t>
      </w:r>
      <w:r>
        <w:rPr>
          <w:rFonts w:hint="eastAsia" w:cs="宋体"/>
          <w:sz w:val="21"/>
          <w:szCs w:val="21"/>
        </w:rPr>
        <w:t>。</w:t>
      </w:r>
      <w:r>
        <w:rPr>
          <w:rFonts w:hint="eastAsia" w:cs="宋体"/>
          <w:sz w:val="21"/>
          <w:szCs w:val="21"/>
        </w:rPr>
        <w:fldChar w:fldCharType="end"/>
      </w:r>
      <w:r>
        <w:fldChar w:fldCharType="begin"/>
      </w:r>
      <w:r>
        <w:instrText xml:space="preserve"> HYPERLINK "http://www.accessdata.fda.gov/scripts/cdrh/cfdocs/cfcfr/CFRSearch.cfm?FR=812.2" </w:instrText>
      </w:r>
      <w:r>
        <w:fldChar w:fldCharType="separate"/>
      </w:r>
      <w:r>
        <w:rPr>
          <w:rFonts w:hint="eastAsia" w:cs="宋体"/>
          <w:sz w:val="21"/>
          <w:szCs w:val="21"/>
        </w:rPr>
        <w:t>由于研究过程中未采用这些器械的临床诊断结果，因此</w:t>
      </w:r>
      <w:r>
        <w:rPr>
          <w:sz w:val="21"/>
          <w:szCs w:val="21"/>
        </w:rPr>
        <w:t>FDA</w:t>
      </w:r>
      <w:r>
        <w:rPr>
          <w:rFonts w:hint="eastAsia" w:cs="宋体"/>
          <w:sz w:val="21"/>
          <w:szCs w:val="21"/>
        </w:rPr>
        <w:t>确定这些器械无重大风险，因此，该器械的研究只需符合</w:t>
      </w:r>
      <w:r>
        <w:rPr>
          <w:b/>
          <w:bCs/>
          <w:sz w:val="21"/>
          <w:szCs w:val="21"/>
          <w:u w:val="double"/>
        </w:rPr>
        <w:t>21CFR812.2</w:t>
      </w:r>
      <w:r>
        <w:rPr>
          <w:rFonts w:hint="eastAsia" w:cs="宋体"/>
          <w:b/>
          <w:bCs/>
          <w:sz w:val="21"/>
          <w:szCs w:val="21"/>
          <w:u w:val="double"/>
        </w:rPr>
        <w:t>（</w:t>
      </w:r>
      <w:r>
        <w:rPr>
          <w:b/>
          <w:bCs/>
          <w:sz w:val="21"/>
          <w:szCs w:val="21"/>
          <w:u w:val="double"/>
        </w:rPr>
        <w:t>http://www.accessdata.fda.gov/scripts/cdrh/cfdocs/cfcfr/CFRSearch.cfm?FR=812.2</w:t>
      </w:r>
      <w:r>
        <w:rPr>
          <w:rFonts w:hint="eastAsia" w:cs="宋体"/>
          <w:b/>
          <w:bCs/>
          <w:sz w:val="21"/>
          <w:szCs w:val="21"/>
          <w:u w:val="double"/>
        </w:rPr>
        <w:t>）</w:t>
      </w:r>
      <w:r>
        <w:rPr>
          <w:rFonts w:hint="eastAsia" w:cs="宋体"/>
          <w:b/>
          <w:bCs/>
          <w:sz w:val="21"/>
          <w:szCs w:val="21"/>
          <w:u w:val="double"/>
        </w:rPr>
        <w:fldChar w:fldCharType="end"/>
      </w:r>
      <w:r>
        <w:rPr>
          <w:sz w:val="21"/>
          <w:szCs w:val="21"/>
        </w:rPr>
        <w:t>(b)</w:t>
      </w:r>
      <w:r>
        <w:rPr>
          <w:rFonts w:hint="eastAsia" w:cs="宋体"/>
          <w:sz w:val="21"/>
          <w:szCs w:val="21"/>
        </w:rPr>
        <w:t>的简短要求。</w:t>
      </w:r>
    </w:p>
    <w:p w14:paraId="4084B6F5">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81" w:name="_Toc496720506"/>
      <w:r>
        <w:rPr>
          <w:rFonts w:hint="eastAsia" w:ascii="Times New Roman" w:hAnsi="Times New Roman" w:cs="宋体"/>
          <w:sz w:val="21"/>
          <w:szCs w:val="21"/>
        </w:rPr>
        <w:t>定义</w:t>
      </w:r>
      <w:bookmarkEnd w:id="81"/>
    </w:p>
    <w:p w14:paraId="00257A37">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在描述临床方案和报告临床研究的总结结果时，应采用以下定义：</w:t>
      </w:r>
    </w:p>
    <w:p w14:paraId="721633DF">
      <w:pPr>
        <w:pStyle w:val="5"/>
        <w:kinsoku w:val="0"/>
        <w:overflowPunct w:val="0"/>
        <w:snapToGrid w:val="0"/>
        <w:spacing w:afterLines="50" w:line="360" w:lineRule="auto"/>
        <w:ind w:left="0"/>
        <w:jc w:val="both"/>
        <w:rPr>
          <w:rFonts w:ascii="Times New Roman" w:hAnsi="Times New Roman" w:cs="Times New Roman"/>
          <w:sz w:val="21"/>
          <w:szCs w:val="21"/>
        </w:rPr>
      </w:pPr>
    </w:p>
    <w:p w14:paraId="74B0A41D">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br w:type="page"/>
      </w:r>
      <w:r>
        <w:rPr>
          <w:rFonts w:hint="eastAsia" w:ascii="Times New Roman" w:hAnsi="Times New Roman" w:cs="宋体"/>
          <w:sz w:val="21"/>
          <w:szCs w:val="21"/>
        </w:rPr>
        <w:t>呼吸暂停</w:t>
      </w:r>
      <w:r>
        <w:rPr>
          <w:rFonts w:ascii="Times New Roman" w:hAnsi="Times New Roman" w:cs="Times New Roman"/>
          <w:sz w:val="21"/>
          <w:szCs w:val="21"/>
        </w:rPr>
        <w:t>—</w:t>
      </w:r>
      <w:r>
        <w:rPr>
          <w:rFonts w:hint="eastAsia" w:ascii="Times New Roman" w:hAnsi="Times New Roman" w:cs="宋体"/>
          <w:sz w:val="21"/>
          <w:szCs w:val="21"/>
        </w:rPr>
        <w:t>呼吸气流持续停止</w:t>
      </w:r>
      <w:r>
        <w:rPr>
          <w:rFonts w:ascii="Times New Roman" w:hAnsi="Times New Roman" w:cs="Times New Roman"/>
          <w:sz w:val="21"/>
          <w:szCs w:val="21"/>
        </w:rPr>
        <w:t>10</w:t>
      </w:r>
      <w:r>
        <w:rPr>
          <w:rFonts w:hint="eastAsia" w:ascii="Times New Roman" w:hAnsi="Times New Roman" w:cs="宋体"/>
          <w:sz w:val="21"/>
          <w:szCs w:val="21"/>
        </w:rPr>
        <w:t>秒或以上。</w:t>
      </w:r>
    </w:p>
    <w:p w14:paraId="4DA23415">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中枢性呼吸暂停</w:t>
      </w:r>
      <w:r>
        <w:rPr>
          <w:rFonts w:ascii="Times New Roman" w:hAnsi="Times New Roman" w:cs="Times New Roman"/>
          <w:sz w:val="21"/>
          <w:szCs w:val="21"/>
        </w:rPr>
        <w:t>—</w:t>
      </w:r>
      <w:r>
        <w:rPr>
          <w:rFonts w:hint="eastAsia" w:ascii="Times New Roman" w:hAnsi="Times New Roman" w:cs="宋体"/>
          <w:sz w:val="21"/>
          <w:szCs w:val="21"/>
        </w:rPr>
        <w:t>由于缺少呼吸肌肉活动而导致的呼吸暂停。</w:t>
      </w:r>
    </w:p>
    <w:p w14:paraId="61611B77">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阻塞性呼吸暂停</w:t>
      </w:r>
      <w:r>
        <w:rPr>
          <w:rFonts w:ascii="Times New Roman" w:hAnsi="Times New Roman" w:cs="Times New Roman"/>
          <w:sz w:val="21"/>
          <w:szCs w:val="21"/>
        </w:rPr>
        <w:t>—</w:t>
      </w:r>
      <w:r>
        <w:rPr>
          <w:rFonts w:hint="eastAsia" w:ascii="Times New Roman" w:hAnsi="Times New Roman" w:cs="宋体"/>
          <w:sz w:val="21"/>
          <w:szCs w:val="21"/>
        </w:rPr>
        <w:t>由于气道阻塞而导致的呼吸暂停。</w:t>
      </w:r>
    </w:p>
    <w:p w14:paraId="40A4ACB6">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混合型呼吸暂停</w:t>
      </w:r>
      <w:r>
        <w:rPr>
          <w:rFonts w:ascii="Times New Roman" w:hAnsi="Times New Roman" w:cs="Times New Roman"/>
          <w:sz w:val="21"/>
          <w:szCs w:val="21"/>
        </w:rPr>
        <w:t>—</w:t>
      </w:r>
      <w:r>
        <w:rPr>
          <w:rFonts w:hint="eastAsia" w:ascii="Times New Roman" w:hAnsi="Times New Roman" w:cs="宋体"/>
          <w:sz w:val="21"/>
          <w:szCs w:val="21"/>
        </w:rPr>
        <w:t>上气道阻塞后，持续几秒钟无呼吸运作的中枢性和阻塞性呼吸暂停。</w:t>
      </w:r>
    </w:p>
    <w:p w14:paraId="53C44D2B">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低氧血症</w:t>
      </w:r>
      <w:r>
        <w:rPr>
          <w:rFonts w:ascii="Times New Roman" w:hAnsi="Times New Roman" w:cs="Times New Roman"/>
          <w:sz w:val="21"/>
          <w:szCs w:val="21"/>
        </w:rPr>
        <w:t>—</w:t>
      </w:r>
      <w:r>
        <w:rPr>
          <w:rFonts w:hint="eastAsia" w:ascii="Times New Roman" w:hAnsi="Times New Roman" w:cs="宋体"/>
          <w:sz w:val="21"/>
          <w:szCs w:val="21"/>
        </w:rPr>
        <w:t>氧饱和度低于</w:t>
      </w:r>
      <w:r>
        <w:rPr>
          <w:rFonts w:ascii="Times New Roman" w:hAnsi="Times New Roman" w:cs="Times New Roman"/>
          <w:sz w:val="21"/>
          <w:szCs w:val="21"/>
        </w:rPr>
        <w:t>90%</w:t>
      </w:r>
      <w:r>
        <w:rPr>
          <w:rFonts w:hint="eastAsia" w:ascii="Times New Roman" w:hAnsi="Times New Roman" w:cs="宋体"/>
          <w:sz w:val="21"/>
          <w:szCs w:val="21"/>
        </w:rPr>
        <w:t>。</w:t>
      </w:r>
    </w:p>
    <w:p w14:paraId="4E417A55">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高碳酸血症</w:t>
      </w:r>
      <w:r>
        <w:rPr>
          <w:rFonts w:ascii="Times New Roman" w:hAnsi="Times New Roman" w:cs="Times New Roman"/>
          <w:sz w:val="21"/>
          <w:szCs w:val="21"/>
        </w:rPr>
        <w:t>—PCO2</w:t>
      </w:r>
      <w:r>
        <w:rPr>
          <w:rFonts w:hint="eastAsia" w:ascii="Times New Roman" w:hAnsi="Times New Roman" w:cs="宋体"/>
          <w:sz w:val="21"/>
          <w:szCs w:val="21"/>
        </w:rPr>
        <w:t>高于</w:t>
      </w:r>
      <w:r>
        <w:rPr>
          <w:rFonts w:ascii="Times New Roman" w:hAnsi="Times New Roman" w:cs="Times New Roman"/>
          <w:sz w:val="21"/>
          <w:szCs w:val="21"/>
        </w:rPr>
        <w:t>48 mmHg</w:t>
      </w:r>
      <w:r>
        <w:rPr>
          <w:rFonts w:hint="eastAsia" w:ascii="Times New Roman" w:hAnsi="Times New Roman" w:cs="宋体"/>
          <w:sz w:val="21"/>
          <w:szCs w:val="21"/>
        </w:rPr>
        <w:t>。</w:t>
      </w:r>
    </w:p>
    <w:p w14:paraId="202D5241">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婴儿</w:t>
      </w:r>
      <w:r>
        <w:rPr>
          <w:rFonts w:ascii="Times New Roman" w:hAnsi="Times New Roman" w:cs="Times New Roman"/>
          <w:sz w:val="21"/>
          <w:szCs w:val="21"/>
        </w:rPr>
        <w:t>/</w:t>
      </w:r>
      <w:r>
        <w:rPr>
          <w:rFonts w:hint="eastAsia" w:ascii="Times New Roman" w:hAnsi="Times New Roman" w:cs="宋体"/>
          <w:sz w:val="21"/>
          <w:szCs w:val="21"/>
        </w:rPr>
        <w:t>儿童呼吸暂停监护仪</w:t>
      </w:r>
      <w:r>
        <w:rPr>
          <w:rFonts w:ascii="Times New Roman" w:hAnsi="Times New Roman" w:cs="Times New Roman"/>
          <w:sz w:val="21"/>
          <w:szCs w:val="21"/>
        </w:rPr>
        <w:t>—</w:t>
      </w:r>
      <w:r>
        <w:rPr>
          <w:rFonts w:hint="eastAsia" w:ascii="Times New Roman" w:hAnsi="Times New Roman" w:cs="宋体"/>
          <w:sz w:val="21"/>
          <w:szCs w:val="21"/>
        </w:rPr>
        <w:t>预期用在</w:t>
      </w:r>
      <w:r>
        <w:rPr>
          <w:rFonts w:ascii="Times New Roman" w:hAnsi="Times New Roman" w:cs="Times New Roman"/>
          <w:sz w:val="21"/>
          <w:szCs w:val="21"/>
        </w:rPr>
        <w:t>3</w:t>
      </w:r>
      <w:r>
        <w:rPr>
          <w:rFonts w:hint="eastAsia" w:ascii="Times New Roman" w:hAnsi="Times New Roman" w:cs="宋体"/>
          <w:sz w:val="21"/>
          <w:szCs w:val="21"/>
        </w:rPr>
        <w:t>岁及以下个体中的呼吸暂停监护仪。</w:t>
      </w:r>
    </w:p>
    <w:p w14:paraId="33054B3E">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儿科</w:t>
      </w:r>
      <w:r>
        <w:rPr>
          <w:rFonts w:ascii="Times New Roman" w:hAnsi="Times New Roman" w:cs="Times New Roman"/>
          <w:sz w:val="21"/>
          <w:szCs w:val="21"/>
        </w:rPr>
        <w:t>/</w:t>
      </w:r>
      <w:r>
        <w:rPr>
          <w:rFonts w:hint="eastAsia" w:ascii="Times New Roman" w:hAnsi="Times New Roman" w:cs="宋体"/>
          <w:sz w:val="21"/>
          <w:szCs w:val="21"/>
        </w:rPr>
        <w:t>成人监护仪</w:t>
      </w:r>
      <w:r>
        <w:rPr>
          <w:rFonts w:ascii="Times New Roman" w:hAnsi="Times New Roman" w:cs="Times New Roman"/>
          <w:sz w:val="21"/>
          <w:szCs w:val="21"/>
        </w:rPr>
        <w:t>—</w:t>
      </w:r>
      <w:r>
        <w:rPr>
          <w:rFonts w:hint="eastAsia" w:ascii="Times New Roman" w:hAnsi="Times New Roman" w:cs="宋体"/>
          <w:sz w:val="21"/>
          <w:szCs w:val="21"/>
        </w:rPr>
        <w:t>预期用在</w:t>
      </w:r>
      <w:r>
        <w:rPr>
          <w:rFonts w:ascii="Times New Roman" w:hAnsi="Times New Roman" w:cs="Times New Roman"/>
          <w:sz w:val="21"/>
          <w:szCs w:val="21"/>
        </w:rPr>
        <w:t>3</w:t>
      </w:r>
      <w:r>
        <w:rPr>
          <w:rFonts w:hint="eastAsia" w:ascii="Times New Roman" w:hAnsi="Times New Roman" w:cs="宋体"/>
          <w:sz w:val="21"/>
          <w:szCs w:val="21"/>
        </w:rPr>
        <w:t>岁以上个体中的呼吸暂停监护仪。用于检测呼吸暂停的主要</w:t>
      </w:r>
      <w:r>
        <w:rPr>
          <w:rFonts w:ascii="Times New Roman" w:hAnsi="Times New Roman" w:cs="Times New Roman"/>
          <w:sz w:val="21"/>
          <w:szCs w:val="21"/>
        </w:rPr>
        <w:t>/</w:t>
      </w:r>
      <w:r>
        <w:rPr>
          <w:rFonts w:hint="eastAsia" w:ascii="Times New Roman" w:hAnsi="Times New Roman" w:cs="宋体"/>
          <w:sz w:val="21"/>
          <w:szCs w:val="21"/>
        </w:rPr>
        <w:t>直接方法</w:t>
      </w:r>
      <w:r>
        <w:rPr>
          <w:rFonts w:ascii="Times New Roman" w:hAnsi="Times New Roman" w:cs="Times New Roman"/>
          <w:sz w:val="21"/>
          <w:szCs w:val="21"/>
        </w:rPr>
        <w:t>—</w:t>
      </w:r>
      <w:r>
        <w:rPr>
          <w:rFonts w:hint="eastAsia" w:ascii="Times New Roman" w:hAnsi="Times New Roman" w:cs="宋体"/>
          <w:sz w:val="21"/>
          <w:szCs w:val="21"/>
        </w:rPr>
        <w:t>测量呼吸运作或气流所产生生理参数的方法。例如：呼吸运作的阻抗呼吸描记法；气流的二氧化碳波形。</w:t>
      </w:r>
    </w:p>
    <w:p w14:paraId="390DC9B7">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用于检测呼吸暂停的辅助</w:t>
      </w:r>
      <w:r>
        <w:rPr>
          <w:rFonts w:ascii="Times New Roman" w:hAnsi="Times New Roman" w:cs="Times New Roman"/>
          <w:sz w:val="21"/>
          <w:szCs w:val="21"/>
        </w:rPr>
        <w:t>/</w:t>
      </w:r>
      <w:r>
        <w:rPr>
          <w:rFonts w:hint="eastAsia" w:ascii="Times New Roman" w:hAnsi="Times New Roman" w:cs="宋体"/>
          <w:sz w:val="21"/>
          <w:szCs w:val="21"/>
        </w:rPr>
        <w:t>间接方法</w:t>
      </w:r>
      <w:r>
        <w:rPr>
          <w:rFonts w:ascii="Times New Roman" w:hAnsi="Times New Roman" w:cs="Times New Roman"/>
          <w:sz w:val="21"/>
          <w:szCs w:val="21"/>
        </w:rPr>
        <w:t>—</w:t>
      </w:r>
      <w:r>
        <w:rPr>
          <w:rFonts w:hint="eastAsia" w:ascii="Times New Roman" w:hAnsi="Times New Roman" w:cs="宋体"/>
          <w:sz w:val="21"/>
          <w:szCs w:val="21"/>
        </w:rPr>
        <w:t>测量由于呼吸暂停而发生变化的生理参数的方法，例如：心动过缓、低氧血症或高碳酸血症。</w:t>
      </w:r>
    </w:p>
    <w:p w14:paraId="1E1329A5">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82" w:name="_Toc496720507"/>
      <w:r>
        <w:rPr>
          <w:rFonts w:hint="eastAsia" w:ascii="Times New Roman" w:hAnsi="Times New Roman" w:cs="宋体"/>
          <w:sz w:val="21"/>
          <w:szCs w:val="21"/>
        </w:rPr>
        <w:t>临床诊断度量</w:t>
      </w:r>
      <w:bookmarkEnd w:id="82"/>
    </w:p>
    <w:p w14:paraId="4133C93D">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用在诊断医疗器械评价中的统计方法涉及测试器械的诊断功能与假定正确的权威标准的对比。呼吸暂停监护仪的权威标准是由经过培训的分析员对呼吸跟踪进行评分。下表中的临床诊断度量描述了监护仪的呼吸暂停检测功能与权威标准的对比：</w:t>
      </w:r>
    </w:p>
    <w:tbl>
      <w:tblPr>
        <w:tblStyle w:val="12"/>
        <w:tblW w:w="5000" w:type="pct"/>
        <w:tblInd w:w="0" w:type="dxa"/>
        <w:tblLayout w:type="autofit"/>
        <w:tblCellMar>
          <w:top w:w="0" w:type="dxa"/>
          <w:left w:w="0" w:type="dxa"/>
          <w:bottom w:w="0" w:type="dxa"/>
          <w:right w:w="0" w:type="dxa"/>
        </w:tblCellMar>
      </w:tblPr>
      <w:tblGrid>
        <w:gridCol w:w="1983"/>
        <w:gridCol w:w="2246"/>
        <w:gridCol w:w="2295"/>
        <w:gridCol w:w="1959"/>
      </w:tblGrid>
      <w:tr w14:paraId="2FA57D9E">
        <w:tblPrEx>
          <w:tblCellMar>
            <w:top w:w="0" w:type="dxa"/>
            <w:left w:w="0" w:type="dxa"/>
            <w:bottom w:w="0" w:type="dxa"/>
            <w:right w:w="0" w:type="dxa"/>
          </w:tblCellMar>
        </w:tblPrEx>
        <w:tc>
          <w:tcPr>
            <w:tcW w:w="1169"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7CF0E29C">
            <w:pPr>
              <w:snapToGrid w:val="0"/>
              <w:spacing w:line="360" w:lineRule="auto"/>
              <w:jc w:val="both"/>
              <w:rPr>
                <w:sz w:val="21"/>
                <w:szCs w:val="21"/>
              </w:rPr>
            </w:pPr>
          </w:p>
        </w:tc>
        <w:tc>
          <w:tcPr>
            <w:tcW w:w="3831" w:type="pct"/>
            <w:gridSpan w:val="3"/>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5AD87734">
            <w:pPr>
              <w:pStyle w:val="28"/>
              <w:kinsoku w:val="0"/>
              <w:overflowPunct w:val="0"/>
              <w:snapToGrid w:val="0"/>
              <w:spacing w:line="360" w:lineRule="auto"/>
              <w:jc w:val="both"/>
              <w:rPr>
                <w:sz w:val="21"/>
                <w:szCs w:val="21"/>
              </w:rPr>
            </w:pPr>
            <w:r>
              <w:rPr>
                <w:rFonts w:hint="eastAsia" w:cs="宋体"/>
                <w:b/>
                <w:bCs/>
                <w:sz w:val="21"/>
                <w:szCs w:val="21"/>
              </w:rPr>
              <w:t>权威标准（评分记录除外）</w:t>
            </w:r>
          </w:p>
        </w:tc>
      </w:tr>
      <w:tr w14:paraId="38EFDC89">
        <w:tblPrEx>
          <w:tblCellMar>
            <w:top w:w="0" w:type="dxa"/>
            <w:left w:w="0" w:type="dxa"/>
            <w:bottom w:w="0" w:type="dxa"/>
            <w:right w:w="0" w:type="dxa"/>
          </w:tblCellMar>
        </w:tblPrEx>
        <w:tc>
          <w:tcPr>
            <w:tcW w:w="1169"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340F8FB5">
            <w:pPr>
              <w:snapToGrid w:val="0"/>
              <w:spacing w:line="360" w:lineRule="auto"/>
              <w:jc w:val="both"/>
              <w:rPr>
                <w:sz w:val="21"/>
                <w:szCs w:val="21"/>
              </w:rPr>
            </w:pPr>
          </w:p>
        </w:tc>
        <w:tc>
          <w:tcPr>
            <w:tcW w:w="1324"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1E4373BD">
            <w:pPr>
              <w:snapToGrid w:val="0"/>
              <w:spacing w:line="360" w:lineRule="auto"/>
              <w:jc w:val="both"/>
              <w:rPr>
                <w:sz w:val="21"/>
                <w:szCs w:val="21"/>
              </w:rPr>
            </w:pPr>
          </w:p>
        </w:tc>
        <w:tc>
          <w:tcPr>
            <w:tcW w:w="1353"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5FC74B50">
            <w:pPr>
              <w:pStyle w:val="28"/>
              <w:kinsoku w:val="0"/>
              <w:overflowPunct w:val="0"/>
              <w:snapToGrid w:val="0"/>
              <w:spacing w:line="360" w:lineRule="auto"/>
              <w:jc w:val="both"/>
              <w:rPr>
                <w:sz w:val="21"/>
                <w:szCs w:val="21"/>
              </w:rPr>
            </w:pPr>
            <w:r>
              <w:rPr>
                <w:rFonts w:hint="eastAsia" w:cs="宋体"/>
                <w:sz w:val="21"/>
                <w:szCs w:val="21"/>
              </w:rPr>
              <w:t>是</w:t>
            </w:r>
          </w:p>
        </w:tc>
        <w:tc>
          <w:tcPr>
            <w:tcW w:w="1154"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52446F26">
            <w:pPr>
              <w:pStyle w:val="28"/>
              <w:kinsoku w:val="0"/>
              <w:overflowPunct w:val="0"/>
              <w:snapToGrid w:val="0"/>
              <w:spacing w:line="360" w:lineRule="auto"/>
              <w:jc w:val="both"/>
              <w:rPr>
                <w:sz w:val="21"/>
                <w:szCs w:val="21"/>
              </w:rPr>
            </w:pPr>
            <w:r>
              <w:rPr>
                <w:rFonts w:hint="eastAsia" w:cs="宋体"/>
                <w:sz w:val="21"/>
                <w:szCs w:val="21"/>
              </w:rPr>
              <w:t>否</w:t>
            </w:r>
          </w:p>
        </w:tc>
      </w:tr>
      <w:tr w14:paraId="6F94589F">
        <w:tblPrEx>
          <w:tblCellMar>
            <w:top w:w="0" w:type="dxa"/>
            <w:left w:w="0" w:type="dxa"/>
            <w:bottom w:w="0" w:type="dxa"/>
            <w:right w:w="0" w:type="dxa"/>
          </w:tblCellMar>
        </w:tblPrEx>
        <w:tc>
          <w:tcPr>
            <w:tcW w:w="1169" w:type="pct"/>
            <w:vMerge w:val="restar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03C1CE66">
            <w:pPr>
              <w:pStyle w:val="28"/>
              <w:kinsoku w:val="0"/>
              <w:overflowPunct w:val="0"/>
              <w:snapToGrid w:val="0"/>
              <w:spacing w:line="360" w:lineRule="auto"/>
              <w:jc w:val="both"/>
              <w:rPr>
                <w:sz w:val="21"/>
                <w:szCs w:val="21"/>
              </w:rPr>
            </w:pPr>
            <w:r>
              <w:rPr>
                <w:rFonts w:hint="eastAsia" w:cs="宋体"/>
                <w:b/>
                <w:bCs/>
                <w:sz w:val="21"/>
                <w:szCs w:val="21"/>
              </w:rPr>
              <w:t>器械报警</w:t>
            </w:r>
          </w:p>
        </w:tc>
        <w:tc>
          <w:tcPr>
            <w:tcW w:w="1324"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55E1C657">
            <w:pPr>
              <w:pStyle w:val="28"/>
              <w:kinsoku w:val="0"/>
              <w:overflowPunct w:val="0"/>
              <w:snapToGrid w:val="0"/>
              <w:spacing w:line="360" w:lineRule="auto"/>
              <w:jc w:val="both"/>
              <w:rPr>
                <w:sz w:val="21"/>
                <w:szCs w:val="21"/>
              </w:rPr>
            </w:pPr>
            <w:r>
              <w:rPr>
                <w:rFonts w:hint="eastAsia" w:cs="宋体"/>
                <w:sz w:val="21"/>
                <w:szCs w:val="21"/>
              </w:rPr>
              <w:t>是</w:t>
            </w:r>
          </w:p>
        </w:tc>
        <w:tc>
          <w:tcPr>
            <w:tcW w:w="1353"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626B0487">
            <w:pPr>
              <w:pStyle w:val="28"/>
              <w:kinsoku w:val="0"/>
              <w:overflowPunct w:val="0"/>
              <w:snapToGrid w:val="0"/>
              <w:spacing w:line="360" w:lineRule="auto"/>
              <w:jc w:val="both"/>
              <w:rPr>
                <w:sz w:val="21"/>
                <w:szCs w:val="21"/>
              </w:rPr>
            </w:pPr>
            <w:r>
              <w:rPr>
                <w:sz w:val="21"/>
                <w:szCs w:val="21"/>
              </w:rPr>
              <w:t>TP</w:t>
            </w:r>
          </w:p>
        </w:tc>
        <w:tc>
          <w:tcPr>
            <w:tcW w:w="1154"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3ABC0076">
            <w:pPr>
              <w:pStyle w:val="28"/>
              <w:kinsoku w:val="0"/>
              <w:overflowPunct w:val="0"/>
              <w:snapToGrid w:val="0"/>
              <w:spacing w:line="360" w:lineRule="auto"/>
              <w:jc w:val="both"/>
              <w:rPr>
                <w:sz w:val="21"/>
                <w:szCs w:val="21"/>
              </w:rPr>
            </w:pPr>
            <w:r>
              <w:rPr>
                <w:sz w:val="21"/>
                <w:szCs w:val="21"/>
              </w:rPr>
              <w:t>FP</w:t>
            </w:r>
          </w:p>
        </w:tc>
      </w:tr>
      <w:tr w14:paraId="48FF0D2A">
        <w:tblPrEx>
          <w:tblCellMar>
            <w:top w:w="0" w:type="dxa"/>
            <w:left w:w="0" w:type="dxa"/>
            <w:bottom w:w="0" w:type="dxa"/>
            <w:right w:w="0" w:type="dxa"/>
          </w:tblCellMar>
        </w:tblPrEx>
        <w:tc>
          <w:tcPr>
            <w:tcW w:w="1169" w:type="pct"/>
            <w:vMerge w:val="continue"/>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30EBE2DF">
            <w:pPr>
              <w:pStyle w:val="28"/>
              <w:kinsoku w:val="0"/>
              <w:overflowPunct w:val="0"/>
              <w:snapToGrid w:val="0"/>
              <w:spacing w:line="360" w:lineRule="auto"/>
              <w:jc w:val="both"/>
              <w:rPr>
                <w:sz w:val="21"/>
                <w:szCs w:val="21"/>
              </w:rPr>
            </w:pPr>
          </w:p>
        </w:tc>
        <w:tc>
          <w:tcPr>
            <w:tcW w:w="1324"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29289BCB">
            <w:pPr>
              <w:pStyle w:val="28"/>
              <w:kinsoku w:val="0"/>
              <w:overflowPunct w:val="0"/>
              <w:snapToGrid w:val="0"/>
              <w:spacing w:line="360" w:lineRule="auto"/>
              <w:jc w:val="both"/>
              <w:rPr>
                <w:sz w:val="21"/>
                <w:szCs w:val="21"/>
              </w:rPr>
            </w:pPr>
            <w:r>
              <w:rPr>
                <w:rFonts w:hint="eastAsia" w:cs="宋体"/>
                <w:sz w:val="21"/>
                <w:szCs w:val="21"/>
              </w:rPr>
              <w:t>否</w:t>
            </w:r>
          </w:p>
        </w:tc>
        <w:tc>
          <w:tcPr>
            <w:tcW w:w="1353"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0EB731D3">
            <w:pPr>
              <w:pStyle w:val="28"/>
              <w:kinsoku w:val="0"/>
              <w:overflowPunct w:val="0"/>
              <w:snapToGrid w:val="0"/>
              <w:spacing w:line="360" w:lineRule="auto"/>
              <w:jc w:val="both"/>
              <w:rPr>
                <w:sz w:val="21"/>
                <w:szCs w:val="21"/>
              </w:rPr>
            </w:pPr>
            <w:r>
              <w:rPr>
                <w:sz w:val="21"/>
                <w:szCs w:val="21"/>
              </w:rPr>
              <w:t>FN</w:t>
            </w:r>
          </w:p>
        </w:tc>
        <w:tc>
          <w:tcPr>
            <w:tcW w:w="1154"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77389290">
            <w:pPr>
              <w:pStyle w:val="28"/>
              <w:kinsoku w:val="0"/>
              <w:overflowPunct w:val="0"/>
              <w:snapToGrid w:val="0"/>
              <w:spacing w:line="360" w:lineRule="auto"/>
              <w:jc w:val="both"/>
              <w:rPr>
                <w:sz w:val="21"/>
                <w:szCs w:val="21"/>
              </w:rPr>
            </w:pPr>
            <w:r>
              <w:rPr>
                <w:sz w:val="21"/>
                <w:szCs w:val="21"/>
              </w:rPr>
              <w:t>TN*</w:t>
            </w:r>
          </w:p>
        </w:tc>
      </w:tr>
    </w:tbl>
    <w:p w14:paraId="562BB2B7">
      <w:pPr>
        <w:kinsoku w:val="0"/>
        <w:overflowPunct w:val="0"/>
        <w:snapToGrid w:val="0"/>
        <w:spacing w:afterLines="50" w:line="360" w:lineRule="auto"/>
        <w:jc w:val="both"/>
        <w:rPr>
          <w:sz w:val="21"/>
          <w:szCs w:val="21"/>
        </w:rPr>
      </w:pPr>
    </w:p>
    <w:p w14:paraId="36AB0539">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这些临床诊断度量如下所示：</w:t>
      </w:r>
    </w:p>
    <w:p w14:paraId="2537A4FC">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t>TP—</w:t>
      </w:r>
      <w:r>
        <w:rPr>
          <w:rFonts w:hint="eastAsia" w:ascii="Times New Roman" w:hAnsi="Times New Roman" w:cs="宋体"/>
          <w:sz w:val="21"/>
          <w:szCs w:val="21"/>
        </w:rPr>
        <w:t>真阳性。受试者真正窒息</w:t>
      </w:r>
      <w:r>
        <w:rPr>
          <w:rFonts w:ascii="Times New Roman" w:hAnsi="Times New Roman" w:cs="Times New Roman"/>
          <w:sz w:val="21"/>
          <w:szCs w:val="21"/>
        </w:rPr>
        <w:t>10</w:t>
      </w:r>
      <w:r>
        <w:rPr>
          <w:rFonts w:hint="eastAsia" w:ascii="Times New Roman" w:hAnsi="Times New Roman" w:cs="宋体"/>
          <w:sz w:val="21"/>
          <w:szCs w:val="21"/>
        </w:rPr>
        <w:t>秒或以上（根据标准的确定），并且报警在窒息开始时发出声音或显示</w:t>
      </w:r>
      <w:r>
        <w:rPr>
          <w:rFonts w:ascii="Times New Roman" w:hAnsi="Times New Roman" w:cs="Times New Roman"/>
          <w:sz w:val="21"/>
          <w:szCs w:val="21"/>
        </w:rPr>
        <w:t>8-12</w:t>
      </w:r>
      <w:r>
        <w:rPr>
          <w:rFonts w:hint="eastAsia" w:ascii="Times New Roman" w:hAnsi="Times New Roman" w:cs="宋体"/>
          <w:sz w:val="21"/>
          <w:szCs w:val="21"/>
        </w:rPr>
        <w:t>秒。因此，</w:t>
      </w:r>
      <w:r>
        <w:rPr>
          <w:rFonts w:ascii="Times New Roman" w:hAnsi="Times New Roman" w:cs="Times New Roman"/>
          <w:sz w:val="21"/>
          <w:szCs w:val="21"/>
        </w:rPr>
        <w:t>10</w:t>
      </w:r>
      <w:r>
        <w:rPr>
          <w:rFonts w:hint="eastAsia" w:ascii="Times New Roman" w:hAnsi="Times New Roman" w:cs="宋体"/>
          <w:sz w:val="21"/>
          <w:szCs w:val="21"/>
        </w:rPr>
        <w:t>秒呼吸暂停的报警发生在</w:t>
      </w:r>
      <w:r>
        <w:rPr>
          <w:rFonts w:ascii="Times New Roman" w:hAnsi="Times New Roman" w:cs="Times New Roman"/>
          <w:sz w:val="21"/>
          <w:szCs w:val="21"/>
        </w:rPr>
        <w:t>2</w:t>
      </w:r>
      <w:r>
        <w:rPr>
          <w:rFonts w:hint="eastAsia" w:ascii="Times New Roman" w:hAnsi="Times New Roman" w:cs="宋体"/>
          <w:sz w:val="21"/>
          <w:szCs w:val="21"/>
        </w:rPr>
        <w:t>秒窗口内。</w:t>
      </w:r>
    </w:p>
    <w:p w14:paraId="7310B0B5">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br w:type="page"/>
      </w:r>
      <w:r>
        <w:rPr>
          <w:rFonts w:ascii="Times New Roman" w:hAnsi="Times New Roman" w:cs="Times New Roman"/>
          <w:sz w:val="21"/>
          <w:szCs w:val="21"/>
        </w:rPr>
        <w:t>FN—</w:t>
      </w:r>
      <w:r>
        <w:rPr>
          <w:rFonts w:hint="eastAsia" w:ascii="Times New Roman" w:hAnsi="Times New Roman" w:cs="宋体"/>
          <w:sz w:val="21"/>
          <w:szCs w:val="21"/>
        </w:rPr>
        <w:t>假阴性。受试者真正窒息</w:t>
      </w:r>
      <w:r>
        <w:rPr>
          <w:rFonts w:ascii="Times New Roman" w:hAnsi="Times New Roman" w:cs="Times New Roman"/>
          <w:sz w:val="21"/>
          <w:szCs w:val="21"/>
        </w:rPr>
        <w:t>10</w:t>
      </w:r>
      <w:r>
        <w:rPr>
          <w:rFonts w:hint="eastAsia" w:ascii="Times New Roman" w:hAnsi="Times New Roman" w:cs="宋体"/>
          <w:sz w:val="21"/>
          <w:szCs w:val="21"/>
        </w:rPr>
        <w:t>秒或以上，但没有报警或报警发生在</w:t>
      </w:r>
      <w:r>
        <w:rPr>
          <w:rFonts w:ascii="Times New Roman" w:hAnsi="Times New Roman" w:cs="Times New Roman"/>
          <w:sz w:val="21"/>
          <w:szCs w:val="21"/>
        </w:rPr>
        <w:t>8-12</w:t>
      </w:r>
      <w:r>
        <w:rPr>
          <w:rFonts w:hint="eastAsia" w:ascii="Times New Roman" w:hAnsi="Times New Roman" w:cs="宋体"/>
          <w:sz w:val="21"/>
          <w:szCs w:val="21"/>
        </w:rPr>
        <w:t>秒窗口以外。</w:t>
      </w:r>
    </w:p>
    <w:p w14:paraId="6F2F2944">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t>FP—</w:t>
      </w:r>
      <w:r>
        <w:rPr>
          <w:rFonts w:hint="eastAsia" w:ascii="Times New Roman" w:hAnsi="Times New Roman" w:cs="宋体"/>
          <w:sz w:val="21"/>
          <w:szCs w:val="21"/>
        </w:rPr>
        <w:t>假阳性。受试者未窒息，但发出报警音或报警显示。</w:t>
      </w:r>
    </w:p>
    <w:p w14:paraId="0471360E">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t>TN*—</w:t>
      </w:r>
      <w:r>
        <w:rPr>
          <w:rFonts w:hint="eastAsia" w:ascii="Times New Roman" w:hAnsi="Times New Roman" w:cs="宋体"/>
          <w:sz w:val="21"/>
          <w:szCs w:val="21"/>
        </w:rPr>
        <w:t>此单元格通常包含真阴性。但在长时间监测的情况下，真阴性不明确，因此不应报告。由于</w:t>
      </w:r>
      <w:r>
        <w:rPr>
          <w:rFonts w:ascii="Times New Roman" w:hAnsi="Times New Roman" w:cs="Times New Roman"/>
          <w:sz w:val="21"/>
          <w:szCs w:val="21"/>
        </w:rPr>
        <w:t>TN</w:t>
      </w:r>
      <w:r>
        <w:rPr>
          <w:rFonts w:hint="eastAsia" w:ascii="Times New Roman" w:hAnsi="Times New Roman" w:cs="宋体"/>
          <w:sz w:val="21"/>
          <w:szCs w:val="21"/>
        </w:rPr>
        <w:t>被用在特异性的计算中，因此也不应报告特异性。</w:t>
      </w:r>
    </w:p>
    <w:p w14:paraId="6BACE869">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您应报告所有上述和以下诊断度量：</w:t>
      </w:r>
    </w:p>
    <w:p w14:paraId="2942D6BF">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敏感性</w:t>
      </w:r>
      <w:r>
        <w:rPr>
          <w:rFonts w:ascii="Times New Roman" w:hAnsi="Times New Roman" w:cs="Times New Roman"/>
          <w:sz w:val="21"/>
          <w:szCs w:val="21"/>
        </w:rPr>
        <w:t>—</w:t>
      </w:r>
      <w:r>
        <w:rPr>
          <w:rFonts w:hint="eastAsia" w:ascii="Times New Roman" w:hAnsi="Times New Roman" w:cs="宋体"/>
          <w:sz w:val="21"/>
          <w:szCs w:val="21"/>
        </w:rPr>
        <w:t>等于</w:t>
      </w:r>
      <w:r>
        <w:rPr>
          <w:rFonts w:ascii="Times New Roman" w:hAnsi="Times New Roman" w:cs="Times New Roman"/>
          <w:sz w:val="21"/>
          <w:szCs w:val="21"/>
        </w:rPr>
        <w:t>(TP/(TP+FN))(100%)</w:t>
      </w:r>
      <w:r>
        <w:rPr>
          <w:rFonts w:hint="eastAsia" w:ascii="Times New Roman" w:hAnsi="Times New Roman" w:cs="宋体"/>
          <w:sz w:val="21"/>
          <w:szCs w:val="21"/>
        </w:rPr>
        <w:t>。</w:t>
      </w:r>
    </w:p>
    <w:p w14:paraId="21DA950D">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t>PPV—</w:t>
      </w:r>
      <w:r>
        <w:rPr>
          <w:rFonts w:hint="eastAsia" w:ascii="Times New Roman" w:hAnsi="Times New Roman" w:cs="宋体"/>
          <w:sz w:val="21"/>
          <w:szCs w:val="21"/>
        </w:rPr>
        <w:t>这是阳性预测值，等于</w:t>
      </w:r>
      <w:r>
        <w:rPr>
          <w:rFonts w:ascii="Times New Roman" w:hAnsi="Times New Roman" w:cs="Times New Roman"/>
          <w:sz w:val="21"/>
          <w:szCs w:val="21"/>
        </w:rPr>
        <w:t>(TP/(TP+FP))(100%)</w:t>
      </w:r>
      <w:r>
        <w:rPr>
          <w:rFonts w:hint="eastAsia" w:ascii="Times New Roman" w:hAnsi="Times New Roman" w:cs="宋体"/>
          <w:sz w:val="21"/>
          <w:szCs w:val="21"/>
        </w:rPr>
        <w:t>。</w:t>
      </w:r>
    </w:p>
    <w:p w14:paraId="229C1BAA">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此数字告知用户报警代表真呼吸暂停的平均概率。</w:t>
      </w:r>
    </w:p>
    <w:p w14:paraId="22CA4849">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误警率</w:t>
      </w:r>
      <w:r>
        <w:rPr>
          <w:rFonts w:ascii="Times New Roman" w:hAnsi="Times New Roman" w:cs="Times New Roman"/>
          <w:sz w:val="21"/>
          <w:szCs w:val="21"/>
        </w:rPr>
        <w:t>—</w:t>
      </w:r>
      <w:r>
        <w:rPr>
          <w:rFonts w:hint="eastAsia" w:ascii="Times New Roman" w:hAnsi="Times New Roman" w:cs="宋体"/>
          <w:sz w:val="21"/>
          <w:szCs w:val="21"/>
        </w:rPr>
        <w:t>每个监测小时的误报警数。</w:t>
      </w:r>
    </w:p>
    <w:p w14:paraId="54B79819">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误报警百分比</w:t>
      </w:r>
      <w:r>
        <w:rPr>
          <w:rFonts w:ascii="Times New Roman" w:hAnsi="Times New Roman" w:cs="Times New Roman"/>
          <w:sz w:val="21"/>
          <w:szCs w:val="21"/>
        </w:rPr>
        <w:t>—</w:t>
      </w:r>
      <w:r>
        <w:rPr>
          <w:rFonts w:hint="eastAsia" w:ascii="Times New Roman" w:hAnsi="Times New Roman" w:cs="宋体"/>
          <w:sz w:val="21"/>
          <w:szCs w:val="21"/>
        </w:rPr>
        <w:t>所有报警均是误报警的百分比。</w:t>
      </w:r>
    </w:p>
    <w:p w14:paraId="1B33C89E">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b/>
          <w:bCs/>
          <w:sz w:val="21"/>
          <w:szCs w:val="21"/>
        </w:rPr>
        <w:t>研究人群</w:t>
      </w:r>
    </w:p>
    <w:p w14:paraId="7B4E80FC">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研究人群应该是器械预期用于的人群的代表。受试者的年龄组和监测环境应对应预期标签。应在开始研究之前，在方案中定义入选</w:t>
      </w:r>
      <w:r>
        <w:rPr>
          <w:rFonts w:ascii="Times New Roman" w:hAnsi="Times New Roman" w:cs="Times New Roman"/>
          <w:sz w:val="21"/>
          <w:szCs w:val="21"/>
        </w:rPr>
        <w:t>/</w:t>
      </w:r>
      <w:r>
        <w:rPr>
          <w:rFonts w:hint="eastAsia" w:ascii="Times New Roman" w:hAnsi="Times New Roman" w:cs="宋体"/>
          <w:sz w:val="21"/>
          <w:szCs w:val="21"/>
        </w:rPr>
        <w:t>排除标准。</w:t>
      </w:r>
    </w:p>
    <w:p w14:paraId="00B032DE">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一些呼吸暂停监护仪在不同患者人群中的运行情况不一样。如果您的监护仪旨在用在多个患者人群中，则应在每个患者人群中执行研究。在计划研究时，应联系管理局，以便获得额外指导。</w:t>
      </w:r>
    </w:p>
    <w:p w14:paraId="2CCB5937">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83" w:name="_Toc496720508"/>
      <w:r>
        <w:rPr>
          <w:rFonts w:hint="eastAsia" w:ascii="Times New Roman" w:hAnsi="Times New Roman" w:cs="宋体"/>
          <w:sz w:val="21"/>
          <w:szCs w:val="21"/>
        </w:rPr>
        <w:t>基线变量</w:t>
      </w:r>
      <w:bookmarkEnd w:id="83"/>
    </w:p>
    <w:p w14:paraId="5331BB96">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您应在每名患者的基础上收集与相应监测数据相关联的相关基线变量，例如：年龄（受孕后年龄（若适用））、临床诊断、监测适应症、监测环境（家中、医院等）和所有其他相关基线变量。</w:t>
      </w:r>
    </w:p>
    <w:p w14:paraId="602F1018">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84" w:name="_Toc496720509"/>
      <w:r>
        <w:rPr>
          <w:rFonts w:hint="eastAsia" w:ascii="Times New Roman" w:hAnsi="Times New Roman" w:cs="宋体"/>
          <w:sz w:val="21"/>
          <w:szCs w:val="21"/>
        </w:rPr>
        <w:t>数据收集</w:t>
      </w:r>
      <w:bookmarkEnd w:id="84"/>
    </w:p>
    <w:p w14:paraId="460C67D4">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应至少从三个受试者分布数大致相等的临床中心收集数据。应在分析中纳入每名患者的</w:t>
      </w:r>
      <w:r>
        <w:rPr>
          <w:rFonts w:ascii="Times New Roman" w:hAnsi="Times New Roman" w:cs="Times New Roman"/>
          <w:sz w:val="21"/>
          <w:szCs w:val="21"/>
        </w:rPr>
        <w:t>6</w:t>
      </w:r>
      <w:r>
        <w:rPr>
          <w:rFonts w:hint="eastAsia" w:ascii="Times New Roman" w:hAnsi="Times New Roman" w:cs="宋体"/>
          <w:sz w:val="21"/>
          <w:szCs w:val="21"/>
        </w:rPr>
        <w:t>个或以下窒息事件。应记录呼吸暂停，并进行评分。至少一名经验丰富的呼吸暂停跟踪评分者应执行传感器数据的独立评价。应对评分者隐瞒该器械和实质等同对比器械的报警性能。应将该记录与器械报警记录的对比分析用于将所有事件归类为上述</w:t>
      </w:r>
      <w:r>
        <w:rPr>
          <w:rFonts w:ascii="Times New Roman" w:hAnsi="Times New Roman" w:cs="Times New Roman"/>
          <w:sz w:val="21"/>
          <w:szCs w:val="21"/>
        </w:rPr>
        <w:t>TP</w:t>
      </w:r>
      <w:r>
        <w:rPr>
          <w:rFonts w:hint="eastAsia" w:ascii="Times New Roman" w:hAnsi="Times New Roman" w:cs="宋体"/>
          <w:sz w:val="21"/>
          <w:szCs w:val="21"/>
        </w:rPr>
        <w:t>、</w:t>
      </w:r>
      <w:r>
        <w:rPr>
          <w:rFonts w:ascii="Times New Roman" w:hAnsi="Times New Roman" w:cs="Times New Roman"/>
          <w:sz w:val="21"/>
          <w:szCs w:val="21"/>
        </w:rPr>
        <w:t>FN</w:t>
      </w:r>
      <w:r>
        <w:rPr>
          <w:rFonts w:hint="eastAsia" w:ascii="Times New Roman" w:hAnsi="Times New Roman" w:cs="宋体"/>
          <w:sz w:val="21"/>
          <w:szCs w:val="21"/>
        </w:rPr>
        <w:t>和</w:t>
      </w:r>
      <w:r>
        <w:rPr>
          <w:rFonts w:ascii="Times New Roman" w:hAnsi="Times New Roman" w:cs="Times New Roman"/>
          <w:sz w:val="21"/>
          <w:szCs w:val="21"/>
        </w:rPr>
        <w:t>FP</w:t>
      </w:r>
      <w:r>
        <w:rPr>
          <w:rFonts w:hint="eastAsia" w:ascii="Times New Roman" w:hAnsi="Times New Roman" w:cs="宋体"/>
          <w:sz w:val="21"/>
          <w:szCs w:val="21"/>
        </w:rPr>
        <w:t>。应在每名患者的基础上分析数据与基线特性和总监测时间。应记录窒息发作的时间长度，并将它们归类为两种类型：</w:t>
      </w:r>
    </w:p>
    <w:p w14:paraId="072F9DFE">
      <w:pPr>
        <w:pStyle w:val="3"/>
        <w:kinsoku w:val="0"/>
        <w:overflowPunct w:val="0"/>
        <w:snapToGrid w:val="0"/>
        <w:spacing w:afterLines="50" w:line="360" w:lineRule="auto"/>
        <w:ind w:left="0"/>
        <w:jc w:val="both"/>
        <w:rPr>
          <w:rFonts w:ascii="Times New Roman" w:hAnsi="Times New Roman" w:cs="Times New Roman"/>
          <w:b w:val="0"/>
          <w:bCs w:val="0"/>
          <w:sz w:val="21"/>
          <w:szCs w:val="21"/>
        </w:rPr>
      </w:pPr>
      <w:r>
        <w:rPr>
          <w:rFonts w:ascii="Times New Roman" w:hAnsi="Times New Roman" w:cs="Times New Roman"/>
          <w:sz w:val="21"/>
          <w:szCs w:val="21"/>
        </w:rPr>
        <w:br w:type="page"/>
      </w:r>
      <w:bookmarkStart w:id="85" w:name="_Toc496720510"/>
      <w:r>
        <w:rPr>
          <w:rFonts w:hint="eastAsia" w:ascii="Times New Roman" w:hAnsi="Times New Roman" w:cs="宋体"/>
          <w:sz w:val="21"/>
          <w:szCs w:val="21"/>
        </w:rPr>
        <w:t>窒息发作</w:t>
      </w:r>
      <w:bookmarkEnd w:id="85"/>
    </w:p>
    <w:p w14:paraId="71644544">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类型</w:t>
      </w:r>
      <w:r>
        <w:rPr>
          <w:rFonts w:ascii="Times New Roman" w:hAnsi="Times New Roman" w:cs="Times New Roman"/>
          <w:sz w:val="21"/>
          <w:szCs w:val="21"/>
        </w:rPr>
        <w:t>1</w:t>
      </w:r>
      <w:r>
        <w:rPr>
          <w:rFonts w:hint="eastAsia" w:ascii="Times New Roman" w:hAnsi="Times New Roman" w:cs="宋体"/>
          <w:sz w:val="21"/>
          <w:szCs w:val="21"/>
        </w:rPr>
        <w:t>：</w:t>
      </w:r>
      <w:r>
        <w:rPr>
          <w:rFonts w:ascii="Times New Roman" w:hAnsi="Times New Roman" w:cs="Times New Roman"/>
          <w:sz w:val="21"/>
          <w:szCs w:val="21"/>
        </w:rPr>
        <w:t>10</w:t>
      </w:r>
      <w:r>
        <w:rPr>
          <w:rFonts w:hint="eastAsia" w:ascii="Times New Roman" w:hAnsi="Times New Roman" w:cs="宋体"/>
          <w:sz w:val="21"/>
          <w:szCs w:val="21"/>
        </w:rPr>
        <w:t>至</w:t>
      </w:r>
      <w:r>
        <w:rPr>
          <w:rFonts w:ascii="Times New Roman" w:hAnsi="Times New Roman" w:cs="Times New Roman"/>
          <w:sz w:val="21"/>
          <w:szCs w:val="21"/>
        </w:rPr>
        <w:t>20</w:t>
      </w:r>
      <w:r>
        <w:rPr>
          <w:rFonts w:hint="eastAsia" w:ascii="Times New Roman" w:hAnsi="Times New Roman" w:cs="宋体"/>
          <w:sz w:val="21"/>
          <w:szCs w:val="21"/>
        </w:rPr>
        <w:t>秒之间</w:t>
      </w:r>
    </w:p>
    <w:p w14:paraId="7D785B3C">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类型</w:t>
      </w:r>
      <w:r>
        <w:rPr>
          <w:rFonts w:ascii="Times New Roman" w:hAnsi="Times New Roman" w:cs="Times New Roman"/>
          <w:sz w:val="21"/>
          <w:szCs w:val="21"/>
        </w:rPr>
        <w:t>2</w:t>
      </w:r>
      <w:r>
        <w:rPr>
          <w:rFonts w:hint="eastAsia" w:ascii="Times New Roman" w:hAnsi="Times New Roman" w:cs="宋体"/>
          <w:sz w:val="21"/>
          <w:szCs w:val="21"/>
        </w:rPr>
        <w:t>：大于</w:t>
      </w:r>
      <w:r>
        <w:rPr>
          <w:rFonts w:ascii="Times New Roman" w:hAnsi="Times New Roman" w:cs="Times New Roman"/>
          <w:sz w:val="21"/>
          <w:szCs w:val="21"/>
        </w:rPr>
        <w:t>20</w:t>
      </w:r>
      <w:r>
        <w:rPr>
          <w:rFonts w:hint="eastAsia" w:ascii="Times New Roman" w:hAnsi="Times New Roman" w:cs="宋体"/>
          <w:sz w:val="21"/>
          <w:szCs w:val="21"/>
        </w:rPr>
        <w:t>秒</w:t>
      </w:r>
    </w:p>
    <w:p w14:paraId="4541FAAF">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应单独评价每种窒息发作类型的临床诊断度量：敏感性、</w:t>
      </w:r>
      <w:r>
        <w:rPr>
          <w:rFonts w:ascii="Times New Roman" w:hAnsi="Times New Roman" w:cs="Times New Roman"/>
          <w:sz w:val="21"/>
          <w:szCs w:val="21"/>
        </w:rPr>
        <w:t>PPV</w:t>
      </w:r>
      <w:r>
        <w:rPr>
          <w:rFonts w:hint="eastAsia" w:ascii="Times New Roman" w:hAnsi="Times New Roman" w:cs="宋体"/>
          <w:sz w:val="21"/>
          <w:szCs w:val="21"/>
        </w:rPr>
        <w:t>、误警率和误报警百分比。</w:t>
      </w:r>
    </w:p>
    <w:p w14:paraId="76985FE7">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86" w:name="_Toc496720511"/>
      <w:r>
        <w:rPr>
          <w:rFonts w:hint="eastAsia" w:ascii="Times New Roman" w:hAnsi="Times New Roman" w:cs="宋体"/>
          <w:sz w:val="21"/>
          <w:szCs w:val="21"/>
        </w:rPr>
        <w:t>统计性假设和方法</w:t>
      </w:r>
      <w:bookmarkEnd w:id="86"/>
    </w:p>
    <w:p w14:paraId="6AB1D563">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通常通过与实质等同对比呼吸暂停监护仪进行对比的方式评估呼吸暂停监护仪的临床性能。通常通过对比呼吸暂停监护仪与实质等同对比呼吸暂停监护仪的敏感性和阳性预测值的方式确定实质等同性结果。应提前明确指定临床研究的实质等同对比器械和参数。频繁执行非劣性研究。应定义非劣效性界值（即：</w:t>
      </w:r>
      <w:r>
        <w:rPr>
          <w:rFonts w:ascii="Times New Roman" w:hAnsi="Times New Roman" w:cs="Times New Roman"/>
          <w:sz w:val="21"/>
          <w:szCs w:val="21"/>
        </w:rPr>
        <w:t>d</w:t>
      </w:r>
      <w:r>
        <w:rPr>
          <w:rFonts w:ascii="Times New Roman" w:hAnsi="Times New Roman" w:cs="Times New Roman"/>
          <w:sz w:val="21"/>
          <w:szCs w:val="21"/>
          <w:vertAlign w:val="subscript"/>
        </w:rPr>
        <w:t>0</w:t>
      </w:r>
      <w:r>
        <w:rPr>
          <w:rFonts w:hint="eastAsia" w:ascii="Times New Roman" w:hAnsi="Times New Roman" w:cs="宋体"/>
          <w:sz w:val="21"/>
          <w:szCs w:val="21"/>
        </w:rPr>
        <w:t>不得超过敏感性的</w:t>
      </w:r>
      <w:r>
        <w:rPr>
          <w:rFonts w:ascii="Times New Roman" w:hAnsi="Times New Roman" w:cs="Times New Roman"/>
          <w:sz w:val="21"/>
          <w:szCs w:val="21"/>
        </w:rPr>
        <w:t>5%</w:t>
      </w:r>
      <w:r>
        <w:rPr>
          <w:rFonts w:hint="eastAsia" w:ascii="Times New Roman" w:hAnsi="Times New Roman" w:cs="宋体"/>
          <w:sz w:val="21"/>
          <w:szCs w:val="21"/>
        </w:rPr>
        <w:t>和阳性预测值的</w:t>
      </w:r>
      <w:r>
        <w:rPr>
          <w:rFonts w:ascii="Times New Roman" w:hAnsi="Times New Roman" w:cs="Times New Roman"/>
          <w:sz w:val="21"/>
          <w:szCs w:val="21"/>
        </w:rPr>
        <w:t>5%</w:t>
      </w:r>
      <w:r>
        <w:rPr>
          <w:rFonts w:hint="eastAsia" w:ascii="Times New Roman" w:hAnsi="Times New Roman" w:cs="宋体"/>
          <w:sz w:val="21"/>
          <w:szCs w:val="21"/>
        </w:rPr>
        <w:t>）。</w:t>
      </w:r>
    </w:p>
    <w:p w14:paraId="7B822EE6">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例如：用于评价灵敏性的非劣性研究的零假设和备择假设应如下所示：</w:t>
      </w:r>
    </w:p>
    <w:p w14:paraId="77EB9E2F">
      <w:pPr>
        <w:kinsoku w:val="0"/>
        <w:overflowPunct w:val="0"/>
        <w:snapToGrid w:val="0"/>
        <w:spacing w:afterLines="50" w:line="360" w:lineRule="auto"/>
        <w:jc w:val="both"/>
        <w:rPr>
          <w:sz w:val="21"/>
          <w:szCs w:val="21"/>
        </w:rPr>
      </w:pPr>
      <w:r>
        <w:rPr>
          <w:sz w:val="21"/>
          <w:szCs w:val="21"/>
        </w:rPr>
        <w:t>H</w:t>
      </w:r>
      <w:r>
        <w:rPr>
          <w:sz w:val="21"/>
          <w:szCs w:val="21"/>
          <w:vertAlign w:val="subscript"/>
        </w:rPr>
        <w:t>0</w:t>
      </w:r>
      <w:r>
        <w:rPr>
          <w:sz w:val="21"/>
          <w:szCs w:val="21"/>
        </w:rPr>
        <w:t>:S</w:t>
      </w:r>
      <w:r>
        <w:rPr>
          <w:sz w:val="21"/>
          <w:szCs w:val="21"/>
          <w:vertAlign w:val="subscript"/>
        </w:rPr>
        <w:t>p</w:t>
      </w:r>
      <w:r>
        <w:rPr>
          <w:sz w:val="21"/>
          <w:szCs w:val="21"/>
        </w:rPr>
        <w:t xml:space="preserve"> - S</w:t>
      </w:r>
      <w:r>
        <w:rPr>
          <w:sz w:val="21"/>
          <w:szCs w:val="21"/>
          <w:vertAlign w:val="subscript"/>
        </w:rPr>
        <w:t xml:space="preserve">t </w:t>
      </w:r>
      <w:r>
        <w:rPr>
          <w:sz w:val="21"/>
          <w:szCs w:val="21"/>
        </w:rPr>
        <w:t>= d</w:t>
      </w:r>
      <w:r>
        <w:rPr>
          <w:sz w:val="21"/>
          <w:szCs w:val="21"/>
          <w:vertAlign w:val="subscript"/>
        </w:rPr>
        <w:t>0</w:t>
      </w:r>
    </w:p>
    <w:p w14:paraId="1AB05BE7">
      <w:pPr>
        <w:kinsoku w:val="0"/>
        <w:overflowPunct w:val="0"/>
        <w:snapToGrid w:val="0"/>
        <w:spacing w:afterLines="50" w:line="360" w:lineRule="auto"/>
        <w:jc w:val="both"/>
        <w:rPr>
          <w:sz w:val="21"/>
          <w:szCs w:val="21"/>
        </w:rPr>
      </w:pPr>
      <w:r>
        <w:rPr>
          <w:sz w:val="21"/>
          <w:szCs w:val="21"/>
        </w:rPr>
        <w:t>H</w:t>
      </w:r>
      <w:r>
        <w:rPr>
          <w:sz w:val="21"/>
          <w:szCs w:val="21"/>
          <w:vertAlign w:val="subscript"/>
        </w:rPr>
        <w:t>a</w:t>
      </w:r>
      <w:r>
        <w:rPr>
          <w:sz w:val="21"/>
          <w:szCs w:val="21"/>
        </w:rPr>
        <w:t>:S</w:t>
      </w:r>
      <w:r>
        <w:rPr>
          <w:sz w:val="21"/>
          <w:szCs w:val="21"/>
          <w:vertAlign w:val="subscript"/>
        </w:rPr>
        <w:t>p</w:t>
      </w:r>
      <w:r>
        <w:rPr>
          <w:sz w:val="21"/>
          <w:szCs w:val="21"/>
        </w:rPr>
        <w:t xml:space="preserve"> - S</w:t>
      </w:r>
      <w:r>
        <w:rPr>
          <w:sz w:val="21"/>
          <w:szCs w:val="21"/>
          <w:vertAlign w:val="subscript"/>
        </w:rPr>
        <w:t>t</w:t>
      </w:r>
      <w:r>
        <w:rPr>
          <w:sz w:val="21"/>
          <w:szCs w:val="21"/>
        </w:rPr>
        <w:t>&lt; d</w:t>
      </w:r>
      <w:r>
        <w:rPr>
          <w:sz w:val="21"/>
          <w:szCs w:val="21"/>
          <w:vertAlign w:val="subscript"/>
        </w:rPr>
        <w:t>0</w:t>
      </w:r>
    </w:p>
    <w:p w14:paraId="579CE906">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式中，</w:t>
      </w:r>
      <w:r>
        <w:rPr>
          <w:rFonts w:ascii="Times New Roman" w:hAnsi="Times New Roman" w:cs="Times New Roman"/>
          <w:sz w:val="21"/>
          <w:szCs w:val="21"/>
        </w:rPr>
        <w:t>S</w:t>
      </w:r>
      <w:r>
        <w:rPr>
          <w:rFonts w:ascii="Times New Roman" w:hAnsi="Times New Roman" w:cs="Times New Roman"/>
          <w:sz w:val="21"/>
          <w:szCs w:val="21"/>
          <w:vertAlign w:val="subscript"/>
        </w:rPr>
        <w:t>p</w:t>
      </w:r>
      <w:r>
        <w:rPr>
          <w:rFonts w:hint="eastAsia" w:ascii="Times New Roman" w:hAnsi="Times New Roman" w:cs="宋体"/>
          <w:sz w:val="21"/>
          <w:szCs w:val="21"/>
        </w:rPr>
        <w:t>和</w:t>
      </w:r>
      <w:r>
        <w:rPr>
          <w:rFonts w:ascii="Times New Roman" w:hAnsi="Times New Roman" w:cs="Times New Roman"/>
          <w:sz w:val="21"/>
          <w:szCs w:val="21"/>
        </w:rPr>
        <w:t>S</w:t>
      </w:r>
      <w:r>
        <w:rPr>
          <w:rFonts w:ascii="Times New Roman" w:hAnsi="Times New Roman" w:cs="Times New Roman"/>
          <w:sz w:val="21"/>
          <w:szCs w:val="21"/>
          <w:vertAlign w:val="subscript"/>
        </w:rPr>
        <w:t>t</w:t>
      </w:r>
      <w:r>
        <w:rPr>
          <w:rFonts w:hint="eastAsia" w:ascii="Times New Roman" w:hAnsi="Times New Roman" w:cs="宋体"/>
          <w:sz w:val="21"/>
          <w:szCs w:val="21"/>
        </w:rPr>
        <w:t>是实质等同对比呼吸暂停监护仪和受试呼吸暂停监护仪的敏感性。</w:t>
      </w:r>
    </w:p>
    <w:p w14:paraId="3B460A2E">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鉴于不同个体的呼吸暂停率有很大可变性，因此很难准确预测样本量。因此您可能会希望在计算样本量之后执行序列研究。如果您选择序列研究，则需要提前指定停止规则。</w:t>
      </w:r>
    </w:p>
    <w:p w14:paraId="596BF8BB">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您应明确说明您的统计性假设，并将它们表示为适当变量、参数和决策规则。您的报告应包含详细研究方案、所有患者的总结数据（以表格形式）和上述所有临床诊断度量的总结结果。</w:t>
      </w:r>
    </w:p>
    <w:p w14:paraId="54F012DA">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87" w:name="_Toc496720512"/>
      <w:r>
        <w:rPr>
          <w:rFonts w:hint="eastAsia" w:ascii="Times New Roman" w:hAnsi="Times New Roman" w:cs="宋体"/>
          <w:sz w:val="21"/>
          <w:szCs w:val="21"/>
          <w:u w:val="double"/>
        </w:rPr>
        <w:t>回到顶部</w:t>
      </w:r>
      <w:bookmarkEnd w:id="87"/>
    </w:p>
    <w:p w14:paraId="01C05823">
      <w:pPr>
        <w:numPr>
          <w:ilvl w:val="0"/>
          <w:numId w:val="1"/>
        </w:numPr>
        <w:pBdr>
          <w:top w:val="single" w:color="BFBFBF" w:sz="12" w:space="1"/>
        </w:pBdr>
        <w:tabs>
          <w:tab w:val="left" w:pos="676"/>
        </w:tabs>
        <w:kinsoku w:val="0"/>
        <w:overflowPunct w:val="0"/>
        <w:snapToGrid w:val="0"/>
        <w:spacing w:afterLines="50" w:line="360" w:lineRule="auto"/>
        <w:ind w:firstLine="0"/>
        <w:jc w:val="both"/>
        <w:outlineLvl w:val="0"/>
        <w:rPr>
          <w:sz w:val="28"/>
          <w:szCs w:val="28"/>
        </w:rPr>
      </w:pPr>
      <w:bookmarkStart w:id="88" w:name="_Toc496720513"/>
      <w:r>
        <w:rPr>
          <w:rFonts w:hint="eastAsia" w:cs="宋体"/>
          <w:b/>
          <w:bCs/>
          <w:sz w:val="28"/>
          <w:szCs w:val="28"/>
        </w:rPr>
        <w:t>标签</w:t>
      </w:r>
      <w:bookmarkEnd w:id="88"/>
    </w:p>
    <w:p w14:paraId="298FE238">
      <w:pPr>
        <w:pStyle w:val="5"/>
        <w:kinsoku w:val="0"/>
        <w:overflowPunct w:val="0"/>
        <w:snapToGrid w:val="0"/>
        <w:spacing w:afterLines="50" w:line="360" w:lineRule="auto"/>
        <w:ind w:left="0"/>
        <w:rPr>
          <w:rFonts w:ascii="Times New Roman" w:hAnsi="Times New Roman" w:cs="Times New Roman"/>
          <w:sz w:val="21"/>
          <w:szCs w:val="21"/>
        </w:rPr>
      </w:pPr>
      <w:r>
        <w:rPr>
          <w:rFonts w:ascii="Times New Roman" w:hAnsi="Times New Roman" w:cs="Times New Roman"/>
          <w:sz w:val="21"/>
          <w:szCs w:val="21"/>
        </w:rPr>
        <w:br w:type="page"/>
      </w:r>
      <w:r>
        <w:rPr>
          <w:rFonts w:hint="eastAsia" w:ascii="Times New Roman" w:hAnsi="Times New Roman" w:cs="宋体"/>
          <w:sz w:val="21"/>
          <w:szCs w:val="21"/>
        </w:rPr>
        <w:t>上市前通知应包含足够详细的标签，以满足</w:t>
      </w:r>
      <w:r>
        <w:fldChar w:fldCharType="begin"/>
      </w:r>
      <w:r>
        <w:instrText xml:space="preserve"> HYPERLINK "http://www.accessdata.fda.gov/scripts/cdrh/cfdocs/cfcfr/CFRSearch.cfm?FR=807.87" </w:instrText>
      </w:r>
      <w:r>
        <w:fldChar w:fldCharType="separate"/>
      </w:r>
      <w:r>
        <w:rPr>
          <w:rFonts w:ascii="Times New Roman" w:hAnsi="Times New Roman" w:cs="Times New Roman"/>
          <w:b/>
          <w:bCs/>
          <w:sz w:val="21"/>
          <w:szCs w:val="21"/>
          <w:u w:val="double"/>
        </w:rPr>
        <w:t>21 CFR 807.87(e)</w:t>
      </w:r>
      <w:r>
        <w:rPr>
          <w:rFonts w:ascii="Times New Roman" w:hAnsi="Times New Roman" w:cs="Times New Roman"/>
          <w:b/>
          <w:bCs/>
          <w:sz w:val="21"/>
          <w:szCs w:val="21"/>
          <w:u w:val="double"/>
        </w:rPr>
        <w:fldChar w:fldCharType="end"/>
      </w:r>
      <w:r>
        <w:fldChar w:fldCharType="begin"/>
      </w:r>
      <w:r>
        <w:instrText xml:space="preserve"> HYPERLINK "http://www.accessdata.fda.gov/scripts/cdrh/cfdocs/cfcfr/CFRSearch.cfm?FR=807.87" </w:instrText>
      </w:r>
      <w:r>
        <w:fldChar w:fldCharType="separate"/>
      </w:r>
      <w:r>
        <w:rPr>
          <w:rFonts w:hint="eastAsia" w:ascii="Times New Roman" w:hAnsi="Times New Roman" w:cs="宋体"/>
          <w:b/>
          <w:bCs/>
          <w:sz w:val="21"/>
          <w:szCs w:val="21"/>
          <w:u w:val="double"/>
        </w:rPr>
        <w:t>（</w:t>
      </w:r>
      <w:r>
        <w:rPr>
          <w:rFonts w:ascii="Times New Roman" w:hAnsi="Times New Roman" w:cs="Times New Roman"/>
          <w:b/>
          <w:bCs/>
          <w:sz w:val="21"/>
          <w:szCs w:val="21"/>
          <w:u w:val="double"/>
        </w:rPr>
        <w:t>http://www.accessdata.fda.gov/scripts/cdrh/cfdocs/cfcfr/CFRSearch.cfm?FR=807.87</w:t>
      </w:r>
      <w:r>
        <w:rPr>
          <w:rFonts w:hint="eastAsia" w:ascii="Times New Roman" w:hAnsi="Times New Roman" w:cs="宋体"/>
          <w:b/>
          <w:bCs/>
          <w:sz w:val="21"/>
          <w:szCs w:val="21"/>
          <w:u w:val="double"/>
        </w:rPr>
        <w:t>）</w:t>
      </w:r>
      <w:r>
        <w:rPr>
          <w:rFonts w:hint="eastAsia" w:ascii="Times New Roman" w:hAnsi="Times New Roman" w:cs="宋体"/>
          <w:b/>
          <w:bCs/>
          <w:sz w:val="21"/>
          <w:szCs w:val="21"/>
          <w:u w:val="double"/>
        </w:rPr>
        <w:fldChar w:fldCharType="end"/>
      </w:r>
      <w:r>
        <w:rPr>
          <w:rFonts w:hint="eastAsia" w:ascii="Times New Roman" w:hAnsi="Times New Roman" w:cs="宋体"/>
          <w:sz w:val="21"/>
          <w:szCs w:val="21"/>
        </w:rPr>
        <w:t>的要求。以下建议旨在帮助您编写符合</w:t>
      </w:r>
      <w:r>
        <w:rPr>
          <w:rFonts w:ascii="Times New Roman" w:hAnsi="Times New Roman" w:cs="Times New Roman"/>
          <w:sz w:val="21"/>
          <w:szCs w:val="21"/>
        </w:rPr>
        <w:t>21 CFR 807.87(e)</w:t>
      </w:r>
      <w:r>
        <w:rPr>
          <w:rFonts w:hint="eastAsia" w:ascii="Times New Roman" w:hAnsi="Times New Roman" w:cs="宋体"/>
          <w:sz w:val="21"/>
          <w:szCs w:val="21"/>
        </w:rPr>
        <w:t>要求的标签。</w:t>
      </w:r>
      <w:r>
        <w:rPr>
          <w:rFonts w:ascii="Times New Roman" w:hAnsi="Times New Roman" w:cs="Times New Roman"/>
          <w:sz w:val="21"/>
          <w:szCs w:val="21"/>
          <w:vertAlign w:val="superscript"/>
        </w:rPr>
        <w:t>6</w:t>
      </w:r>
    </w:p>
    <w:p w14:paraId="40D95B29">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89" w:name="_Toc496720514"/>
      <w:r>
        <w:rPr>
          <w:rFonts w:hint="eastAsia" w:ascii="Times New Roman" w:hAnsi="Times New Roman" w:cs="宋体"/>
          <w:sz w:val="21"/>
          <w:szCs w:val="21"/>
        </w:rPr>
        <w:t>处方器械</w:t>
      </w:r>
      <w:bookmarkEnd w:id="89"/>
    </w:p>
    <w:p w14:paraId="6087F4C5">
      <w:pPr>
        <w:kinsoku w:val="0"/>
        <w:overflowPunct w:val="0"/>
        <w:snapToGrid w:val="0"/>
        <w:spacing w:afterLines="50" w:line="360" w:lineRule="auto"/>
        <w:rPr>
          <w:sz w:val="21"/>
          <w:szCs w:val="21"/>
        </w:rPr>
      </w:pPr>
      <w:r>
        <w:fldChar w:fldCharType="begin"/>
      </w:r>
      <w:r>
        <w:instrText xml:space="preserve"> HYPERLINK "http://www.accessdata.fda.gov/scripts/cdrh/cfdocs/cfcfr/CFRSearch.cfm?FR=801.109" </w:instrText>
      </w:r>
      <w:r>
        <w:fldChar w:fldCharType="separate"/>
      </w:r>
      <w:r>
        <w:rPr>
          <w:rFonts w:hint="eastAsia" w:cs="宋体"/>
          <w:sz w:val="21"/>
          <w:szCs w:val="21"/>
        </w:rPr>
        <w:t>依据</w:t>
      </w:r>
      <w:r>
        <w:rPr>
          <w:b/>
          <w:bCs/>
          <w:sz w:val="21"/>
          <w:szCs w:val="21"/>
          <w:u w:val="double"/>
        </w:rPr>
        <w:t>21CFR801.109</w:t>
      </w:r>
      <w:r>
        <w:rPr>
          <w:rFonts w:hint="eastAsia" w:cs="宋体"/>
          <w:b/>
          <w:bCs/>
          <w:sz w:val="21"/>
          <w:szCs w:val="21"/>
          <w:u w:val="double"/>
        </w:rPr>
        <w:t>（</w:t>
      </w:r>
      <w:r>
        <w:rPr>
          <w:b/>
          <w:bCs/>
          <w:sz w:val="21"/>
          <w:szCs w:val="21"/>
          <w:u w:val="double"/>
        </w:rPr>
        <w:t>http://www.accessdata.fda.gov/scripts/cdrh/cfdocs/cfcfr/CFRSearch.cfm?FR=801.109</w:t>
      </w:r>
      <w:r>
        <w:rPr>
          <w:rFonts w:hint="eastAsia" w:cs="宋体"/>
          <w:b/>
          <w:bCs/>
          <w:sz w:val="21"/>
          <w:szCs w:val="21"/>
          <w:u w:val="double"/>
        </w:rPr>
        <w:t>）</w:t>
      </w:r>
      <w:r>
        <w:rPr>
          <w:rFonts w:hint="eastAsia" w:cs="宋体"/>
          <w:b/>
          <w:bCs/>
          <w:sz w:val="21"/>
          <w:szCs w:val="21"/>
          <w:u w:val="double"/>
        </w:rPr>
        <w:fldChar w:fldCharType="end"/>
      </w:r>
      <w:r>
        <w:rPr>
          <w:rFonts w:hint="eastAsia" w:cs="宋体"/>
          <w:sz w:val="21"/>
          <w:szCs w:val="21"/>
        </w:rPr>
        <w:t>，呼吸暂停监护仪必须粘贴以下小心声明：“小心：联邦法律规定，非医师或无医嘱不得出售此器械。”</w:t>
      </w:r>
    </w:p>
    <w:p w14:paraId="13EC6439">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90" w:name="_Toc496720515"/>
      <w:r>
        <w:rPr>
          <w:rFonts w:hint="eastAsia" w:ascii="Times New Roman" w:hAnsi="Times New Roman" w:cs="宋体"/>
          <w:sz w:val="21"/>
          <w:szCs w:val="21"/>
        </w:rPr>
        <w:t>禁忌证</w:t>
      </w:r>
      <w:bookmarkEnd w:id="90"/>
    </w:p>
    <w:p w14:paraId="010689E0">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如果您的器械只可检测中枢性呼吸暂停，则医疗从业者和护理员操作手册的第一段应说明禁止将该器械用于检测阻塞性呼吸暂停。例如：“不得将该器械用于检测阻塞性睡眠呼吸暂停。该器械无法检测阻塞性睡眠呼吸暂停。”</w:t>
      </w:r>
    </w:p>
    <w:p w14:paraId="08D06CF8">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91" w:name="_Toc496720516"/>
      <w:r>
        <w:rPr>
          <w:rFonts w:hint="eastAsia" w:ascii="Times New Roman" w:hAnsi="Times New Roman" w:cs="宋体"/>
          <w:sz w:val="21"/>
          <w:szCs w:val="21"/>
        </w:rPr>
        <w:t>警告和预防措施</w:t>
      </w:r>
      <w:bookmarkEnd w:id="91"/>
    </w:p>
    <w:p w14:paraId="58B7E1F4">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应在医疗从业者和护理员操作手册中纳入呼吸暂停监护仪中所示所有警告。</w:t>
      </w:r>
    </w:p>
    <w:p w14:paraId="326FF49C">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应在手册中提供使用说明和适当警告声明，以最大限度地降低由于电线和管路导致的窒息风险。这在该器械用在老年和儿科人群中时尤其重要。</w:t>
      </w:r>
    </w:p>
    <w:p w14:paraId="05B86C0B">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92" w:name="_Toc496720517"/>
      <w:r>
        <w:rPr>
          <w:rFonts w:hint="eastAsia" w:ascii="Times New Roman" w:hAnsi="Times New Roman" w:cs="宋体"/>
          <w:sz w:val="21"/>
          <w:szCs w:val="21"/>
        </w:rPr>
        <w:t>警告标签</w:t>
      </w:r>
      <w:bookmarkEnd w:id="92"/>
    </w:p>
    <w:p w14:paraId="3986188D">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应在预期用于家庭使用的呼吸暂停监护仪中粘贴以下标签。</w:t>
      </w:r>
    </w:p>
    <w:p w14:paraId="47DC0C10">
      <w:pPr>
        <w:pStyle w:val="5"/>
        <w:pBdr>
          <w:top w:val="single" w:color="BFBFBF" w:sz="12" w:space="1"/>
          <w:left w:val="single" w:color="BFBFBF" w:sz="12" w:space="4"/>
          <w:bottom w:val="single" w:color="BFBFBF" w:sz="12" w:space="1"/>
          <w:right w:val="single" w:color="BFBFBF" w:sz="12" w:space="4"/>
        </w:pBdr>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b/>
          <w:bCs/>
          <w:sz w:val="21"/>
          <w:szCs w:val="21"/>
        </w:rPr>
        <w:t>警告：</w:t>
      </w:r>
      <w:r>
        <w:rPr>
          <w:rFonts w:hint="eastAsia" w:ascii="Times New Roman" w:hAnsi="Times New Roman" w:cs="宋体"/>
          <w:sz w:val="21"/>
          <w:szCs w:val="21"/>
        </w:rPr>
        <w:t>不得连接通过墙上开关控制的电源插座。</w:t>
      </w:r>
    </w:p>
    <w:p w14:paraId="7624DE95">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93" w:name="_Toc496720518"/>
      <w:r>
        <w:rPr>
          <w:rFonts w:hint="eastAsia" w:ascii="Times New Roman" w:hAnsi="Times New Roman" w:cs="宋体"/>
          <w:sz w:val="21"/>
          <w:szCs w:val="21"/>
        </w:rPr>
        <w:t>使用说明</w:t>
      </w:r>
      <w:bookmarkEnd w:id="93"/>
    </w:p>
    <w:p w14:paraId="5D4ECFD6">
      <w:pPr>
        <w:kinsoku w:val="0"/>
        <w:overflowPunct w:val="0"/>
        <w:snapToGrid w:val="0"/>
        <w:spacing w:afterLines="50" w:line="360" w:lineRule="auto"/>
        <w:rPr>
          <w:sz w:val="21"/>
          <w:szCs w:val="21"/>
        </w:rPr>
      </w:pPr>
      <w:r>
        <w:fldChar w:fldCharType="begin"/>
      </w:r>
      <w:r>
        <w:instrText xml:space="preserve"> HYPERLINK "https://www.fda.gov/MedicalDevices/DeviceRegulationandGuidance/GuidanceDocuments/ucm070782.htm" </w:instrText>
      </w:r>
      <w:r>
        <w:fldChar w:fldCharType="separate"/>
      </w:r>
      <w:r>
        <w:rPr>
          <w:rFonts w:hint="eastAsia" w:cs="宋体"/>
          <w:sz w:val="21"/>
          <w:szCs w:val="21"/>
        </w:rPr>
        <w:t>医疗从业者和护理员操作手册均应包含器械的充分使用说明。开发家庭护理员（即：父母）的手册和使用说明时，请参考</w:t>
      </w:r>
      <w:r>
        <w:rPr>
          <w:sz w:val="21"/>
          <w:szCs w:val="21"/>
        </w:rPr>
        <w:t>FDA</w:t>
      </w:r>
      <w:r>
        <w:rPr>
          <w:rFonts w:hint="eastAsia" w:cs="宋体"/>
          <w:sz w:val="21"/>
          <w:szCs w:val="21"/>
        </w:rPr>
        <w:t>指南文件“</w:t>
      </w:r>
      <w:r>
        <w:rPr>
          <w:rFonts w:hint="eastAsia" w:cs="宋体"/>
          <w:b/>
          <w:bCs/>
          <w:sz w:val="21"/>
          <w:szCs w:val="21"/>
          <w:u w:val="double"/>
        </w:rPr>
        <w:t>医疗器械患者标签指南文件（</w:t>
      </w:r>
      <w:r>
        <w:rPr>
          <w:b/>
          <w:bCs/>
          <w:sz w:val="21"/>
          <w:szCs w:val="21"/>
          <w:u w:val="double"/>
        </w:rPr>
        <w:t>/MedicalDevices/DeviceRegulationandGuidance/GuidanceDocuments/ucm070782.htm</w:t>
      </w:r>
      <w:r>
        <w:rPr>
          <w:rFonts w:hint="eastAsia" w:cs="宋体"/>
          <w:b/>
          <w:bCs/>
          <w:sz w:val="21"/>
          <w:szCs w:val="21"/>
          <w:u w:val="double"/>
        </w:rPr>
        <w:t>）</w:t>
      </w:r>
      <w:r>
        <w:rPr>
          <w:rFonts w:hint="eastAsia" w:cs="宋体"/>
          <w:b/>
          <w:bCs/>
          <w:sz w:val="21"/>
          <w:szCs w:val="21"/>
          <w:u w:val="double"/>
        </w:rPr>
        <w:fldChar w:fldCharType="end"/>
      </w:r>
      <w:r>
        <w:rPr>
          <w:rFonts w:hint="eastAsia" w:cs="宋体"/>
          <w:sz w:val="21"/>
          <w:szCs w:val="21"/>
        </w:rPr>
        <w:t>”。</w:t>
      </w:r>
    </w:p>
    <w:p w14:paraId="0E183408">
      <w:pPr>
        <w:kinsoku w:val="0"/>
        <w:overflowPunct w:val="0"/>
        <w:snapToGrid w:val="0"/>
        <w:spacing w:afterLines="50" w:line="360" w:lineRule="auto"/>
        <w:jc w:val="both"/>
        <w:rPr>
          <w:sz w:val="21"/>
          <w:szCs w:val="21"/>
        </w:rPr>
      </w:pPr>
    </w:p>
    <w:p w14:paraId="2C17574D">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br w:type="page"/>
      </w:r>
      <w:r>
        <w:rPr>
          <w:rFonts w:hint="eastAsia" w:ascii="Times New Roman" w:hAnsi="Times New Roman" w:cs="宋体"/>
          <w:sz w:val="21"/>
          <w:szCs w:val="21"/>
        </w:rPr>
        <w:t>本文件包含供制造商开发医疗器械标签的信息，并提供了指导，以确保标签可理解，并可供患者、护理患者的家庭成员或其他非专业人士使用。</w:t>
      </w:r>
    </w:p>
    <w:p w14:paraId="116D8CFB">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护理员手册应包含护理员接受心肺复苏术培训的建议。此外，该手册还应包含远程报警装置适当用途的论述。</w:t>
      </w:r>
    </w:p>
    <w:p w14:paraId="5E2ED0D0">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操作员信息应讨论可能会影响监护仪的安全和有效使用或运行的已知或可识别环境条件。</w:t>
      </w:r>
    </w:p>
    <w:p w14:paraId="21DCEEB3">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94" w:name="_Toc496720519"/>
      <w:r>
        <w:rPr>
          <w:rFonts w:hint="eastAsia" w:ascii="Times New Roman" w:hAnsi="Times New Roman" w:cs="宋体"/>
          <w:sz w:val="21"/>
          <w:szCs w:val="21"/>
        </w:rPr>
        <w:t>临床诊断度量</w:t>
      </w:r>
      <w:bookmarkEnd w:id="94"/>
    </w:p>
    <w:p w14:paraId="10204302">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医疗从业者手册应描述针对器械执行的临床评价。该信息应总结研究方法和所执行分析。</w:t>
      </w:r>
    </w:p>
    <w:p w14:paraId="577D5B0F">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医疗从业者和护理员操作手册均应提供</w:t>
      </w:r>
      <w:r>
        <w:rPr>
          <w:rFonts w:hint="eastAsia" w:ascii="Times New Roman" w:hAnsi="Times New Roman" w:cs="宋体"/>
          <w:b/>
          <w:bCs/>
          <w:sz w:val="21"/>
          <w:szCs w:val="21"/>
          <w:u w:val="double"/>
        </w:rPr>
        <w:t>第</w:t>
      </w:r>
      <w:r>
        <w:rPr>
          <w:rFonts w:ascii="Times New Roman" w:hAnsi="Times New Roman" w:cs="Times New Roman"/>
          <w:b/>
          <w:bCs/>
          <w:sz w:val="21"/>
          <w:szCs w:val="21"/>
          <w:u w:val="double"/>
        </w:rPr>
        <w:t>14</w:t>
      </w:r>
      <w:r>
        <w:rPr>
          <w:rFonts w:hint="eastAsia" w:ascii="Times New Roman" w:hAnsi="Times New Roman" w:cs="宋体"/>
          <w:b/>
          <w:bCs/>
          <w:sz w:val="21"/>
          <w:szCs w:val="21"/>
          <w:u w:val="double"/>
        </w:rPr>
        <w:t>节</w:t>
      </w:r>
      <w:r>
        <w:rPr>
          <w:rFonts w:hint="eastAsia" w:ascii="Times New Roman" w:hAnsi="Times New Roman" w:cs="宋体"/>
          <w:sz w:val="21"/>
          <w:szCs w:val="21"/>
        </w:rPr>
        <w:t>定义的临床诊断度量：敏感性、阳性预测值、误警率和误报警百分比。两份手册均应解释说明这些诊断度量的含义。例如：</w:t>
      </w:r>
      <w:r>
        <w:rPr>
          <w:rFonts w:ascii="Times New Roman" w:hAnsi="Times New Roman" w:cs="Times New Roman"/>
          <w:sz w:val="21"/>
          <w:szCs w:val="21"/>
        </w:rPr>
        <w:t>90%</w:t>
      </w:r>
      <w:r>
        <w:rPr>
          <w:rFonts w:hint="eastAsia" w:ascii="Times New Roman" w:hAnsi="Times New Roman" w:cs="宋体"/>
          <w:sz w:val="21"/>
          <w:szCs w:val="21"/>
        </w:rPr>
        <w:t>灵敏度的含义：“该监护仪将发出</w:t>
      </w:r>
      <w:r>
        <w:rPr>
          <w:rFonts w:ascii="Times New Roman" w:hAnsi="Times New Roman" w:cs="Times New Roman"/>
          <w:sz w:val="21"/>
          <w:szCs w:val="21"/>
        </w:rPr>
        <w:t>9/10</w:t>
      </w:r>
      <w:r>
        <w:rPr>
          <w:rFonts w:hint="eastAsia" w:ascii="Times New Roman" w:hAnsi="Times New Roman" w:cs="宋体"/>
          <w:sz w:val="21"/>
          <w:szCs w:val="21"/>
        </w:rPr>
        <w:t>的窒息发作报警。可能会错过</w:t>
      </w:r>
      <w:r>
        <w:rPr>
          <w:rFonts w:ascii="Times New Roman" w:hAnsi="Times New Roman" w:cs="Times New Roman"/>
          <w:sz w:val="21"/>
          <w:szCs w:val="21"/>
        </w:rPr>
        <w:t>1/10</w:t>
      </w:r>
      <w:r>
        <w:rPr>
          <w:rFonts w:hint="eastAsia" w:ascii="Times New Roman" w:hAnsi="Times New Roman" w:cs="宋体"/>
          <w:sz w:val="21"/>
          <w:szCs w:val="21"/>
        </w:rPr>
        <w:t>的窒息发作。”</w:t>
      </w:r>
    </w:p>
    <w:p w14:paraId="4A8B7199">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如果您在医疗从业者和护理员操作手册中包含任何其他临床诊断度量，则应清晰并且简洁地描述临床诊断度量。管理局将单独评价每个此类临床诊断度量的使用。</w:t>
      </w:r>
    </w:p>
    <w:p w14:paraId="49436491">
      <w:pPr>
        <w:pStyle w:val="3"/>
        <w:pBdr>
          <w:bottom w:val="single" w:color="BFBFBF" w:sz="12" w:space="1"/>
        </w:pBdr>
        <w:kinsoku w:val="0"/>
        <w:overflowPunct w:val="0"/>
        <w:snapToGrid w:val="0"/>
        <w:spacing w:afterLines="50" w:line="360" w:lineRule="auto"/>
        <w:ind w:left="0"/>
        <w:jc w:val="both"/>
        <w:rPr>
          <w:rFonts w:ascii="Times New Roman" w:hAnsi="Times New Roman" w:cs="Times New Roman"/>
          <w:b w:val="0"/>
          <w:bCs w:val="0"/>
          <w:sz w:val="21"/>
          <w:szCs w:val="21"/>
        </w:rPr>
      </w:pPr>
      <w:bookmarkStart w:id="95" w:name="_Toc496720520"/>
      <w:r>
        <w:rPr>
          <w:rFonts w:hint="eastAsia" w:ascii="Times New Roman" w:hAnsi="Times New Roman" w:cs="宋体"/>
          <w:sz w:val="21"/>
          <w:szCs w:val="21"/>
          <w:u w:val="double"/>
        </w:rPr>
        <w:t>回到顶部</w:t>
      </w:r>
      <w:bookmarkEnd w:id="95"/>
    </w:p>
    <w:p w14:paraId="75F4CBA1">
      <w:pPr>
        <w:kinsoku w:val="0"/>
        <w:overflowPunct w:val="0"/>
        <w:snapToGrid w:val="0"/>
        <w:spacing w:afterLines="50" w:line="360" w:lineRule="auto"/>
        <w:rPr>
          <w:sz w:val="21"/>
          <w:szCs w:val="21"/>
        </w:rPr>
      </w:pPr>
      <w:r>
        <w:rPr>
          <w:sz w:val="21"/>
          <w:szCs w:val="21"/>
          <w:vertAlign w:val="superscript"/>
        </w:rPr>
        <w:t>1</w:t>
      </w:r>
      <w:r>
        <w:fldChar w:fldCharType="begin"/>
      </w:r>
      <w:r>
        <w:instrText xml:space="preserve"> HYPERLINK "https://www.fda.gov/MedicalDevices/DeviceRegulationandGuidance/GuidanceDocuments/ucm080187.htm" </w:instrText>
      </w:r>
      <w:r>
        <w:fldChar w:fldCharType="separate"/>
      </w:r>
      <w:r>
        <w:rPr>
          <w:rFonts w:hint="eastAsia" w:cs="宋体"/>
          <w:b/>
          <w:bCs/>
          <w:sz w:val="21"/>
          <w:szCs w:val="21"/>
          <w:u w:val="double"/>
        </w:rPr>
        <w:t>新</w:t>
      </w:r>
      <w:r>
        <w:rPr>
          <w:b/>
          <w:bCs/>
          <w:sz w:val="21"/>
          <w:szCs w:val="21"/>
          <w:u w:val="double"/>
        </w:rPr>
        <w:t>510(k)</w:t>
      </w:r>
      <w:r>
        <w:rPr>
          <w:rFonts w:hint="eastAsia" w:cs="宋体"/>
          <w:b/>
          <w:bCs/>
          <w:sz w:val="21"/>
          <w:szCs w:val="21"/>
          <w:u w:val="double"/>
        </w:rPr>
        <w:t>模式（</w:t>
      </w:r>
      <w:r>
        <w:rPr>
          <w:b/>
          <w:bCs/>
          <w:sz w:val="21"/>
          <w:szCs w:val="21"/>
          <w:u w:val="double"/>
        </w:rPr>
        <w:t>/MedicalDevices/DeviceRegulationandGuidance/GuidanceDocuments/ucm080187.htm</w:t>
      </w:r>
      <w:r>
        <w:rPr>
          <w:rFonts w:hint="eastAsia" w:cs="宋体"/>
          <w:b/>
          <w:bCs/>
          <w:sz w:val="21"/>
          <w:szCs w:val="21"/>
          <w:u w:val="double"/>
        </w:rPr>
        <w:t>）</w:t>
      </w:r>
      <w:r>
        <w:rPr>
          <w:rFonts w:hint="eastAsia" w:cs="宋体"/>
          <w:b/>
          <w:bCs/>
          <w:sz w:val="21"/>
          <w:szCs w:val="21"/>
          <w:u w:val="double"/>
        </w:rPr>
        <w:fldChar w:fldCharType="end"/>
      </w:r>
    </w:p>
    <w:p w14:paraId="69EF92F6">
      <w:pPr>
        <w:kinsoku w:val="0"/>
        <w:overflowPunct w:val="0"/>
        <w:snapToGrid w:val="0"/>
        <w:spacing w:afterLines="50" w:line="360" w:lineRule="auto"/>
        <w:rPr>
          <w:sz w:val="21"/>
          <w:szCs w:val="21"/>
        </w:rPr>
      </w:pPr>
      <w:r>
        <w:rPr>
          <w:sz w:val="21"/>
          <w:szCs w:val="21"/>
          <w:vertAlign w:val="superscript"/>
        </w:rPr>
        <w:t>2</w:t>
      </w:r>
      <w:r>
        <w:rPr>
          <w:rFonts w:hint="eastAsia" w:cs="宋体"/>
          <w:sz w:val="21"/>
          <w:szCs w:val="21"/>
        </w:rPr>
        <w:t>有关建议格式，参考</w:t>
      </w:r>
      <w:r>
        <w:rPr>
          <w:rFonts w:hint="eastAsia" w:cs="宋体"/>
          <w:b/>
          <w:bCs/>
          <w:sz w:val="21"/>
          <w:szCs w:val="21"/>
        </w:rPr>
        <w:t>使用适应症表格（</w:t>
      </w:r>
      <w:r>
        <w:rPr>
          <w:b/>
          <w:bCs/>
          <w:sz w:val="21"/>
          <w:szCs w:val="21"/>
        </w:rPr>
        <w:t>http://www.fda.gov/downloads/aboutfda/reportsmanualsforms/forms/ucm360431.pdf</w:t>
      </w:r>
      <w:r>
        <w:rPr>
          <w:rFonts w:hint="eastAsia" w:cs="宋体"/>
          <w:b/>
          <w:bCs/>
          <w:sz w:val="21"/>
          <w:szCs w:val="21"/>
        </w:rPr>
        <w:t>）</w:t>
      </w:r>
      <w:r>
        <w:rPr>
          <w:rFonts w:hint="eastAsia" w:cs="宋体"/>
          <w:sz w:val="21"/>
          <w:szCs w:val="21"/>
        </w:rPr>
        <w:t>（</w:t>
      </w:r>
      <w:r>
        <w:rPr>
          <w:sz w:val="21"/>
          <w:szCs w:val="21"/>
        </w:rPr>
        <w:t>PDF</w:t>
      </w:r>
      <w:r>
        <w:rPr>
          <w:rFonts w:hint="eastAsia" w:cs="宋体"/>
          <w:sz w:val="21"/>
          <w:szCs w:val="21"/>
        </w:rPr>
        <w:t>文件大小：</w:t>
      </w:r>
      <w:r>
        <w:rPr>
          <w:sz w:val="21"/>
          <w:szCs w:val="21"/>
        </w:rPr>
        <w:t>1.03MB</w:t>
      </w:r>
      <w:r>
        <w:rPr>
          <w:rFonts w:hint="eastAsia" w:cs="宋体"/>
          <w:sz w:val="21"/>
          <w:szCs w:val="21"/>
        </w:rPr>
        <w:t>）。</w:t>
      </w:r>
    </w:p>
    <w:p w14:paraId="52A42142">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vertAlign w:val="superscript"/>
        </w:rPr>
        <w:t>3</w:t>
      </w:r>
      <w:r>
        <w:fldChar w:fldCharType="begin"/>
      </w:r>
      <w:r>
        <w:instrText xml:space="preserve"> HYPERLINK "file://F:\\北京杏林医联翻译中心-专职审校及翻译\\201710\\09142%20CFDA%20待校对（10.31交）\\09142%20CFDA%20待校对（10.31交）\\待校对-齐\\如果FDA根据验收标准确定实质等同性，则应在引入州际贸易之前测试受试器械，并证实其符合这些验收标准。如果成品器械不符合验收标准，并因此不同于许可510(k)所示器械，则FDA建议提交者应用被用于评估合格上市器械改造的标准（21CFR%20807.81(a)(3)（http:\\www.accessdata.fda.gov\\scripts\\cdrh\\cfdocs\\cfcfr\\CFRSearch.cfm?FR=807.81）" </w:instrText>
      </w:r>
      <w:r>
        <w:fldChar w:fldCharType="separate"/>
      </w:r>
      <w:r>
        <w:rPr>
          <w:rStyle w:val="15"/>
          <w:rFonts w:hint="eastAsia" w:ascii="Times New Roman" w:hAnsi="Times New Roman" w:cs="宋体"/>
          <w:color w:val="auto"/>
          <w:sz w:val="21"/>
          <w:szCs w:val="21"/>
        </w:rPr>
        <w:t>如果</w:t>
      </w:r>
      <w:r>
        <w:rPr>
          <w:rStyle w:val="15"/>
          <w:rFonts w:ascii="Times New Roman" w:hAnsi="Times New Roman" w:cs="Times New Roman"/>
          <w:color w:val="auto"/>
          <w:sz w:val="21"/>
          <w:szCs w:val="21"/>
        </w:rPr>
        <w:t>FDA</w:t>
      </w:r>
      <w:r>
        <w:rPr>
          <w:rStyle w:val="15"/>
          <w:rFonts w:hint="eastAsia" w:ascii="Times New Roman" w:hAnsi="Times New Roman" w:cs="宋体"/>
          <w:color w:val="auto"/>
          <w:sz w:val="21"/>
          <w:szCs w:val="21"/>
        </w:rPr>
        <w:t>根据验收标准确定实质等同性，则应在引入州际贸易之前测试受试器械，并证实其符合这些验收标准。如果成品器械不符合验收标准，并因此不同于许可</w:t>
      </w:r>
      <w:r>
        <w:rPr>
          <w:rStyle w:val="15"/>
          <w:rFonts w:ascii="Times New Roman" w:hAnsi="Times New Roman" w:cs="Times New Roman"/>
          <w:color w:val="auto"/>
          <w:sz w:val="21"/>
          <w:szCs w:val="21"/>
        </w:rPr>
        <w:t>510(k)</w:t>
      </w:r>
      <w:r>
        <w:rPr>
          <w:rStyle w:val="15"/>
          <w:rFonts w:hint="eastAsia" w:ascii="Times New Roman" w:hAnsi="Times New Roman" w:cs="宋体"/>
          <w:color w:val="auto"/>
          <w:sz w:val="21"/>
          <w:szCs w:val="21"/>
        </w:rPr>
        <w:t>所示器械，则</w:t>
      </w:r>
      <w:r>
        <w:rPr>
          <w:rStyle w:val="15"/>
          <w:rFonts w:ascii="Times New Roman" w:hAnsi="Times New Roman" w:cs="Times New Roman"/>
          <w:color w:val="auto"/>
          <w:sz w:val="21"/>
          <w:szCs w:val="21"/>
        </w:rPr>
        <w:t>FDA</w:t>
      </w:r>
      <w:r>
        <w:rPr>
          <w:rStyle w:val="15"/>
          <w:rFonts w:hint="eastAsia" w:ascii="Times New Roman" w:hAnsi="Times New Roman" w:cs="宋体"/>
          <w:color w:val="auto"/>
          <w:sz w:val="21"/>
          <w:szCs w:val="21"/>
        </w:rPr>
        <w:t>建议提交者应用被用于评估合格上市器械改造的标准（</w:t>
      </w:r>
      <w:r>
        <w:rPr>
          <w:rStyle w:val="15"/>
          <w:rFonts w:ascii="Times New Roman" w:hAnsi="Times New Roman" w:cs="Times New Roman"/>
          <w:color w:val="auto"/>
          <w:sz w:val="21"/>
          <w:szCs w:val="21"/>
        </w:rPr>
        <w:t>21CFR 807.81(a)(3)</w:t>
      </w:r>
      <w:r>
        <w:rPr>
          <w:rStyle w:val="15"/>
          <w:rFonts w:hint="eastAsia" w:ascii="Times New Roman" w:hAnsi="Times New Roman" w:cs="宋体"/>
          <w:color w:val="auto"/>
          <w:sz w:val="21"/>
          <w:szCs w:val="21"/>
        </w:rPr>
        <w:t>（</w:t>
      </w:r>
      <w:r>
        <w:rPr>
          <w:rStyle w:val="15"/>
          <w:rFonts w:ascii="Times New Roman" w:hAnsi="Times New Roman" w:cs="Times New Roman"/>
          <w:color w:val="auto"/>
          <w:sz w:val="21"/>
          <w:szCs w:val="21"/>
        </w:rPr>
        <w:t>http://www.accessdata.fda.gov/scripts/cdrh/cfdocs/cfcfr/CFRSearch.cfm?FR=807.81</w:t>
      </w:r>
      <w:r>
        <w:rPr>
          <w:rStyle w:val="15"/>
          <w:rFonts w:hint="eastAsia" w:ascii="Times New Roman" w:hAnsi="Times New Roman" w:cs="宋体"/>
          <w:color w:val="auto"/>
          <w:sz w:val="21"/>
          <w:szCs w:val="21"/>
        </w:rPr>
        <w:t>）</w:t>
      </w:r>
      <w:r>
        <w:rPr>
          <w:rStyle w:val="15"/>
          <w:rFonts w:hint="eastAsia" w:ascii="Times New Roman" w:hAnsi="Times New Roman" w:cs="宋体"/>
          <w:color w:val="auto"/>
          <w:sz w:val="21"/>
          <w:szCs w:val="21"/>
        </w:rPr>
        <w:fldChar w:fldCharType="end"/>
      </w:r>
      <w:r>
        <w:rPr>
          <w:rFonts w:hint="eastAsia" w:ascii="Times New Roman" w:hAnsi="Times New Roman" w:cs="宋体"/>
          <w:sz w:val="21"/>
          <w:szCs w:val="21"/>
        </w:rPr>
        <w:t>），以确定成品器械的上市是否需要新</w:t>
      </w:r>
      <w:r>
        <w:rPr>
          <w:rFonts w:ascii="Times New Roman" w:hAnsi="Times New Roman" w:cs="Times New Roman"/>
          <w:sz w:val="21"/>
          <w:szCs w:val="21"/>
        </w:rPr>
        <w:t>510(k)</w:t>
      </w:r>
      <w:r>
        <w:rPr>
          <w:rFonts w:hint="eastAsia" w:ascii="Times New Roman" w:hAnsi="Times New Roman" w:cs="宋体"/>
          <w:sz w:val="21"/>
          <w:szCs w:val="21"/>
        </w:rPr>
        <w:t>的许可。</w:t>
      </w:r>
    </w:p>
    <w:p w14:paraId="18EA7C0A">
      <w:pPr>
        <w:kinsoku w:val="0"/>
        <w:overflowPunct w:val="0"/>
        <w:snapToGrid w:val="0"/>
        <w:spacing w:afterLines="50" w:line="360" w:lineRule="auto"/>
        <w:jc w:val="both"/>
        <w:rPr>
          <w:sz w:val="21"/>
          <w:szCs w:val="21"/>
        </w:rPr>
      </w:pPr>
      <w:r>
        <w:rPr>
          <w:sz w:val="21"/>
          <w:szCs w:val="21"/>
        </w:rPr>
        <w:br w:type="page"/>
      </w:r>
      <w:bookmarkStart w:id="96" w:name="_Hlk495399200"/>
      <w:r>
        <w:rPr>
          <w:sz w:val="21"/>
          <w:szCs w:val="21"/>
        </w:rPr>
        <w:fldChar w:fldCharType="begin"/>
      </w:r>
      <w:r>
        <w:rPr>
          <w:sz w:val="21"/>
          <w:szCs w:val="21"/>
        </w:rPr>
        <w:instrText xml:space="preserve"> HYPERLINK "https://www.fda.gov/MedicalDevices/DeviceRegulationandGuidance/HowtoMarketYourDevice/PremarketSubmissions/PremarketNotification510k/ucm142706.htm" </w:instrText>
      </w:r>
      <w:r>
        <w:rPr>
          <w:sz w:val="21"/>
          <w:szCs w:val="21"/>
        </w:rPr>
        <w:fldChar w:fldCharType="separate"/>
      </w:r>
      <w:r>
        <w:rPr>
          <w:sz w:val="21"/>
          <w:szCs w:val="21"/>
          <w:vertAlign w:val="superscript"/>
        </w:rPr>
        <w:t>4</w:t>
      </w:r>
      <w:r>
        <w:rPr>
          <w:rFonts w:hint="eastAsia" w:cs="宋体"/>
          <w:sz w:val="21"/>
          <w:szCs w:val="21"/>
        </w:rPr>
        <w:t>参见</w:t>
      </w:r>
      <w:r>
        <w:rPr>
          <w:rFonts w:hint="eastAsia" w:cs="宋体"/>
          <w:b/>
          <w:bCs/>
          <w:sz w:val="21"/>
          <w:szCs w:val="21"/>
          <w:u w:val="double"/>
        </w:rPr>
        <w:t>获得认可的标准的合规声明的必要元素（</w:t>
      </w:r>
      <w:r>
        <w:rPr>
          <w:b/>
          <w:bCs/>
          <w:sz w:val="21"/>
          <w:szCs w:val="21"/>
          <w:u w:val="double"/>
        </w:rPr>
        <w:t>/MedicalDevices/DeviceRegulationandGuidance/HowtoMarketYourDevice/PremarketSubmissions/PremarketNotification510k/ucm142706.htm</w:t>
      </w:r>
      <w:r>
        <w:rPr>
          <w:rFonts w:hint="eastAsia" w:cs="宋体"/>
          <w:b/>
          <w:bCs/>
          <w:sz w:val="21"/>
          <w:szCs w:val="21"/>
          <w:u w:val="double"/>
        </w:rPr>
        <w:t>）</w:t>
      </w:r>
      <w:r>
        <w:rPr>
          <w:sz w:val="21"/>
          <w:szCs w:val="21"/>
        </w:rPr>
        <w:fldChar w:fldCharType="end"/>
      </w:r>
      <w:r>
        <w:rPr>
          <w:rFonts w:hint="eastAsia" w:cs="宋体"/>
          <w:sz w:val="21"/>
          <w:szCs w:val="21"/>
        </w:rPr>
        <w:t>（所有上市前通知【</w:t>
      </w:r>
      <w:r>
        <w:rPr>
          <w:sz w:val="21"/>
          <w:szCs w:val="21"/>
        </w:rPr>
        <w:t>510(k)</w:t>
      </w:r>
      <w:r>
        <w:rPr>
          <w:rFonts w:hint="eastAsia" w:cs="宋体"/>
          <w:sz w:val="21"/>
          <w:szCs w:val="21"/>
        </w:rPr>
        <w:t>】提交件的筛选检查表）。</w:t>
      </w:r>
      <w:bookmarkEnd w:id="96"/>
    </w:p>
    <w:p w14:paraId="38494716">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vertAlign w:val="superscript"/>
        </w:rPr>
        <w:t>5</w:t>
      </w:r>
      <w:r>
        <w:rPr>
          <w:rFonts w:hint="eastAsia" w:ascii="Times New Roman" w:hAnsi="Times New Roman" w:cs="宋体"/>
          <w:sz w:val="21"/>
          <w:szCs w:val="21"/>
        </w:rPr>
        <w:t>有关这一次与婴儿的相关性，参见</w:t>
      </w:r>
      <w:r>
        <w:rPr>
          <w:rFonts w:ascii="Times New Roman" w:hAnsi="Times New Roman" w:cs="Times New Roman"/>
          <w:sz w:val="21"/>
          <w:szCs w:val="21"/>
        </w:rPr>
        <w:t>1994</w:t>
      </w:r>
      <w:r>
        <w:rPr>
          <w:rFonts w:hint="eastAsia" w:ascii="Times New Roman" w:hAnsi="Times New Roman" w:cs="宋体"/>
          <w:sz w:val="21"/>
          <w:szCs w:val="21"/>
        </w:rPr>
        <w:t>年</w:t>
      </w:r>
      <w:r>
        <w:rPr>
          <w:rFonts w:ascii="Times New Roman" w:hAnsi="Times New Roman" w:cs="Times New Roman"/>
          <w:sz w:val="21"/>
          <w:szCs w:val="21"/>
        </w:rPr>
        <w:t>9</w:t>
      </w:r>
      <w:r>
        <w:rPr>
          <w:rFonts w:hint="eastAsia" w:ascii="Times New Roman" w:hAnsi="Times New Roman" w:cs="宋体"/>
          <w:sz w:val="21"/>
          <w:szCs w:val="21"/>
        </w:rPr>
        <w:t>月</w:t>
      </w:r>
      <w:r>
        <w:rPr>
          <w:rFonts w:ascii="Times New Roman" w:hAnsi="Times New Roman" w:cs="Times New Roman"/>
          <w:sz w:val="21"/>
          <w:szCs w:val="21"/>
        </w:rPr>
        <w:t>2</w:t>
      </w:r>
      <w:r>
        <w:rPr>
          <w:rFonts w:hint="eastAsia" w:ascii="Times New Roman" w:hAnsi="Times New Roman" w:cs="宋体"/>
          <w:sz w:val="21"/>
          <w:szCs w:val="21"/>
        </w:rPr>
        <w:t>日的麻醉学和呼吸治疗装置专门小组记录</w:t>
      </w:r>
    </w:p>
    <w:p w14:paraId="39EDE7F3">
      <w:pPr>
        <w:kinsoku w:val="0"/>
        <w:overflowPunct w:val="0"/>
        <w:snapToGrid w:val="0"/>
        <w:spacing w:afterLines="50" w:line="360" w:lineRule="auto"/>
        <w:jc w:val="both"/>
        <w:rPr>
          <w:sz w:val="21"/>
          <w:szCs w:val="21"/>
        </w:rPr>
      </w:pPr>
      <w:r>
        <w:rPr>
          <w:sz w:val="21"/>
          <w:szCs w:val="21"/>
          <w:vertAlign w:val="superscript"/>
        </w:rPr>
        <w:t>6</w:t>
      </w:r>
      <w:r>
        <w:fldChar w:fldCharType="begin"/>
      </w:r>
      <w:r>
        <w:instrText xml:space="preserve"> HYPERLINK "http://www.accessdata.fda.gov/scripts/cdrh/cfdocs/cfcfr/CFRSearch.cfm?FR=801.109" </w:instrText>
      </w:r>
      <w:r>
        <w:fldChar w:fldCharType="separate"/>
      </w:r>
      <w:r>
        <w:rPr>
          <w:rFonts w:hint="eastAsia" w:cs="宋体"/>
          <w:sz w:val="21"/>
          <w:szCs w:val="21"/>
        </w:rPr>
        <w:t>虽然最终标签无需获得</w:t>
      </w:r>
      <w:r>
        <w:rPr>
          <w:sz w:val="21"/>
          <w:szCs w:val="21"/>
        </w:rPr>
        <w:t>510(k)</w:t>
      </w:r>
      <w:r>
        <w:rPr>
          <w:rFonts w:hint="eastAsia" w:cs="宋体"/>
          <w:sz w:val="21"/>
          <w:szCs w:val="21"/>
        </w:rPr>
        <w:t>许可，但在将医疗器械引入州际贸易之前，最终标签还必须符合</w:t>
      </w:r>
      <w:r>
        <w:rPr>
          <w:sz w:val="21"/>
          <w:szCs w:val="21"/>
        </w:rPr>
        <w:t>21 CFR 801</w:t>
      </w:r>
      <w:r>
        <w:rPr>
          <w:rFonts w:hint="eastAsia" w:cs="宋体"/>
          <w:sz w:val="21"/>
          <w:szCs w:val="21"/>
        </w:rPr>
        <w:t>的要求。此外，处方医疗器械的最终标签必须符合</w:t>
      </w:r>
      <w:r>
        <w:rPr>
          <w:b/>
          <w:bCs/>
          <w:sz w:val="21"/>
          <w:szCs w:val="21"/>
          <w:u w:val="double"/>
        </w:rPr>
        <w:t>21CFR801.109</w:t>
      </w:r>
      <w:r>
        <w:rPr>
          <w:rFonts w:hint="eastAsia" w:cs="宋体"/>
          <w:b/>
          <w:bCs/>
          <w:sz w:val="21"/>
          <w:szCs w:val="21"/>
          <w:u w:val="double"/>
        </w:rPr>
        <w:t>（</w:t>
      </w:r>
      <w:r>
        <w:rPr>
          <w:b/>
          <w:bCs/>
          <w:sz w:val="21"/>
          <w:szCs w:val="21"/>
          <w:u w:val="double"/>
        </w:rPr>
        <w:t>http://www.accessdata.fda.gov/scripts/cdrh/cfdocs/cfcfr/CFRSearch.cfm?FR=801.109</w:t>
      </w:r>
      <w:r>
        <w:rPr>
          <w:rFonts w:hint="eastAsia" w:cs="宋体"/>
          <w:b/>
          <w:bCs/>
          <w:sz w:val="21"/>
          <w:szCs w:val="21"/>
          <w:u w:val="double"/>
        </w:rPr>
        <w:t>）</w:t>
      </w:r>
      <w:r>
        <w:rPr>
          <w:rFonts w:hint="eastAsia" w:cs="宋体"/>
          <w:b/>
          <w:bCs/>
          <w:sz w:val="21"/>
          <w:szCs w:val="21"/>
          <w:u w:val="double"/>
        </w:rPr>
        <w:fldChar w:fldCharType="end"/>
      </w:r>
      <w:r>
        <w:rPr>
          <w:rFonts w:hint="eastAsia" w:cs="宋体"/>
          <w:sz w:val="21"/>
          <w:szCs w:val="21"/>
        </w:rPr>
        <w:t>。本指南文件中的标签建议符合第</w:t>
      </w:r>
      <w:r>
        <w:rPr>
          <w:sz w:val="21"/>
          <w:szCs w:val="21"/>
        </w:rPr>
        <w:t>801</w:t>
      </w:r>
      <w:r>
        <w:rPr>
          <w:rFonts w:hint="eastAsia" w:cs="宋体"/>
          <w:sz w:val="21"/>
          <w:szCs w:val="21"/>
        </w:rPr>
        <w:t>部分的要求</w:t>
      </w:r>
    </w:p>
    <w:p w14:paraId="15FAE0CC">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97" w:name="_Toc496720521"/>
      <w:r>
        <w:rPr>
          <w:rFonts w:hint="eastAsia" w:ascii="Times New Roman" w:hAnsi="Times New Roman" w:cs="宋体"/>
          <w:sz w:val="21"/>
          <w:szCs w:val="21"/>
          <w:u w:val="double"/>
        </w:rPr>
        <w:t>回到顶部</w:t>
      </w:r>
      <w:bookmarkEnd w:id="97"/>
    </w:p>
    <w:p w14:paraId="493E233A">
      <w:pPr>
        <w:pBdr>
          <w:top w:val="single" w:color="BFBFBF" w:sz="12" w:space="1"/>
          <w:left w:val="single" w:color="BFBFBF" w:sz="12" w:space="4"/>
          <w:bottom w:val="single" w:color="BFBFBF" w:sz="12" w:space="1"/>
          <w:right w:val="single" w:color="BFBFBF" w:sz="12" w:space="4"/>
        </w:pBdr>
        <w:snapToGrid w:val="0"/>
        <w:spacing w:afterLines="50" w:line="360" w:lineRule="auto"/>
        <w:rPr>
          <w:b/>
          <w:bCs/>
          <w:sz w:val="18"/>
          <w:szCs w:val="18"/>
        </w:rPr>
      </w:pPr>
      <w:bookmarkStart w:id="98" w:name="_Hlk495394686"/>
      <w:r>
        <w:rPr>
          <w:rFonts w:hint="eastAsia" w:cs="宋体"/>
          <w:b/>
          <w:bCs/>
          <w:sz w:val="18"/>
          <w:szCs w:val="18"/>
        </w:rPr>
        <w:t>指南文件中的更多内容（医疗器械和放射性产品）（</w:t>
      </w:r>
      <w:r>
        <w:rPr>
          <w:b/>
          <w:bCs/>
          <w:sz w:val="18"/>
          <w:szCs w:val="18"/>
        </w:rPr>
        <w:t>/MedicalDevices/DeviceRegulationandGuidance/GuidanceDocuments/default.htm</w:t>
      </w:r>
      <w:r>
        <w:rPr>
          <w:rFonts w:hint="eastAsia" w:cs="宋体"/>
          <w:b/>
          <w:bCs/>
          <w:sz w:val="18"/>
          <w:szCs w:val="18"/>
        </w:rPr>
        <w:t>）</w:t>
      </w:r>
    </w:p>
    <w:p w14:paraId="6E4B77A7">
      <w:pPr>
        <w:snapToGrid w:val="0"/>
        <w:spacing w:line="360" w:lineRule="auto"/>
        <w:rPr>
          <w:b/>
          <w:bCs/>
          <w:sz w:val="18"/>
          <w:szCs w:val="18"/>
          <w:u w:val="single"/>
        </w:rPr>
      </w:pPr>
      <w:r>
        <w:rPr>
          <w:rFonts w:hint="eastAsia" w:cs="宋体"/>
          <w:b/>
          <w:bCs/>
          <w:sz w:val="18"/>
          <w:szCs w:val="18"/>
          <w:u w:val="single"/>
        </w:rPr>
        <w:t>跨中心最终指南</w:t>
      </w:r>
    </w:p>
    <w:p w14:paraId="2D0D24D2">
      <w:pPr>
        <w:snapToGrid w:val="0"/>
        <w:spacing w:afterLines="50" w:line="360" w:lineRule="auto"/>
        <w:rPr>
          <w:b/>
          <w:bCs/>
          <w:sz w:val="18"/>
          <w:szCs w:val="18"/>
          <w:u w:val="single"/>
        </w:rPr>
      </w:pPr>
      <w:r>
        <w:rPr>
          <w:rFonts w:hint="eastAsia" w:cs="宋体"/>
          <w:b/>
          <w:bCs/>
          <w:sz w:val="18"/>
          <w:szCs w:val="18"/>
          <w:u w:val="single"/>
        </w:rPr>
        <w:t>（</w:t>
      </w:r>
      <w:r>
        <w:rPr>
          <w:b/>
          <w:bCs/>
          <w:sz w:val="18"/>
          <w:szCs w:val="18"/>
          <w:u w:val="single"/>
        </w:rPr>
        <w:t>/MedicalDevices/DeviceRegulationandGuidance/GuidanceDocuments/ucm081752.htm</w:t>
      </w:r>
      <w:r>
        <w:rPr>
          <w:rFonts w:hint="eastAsia" w:cs="宋体"/>
          <w:b/>
          <w:bCs/>
          <w:sz w:val="18"/>
          <w:szCs w:val="18"/>
          <w:u w:val="single"/>
        </w:rPr>
        <w:t>）</w:t>
      </w:r>
    </w:p>
    <w:p w14:paraId="56BE95A9">
      <w:pPr>
        <w:snapToGrid w:val="0"/>
        <w:spacing w:line="360" w:lineRule="auto"/>
        <w:rPr>
          <w:b/>
          <w:bCs/>
          <w:sz w:val="18"/>
          <w:szCs w:val="18"/>
          <w:u w:val="single"/>
        </w:rPr>
      </w:pPr>
      <w:bookmarkStart w:id="99" w:name="_Hlk495400166"/>
      <w:r>
        <w:rPr>
          <w:rFonts w:hint="eastAsia" w:cs="宋体"/>
          <w:b/>
          <w:bCs/>
          <w:sz w:val="18"/>
          <w:szCs w:val="18"/>
          <w:u w:val="single"/>
        </w:rPr>
        <w:t>合规办公室最终指南</w:t>
      </w:r>
    </w:p>
    <w:p w14:paraId="73979D1E">
      <w:pPr>
        <w:snapToGrid w:val="0"/>
        <w:spacing w:afterLines="50" w:line="360" w:lineRule="auto"/>
        <w:rPr>
          <w:b/>
          <w:bCs/>
          <w:sz w:val="18"/>
          <w:szCs w:val="18"/>
          <w:u w:val="single"/>
        </w:rPr>
      </w:pPr>
      <w:r>
        <w:rPr>
          <w:rFonts w:hint="eastAsia" w:cs="宋体"/>
          <w:b/>
          <w:bCs/>
          <w:sz w:val="18"/>
          <w:szCs w:val="18"/>
          <w:u w:val="single"/>
        </w:rPr>
        <w:t>（</w:t>
      </w:r>
      <w:r>
        <w:rPr>
          <w:b/>
          <w:bCs/>
          <w:sz w:val="18"/>
          <w:szCs w:val="18"/>
          <w:u w:val="single"/>
        </w:rPr>
        <w:t>/MedicalDevices/DeviceRegulationandGuidance/GuidanceDocuments/ucm070269.htm</w:t>
      </w:r>
      <w:r>
        <w:rPr>
          <w:rFonts w:hint="eastAsia" w:cs="宋体"/>
          <w:b/>
          <w:bCs/>
          <w:sz w:val="18"/>
          <w:szCs w:val="18"/>
          <w:u w:val="single"/>
        </w:rPr>
        <w:t>）</w:t>
      </w:r>
    </w:p>
    <w:p w14:paraId="3001B15E">
      <w:pPr>
        <w:snapToGrid w:val="0"/>
        <w:spacing w:line="360" w:lineRule="auto"/>
        <w:rPr>
          <w:b/>
          <w:bCs/>
          <w:sz w:val="18"/>
          <w:szCs w:val="18"/>
          <w:u w:val="single"/>
        </w:rPr>
      </w:pPr>
      <w:r>
        <w:rPr>
          <w:rFonts w:hint="eastAsia" w:cs="宋体"/>
          <w:b/>
          <w:bCs/>
          <w:sz w:val="18"/>
          <w:szCs w:val="18"/>
          <w:u w:val="single"/>
        </w:rPr>
        <w:t>中心主管办公室最终指南</w:t>
      </w:r>
    </w:p>
    <w:p w14:paraId="420C4FC9">
      <w:pPr>
        <w:snapToGrid w:val="0"/>
        <w:spacing w:afterLines="50" w:line="360" w:lineRule="auto"/>
        <w:rPr>
          <w:b/>
          <w:bCs/>
          <w:sz w:val="18"/>
          <w:szCs w:val="18"/>
          <w:u w:val="single"/>
        </w:rPr>
      </w:pPr>
      <w:r>
        <w:rPr>
          <w:rFonts w:hint="eastAsia" w:cs="宋体"/>
          <w:b/>
          <w:bCs/>
          <w:sz w:val="18"/>
          <w:szCs w:val="18"/>
          <w:u w:val="single"/>
        </w:rPr>
        <w:t>（</w:t>
      </w:r>
      <w:r>
        <w:rPr>
          <w:b/>
          <w:bCs/>
          <w:sz w:val="18"/>
          <w:szCs w:val="18"/>
          <w:u w:val="single"/>
        </w:rPr>
        <w:t>/MedicalDevices/DeviceRegulationandGuidance/GuidanceDocuments/ucm110228.htm</w:t>
      </w:r>
      <w:r>
        <w:rPr>
          <w:rFonts w:hint="eastAsia" w:cs="宋体"/>
          <w:b/>
          <w:bCs/>
          <w:sz w:val="18"/>
          <w:szCs w:val="18"/>
          <w:u w:val="single"/>
        </w:rPr>
        <w:t>）</w:t>
      </w:r>
    </w:p>
    <w:bookmarkEnd w:id="99"/>
    <w:p w14:paraId="601DDB12">
      <w:pPr>
        <w:snapToGrid w:val="0"/>
        <w:spacing w:line="360" w:lineRule="auto"/>
        <w:rPr>
          <w:b/>
          <w:bCs/>
          <w:sz w:val="18"/>
          <w:szCs w:val="18"/>
          <w:u w:val="single"/>
        </w:rPr>
      </w:pPr>
      <w:bookmarkStart w:id="100" w:name="_Hlk495400187"/>
      <w:r>
        <w:rPr>
          <w:rFonts w:hint="eastAsia" w:cs="宋体"/>
          <w:b/>
          <w:bCs/>
          <w:sz w:val="18"/>
          <w:szCs w:val="18"/>
          <w:u w:val="single"/>
        </w:rPr>
        <w:t>沟通与教育办公室最终指南</w:t>
      </w:r>
    </w:p>
    <w:p w14:paraId="22259D2A">
      <w:pPr>
        <w:snapToGrid w:val="0"/>
        <w:spacing w:afterLines="50" w:line="360" w:lineRule="auto"/>
        <w:rPr>
          <w:b/>
          <w:bCs/>
          <w:sz w:val="18"/>
          <w:szCs w:val="18"/>
          <w:u w:val="single"/>
        </w:rPr>
      </w:pPr>
      <w:r>
        <w:rPr>
          <w:rFonts w:hint="eastAsia" w:cs="宋体"/>
          <w:b/>
          <w:bCs/>
          <w:sz w:val="18"/>
          <w:szCs w:val="18"/>
          <w:u w:val="single"/>
        </w:rPr>
        <w:t>（</w:t>
      </w:r>
      <w:r>
        <w:rPr>
          <w:b/>
          <w:bCs/>
          <w:sz w:val="18"/>
          <w:szCs w:val="18"/>
          <w:u w:val="single"/>
        </w:rPr>
        <w:t>/MedicalDevices/DeviceRegulationandGuidance/GuidanceDocuments/ucm070271.htm</w:t>
      </w:r>
      <w:r>
        <w:rPr>
          <w:rFonts w:hint="eastAsia" w:cs="宋体"/>
          <w:b/>
          <w:bCs/>
          <w:sz w:val="18"/>
          <w:szCs w:val="18"/>
          <w:u w:val="single"/>
        </w:rPr>
        <w:t>）</w:t>
      </w:r>
    </w:p>
    <w:p w14:paraId="0610F691">
      <w:pPr>
        <w:snapToGrid w:val="0"/>
        <w:spacing w:line="360" w:lineRule="auto"/>
        <w:rPr>
          <w:b/>
          <w:bCs/>
          <w:sz w:val="18"/>
          <w:szCs w:val="18"/>
          <w:u w:val="single"/>
        </w:rPr>
      </w:pPr>
      <w:r>
        <w:rPr>
          <w:rFonts w:hint="eastAsia" w:cs="宋体"/>
          <w:b/>
          <w:bCs/>
          <w:sz w:val="18"/>
          <w:szCs w:val="18"/>
          <w:u w:val="single"/>
        </w:rPr>
        <w:t>器械评价办公室最终指南</w:t>
      </w:r>
      <w:r>
        <w:rPr>
          <w:b/>
          <w:bCs/>
          <w:sz w:val="18"/>
          <w:szCs w:val="18"/>
          <w:u w:val="single"/>
        </w:rPr>
        <w:t>2010 - 2016</w:t>
      </w:r>
    </w:p>
    <w:p w14:paraId="52FD810C">
      <w:pPr>
        <w:snapToGrid w:val="0"/>
        <w:spacing w:afterLines="50" w:line="360" w:lineRule="auto"/>
        <w:rPr>
          <w:b/>
          <w:bCs/>
          <w:sz w:val="18"/>
          <w:szCs w:val="18"/>
          <w:u w:val="single"/>
        </w:rPr>
      </w:pPr>
      <w:r>
        <w:rPr>
          <w:rFonts w:hint="eastAsia" w:cs="宋体"/>
          <w:b/>
          <w:bCs/>
          <w:sz w:val="18"/>
          <w:szCs w:val="18"/>
          <w:u w:val="single"/>
        </w:rPr>
        <w:t>（</w:t>
      </w:r>
      <w:r>
        <w:rPr>
          <w:b/>
          <w:bCs/>
          <w:sz w:val="18"/>
          <w:szCs w:val="18"/>
          <w:u w:val="single"/>
        </w:rPr>
        <w:t>/MedicalDevices/DeviceRegulationandGuidance/GuidanceDocuments/ucm198577.htm</w:t>
      </w:r>
      <w:r>
        <w:rPr>
          <w:rFonts w:hint="eastAsia" w:cs="宋体"/>
          <w:b/>
          <w:bCs/>
          <w:sz w:val="18"/>
          <w:szCs w:val="18"/>
          <w:u w:val="single"/>
        </w:rPr>
        <w:t>）</w:t>
      </w:r>
    </w:p>
    <w:p w14:paraId="24E0DE1B">
      <w:pPr>
        <w:snapToGrid w:val="0"/>
        <w:spacing w:line="360" w:lineRule="auto"/>
        <w:rPr>
          <w:b/>
          <w:bCs/>
          <w:sz w:val="18"/>
          <w:szCs w:val="18"/>
          <w:u w:val="single"/>
        </w:rPr>
      </w:pPr>
      <w:r>
        <w:rPr>
          <w:rFonts w:hint="eastAsia" w:cs="宋体"/>
          <w:b/>
          <w:bCs/>
          <w:sz w:val="18"/>
          <w:szCs w:val="18"/>
          <w:u w:val="single"/>
        </w:rPr>
        <w:t>器械评价办公室最终指南</w:t>
      </w:r>
      <w:r>
        <w:rPr>
          <w:b/>
          <w:bCs/>
          <w:sz w:val="18"/>
          <w:szCs w:val="18"/>
          <w:u w:val="single"/>
        </w:rPr>
        <w:t>1998 – 2009</w:t>
      </w:r>
    </w:p>
    <w:p w14:paraId="3AAC8EB6">
      <w:pPr>
        <w:snapToGrid w:val="0"/>
        <w:spacing w:afterLines="50" w:line="360" w:lineRule="auto"/>
        <w:rPr>
          <w:b/>
          <w:bCs/>
          <w:sz w:val="18"/>
          <w:szCs w:val="18"/>
          <w:u w:val="single"/>
        </w:rPr>
      </w:pPr>
      <w:r>
        <w:rPr>
          <w:rFonts w:hint="eastAsia" w:cs="宋体"/>
          <w:b/>
          <w:bCs/>
          <w:sz w:val="18"/>
          <w:szCs w:val="18"/>
          <w:u w:val="single"/>
        </w:rPr>
        <w:t>（</w:t>
      </w:r>
      <w:r>
        <w:rPr>
          <w:b/>
          <w:bCs/>
          <w:sz w:val="18"/>
          <w:szCs w:val="18"/>
          <w:u w:val="single"/>
        </w:rPr>
        <w:t>/MedicalDevices/DeviceRegulationandGuidance/GuidanceDocuments/ucm070272.htm</w:t>
      </w:r>
      <w:r>
        <w:rPr>
          <w:rFonts w:hint="eastAsia" w:cs="宋体"/>
          <w:b/>
          <w:bCs/>
          <w:sz w:val="18"/>
          <w:szCs w:val="18"/>
          <w:u w:val="single"/>
        </w:rPr>
        <w:t>）</w:t>
      </w:r>
    </w:p>
    <w:p w14:paraId="28788C17">
      <w:pPr>
        <w:snapToGrid w:val="0"/>
        <w:spacing w:line="360" w:lineRule="auto"/>
        <w:rPr>
          <w:b/>
          <w:bCs/>
          <w:sz w:val="18"/>
          <w:szCs w:val="18"/>
          <w:u w:val="single"/>
        </w:rPr>
      </w:pPr>
      <w:r>
        <w:rPr>
          <w:rFonts w:hint="eastAsia" w:cs="宋体"/>
          <w:b/>
          <w:bCs/>
          <w:sz w:val="18"/>
          <w:szCs w:val="18"/>
          <w:u w:val="single"/>
        </w:rPr>
        <w:t>器械评价办公室最终指南</w:t>
      </w:r>
      <w:r>
        <w:rPr>
          <w:b/>
          <w:bCs/>
          <w:sz w:val="18"/>
          <w:szCs w:val="18"/>
          <w:u w:val="single"/>
        </w:rPr>
        <w:t>1976 – 1997</w:t>
      </w:r>
    </w:p>
    <w:p w14:paraId="1ADFBD62">
      <w:pPr>
        <w:snapToGrid w:val="0"/>
        <w:spacing w:afterLines="50" w:line="360" w:lineRule="auto"/>
        <w:rPr>
          <w:b/>
          <w:bCs/>
          <w:sz w:val="18"/>
          <w:szCs w:val="18"/>
          <w:u w:val="single"/>
        </w:rPr>
      </w:pPr>
      <w:r>
        <w:rPr>
          <w:rFonts w:hint="eastAsia" w:cs="宋体"/>
          <w:b/>
          <w:bCs/>
          <w:sz w:val="18"/>
          <w:szCs w:val="18"/>
          <w:u w:val="single"/>
        </w:rPr>
        <w:t>（</w:t>
      </w:r>
      <w:r>
        <w:rPr>
          <w:b/>
          <w:bCs/>
          <w:sz w:val="18"/>
          <w:szCs w:val="18"/>
          <w:u w:val="single"/>
        </w:rPr>
        <w:t>/MedicalDevices/DeviceRegulationandGuidance/GuidanceDocuments/ucm080283.htm</w:t>
      </w:r>
      <w:r>
        <w:rPr>
          <w:rFonts w:hint="eastAsia" w:cs="宋体"/>
          <w:b/>
          <w:bCs/>
          <w:sz w:val="18"/>
          <w:szCs w:val="18"/>
          <w:u w:val="single"/>
        </w:rPr>
        <w:t>）</w:t>
      </w:r>
    </w:p>
    <w:p w14:paraId="5148E8C5">
      <w:pPr>
        <w:snapToGrid w:val="0"/>
        <w:spacing w:line="360" w:lineRule="auto"/>
        <w:rPr>
          <w:b/>
          <w:bCs/>
          <w:sz w:val="18"/>
          <w:szCs w:val="18"/>
          <w:u w:val="single"/>
        </w:rPr>
      </w:pPr>
      <w:r>
        <w:rPr>
          <w:rFonts w:hint="eastAsia" w:cs="宋体"/>
          <w:b/>
          <w:bCs/>
          <w:sz w:val="18"/>
          <w:szCs w:val="18"/>
          <w:u w:val="single"/>
        </w:rPr>
        <w:t>体外诊断和辐射健康办公室最终指南</w:t>
      </w:r>
    </w:p>
    <w:p w14:paraId="447E055D">
      <w:pPr>
        <w:snapToGrid w:val="0"/>
        <w:spacing w:afterLines="50" w:line="360" w:lineRule="auto"/>
        <w:rPr>
          <w:b/>
          <w:bCs/>
          <w:sz w:val="18"/>
          <w:szCs w:val="18"/>
          <w:u w:val="single"/>
        </w:rPr>
      </w:pPr>
      <w:r>
        <w:rPr>
          <w:rFonts w:hint="eastAsia" w:cs="宋体"/>
          <w:b/>
          <w:bCs/>
          <w:sz w:val="18"/>
          <w:szCs w:val="18"/>
          <w:u w:val="single"/>
        </w:rPr>
        <w:t>（</w:t>
      </w:r>
      <w:r>
        <w:rPr>
          <w:b/>
          <w:bCs/>
          <w:sz w:val="18"/>
          <w:szCs w:val="18"/>
          <w:u w:val="single"/>
        </w:rPr>
        <w:t>/MedicalDevices/DeviceRegulationandGuidance/GuidanceDocuments/ucm070274.htm</w:t>
      </w:r>
      <w:r>
        <w:rPr>
          <w:rFonts w:hint="eastAsia" w:cs="宋体"/>
          <w:b/>
          <w:bCs/>
          <w:sz w:val="18"/>
          <w:szCs w:val="18"/>
          <w:u w:val="single"/>
        </w:rPr>
        <w:t>）</w:t>
      </w:r>
    </w:p>
    <w:p w14:paraId="02178012">
      <w:pPr>
        <w:snapToGrid w:val="0"/>
        <w:spacing w:line="360" w:lineRule="auto"/>
        <w:rPr>
          <w:b/>
          <w:bCs/>
          <w:sz w:val="18"/>
          <w:szCs w:val="18"/>
          <w:u w:val="single"/>
        </w:rPr>
      </w:pPr>
      <w:r>
        <w:rPr>
          <w:rFonts w:hint="eastAsia" w:cs="宋体"/>
          <w:b/>
          <w:bCs/>
          <w:sz w:val="18"/>
          <w:szCs w:val="18"/>
          <w:u w:val="single"/>
        </w:rPr>
        <w:t>监督和生物统计办公室最终指南</w:t>
      </w:r>
    </w:p>
    <w:p w14:paraId="4F000495">
      <w:pPr>
        <w:snapToGrid w:val="0"/>
        <w:spacing w:line="360" w:lineRule="auto"/>
        <w:rPr>
          <w:b/>
          <w:bCs/>
          <w:sz w:val="18"/>
          <w:szCs w:val="18"/>
          <w:u w:val="single"/>
        </w:rPr>
      </w:pPr>
      <w:r>
        <w:rPr>
          <w:rFonts w:hint="eastAsia" w:cs="宋体"/>
          <w:b/>
          <w:bCs/>
          <w:sz w:val="18"/>
          <w:szCs w:val="18"/>
          <w:u w:val="single"/>
        </w:rPr>
        <w:t>（</w:t>
      </w:r>
      <w:r>
        <w:rPr>
          <w:b/>
          <w:bCs/>
          <w:sz w:val="18"/>
          <w:szCs w:val="18"/>
          <w:u w:val="single"/>
        </w:rPr>
        <w:t>/MedicalDevices/DeviceRegulationandGuidance/GuidanceDocuments/ucm070275.htm</w:t>
      </w:r>
      <w:r>
        <w:rPr>
          <w:rFonts w:hint="eastAsia" w:cs="宋体"/>
          <w:b/>
          <w:bCs/>
          <w:sz w:val="18"/>
          <w:szCs w:val="18"/>
          <w:u w:val="single"/>
        </w:rPr>
        <w:t>）</w:t>
      </w:r>
    </w:p>
    <w:p w14:paraId="4D567F06">
      <w:pPr>
        <w:snapToGrid w:val="0"/>
        <w:spacing w:line="360" w:lineRule="auto"/>
        <w:rPr>
          <w:b/>
          <w:bCs/>
          <w:sz w:val="18"/>
          <w:szCs w:val="18"/>
          <w:u w:val="single"/>
        </w:rPr>
      </w:pPr>
      <w:r>
        <w:rPr>
          <w:sz w:val="21"/>
          <w:szCs w:val="21"/>
        </w:rPr>
        <w:br w:type="page"/>
      </w:r>
      <w:r>
        <w:rPr>
          <w:rFonts w:hint="eastAsia" w:cs="宋体"/>
          <w:b/>
          <w:bCs/>
          <w:sz w:val="18"/>
          <w:szCs w:val="18"/>
          <w:u w:val="single"/>
        </w:rPr>
        <w:t>科学与工程实验室办公室最终指南</w:t>
      </w:r>
    </w:p>
    <w:p w14:paraId="3D80D49B">
      <w:pPr>
        <w:snapToGrid w:val="0"/>
        <w:spacing w:afterLines="50" w:line="360" w:lineRule="auto"/>
        <w:rPr>
          <w:b/>
          <w:bCs/>
          <w:sz w:val="18"/>
          <w:szCs w:val="18"/>
          <w:u w:val="single"/>
        </w:rPr>
      </w:pPr>
      <w:r>
        <w:rPr>
          <w:rFonts w:hint="eastAsia" w:cs="宋体"/>
          <w:b/>
          <w:bCs/>
          <w:sz w:val="18"/>
          <w:szCs w:val="18"/>
          <w:u w:val="single"/>
        </w:rPr>
        <w:t>（</w:t>
      </w:r>
      <w:r>
        <w:rPr>
          <w:b/>
          <w:bCs/>
          <w:sz w:val="18"/>
          <w:szCs w:val="18"/>
          <w:u w:val="single"/>
        </w:rPr>
        <w:t>/MedicalDevices/DeviceRegulationandGuidance/GuidanceDocuments/ucm070277.htm</w:t>
      </w:r>
      <w:r>
        <w:rPr>
          <w:rFonts w:hint="eastAsia" w:cs="宋体"/>
          <w:b/>
          <w:bCs/>
          <w:sz w:val="18"/>
          <w:szCs w:val="18"/>
          <w:u w:val="single"/>
        </w:rPr>
        <w:t>）</w:t>
      </w:r>
    </w:p>
    <w:p w14:paraId="5EAB5DBC">
      <w:pPr>
        <w:snapToGrid w:val="0"/>
        <w:spacing w:line="360" w:lineRule="auto"/>
        <w:rPr>
          <w:b/>
          <w:bCs/>
          <w:sz w:val="18"/>
          <w:szCs w:val="18"/>
          <w:u w:val="single"/>
        </w:rPr>
      </w:pPr>
      <w:r>
        <w:rPr>
          <w:rFonts w:hint="eastAsia" w:cs="宋体"/>
          <w:b/>
          <w:bCs/>
          <w:sz w:val="18"/>
          <w:szCs w:val="18"/>
          <w:u w:val="single"/>
        </w:rPr>
        <w:t>指南草案</w:t>
      </w:r>
    </w:p>
    <w:p w14:paraId="46B8C974">
      <w:pPr>
        <w:snapToGrid w:val="0"/>
        <w:spacing w:afterLines="50" w:line="360" w:lineRule="auto"/>
        <w:rPr>
          <w:b/>
          <w:bCs/>
          <w:sz w:val="18"/>
          <w:szCs w:val="18"/>
          <w:u w:val="single"/>
        </w:rPr>
      </w:pPr>
      <w:r>
        <w:rPr>
          <w:rFonts w:hint="eastAsia" w:cs="宋体"/>
          <w:b/>
          <w:bCs/>
          <w:sz w:val="18"/>
          <w:szCs w:val="18"/>
          <w:u w:val="single"/>
        </w:rPr>
        <w:t>（</w:t>
      </w:r>
      <w:r>
        <w:rPr>
          <w:b/>
          <w:bCs/>
          <w:sz w:val="18"/>
          <w:szCs w:val="18"/>
          <w:u w:val="single"/>
        </w:rPr>
        <w:t>/MedicalDevices/DeviceRegulationandGuidance/GuidanceDocuments/ucm407274.htm</w:t>
      </w:r>
      <w:r>
        <w:rPr>
          <w:rFonts w:hint="eastAsia" w:cs="宋体"/>
          <w:b/>
          <w:bCs/>
          <w:sz w:val="18"/>
          <w:szCs w:val="18"/>
          <w:u w:val="single"/>
        </w:rPr>
        <w:t>）</w:t>
      </w:r>
    </w:p>
    <w:p w14:paraId="2C4EFB2A">
      <w:pPr>
        <w:snapToGrid w:val="0"/>
        <w:spacing w:line="360" w:lineRule="auto"/>
        <w:rPr>
          <w:b/>
          <w:bCs/>
          <w:sz w:val="18"/>
          <w:szCs w:val="18"/>
          <w:u w:val="single"/>
        </w:rPr>
      </w:pPr>
      <w:r>
        <w:rPr>
          <w:rFonts w:hint="eastAsia" w:cs="宋体"/>
          <w:b/>
          <w:bCs/>
          <w:sz w:val="18"/>
          <w:szCs w:val="18"/>
          <w:u w:val="single"/>
        </w:rPr>
        <w:t>辐射发光产品指南</w:t>
      </w:r>
    </w:p>
    <w:p w14:paraId="7CAF58B8">
      <w:pPr>
        <w:snapToGrid w:val="0"/>
        <w:spacing w:afterLines="50" w:line="360" w:lineRule="auto"/>
        <w:rPr>
          <w:b/>
          <w:bCs/>
          <w:sz w:val="18"/>
          <w:szCs w:val="18"/>
          <w:u w:val="single"/>
        </w:rPr>
      </w:pPr>
      <w:r>
        <w:rPr>
          <w:rFonts w:hint="eastAsia" w:cs="宋体"/>
          <w:b/>
          <w:bCs/>
          <w:sz w:val="18"/>
          <w:szCs w:val="18"/>
          <w:u w:val="single"/>
        </w:rPr>
        <w:t>（</w:t>
      </w:r>
      <w:r>
        <w:rPr>
          <w:b/>
          <w:bCs/>
          <w:sz w:val="18"/>
          <w:szCs w:val="18"/>
          <w:u w:val="single"/>
        </w:rPr>
        <w:t>/MedicalDevices/DeviceRegulationandGuidance/GuidanceDocuments/ucm283507.htm</w:t>
      </w:r>
      <w:r>
        <w:rPr>
          <w:rFonts w:hint="eastAsia" w:cs="宋体"/>
          <w:b/>
          <w:bCs/>
          <w:sz w:val="18"/>
          <w:szCs w:val="18"/>
          <w:u w:val="single"/>
        </w:rPr>
        <w:t>）</w:t>
      </w:r>
    </w:p>
    <w:p w14:paraId="02745342">
      <w:pPr>
        <w:snapToGrid w:val="0"/>
        <w:spacing w:line="360" w:lineRule="auto"/>
        <w:rPr>
          <w:b/>
          <w:bCs/>
          <w:sz w:val="18"/>
          <w:szCs w:val="18"/>
          <w:u w:val="single"/>
        </w:rPr>
      </w:pPr>
      <w:r>
        <w:rPr>
          <w:rFonts w:hint="eastAsia" w:cs="宋体"/>
          <w:b/>
          <w:bCs/>
          <w:sz w:val="18"/>
          <w:szCs w:val="18"/>
          <w:u w:val="single"/>
        </w:rPr>
        <w:t>撤回指南</w:t>
      </w:r>
    </w:p>
    <w:p w14:paraId="49967FE6">
      <w:pPr>
        <w:snapToGrid w:val="0"/>
        <w:spacing w:afterLines="50" w:line="360" w:lineRule="auto"/>
        <w:rPr>
          <w:b/>
          <w:bCs/>
          <w:sz w:val="18"/>
          <w:szCs w:val="18"/>
          <w:u w:val="single"/>
        </w:rPr>
      </w:pPr>
      <w:r>
        <w:rPr>
          <w:rFonts w:hint="eastAsia" w:cs="宋体"/>
          <w:b/>
          <w:bCs/>
          <w:sz w:val="18"/>
          <w:szCs w:val="18"/>
          <w:u w:val="single"/>
        </w:rPr>
        <w:t>（</w:t>
      </w:r>
      <w:r>
        <w:rPr>
          <w:b/>
          <w:bCs/>
          <w:sz w:val="18"/>
          <w:szCs w:val="18"/>
          <w:u w:val="single"/>
        </w:rPr>
        <w:t>/MedicalDevices/DeviceRegulationandGuidance/GuidanceDocuments/ucm425025.htm</w:t>
      </w:r>
      <w:r>
        <w:rPr>
          <w:rFonts w:hint="eastAsia" w:cs="宋体"/>
          <w:b/>
          <w:bCs/>
          <w:sz w:val="18"/>
          <w:szCs w:val="18"/>
          <w:u w:val="single"/>
        </w:rPr>
        <w:t>）</w:t>
      </w:r>
    </w:p>
    <w:bookmarkEnd w:id="98"/>
    <w:bookmarkEnd w:id="100"/>
    <w:p w14:paraId="10363810">
      <w:pPr>
        <w:snapToGrid w:val="0"/>
        <w:spacing w:afterLines="50" w:line="360" w:lineRule="auto"/>
        <w:jc w:val="both"/>
        <w:rPr>
          <w:sz w:val="21"/>
          <w:szCs w:val="21"/>
        </w:rPr>
      </w:pPr>
    </w:p>
    <w:p w14:paraId="5E2DBC9D">
      <w:pPr>
        <w:snapToGrid w:val="0"/>
        <w:spacing w:line="360" w:lineRule="auto"/>
      </w:pPr>
    </w:p>
    <w:p w14:paraId="3DFC3B69">
      <w:pPr>
        <w:snapToGrid w:val="0"/>
        <w:spacing w:beforeLines="200" w:afterLines="100" w:line="360" w:lineRule="auto"/>
        <w:rPr>
          <w:rFonts w:hint="eastAsia" w:eastAsia="宋体"/>
          <w:lang w:eastAsia="zh-CN"/>
        </w:rPr>
      </w:pPr>
    </w:p>
    <w:p w14:paraId="402752F0">
      <w:pPr>
        <w:snapToGrid w:val="0"/>
        <w:spacing w:beforeLines="200" w:afterLines="100" w:line="360" w:lineRule="auto"/>
        <w:jc w:val="center"/>
        <w:rPr>
          <w:rFonts w:hint="eastAsia" w:eastAsia="宋体"/>
          <w:lang w:eastAsia="zh-CN"/>
        </w:rPr>
      </w:pPr>
    </w:p>
    <w:p w14:paraId="58915CCD">
      <w:pPr>
        <w:snapToGrid w:val="0"/>
        <w:spacing w:beforeLines="200" w:afterLines="100"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7" w:h="16840"/>
      <w:pgMar w:top="1440" w:right="1797" w:bottom="1440" w:left="1797" w:header="680" w:footer="680" w:gutter="0"/>
      <w:cols w:space="720" w:num="1"/>
      <w:rtlGutter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94BE1">
    <w:pPr>
      <w:tabs>
        <w:tab w:val="left" w:pos="7938"/>
      </w:tabs>
      <w:kinsoku w:val="0"/>
      <w:overflowPunct w:val="0"/>
      <w:spacing w:line="184" w:lineRule="exact"/>
      <w:ind w:left="20"/>
      <w:rPr>
        <w:sz w:val="15"/>
        <w:szCs w:val="15"/>
      </w:rPr>
    </w:pPr>
    <w:r>
      <w:rPr>
        <w:spacing w:val="-9"/>
        <w:sz w:val="15"/>
        <w:szCs w:val="15"/>
      </w:rPr>
      <w:t>h</w:t>
    </w:r>
    <w:r>
      <w:rPr>
        <w:spacing w:val="-6"/>
        <w:sz w:val="15"/>
        <w:szCs w:val="15"/>
      </w:rPr>
      <w:t>tt</w:t>
    </w:r>
    <w:r>
      <w:rPr>
        <w:spacing w:val="-9"/>
        <w:sz w:val="15"/>
        <w:szCs w:val="15"/>
      </w:rPr>
      <w:t>p</w:t>
    </w:r>
    <w:r>
      <w:rPr>
        <w:sz w:val="15"/>
        <w:szCs w:val="15"/>
      </w:rPr>
      <w:t>s</w:t>
    </w:r>
    <w:r>
      <w:rPr>
        <w:spacing w:val="-6"/>
        <w:sz w:val="15"/>
        <w:szCs w:val="15"/>
      </w:rPr>
      <w:t>://</w:t>
    </w:r>
    <w:r>
      <w:fldChar w:fldCharType="begin"/>
    </w:r>
    <w:r>
      <w:instrText xml:space="preserve"> HYPERLINK "http://www.fda.gov/MedicalDevices/DeviceRegulationandGuidance/GuidanceDocuments/ucm072846.htm" </w:instrText>
    </w:r>
    <w:r>
      <w:fldChar w:fldCharType="separate"/>
    </w:r>
    <w:r>
      <w:rPr>
        <w:spacing w:val="-16"/>
        <w:sz w:val="15"/>
        <w:szCs w:val="15"/>
      </w:rPr>
      <w:t>www</w:t>
    </w:r>
    <w:r>
      <w:rPr>
        <w:spacing w:val="-6"/>
        <w:sz w:val="15"/>
        <w:szCs w:val="15"/>
      </w:rPr>
      <w:t>.f</w:t>
    </w:r>
    <w:r>
      <w:rPr>
        <w:spacing w:val="-9"/>
        <w:sz w:val="15"/>
        <w:szCs w:val="15"/>
      </w:rPr>
      <w:t>da</w:t>
    </w:r>
    <w:r>
      <w:rPr>
        <w:spacing w:val="-6"/>
        <w:sz w:val="15"/>
        <w:szCs w:val="15"/>
      </w:rPr>
      <w:t>.</w:t>
    </w:r>
    <w:r>
      <w:rPr>
        <w:spacing w:val="11"/>
        <w:sz w:val="15"/>
        <w:szCs w:val="15"/>
      </w:rPr>
      <w:t>g</w:t>
    </w:r>
    <w:r>
      <w:rPr>
        <w:spacing w:val="-9"/>
        <w:sz w:val="15"/>
        <w:szCs w:val="15"/>
      </w:rPr>
      <w:t>o</w:t>
    </w:r>
    <w:r>
      <w:rPr>
        <w:spacing w:val="-20"/>
        <w:sz w:val="15"/>
        <w:szCs w:val="15"/>
      </w:rPr>
      <w:t>v</w:t>
    </w:r>
    <w:r>
      <w:rPr>
        <w:spacing w:val="-6"/>
        <w:sz w:val="15"/>
        <w:szCs w:val="15"/>
      </w:rPr>
      <w:t>/</w:t>
    </w:r>
    <w:r>
      <w:rPr>
        <w:spacing w:val="6"/>
        <w:sz w:val="15"/>
        <w:szCs w:val="15"/>
      </w:rPr>
      <w:t>M</w:t>
    </w:r>
    <w:r>
      <w:rPr>
        <w:spacing w:val="-9"/>
        <w:sz w:val="15"/>
        <w:szCs w:val="15"/>
      </w:rPr>
      <w:t>ed</w:t>
    </w:r>
    <w:r>
      <w:rPr>
        <w:spacing w:val="4"/>
        <w:sz w:val="15"/>
        <w:szCs w:val="15"/>
      </w:rPr>
      <w:t>i</w:t>
    </w:r>
    <w:r>
      <w:rPr>
        <w:sz w:val="15"/>
        <w:szCs w:val="15"/>
      </w:rPr>
      <w:t>c</w:t>
    </w:r>
    <w:r>
      <w:rPr>
        <w:spacing w:val="-9"/>
        <w:sz w:val="15"/>
        <w:szCs w:val="15"/>
      </w:rPr>
      <w:t>a</w:t>
    </w:r>
    <w:r>
      <w:rPr>
        <w:spacing w:val="4"/>
        <w:sz w:val="15"/>
        <w:szCs w:val="15"/>
      </w:rPr>
      <w:t>lD</w:t>
    </w:r>
    <w:r>
      <w:rPr>
        <w:spacing w:val="-9"/>
        <w:sz w:val="15"/>
        <w:szCs w:val="15"/>
      </w:rPr>
      <w:t>e</w:t>
    </w:r>
    <w:r>
      <w:rPr>
        <w:spacing w:val="-20"/>
        <w:sz w:val="15"/>
        <w:szCs w:val="15"/>
      </w:rPr>
      <w:t>v</w:t>
    </w:r>
    <w:r>
      <w:rPr>
        <w:spacing w:val="4"/>
        <w:sz w:val="15"/>
        <w:szCs w:val="15"/>
      </w:rPr>
      <w:t>i</w:t>
    </w:r>
    <w:r>
      <w:rPr>
        <w:sz w:val="15"/>
        <w:szCs w:val="15"/>
      </w:rPr>
      <w:t>c</w:t>
    </w:r>
    <w:r>
      <w:rPr>
        <w:spacing w:val="-9"/>
        <w:sz w:val="15"/>
        <w:szCs w:val="15"/>
      </w:rPr>
      <w:t>e</w:t>
    </w:r>
    <w:r>
      <w:rPr>
        <w:sz w:val="15"/>
        <w:szCs w:val="15"/>
      </w:rPr>
      <w:t>s</w:t>
    </w:r>
    <w:r>
      <w:rPr>
        <w:spacing w:val="-6"/>
        <w:sz w:val="15"/>
        <w:szCs w:val="15"/>
      </w:rPr>
      <w:t>/</w:t>
    </w:r>
    <w:r>
      <w:rPr>
        <w:spacing w:val="4"/>
        <w:sz w:val="15"/>
        <w:szCs w:val="15"/>
      </w:rPr>
      <w:t>D</w:t>
    </w:r>
    <w:r>
      <w:rPr>
        <w:spacing w:val="-9"/>
        <w:sz w:val="15"/>
        <w:szCs w:val="15"/>
      </w:rPr>
      <w:t>e</w:t>
    </w:r>
    <w:r>
      <w:rPr>
        <w:spacing w:val="-20"/>
        <w:sz w:val="15"/>
        <w:szCs w:val="15"/>
      </w:rPr>
      <w:t>v</w:t>
    </w:r>
    <w:r>
      <w:rPr>
        <w:spacing w:val="4"/>
        <w:sz w:val="15"/>
        <w:szCs w:val="15"/>
      </w:rPr>
      <w:t>i</w:t>
    </w:r>
    <w:r>
      <w:rPr>
        <w:sz w:val="15"/>
        <w:szCs w:val="15"/>
      </w:rPr>
      <w:t>c</w:t>
    </w:r>
    <w:r>
      <w:rPr>
        <w:spacing w:val="-9"/>
        <w:sz w:val="15"/>
        <w:szCs w:val="15"/>
      </w:rPr>
      <w:t>e</w:t>
    </w:r>
    <w:r>
      <w:rPr>
        <w:spacing w:val="4"/>
        <w:sz w:val="15"/>
        <w:szCs w:val="15"/>
      </w:rPr>
      <w:t>R</w:t>
    </w:r>
    <w:r>
      <w:rPr>
        <w:spacing w:val="-9"/>
        <w:sz w:val="15"/>
        <w:szCs w:val="15"/>
      </w:rPr>
      <w:t>e</w:t>
    </w:r>
    <w:r>
      <w:rPr>
        <w:spacing w:val="11"/>
        <w:sz w:val="15"/>
        <w:szCs w:val="15"/>
      </w:rPr>
      <w:t>g</w:t>
    </w:r>
    <w:r>
      <w:rPr>
        <w:spacing w:val="-9"/>
        <w:sz w:val="15"/>
        <w:szCs w:val="15"/>
      </w:rPr>
      <w:t>u</w:t>
    </w:r>
    <w:r>
      <w:rPr>
        <w:spacing w:val="4"/>
        <w:sz w:val="15"/>
        <w:szCs w:val="15"/>
      </w:rPr>
      <w:t>l</w:t>
    </w:r>
    <w:r>
      <w:rPr>
        <w:spacing w:val="-9"/>
        <w:sz w:val="15"/>
        <w:szCs w:val="15"/>
      </w:rPr>
      <w:t>a</w:t>
    </w:r>
    <w:r>
      <w:rPr>
        <w:spacing w:val="-6"/>
        <w:sz w:val="15"/>
        <w:szCs w:val="15"/>
      </w:rPr>
      <w:t>t</w:t>
    </w:r>
    <w:r>
      <w:rPr>
        <w:spacing w:val="4"/>
        <w:sz w:val="15"/>
        <w:szCs w:val="15"/>
      </w:rPr>
      <w:t>i</w:t>
    </w:r>
    <w:r>
      <w:rPr>
        <w:spacing w:val="-9"/>
        <w:sz w:val="15"/>
        <w:szCs w:val="15"/>
      </w:rPr>
      <w:t>onand</w:t>
    </w:r>
    <w:r>
      <w:rPr>
        <w:spacing w:val="-6"/>
        <w:sz w:val="15"/>
        <w:szCs w:val="15"/>
      </w:rPr>
      <w:t>G</w:t>
    </w:r>
    <w:r>
      <w:rPr>
        <w:spacing w:val="-9"/>
        <w:sz w:val="15"/>
        <w:szCs w:val="15"/>
      </w:rPr>
      <w:t>u</w:t>
    </w:r>
    <w:r>
      <w:rPr>
        <w:spacing w:val="4"/>
        <w:sz w:val="15"/>
        <w:szCs w:val="15"/>
      </w:rPr>
      <w:t>i</w:t>
    </w:r>
    <w:r>
      <w:rPr>
        <w:spacing w:val="-9"/>
        <w:sz w:val="15"/>
        <w:szCs w:val="15"/>
      </w:rPr>
      <w:t>dan</w:t>
    </w:r>
    <w:r>
      <w:rPr>
        <w:sz w:val="15"/>
        <w:szCs w:val="15"/>
      </w:rPr>
      <w:t>c</w:t>
    </w:r>
    <w:r>
      <w:rPr>
        <w:spacing w:val="-9"/>
        <w:sz w:val="15"/>
        <w:szCs w:val="15"/>
      </w:rPr>
      <w:t>e</w:t>
    </w:r>
    <w:r>
      <w:rPr>
        <w:spacing w:val="-6"/>
        <w:sz w:val="15"/>
        <w:szCs w:val="15"/>
      </w:rPr>
      <w:t>/G</w:t>
    </w:r>
    <w:r>
      <w:rPr>
        <w:spacing w:val="-9"/>
        <w:sz w:val="15"/>
        <w:szCs w:val="15"/>
      </w:rPr>
      <w:t>u</w:t>
    </w:r>
    <w:r>
      <w:rPr>
        <w:spacing w:val="4"/>
        <w:sz w:val="15"/>
        <w:szCs w:val="15"/>
      </w:rPr>
      <w:t>i</w:t>
    </w:r>
    <w:r>
      <w:rPr>
        <w:spacing w:val="-9"/>
        <w:sz w:val="15"/>
        <w:szCs w:val="15"/>
      </w:rPr>
      <w:t>dan</w:t>
    </w:r>
    <w:r>
      <w:rPr>
        <w:sz w:val="15"/>
        <w:szCs w:val="15"/>
      </w:rPr>
      <w:t>c</w:t>
    </w:r>
    <w:r>
      <w:rPr>
        <w:spacing w:val="-9"/>
        <w:sz w:val="15"/>
        <w:szCs w:val="15"/>
      </w:rPr>
      <w:t>e</w:t>
    </w:r>
    <w:r>
      <w:rPr>
        <w:spacing w:val="4"/>
        <w:sz w:val="15"/>
        <w:szCs w:val="15"/>
      </w:rPr>
      <w:t>D</w:t>
    </w:r>
    <w:r>
      <w:rPr>
        <w:spacing w:val="-9"/>
        <w:sz w:val="15"/>
        <w:szCs w:val="15"/>
      </w:rPr>
      <w:t>o</w:t>
    </w:r>
    <w:r>
      <w:rPr>
        <w:sz w:val="15"/>
        <w:szCs w:val="15"/>
      </w:rPr>
      <w:t>c</w:t>
    </w:r>
    <w:r>
      <w:rPr>
        <w:spacing w:val="-9"/>
        <w:sz w:val="15"/>
        <w:szCs w:val="15"/>
      </w:rPr>
      <w:t>u</w:t>
    </w:r>
    <w:r>
      <w:rPr>
        <w:spacing w:val="-14"/>
        <w:sz w:val="15"/>
        <w:szCs w:val="15"/>
      </w:rPr>
      <w:t>m</w:t>
    </w:r>
    <w:r>
      <w:rPr>
        <w:spacing w:val="-9"/>
        <w:sz w:val="15"/>
        <w:szCs w:val="15"/>
      </w:rPr>
      <w:t>en</w:t>
    </w:r>
    <w:r>
      <w:rPr>
        <w:spacing w:val="-6"/>
        <w:sz w:val="15"/>
        <w:szCs w:val="15"/>
      </w:rPr>
      <w:t>t</w:t>
    </w:r>
    <w:r>
      <w:rPr>
        <w:sz w:val="15"/>
        <w:szCs w:val="15"/>
      </w:rPr>
      <w:t>s</w:t>
    </w:r>
    <w:r>
      <w:rPr>
        <w:spacing w:val="-6"/>
        <w:sz w:val="15"/>
        <w:szCs w:val="15"/>
      </w:rPr>
      <w:t>/</w:t>
    </w:r>
    <w:r>
      <w:rPr>
        <w:spacing w:val="-9"/>
        <w:sz w:val="15"/>
        <w:szCs w:val="15"/>
      </w:rPr>
      <w:t>u</w:t>
    </w:r>
    <w:r>
      <w:rPr>
        <w:sz w:val="15"/>
        <w:szCs w:val="15"/>
      </w:rPr>
      <w:t>c</w:t>
    </w:r>
    <w:r>
      <w:rPr>
        <w:spacing w:val="-14"/>
        <w:sz w:val="15"/>
        <w:szCs w:val="15"/>
      </w:rPr>
      <w:t>m</w:t>
    </w:r>
    <w:r>
      <w:rPr>
        <w:spacing w:val="-9"/>
        <w:sz w:val="15"/>
        <w:szCs w:val="15"/>
      </w:rPr>
      <w:t>072846</w:t>
    </w:r>
    <w:r>
      <w:rPr>
        <w:spacing w:val="-6"/>
        <w:sz w:val="15"/>
        <w:szCs w:val="15"/>
      </w:rPr>
      <w:t>.</w:t>
    </w:r>
    <w:r>
      <w:rPr>
        <w:spacing w:val="-9"/>
        <w:sz w:val="15"/>
        <w:szCs w:val="15"/>
      </w:rPr>
      <w:t>h</w:t>
    </w:r>
    <w:r>
      <w:rPr>
        <w:spacing w:val="-6"/>
        <w:sz w:val="15"/>
        <w:szCs w:val="15"/>
      </w:rPr>
      <w:t>t</w:t>
    </w:r>
    <w:r>
      <w:rPr>
        <w:sz w:val="15"/>
        <w:szCs w:val="15"/>
      </w:rPr>
      <w:t>m</w:t>
    </w:r>
    <w:r>
      <w:rPr>
        <w:sz w:val="15"/>
        <w:szCs w:val="15"/>
      </w:rPr>
      <w:fldChar w:fldCharType="end"/>
    </w:r>
    <w:r>
      <w:rPr>
        <w:spacing w:val="-6"/>
        <w:sz w:val="15"/>
        <w:szCs w:val="15"/>
      </w:rPr>
      <w:tab/>
    </w:r>
    <w:r>
      <w:rPr>
        <w:sz w:val="15"/>
        <w:szCs w:val="15"/>
      </w:rPr>
      <w:fldChar w:fldCharType="begin"/>
    </w:r>
    <w:r>
      <w:rPr>
        <w:sz w:val="15"/>
        <w:szCs w:val="15"/>
      </w:rPr>
      <w:instrText xml:space="preserve"> PAGE </w:instrText>
    </w:r>
    <w:r>
      <w:rPr>
        <w:sz w:val="15"/>
        <w:szCs w:val="15"/>
      </w:rPr>
      <w:fldChar w:fldCharType="separate"/>
    </w:r>
    <w:r>
      <w:rPr>
        <w:sz w:val="15"/>
        <w:szCs w:val="15"/>
      </w:rPr>
      <w:t>2</w:t>
    </w:r>
    <w:r>
      <w:rPr>
        <w:sz w:val="15"/>
        <w:szCs w:val="15"/>
      </w:rPr>
      <w:fldChar w:fldCharType="end"/>
    </w:r>
    <w:r>
      <w:rPr>
        <w:spacing w:val="-6"/>
        <w:sz w:val="15"/>
        <w:szCs w:val="15"/>
      </w:rPr>
      <w:t>/</w:t>
    </w:r>
    <w:r>
      <w:rPr>
        <w:spacing w:val="-9"/>
        <w:sz w:val="15"/>
        <w:szCs w:val="15"/>
      </w:rPr>
      <w:t>2</w:t>
    </w:r>
    <w:r>
      <w:rPr>
        <w:sz w:val="15"/>
        <w:szCs w:val="15"/>
      </w:rP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21869">
    <w:pPr>
      <w:rPr>
        <w:sz w:val="18"/>
        <w:szCs w:val="18"/>
      </w:rPr>
    </w:pPr>
    <w:r>
      <w:rPr>
        <w:sz w:val="18"/>
        <w:szCs w:val="18"/>
      </w:rPr>
      <w:t>2017/8/10</w:t>
    </w:r>
    <w:r>
      <w:rPr>
        <w:rFonts w:hint="eastAsia" w:cs="宋体"/>
        <w:sz w:val="18"/>
        <w:szCs w:val="18"/>
      </w:rPr>
      <w:t>指导性文件（医疗器械和放射性产品）</w:t>
    </w:r>
    <w:r>
      <w:rPr>
        <w:sz w:val="18"/>
        <w:szCs w:val="18"/>
      </w:rPr>
      <w:t>&gt;II</w:t>
    </w:r>
    <w:r>
      <w:rPr>
        <w:rFonts w:hint="eastAsia" w:cs="宋体"/>
        <w:sz w:val="18"/>
        <w:szCs w:val="18"/>
      </w:rPr>
      <w:t>类特殊控制指导性文件：呼吸暂停监护器；指导性文件……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03"/>
    <w:multiLevelType w:val="multilevel"/>
    <w:tmpl w:val="00000403"/>
    <w:lvl w:ilvl="0" w:tentative="0">
      <w:start w:val="1"/>
      <w:numFmt w:val="decimal"/>
      <w:lvlText w:val="%1."/>
      <w:lvlJc w:val="left"/>
      <w:pPr>
        <w:ind w:hanging="385"/>
      </w:pPr>
      <w:rPr>
        <w:rFonts w:hint="default" w:ascii="Times New Roman" w:hAnsi="Times New Roman" w:cs="Times New Roman"/>
        <w:b/>
        <w:bCs/>
        <w:spacing w:val="-1"/>
        <w:w w:val="101"/>
        <w:sz w:val="28"/>
        <w:szCs w:val="28"/>
      </w:rPr>
    </w:lvl>
    <w:lvl w:ilvl="1" w:tentative="0">
      <w:start w:val="1"/>
      <w:numFmt w:val="decimal"/>
      <w:lvlText w:val="%1.%2"/>
      <w:lvlJc w:val="left"/>
      <w:pPr>
        <w:ind w:hanging="561"/>
      </w:pPr>
      <w:rPr>
        <w:rFonts w:hint="default" w:ascii="Times New Roman" w:hAnsi="Times New Roman" w:cs="Times New Roman"/>
        <w:b/>
        <w:bCs/>
        <w:spacing w:val="1"/>
        <w:w w:val="102"/>
        <w:sz w:val="21"/>
        <w:szCs w:val="21"/>
      </w:rPr>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00000404"/>
    <w:multiLevelType w:val="multilevel"/>
    <w:tmpl w:val="00000404"/>
    <w:lvl w:ilvl="0" w:tentative="0">
      <w:start w:val="1"/>
      <w:numFmt w:val="lowerLetter"/>
      <w:lvlText w:val="(%1)"/>
      <w:lvlJc w:val="left"/>
      <w:pPr>
        <w:ind w:hanging="369"/>
      </w:pPr>
      <w:rPr>
        <w:rFonts w:hint="default" w:ascii="Times New Roman" w:hAnsi="Times New Roman" w:cs="Times New Roman"/>
        <w:b w:val="0"/>
        <w:bCs w:val="0"/>
        <w:spacing w:val="-6"/>
        <w:w w:val="102"/>
        <w:sz w:val="21"/>
        <w:szCs w:val="21"/>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00000405"/>
    <w:multiLevelType w:val="multilevel"/>
    <w:tmpl w:val="00000405"/>
    <w:lvl w:ilvl="0" w:tentative="0">
      <w:start w:val="9"/>
      <w:numFmt w:val="decimal"/>
      <w:lvlText w:val="%1"/>
      <w:lvlJc w:val="left"/>
      <w:pPr>
        <w:ind w:hanging="417"/>
      </w:pPr>
    </w:lvl>
    <w:lvl w:ilvl="1" w:tentative="0">
      <w:start w:val="1"/>
      <w:numFmt w:val="decimal"/>
      <w:lvlText w:val="%1.%2"/>
      <w:lvlJc w:val="left"/>
      <w:pPr>
        <w:ind w:hanging="417"/>
      </w:pPr>
      <w:rPr>
        <w:rFonts w:hint="default" w:ascii="Times New Roman" w:hAnsi="Times New Roman" w:cs="Times New Roman"/>
        <w:b/>
        <w:bCs/>
        <w:spacing w:val="1"/>
        <w:w w:val="102"/>
        <w:sz w:val="21"/>
        <w:szCs w:val="21"/>
      </w:rPr>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00416CA2"/>
    <w:multiLevelType w:val="multilevel"/>
    <w:tmpl w:val="00416CA2"/>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4">
    <w:nsid w:val="02802600"/>
    <w:multiLevelType w:val="multilevel"/>
    <w:tmpl w:val="02802600"/>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5">
    <w:nsid w:val="0CD85E43"/>
    <w:multiLevelType w:val="multilevel"/>
    <w:tmpl w:val="0CD85E43"/>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6">
    <w:nsid w:val="0D2501BE"/>
    <w:multiLevelType w:val="multilevel"/>
    <w:tmpl w:val="0D2501BE"/>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7">
    <w:nsid w:val="10D868FB"/>
    <w:multiLevelType w:val="multilevel"/>
    <w:tmpl w:val="10D868FB"/>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8">
    <w:nsid w:val="19A73E76"/>
    <w:multiLevelType w:val="multilevel"/>
    <w:tmpl w:val="19A73E76"/>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9">
    <w:nsid w:val="1A5857AC"/>
    <w:multiLevelType w:val="multilevel"/>
    <w:tmpl w:val="1A5857AC"/>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0">
    <w:nsid w:val="1A93344C"/>
    <w:multiLevelType w:val="multilevel"/>
    <w:tmpl w:val="1A93344C"/>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1">
    <w:nsid w:val="1C703657"/>
    <w:multiLevelType w:val="multilevel"/>
    <w:tmpl w:val="1C703657"/>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2">
    <w:nsid w:val="42B2582B"/>
    <w:multiLevelType w:val="multilevel"/>
    <w:tmpl w:val="42B2582B"/>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3">
    <w:nsid w:val="44570515"/>
    <w:multiLevelType w:val="multilevel"/>
    <w:tmpl w:val="44570515"/>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4">
    <w:nsid w:val="4F5E1E0F"/>
    <w:multiLevelType w:val="multilevel"/>
    <w:tmpl w:val="4F5E1E0F"/>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5">
    <w:nsid w:val="4F7213AD"/>
    <w:multiLevelType w:val="multilevel"/>
    <w:tmpl w:val="4F7213AD"/>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6">
    <w:nsid w:val="59A72024"/>
    <w:multiLevelType w:val="multilevel"/>
    <w:tmpl w:val="59A72024"/>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7">
    <w:nsid w:val="59FF43C2"/>
    <w:multiLevelType w:val="multilevel"/>
    <w:tmpl w:val="59FF43C2"/>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8">
    <w:nsid w:val="720911C6"/>
    <w:multiLevelType w:val="multilevel"/>
    <w:tmpl w:val="720911C6"/>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num w:numId="1">
    <w:abstractNumId w:val="0"/>
  </w:num>
  <w:num w:numId="2">
    <w:abstractNumId w:val="15"/>
  </w:num>
  <w:num w:numId="3">
    <w:abstractNumId w:val="7"/>
  </w:num>
  <w:num w:numId="4">
    <w:abstractNumId w:val="1"/>
  </w:num>
  <w:num w:numId="5">
    <w:abstractNumId w:val="10"/>
  </w:num>
  <w:num w:numId="6">
    <w:abstractNumId w:val="8"/>
  </w:num>
  <w:num w:numId="7">
    <w:abstractNumId w:val="14"/>
  </w:num>
  <w:num w:numId="8">
    <w:abstractNumId w:val="18"/>
  </w:num>
  <w:num w:numId="9">
    <w:abstractNumId w:val="12"/>
  </w:num>
  <w:num w:numId="10">
    <w:abstractNumId w:val="2"/>
  </w:num>
  <w:num w:numId="11">
    <w:abstractNumId w:val="13"/>
  </w:num>
  <w:num w:numId="12">
    <w:abstractNumId w:val="4"/>
  </w:num>
  <w:num w:numId="13">
    <w:abstractNumId w:val="6"/>
  </w:num>
  <w:num w:numId="14">
    <w:abstractNumId w:val="16"/>
  </w:num>
  <w:num w:numId="15">
    <w:abstractNumId w:val="11"/>
  </w:num>
  <w:num w:numId="16">
    <w:abstractNumId w:val="9"/>
  </w:num>
  <w:num w:numId="17">
    <w:abstractNumId w:val="17"/>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720"/>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2"/>
  </w:compat>
  <w:rsids>
    <w:rsidRoot w:val="00D4172D"/>
    <w:rsid w:val="00000623"/>
    <w:rsid w:val="00016072"/>
    <w:rsid w:val="00020AD9"/>
    <w:rsid w:val="000260F5"/>
    <w:rsid w:val="00026C80"/>
    <w:rsid w:val="00027A3F"/>
    <w:rsid w:val="00046F5F"/>
    <w:rsid w:val="000677FA"/>
    <w:rsid w:val="00092A09"/>
    <w:rsid w:val="000A5997"/>
    <w:rsid w:val="000B15F4"/>
    <w:rsid w:val="000E48C7"/>
    <w:rsid w:val="0012173F"/>
    <w:rsid w:val="001451A6"/>
    <w:rsid w:val="001633EE"/>
    <w:rsid w:val="001704A7"/>
    <w:rsid w:val="0017775E"/>
    <w:rsid w:val="001833A2"/>
    <w:rsid w:val="00185039"/>
    <w:rsid w:val="00185E9B"/>
    <w:rsid w:val="00190D54"/>
    <w:rsid w:val="001C59BF"/>
    <w:rsid w:val="001D0663"/>
    <w:rsid w:val="001D12C7"/>
    <w:rsid w:val="001E02D8"/>
    <w:rsid w:val="001F26BD"/>
    <w:rsid w:val="00202041"/>
    <w:rsid w:val="00203DF2"/>
    <w:rsid w:val="00226140"/>
    <w:rsid w:val="00230987"/>
    <w:rsid w:val="002436B0"/>
    <w:rsid w:val="00244AFB"/>
    <w:rsid w:val="00251C5B"/>
    <w:rsid w:val="002A38C3"/>
    <w:rsid w:val="002A3F90"/>
    <w:rsid w:val="002E48D4"/>
    <w:rsid w:val="002F63D4"/>
    <w:rsid w:val="00315D7F"/>
    <w:rsid w:val="00321F0F"/>
    <w:rsid w:val="00326402"/>
    <w:rsid w:val="00330F63"/>
    <w:rsid w:val="003454CA"/>
    <w:rsid w:val="003577C6"/>
    <w:rsid w:val="00361BE1"/>
    <w:rsid w:val="003771C7"/>
    <w:rsid w:val="00381BD8"/>
    <w:rsid w:val="003834D1"/>
    <w:rsid w:val="00386C2E"/>
    <w:rsid w:val="003A65DA"/>
    <w:rsid w:val="003B67F0"/>
    <w:rsid w:val="003F1540"/>
    <w:rsid w:val="00443632"/>
    <w:rsid w:val="00451A3B"/>
    <w:rsid w:val="00452A28"/>
    <w:rsid w:val="00455E29"/>
    <w:rsid w:val="004642AE"/>
    <w:rsid w:val="00466A7D"/>
    <w:rsid w:val="00472A88"/>
    <w:rsid w:val="0048387C"/>
    <w:rsid w:val="004C5DC0"/>
    <w:rsid w:val="00501158"/>
    <w:rsid w:val="00513C21"/>
    <w:rsid w:val="00523621"/>
    <w:rsid w:val="00532359"/>
    <w:rsid w:val="00541B4E"/>
    <w:rsid w:val="00566077"/>
    <w:rsid w:val="00567A18"/>
    <w:rsid w:val="005804F5"/>
    <w:rsid w:val="00591BC0"/>
    <w:rsid w:val="005A3A13"/>
    <w:rsid w:val="005B1F4F"/>
    <w:rsid w:val="005C6C34"/>
    <w:rsid w:val="00603E17"/>
    <w:rsid w:val="00632DCF"/>
    <w:rsid w:val="00636BEA"/>
    <w:rsid w:val="00644178"/>
    <w:rsid w:val="00653401"/>
    <w:rsid w:val="00655791"/>
    <w:rsid w:val="00686AAB"/>
    <w:rsid w:val="00695D7C"/>
    <w:rsid w:val="006B0A53"/>
    <w:rsid w:val="006B2880"/>
    <w:rsid w:val="006E24DE"/>
    <w:rsid w:val="006E7D4B"/>
    <w:rsid w:val="006F00FC"/>
    <w:rsid w:val="006F22FD"/>
    <w:rsid w:val="006F2EB1"/>
    <w:rsid w:val="006F7CF0"/>
    <w:rsid w:val="007115B6"/>
    <w:rsid w:val="00730742"/>
    <w:rsid w:val="00764D61"/>
    <w:rsid w:val="00773DFE"/>
    <w:rsid w:val="0078328E"/>
    <w:rsid w:val="007A37E2"/>
    <w:rsid w:val="007D5F9C"/>
    <w:rsid w:val="008014B2"/>
    <w:rsid w:val="00817B9F"/>
    <w:rsid w:val="00822BBF"/>
    <w:rsid w:val="008254B0"/>
    <w:rsid w:val="00832DF5"/>
    <w:rsid w:val="008333CB"/>
    <w:rsid w:val="00836E77"/>
    <w:rsid w:val="00842055"/>
    <w:rsid w:val="00842B11"/>
    <w:rsid w:val="00855C3B"/>
    <w:rsid w:val="008609B2"/>
    <w:rsid w:val="008B348D"/>
    <w:rsid w:val="008F01D8"/>
    <w:rsid w:val="009001F8"/>
    <w:rsid w:val="00913868"/>
    <w:rsid w:val="00936C1E"/>
    <w:rsid w:val="00937839"/>
    <w:rsid w:val="00937BF6"/>
    <w:rsid w:val="0095015F"/>
    <w:rsid w:val="00950EA8"/>
    <w:rsid w:val="00963E73"/>
    <w:rsid w:val="009710F6"/>
    <w:rsid w:val="00977DF2"/>
    <w:rsid w:val="00981193"/>
    <w:rsid w:val="009935B7"/>
    <w:rsid w:val="009D5E35"/>
    <w:rsid w:val="009F2DDA"/>
    <w:rsid w:val="00A476EA"/>
    <w:rsid w:val="00A643B4"/>
    <w:rsid w:val="00A85934"/>
    <w:rsid w:val="00A86014"/>
    <w:rsid w:val="00AA386F"/>
    <w:rsid w:val="00AB6915"/>
    <w:rsid w:val="00AB7FF8"/>
    <w:rsid w:val="00AC12AF"/>
    <w:rsid w:val="00AD07A5"/>
    <w:rsid w:val="00AD17E7"/>
    <w:rsid w:val="00AD377E"/>
    <w:rsid w:val="00AD5A29"/>
    <w:rsid w:val="00AE2FFF"/>
    <w:rsid w:val="00B15A0C"/>
    <w:rsid w:val="00B343F7"/>
    <w:rsid w:val="00B36C40"/>
    <w:rsid w:val="00B43DA2"/>
    <w:rsid w:val="00B60465"/>
    <w:rsid w:val="00B64AB2"/>
    <w:rsid w:val="00B74E8A"/>
    <w:rsid w:val="00BB2FC6"/>
    <w:rsid w:val="00BF31CA"/>
    <w:rsid w:val="00BF3879"/>
    <w:rsid w:val="00C0098E"/>
    <w:rsid w:val="00C0241B"/>
    <w:rsid w:val="00C5775F"/>
    <w:rsid w:val="00C67F91"/>
    <w:rsid w:val="00C91284"/>
    <w:rsid w:val="00C95AF7"/>
    <w:rsid w:val="00CC1048"/>
    <w:rsid w:val="00CE4493"/>
    <w:rsid w:val="00CE5C3D"/>
    <w:rsid w:val="00CE7B85"/>
    <w:rsid w:val="00D202B0"/>
    <w:rsid w:val="00D3704B"/>
    <w:rsid w:val="00D4172D"/>
    <w:rsid w:val="00D447CE"/>
    <w:rsid w:val="00D4759B"/>
    <w:rsid w:val="00D70AA8"/>
    <w:rsid w:val="00D70BBB"/>
    <w:rsid w:val="00DD0558"/>
    <w:rsid w:val="00DE31B9"/>
    <w:rsid w:val="00E07324"/>
    <w:rsid w:val="00E70427"/>
    <w:rsid w:val="00E81FE8"/>
    <w:rsid w:val="00E8270B"/>
    <w:rsid w:val="00EA469A"/>
    <w:rsid w:val="00EA4E2C"/>
    <w:rsid w:val="00EB1F6C"/>
    <w:rsid w:val="00EB284B"/>
    <w:rsid w:val="00EE0C3E"/>
    <w:rsid w:val="00EE5177"/>
    <w:rsid w:val="00EE545B"/>
    <w:rsid w:val="00EF6F2D"/>
    <w:rsid w:val="00F37019"/>
    <w:rsid w:val="00F521AA"/>
    <w:rsid w:val="00F60463"/>
    <w:rsid w:val="00F635F8"/>
    <w:rsid w:val="00F90D4D"/>
    <w:rsid w:val="00FB53C5"/>
    <w:rsid w:val="00FD5AA1"/>
    <w:rsid w:val="00FF0BCF"/>
    <w:rsid w:val="719928E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ocked="1"/>
    <w:lsdException w:qFormat="1" w:unhideWhenUsed="0" w:uiPriority="99" w:name="toc 2" w:locked="1"/>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name="header"/>
    <w:lsdException w:qFormat="1" w:unhideWhenUsed="0" w:uiPriority="99"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kern w:val="0"/>
      <w:sz w:val="24"/>
      <w:szCs w:val="24"/>
      <w:lang w:val="en-US" w:eastAsia="zh-CN" w:bidi="ar-SA"/>
    </w:rPr>
  </w:style>
  <w:style w:type="paragraph" w:styleId="2">
    <w:name w:val="heading 1"/>
    <w:basedOn w:val="1"/>
    <w:link w:val="17"/>
    <w:qFormat/>
    <w:uiPriority w:val="99"/>
    <w:pPr>
      <w:spacing w:before="61"/>
      <w:ind w:left="484" w:hanging="385"/>
      <w:outlineLvl w:val="0"/>
    </w:pPr>
    <w:rPr>
      <w:rFonts w:ascii="Arial" w:hAnsi="Arial" w:cs="Arial"/>
      <w:b/>
      <w:bCs/>
      <w:sz w:val="34"/>
      <w:szCs w:val="34"/>
    </w:rPr>
  </w:style>
  <w:style w:type="paragraph" w:styleId="3">
    <w:name w:val="heading 2"/>
    <w:basedOn w:val="1"/>
    <w:link w:val="18"/>
    <w:qFormat/>
    <w:uiPriority w:val="99"/>
    <w:pPr>
      <w:ind w:left="100"/>
      <w:outlineLvl w:val="1"/>
    </w:pPr>
    <w:rPr>
      <w:rFonts w:ascii="Arial" w:hAnsi="Arial" w:cs="Arial"/>
      <w:b/>
      <w:bCs/>
      <w:sz w:val="25"/>
      <w:szCs w:val="25"/>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semiHidden/>
    <w:qFormat/>
    <w:uiPriority w:val="99"/>
  </w:style>
  <w:style w:type="paragraph" w:styleId="5">
    <w:name w:val="Body Text"/>
    <w:basedOn w:val="1"/>
    <w:link w:val="22"/>
    <w:qFormat/>
    <w:uiPriority w:val="99"/>
    <w:pPr>
      <w:ind w:left="100"/>
    </w:pPr>
    <w:rPr>
      <w:rFonts w:ascii="Arial" w:hAnsi="Arial" w:cs="Arial"/>
      <w:sz w:val="25"/>
      <w:szCs w:val="25"/>
    </w:rPr>
  </w:style>
  <w:style w:type="paragraph" w:styleId="6">
    <w:name w:val="Balloon Text"/>
    <w:basedOn w:val="1"/>
    <w:link w:val="33"/>
    <w:semiHidden/>
    <w:qFormat/>
    <w:uiPriority w:val="99"/>
    <w:rPr>
      <w:sz w:val="18"/>
      <w:szCs w:val="18"/>
    </w:rPr>
  </w:style>
  <w:style w:type="paragraph" w:styleId="7">
    <w:name w:val="footer"/>
    <w:basedOn w:val="1"/>
    <w:link w:val="30"/>
    <w:semiHidden/>
    <w:qFormat/>
    <w:uiPriority w:val="99"/>
    <w:pPr>
      <w:tabs>
        <w:tab w:val="center" w:pos="4153"/>
        <w:tab w:val="right" w:pos="8306"/>
      </w:tabs>
      <w:snapToGrid w:val="0"/>
    </w:pPr>
    <w:rPr>
      <w:sz w:val="18"/>
      <w:szCs w:val="18"/>
    </w:rPr>
  </w:style>
  <w:style w:type="paragraph" w:styleId="8">
    <w:name w:val="header"/>
    <w:basedOn w:val="1"/>
    <w:link w:val="29"/>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semiHidden/>
    <w:qFormat/>
    <w:locked/>
    <w:uiPriority w:val="99"/>
  </w:style>
  <w:style w:type="paragraph" w:styleId="10">
    <w:name w:val="toc 2"/>
    <w:basedOn w:val="1"/>
    <w:next w:val="1"/>
    <w:autoRedefine/>
    <w:semiHidden/>
    <w:qFormat/>
    <w:locked/>
    <w:uiPriority w:val="99"/>
    <w:pPr>
      <w:ind w:left="420" w:leftChars="200"/>
    </w:pPr>
  </w:style>
  <w:style w:type="paragraph" w:styleId="11">
    <w:name w:val="annotation subject"/>
    <w:basedOn w:val="4"/>
    <w:next w:val="4"/>
    <w:link w:val="32"/>
    <w:semiHidden/>
    <w:qFormat/>
    <w:uiPriority w:val="99"/>
    <w:rPr>
      <w:b/>
      <w:bCs/>
    </w:rPr>
  </w:style>
  <w:style w:type="table" w:styleId="13">
    <w:name w:val="Table Grid"/>
    <w:basedOn w:val="12"/>
    <w:qFormat/>
    <w:uiPriority w:val="99"/>
    <w:rPr>
      <w:rFonts w:cs="Calibri"/>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99"/>
    <w:rPr>
      <w:color w:val="0000FF"/>
      <w:u w:val="single"/>
    </w:rPr>
  </w:style>
  <w:style w:type="character" w:styleId="16">
    <w:name w:val="annotation reference"/>
    <w:basedOn w:val="14"/>
    <w:semiHidden/>
    <w:qFormat/>
    <w:uiPriority w:val="99"/>
    <w:rPr>
      <w:sz w:val="21"/>
      <w:szCs w:val="21"/>
    </w:rPr>
  </w:style>
  <w:style w:type="character" w:customStyle="1" w:styleId="17">
    <w:name w:val="标题 1 Char"/>
    <w:basedOn w:val="14"/>
    <w:link w:val="2"/>
    <w:locked/>
    <w:uiPriority w:val="99"/>
    <w:rPr>
      <w:rFonts w:ascii="Times New Roman" w:hAnsi="Times New Roman" w:cs="Times New Roman"/>
      <w:b/>
      <w:bCs/>
      <w:kern w:val="44"/>
      <w:sz w:val="44"/>
      <w:szCs w:val="44"/>
    </w:rPr>
  </w:style>
  <w:style w:type="character" w:customStyle="1" w:styleId="18">
    <w:name w:val="标题 2 Char"/>
    <w:basedOn w:val="14"/>
    <w:link w:val="3"/>
    <w:semiHidden/>
    <w:qFormat/>
    <w:locked/>
    <w:uiPriority w:val="99"/>
    <w:rPr>
      <w:rFonts w:ascii="等线 Light" w:hAnsi="等线 Light" w:eastAsia="等线 Light" w:cs="等线 Light"/>
      <w:b/>
      <w:bCs/>
      <w:kern w:val="0"/>
      <w:sz w:val="32"/>
      <w:szCs w:val="32"/>
    </w:rPr>
  </w:style>
  <w:style w:type="character" w:customStyle="1" w:styleId="19">
    <w:name w:val="正文文本 字符"/>
    <w:basedOn w:val="14"/>
    <w:semiHidden/>
    <w:qFormat/>
    <w:uiPriority w:val="99"/>
    <w:rPr>
      <w:rFonts w:ascii="Times New Roman" w:hAnsi="Times New Roman" w:cs="Times New Roman"/>
      <w:kern w:val="0"/>
      <w:sz w:val="24"/>
      <w:szCs w:val="24"/>
    </w:rPr>
  </w:style>
  <w:style w:type="paragraph" w:styleId="20">
    <w:name w:val="List Paragraph"/>
    <w:basedOn w:val="1"/>
    <w:qFormat/>
    <w:uiPriority w:val="99"/>
  </w:style>
  <w:style w:type="character" w:customStyle="1" w:styleId="21">
    <w:name w:val="正文文本 Char"/>
    <w:basedOn w:val="14"/>
    <w:semiHidden/>
    <w:qFormat/>
    <w:uiPriority w:val="99"/>
    <w:rPr>
      <w:rFonts w:ascii="Times New Roman" w:hAnsi="Times New Roman"/>
      <w:kern w:val="0"/>
      <w:sz w:val="24"/>
      <w:szCs w:val="24"/>
    </w:rPr>
  </w:style>
  <w:style w:type="character" w:customStyle="1" w:styleId="22">
    <w:name w:val="正文文本 Char2"/>
    <w:basedOn w:val="14"/>
    <w:link w:val="5"/>
    <w:semiHidden/>
    <w:qFormat/>
    <w:locked/>
    <w:uiPriority w:val="99"/>
    <w:rPr>
      <w:rFonts w:ascii="Times New Roman" w:hAnsi="Times New Roman" w:cs="Times New Roman"/>
      <w:kern w:val="0"/>
      <w:sz w:val="24"/>
      <w:szCs w:val="24"/>
    </w:rPr>
  </w:style>
  <w:style w:type="character" w:customStyle="1" w:styleId="23">
    <w:name w:val="正文文本 字符2"/>
    <w:basedOn w:val="14"/>
    <w:semiHidden/>
    <w:qFormat/>
    <w:uiPriority w:val="99"/>
    <w:rPr>
      <w:rFonts w:ascii="Times New Roman" w:hAnsi="Times New Roman" w:cs="Times New Roman"/>
      <w:kern w:val="0"/>
      <w:sz w:val="24"/>
      <w:szCs w:val="24"/>
    </w:rPr>
  </w:style>
  <w:style w:type="character" w:customStyle="1" w:styleId="24">
    <w:name w:val="正文文本 Char1"/>
    <w:basedOn w:val="14"/>
    <w:semiHidden/>
    <w:qFormat/>
    <w:uiPriority w:val="99"/>
    <w:rPr>
      <w:rFonts w:ascii="Times New Roman" w:hAnsi="Times New Roman" w:cs="Times New Roman"/>
      <w:kern w:val="0"/>
      <w:sz w:val="24"/>
      <w:szCs w:val="24"/>
    </w:rPr>
  </w:style>
  <w:style w:type="character" w:customStyle="1" w:styleId="25">
    <w:name w:val="正文文本 Char13"/>
    <w:basedOn w:val="14"/>
    <w:semiHidden/>
    <w:qFormat/>
    <w:uiPriority w:val="99"/>
    <w:rPr>
      <w:rFonts w:ascii="Times New Roman" w:hAnsi="Times New Roman" w:cs="Times New Roman"/>
      <w:kern w:val="0"/>
      <w:sz w:val="24"/>
      <w:szCs w:val="24"/>
    </w:rPr>
  </w:style>
  <w:style w:type="character" w:customStyle="1" w:styleId="26">
    <w:name w:val="正文文本 Char12"/>
    <w:basedOn w:val="14"/>
    <w:semiHidden/>
    <w:qFormat/>
    <w:uiPriority w:val="99"/>
    <w:rPr>
      <w:rFonts w:ascii="Times New Roman" w:hAnsi="Times New Roman" w:cs="Times New Roman"/>
      <w:kern w:val="0"/>
      <w:sz w:val="24"/>
      <w:szCs w:val="24"/>
    </w:rPr>
  </w:style>
  <w:style w:type="character" w:customStyle="1" w:styleId="27">
    <w:name w:val="正文文本 Char11"/>
    <w:basedOn w:val="14"/>
    <w:semiHidden/>
    <w:qFormat/>
    <w:uiPriority w:val="99"/>
    <w:rPr>
      <w:rFonts w:ascii="Times New Roman" w:hAnsi="Times New Roman" w:cs="Times New Roman"/>
      <w:kern w:val="0"/>
      <w:sz w:val="24"/>
      <w:szCs w:val="24"/>
    </w:rPr>
  </w:style>
  <w:style w:type="paragraph" w:customStyle="1" w:styleId="28">
    <w:name w:val="Table Paragraph"/>
    <w:basedOn w:val="1"/>
    <w:qFormat/>
    <w:uiPriority w:val="99"/>
  </w:style>
  <w:style w:type="character" w:customStyle="1" w:styleId="29">
    <w:name w:val="页眉 Char"/>
    <w:basedOn w:val="14"/>
    <w:link w:val="8"/>
    <w:semiHidden/>
    <w:qFormat/>
    <w:locked/>
    <w:uiPriority w:val="99"/>
    <w:rPr>
      <w:rFonts w:ascii="Times New Roman" w:hAnsi="Times New Roman" w:cs="Times New Roman"/>
      <w:kern w:val="0"/>
      <w:sz w:val="18"/>
      <w:szCs w:val="18"/>
    </w:rPr>
  </w:style>
  <w:style w:type="character" w:customStyle="1" w:styleId="30">
    <w:name w:val="页脚 Char"/>
    <w:basedOn w:val="14"/>
    <w:link w:val="7"/>
    <w:semiHidden/>
    <w:qFormat/>
    <w:locked/>
    <w:uiPriority w:val="99"/>
    <w:rPr>
      <w:rFonts w:ascii="Times New Roman" w:hAnsi="Times New Roman" w:cs="Times New Roman"/>
      <w:kern w:val="0"/>
      <w:sz w:val="18"/>
      <w:szCs w:val="18"/>
    </w:rPr>
  </w:style>
  <w:style w:type="character" w:customStyle="1" w:styleId="31">
    <w:name w:val="批注文字 Char"/>
    <w:basedOn w:val="14"/>
    <w:link w:val="4"/>
    <w:semiHidden/>
    <w:qFormat/>
    <w:locked/>
    <w:uiPriority w:val="99"/>
    <w:rPr>
      <w:rFonts w:ascii="Times New Roman" w:hAnsi="Times New Roman" w:cs="Times New Roman"/>
      <w:kern w:val="0"/>
      <w:sz w:val="24"/>
      <w:szCs w:val="24"/>
    </w:rPr>
  </w:style>
  <w:style w:type="character" w:customStyle="1" w:styleId="32">
    <w:name w:val="批注主题 Char"/>
    <w:basedOn w:val="31"/>
    <w:link w:val="11"/>
    <w:semiHidden/>
    <w:qFormat/>
    <w:locked/>
    <w:uiPriority w:val="99"/>
    <w:rPr>
      <w:rFonts w:ascii="Times New Roman" w:hAnsi="Times New Roman" w:cs="Times New Roman"/>
      <w:b/>
      <w:bCs/>
      <w:kern w:val="0"/>
      <w:sz w:val="24"/>
      <w:szCs w:val="24"/>
    </w:rPr>
  </w:style>
  <w:style w:type="character" w:customStyle="1" w:styleId="33">
    <w:name w:val="批注框文本 Char"/>
    <w:basedOn w:val="14"/>
    <w:link w:val="6"/>
    <w:semiHidden/>
    <w:qFormat/>
    <w:locked/>
    <w:uiPriority w:val="99"/>
    <w:rPr>
      <w:rFonts w:ascii="Times New Roman" w:hAnsi="Times New Roman" w:cs="Times New Roman"/>
      <w:kern w:val="0"/>
      <w:sz w:val="18"/>
      <w:szCs w:val="18"/>
    </w:rPr>
  </w:style>
  <w:style w:type="paragraph" w:customStyle="1" w:styleId="34">
    <w:name w:val="CM23"/>
    <w:basedOn w:val="1"/>
    <w:next w:val="1"/>
    <w:qFormat/>
    <w:uiPriority w:val="99"/>
    <w:pPr>
      <w:spacing w:after="420"/>
    </w:pPr>
  </w:style>
  <w:style w:type="character" w:customStyle="1" w:styleId="35">
    <w:name w:val="未处理的提及1"/>
    <w:basedOn w:val="14"/>
    <w:semiHidden/>
    <w:qFormat/>
    <w:uiPriority w:val="99"/>
    <w:rPr>
      <w:color w:val="808080"/>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xlmedtrans</Company>
  <Pages>25</Pages>
  <Words>12529</Words>
  <Characters>17145</Characters>
  <Lines>155</Lines>
  <Paragraphs>43</Paragraphs>
  <TotalTime>26</TotalTime>
  <ScaleCrop>false</ScaleCrop>
  <LinksUpToDate>false</LinksUpToDate>
  <CharactersWithSpaces>17271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2017-10-28T08:16:00Z</dcterms:created>
  <dc:creator>xlmedtrans</dc:creator>
  <cp:lastModifiedBy>太极箫客</cp:lastModifiedBy>
  <dcterms:modified xsi:type="dcterms:W3CDTF">2025-08-14T06:17:34Z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452D79AE2010457681BE4D95BB28DB32_12</vt:lpwstr>
  </property>
</Properties>
</file>