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B8CBB">
      <w:pPr>
        <w:snapToGrid w:val="0"/>
        <w:spacing w:line="360" w:lineRule="auto"/>
        <w:jc w:val="center"/>
        <w:rPr>
          <w:b/>
          <w:bCs/>
          <w:sz w:val="44"/>
          <w:szCs w:val="44"/>
        </w:rPr>
      </w:pPr>
      <w:bookmarkStart w:id="13" w:name="_GoBack"/>
      <w:bookmarkEnd w:id="13"/>
      <w:bookmarkStart w:id="0" w:name="bookmark0"/>
      <w:r>
        <w:rPr>
          <w:rFonts w:hint="eastAsia" w:cs="宋体"/>
          <w:b/>
          <w:bCs/>
          <w:sz w:val="44"/>
          <w:szCs w:val="44"/>
        </w:rPr>
        <w:t>行业和</w:t>
      </w:r>
      <w:r>
        <w:rPr>
          <w:b/>
          <w:bCs/>
          <w:sz w:val="44"/>
          <w:szCs w:val="44"/>
        </w:rPr>
        <w:t>FDA</w:t>
      </w:r>
      <w:r>
        <w:rPr>
          <w:rFonts w:hint="eastAsia" w:cs="宋体"/>
          <w:b/>
          <w:bCs/>
          <w:sz w:val="44"/>
          <w:szCs w:val="44"/>
        </w:rPr>
        <w:t>工作人员</w:t>
      </w:r>
      <w:bookmarkEnd w:id="0"/>
      <w:r>
        <w:rPr>
          <w:rFonts w:hint="eastAsia" w:cs="宋体"/>
          <w:b/>
          <w:bCs/>
          <w:sz w:val="44"/>
          <w:szCs w:val="44"/>
        </w:rPr>
        <w:t>指南</w:t>
      </w:r>
    </w:p>
    <w:p w14:paraId="7B174AD9">
      <w:pPr>
        <w:pBdr>
          <w:top w:val="single" w:color="auto" w:sz="2" w:space="1"/>
        </w:pBdr>
        <w:kinsoku w:val="0"/>
        <w:overflowPunct w:val="0"/>
        <w:snapToGrid w:val="0"/>
        <w:spacing w:afterLines="50" w:line="360" w:lineRule="auto"/>
        <w:jc w:val="center"/>
        <w:rPr>
          <w:sz w:val="44"/>
          <w:szCs w:val="44"/>
        </w:rPr>
      </w:pPr>
      <w:r>
        <w:rPr>
          <w:b/>
          <w:bCs/>
          <w:sz w:val="44"/>
          <w:szCs w:val="44"/>
        </w:rPr>
        <w:t>II</w:t>
      </w:r>
      <w:r>
        <w:rPr>
          <w:rFonts w:hint="eastAsia" w:cs="宋体"/>
          <w:b/>
          <w:bCs/>
          <w:sz w:val="44"/>
          <w:szCs w:val="44"/>
        </w:rPr>
        <w:t>类特殊控制指南文件：免疫磁性循环癌细胞选择和计数系统</w:t>
      </w:r>
    </w:p>
    <w:p w14:paraId="6FD1BA40">
      <w:pPr>
        <w:snapToGrid w:val="0"/>
        <w:spacing w:beforeLines="100" w:line="360" w:lineRule="auto"/>
        <w:jc w:val="center"/>
        <w:rPr>
          <w:b/>
          <w:bCs/>
          <w:sz w:val="21"/>
          <w:szCs w:val="21"/>
        </w:rPr>
      </w:pPr>
      <w:r>
        <w:rPr>
          <w:rFonts w:hint="eastAsia" w:cs="宋体"/>
          <w:b/>
          <w:bCs/>
          <w:sz w:val="21"/>
          <w:szCs w:val="21"/>
        </w:rPr>
        <w:t>文件发布日期：</w:t>
      </w:r>
      <w:r>
        <w:rPr>
          <w:b/>
          <w:bCs/>
          <w:sz w:val="21"/>
          <w:szCs w:val="21"/>
        </w:rPr>
        <w:t>2004</w:t>
      </w:r>
      <w:r>
        <w:rPr>
          <w:rFonts w:hint="eastAsia" w:cs="宋体"/>
          <w:b/>
          <w:bCs/>
          <w:sz w:val="21"/>
          <w:szCs w:val="21"/>
        </w:rPr>
        <w:t>年</w:t>
      </w:r>
      <w:r>
        <w:rPr>
          <w:b/>
          <w:bCs/>
          <w:sz w:val="21"/>
          <w:szCs w:val="21"/>
        </w:rPr>
        <w:t>5</w:t>
      </w:r>
      <w:r>
        <w:rPr>
          <w:rFonts w:hint="eastAsia" w:cs="宋体"/>
          <w:b/>
          <w:bCs/>
          <w:sz w:val="21"/>
          <w:szCs w:val="21"/>
        </w:rPr>
        <w:t>月</w:t>
      </w:r>
      <w:r>
        <w:rPr>
          <w:b/>
          <w:bCs/>
          <w:sz w:val="21"/>
          <w:szCs w:val="21"/>
        </w:rPr>
        <w:t>11</w:t>
      </w:r>
      <w:r>
        <w:rPr>
          <w:rFonts w:hint="eastAsia" w:cs="宋体"/>
          <w:b/>
          <w:bCs/>
          <w:sz w:val="21"/>
          <w:szCs w:val="21"/>
        </w:rPr>
        <w:t>日</w:t>
      </w:r>
    </w:p>
    <w:p w14:paraId="3A67C971">
      <w:pPr>
        <w:snapToGrid w:val="0"/>
        <w:spacing w:afterLines="200" w:line="360" w:lineRule="auto"/>
        <w:jc w:val="both"/>
        <w:rPr>
          <w:sz w:val="21"/>
          <w:szCs w:val="21"/>
          <w:highlight w:val="green"/>
        </w:rPr>
      </w:pPr>
      <w:r>
        <w:rPr>
          <w:rFonts w:hint="eastAsia" w:cs="宋体"/>
          <w:sz w:val="21"/>
          <w:szCs w:val="21"/>
        </w:rPr>
        <w:t>有关本文件的问题，</w:t>
      </w:r>
      <w:bookmarkStart w:id="1" w:name="_Hlk495311404"/>
      <w:r>
        <w:rPr>
          <w:rFonts w:hint="eastAsia" w:cs="宋体"/>
          <w:sz w:val="21"/>
          <w:szCs w:val="21"/>
        </w:rPr>
        <w:t>通过</w:t>
      </w:r>
      <w:r>
        <w:rPr>
          <w:sz w:val="21"/>
          <w:szCs w:val="21"/>
        </w:rPr>
        <w:t>301-594-1293</w:t>
      </w:r>
      <w:r>
        <w:rPr>
          <w:rFonts w:hint="eastAsia" w:cs="宋体"/>
          <w:sz w:val="21"/>
          <w:szCs w:val="21"/>
        </w:rPr>
        <w:t>转</w:t>
      </w:r>
      <w:r>
        <w:rPr>
          <w:sz w:val="21"/>
          <w:szCs w:val="21"/>
        </w:rPr>
        <w:t>138</w:t>
      </w:r>
      <w:r>
        <w:rPr>
          <w:rFonts w:hint="eastAsia" w:cs="宋体"/>
          <w:sz w:val="21"/>
          <w:szCs w:val="21"/>
        </w:rPr>
        <w:t>或电子邮箱地址：</w:t>
      </w:r>
      <w:r>
        <w:fldChar w:fldCharType="begin"/>
      </w:r>
      <w:r>
        <w:instrText xml:space="preserve"> HYPERLINK "mailto:nmc@cdrh.fda.gov" </w:instrText>
      </w:r>
      <w:r>
        <w:fldChar w:fldCharType="separate"/>
      </w:r>
      <w:r>
        <w:rPr>
          <w:sz w:val="21"/>
          <w:szCs w:val="21"/>
        </w:rPr>
        <w:t>nmc@cdrh.fda.gov</w:t>
      </w:r>
      <w:r>
        <w:rPr>
          <w:sz w:val="21"/>
          <w:szCs w:val="21"/>
        </w:rPr>
        <w:fldChar w:fldCharType="end"/>
      </w:r>
      <w:r>
        <w:rPr>
          <w:rFonts w:hint="eastAsia" w:cs="宋体"/>
          <w:sz w:val="21"/>
          <w:szCs w:val="21"/>
        </w:rPr>
        <w:t>与</w:t>
      </w:r>
      <w:r>
        <w:rPr>
          <w:sz w:val="21"/>
          <w:szCs w:val="21"/>
        </w:rPr>
        <w:t>Nina Chace</w:t>
      </w:r>
      <w:r>
        <w:rPr>
          <w:rFonts w:hint="eastAsia" w:cs="宋体"/>
          <w:sz w:val="21"/>
          <w:szCs w:val="21"/>
        </w:rPr>
        <w:t>取得联系。</w:t>
      </w:r>
      <w:bookmarkEnd w:id="1"/>
    </w:p>
    <w:p w14:paraId="3C77C63A">
      <w:pPr>
        <w:kinsoku w:val="0"/>
        <w:overflowPunct w:val="0"/>
        <w:snapToGrid w:val="0"/>
        <w:spacing w:afterLines="50" w:line="360" w:lineRule="auto"/>
        <w:jc w:val="both"/>
        <w:rPr>
          <w:sz w:val="21"/>
          <w:szCs w:val="21"/>
        </w:rPr>
      </w:pPr>
      <w:r>
        <w:rPr>
          <w:sz w:val="21"/>
          <w:szCs w:val="21"/>
        </w:rPr>
        <w:drawing>
          <wp:inline distT="0" distB="0" distL="0" distR="0">
            <wp:extent cx="871220" cy="62992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71220" cy="629920"/>
                    </a:xfrm>
                    <a:prstGeom prst="rect">
                      <a:avLst/>
                    </a:prstGeom>
                    <a:noFill/>
                    <a:ln>
                      <a:noFill/>
                    </a:ln>
                  </pic:spPr>
                </pic:pic>
              </a:graphicData>
            </a:graphic>
          </wp:inline>
        </w:drawing>
      </w:r>
    </w:p>
    <w:p w14:paraId="770757F2">
      <w:pPr>
        <w:snapToGrid w:val="0"/>
        <w:spacing w:line="360" w:lineRule="auto"/>
        <w:jc w:val="right"/>
        <w:rPr>
          <w:b/>
          <w:bCs/>
          <w:sz w:val="21"/>
          <w:szCs w:val="21"/>
        </w:rPr>
      </w:pPr>
      <w:r>
        <w:rPr>
          <w:rFonts w:hint="eastAsia" w:cs="宋体"/>
          <w:b/>
          <w:bCs/>
          <w:sz w:val="21"/>
          <w:szCs w:val="21"/>
        </w:rPr>
        <w:t>美国卫生和人类服务部</w:t>
      </w:r>
    </w:p>
    <w:p w14:paraId="7299A0DF">
      <w:pPr>
        <w:snapToGrid w:val="0"/>
        <w:spacing w:line="360" w:lineRule="auto"/>
        <w:jc w:val="right"/>
        <w:rPr>
          <w:b/>
          <w:bCs/>
          <w:sz w:val="21"/>
          <w:szCs w:val="21"/>
        </w:rPr>
      </w:pPr>
      <w:r>
        <w:rPr>
          <w:rFonts w:hint="eastAsia" w:cs="宋体"/>
          <w:b/>
          <w:bCs/>
          <w:sz w:val="21"/>
          <w:szCs w:val="21"/>
        </w:rPr>
        <w:t>美国食品药品管理局</w:t>
      </w:r>
    </w:p>
    <w:p w14:paraId="74738814">
      <w:pPr>
        <w:kinsoku w:val="0"/>
        <w:overflowPunct w:val="0"/>
        <w:snapToGrid w:val="0"/>
        <w:spacing w:afterLines="100" w:line="360" w:lineRule="auto"/>
        <w:jc w:val="right"/>
        <w:rPr>
          <w:b/>
          <w:bCs/>
          <w:sz w:val="21"/>
          <w:szCs w:val="21"/>
        </w:rPr>
      </w:pPr>
      <w:r>
        <w:rPr>
          <w:rFonts w:hint="eastAsia" w:cs="宋体"/>
          <w:b/>
          <w:bCs/>
          <w:sz w:val="21"/>
          <w:szCs w:val="21"/>
        </w:rPr>
        <w:t>器械与放射卫生中心</w:t>
      </w:r>
    </w:p>
    <w:p w14:paraId="0614F588">
      <w:pPr>
        <w:pStyle w:val="6"/>
        <w:kinsoku w:val="0"/>
        <w:overflowPunct w:val="0"/>
        <w:snapToGrid w:val="0"/>
        <w:spacing w:line="360" w:lineRule="auto"/>
        <w:jc w:val="right"/>
        <w:rPr>
          <w:b/>
          <w:bCs/>
          <w:sz w:val="21"/>
          <w:szCs w:val="21"/>
        </w:rPr>
      </w:pPr>
      <w:r>
        <w:rPr>
          <w:rFonts w:hint="eastAsia" w:cs="宋体"/>
          <w:b/>
          <w:bCs/>
          <w:sz w:val="21"/>
          <w:szCs w:val="21"/>
        </w:rPr>
        <w:t>体外诊断器械评价与安全办公室</w:t>
      </w:r>
    </w:p>
    <w:p w14:paraId="7E9CB35F">
      <w:pPr>
        <w:pStyle w:val="6"/>
        <w:kinsoku w:val="0"/>
        <w:overflowPunct w:val="0"/>
        <w:snapToGrid w:val="0"/>
        <w:spacing w:line="360" w:lineRule="auto"/>
        <w:ind w:left="0"/>
        <w:jc w:val="right"/>
        <w:rPr>
          <w:b/>
          <w:bCs/>
          <w:sz w:val="21"/>
          <w:szCs w:val="21"/>
        </w:rPr>
      </w:pPr>
      <w:r>
        <w:rPr>
          <w:rFonts w:hint="eastAsia" w:cs="宋体"/>
          <w:b/>
          <w:bCs/>
          <w:sz w:val="21"/>
          <w:szCs w:val="21"/>
        </w:rPr>
        <w:t>免疫学和血液学器械部</w:t>
      </w:r>
    </w:p>
    <w:p w14:paraId="14DEF6EB">
      <w:pPr>
        <w:kinsoku w:val="0"/>
        <w:overflowPunct w:val="0"/>
        <w:snapToGrid w:val="0"/>
        <w:spacing w:afterLines="50" w:line="360" w:lineRule="auto"/>
        <w:jc w:val="right"/>
        <w:rPr>
          <w:sz w:val="21"/>
          <w:szCs w:val="21"/>
          <w:highlight w:val="green"/>
        </w:rPr>
      </w:pPr>
    </w:p>
    <w:p w14:paraId="09C30C8A">
      <w:pPr>
        <w:snapToGrid w:val="0"/>
        <w:spacing w:line="360" w:lineRule="auto"/>
        <w:jc w:val="center"/>
        <w:rPr>
          <w:sz w:val="21"/>
          <w:szCs w:val="21"/>
        </w:rPr>
        <w:sectPr>
          <w:headerReference r:id="rId3" w:type="default"/>
          <w:pgSz w:w="11907" w:h="16840"/>
          <w:pgMar w:top="1440" w:right="1797" w:bottom="1440" w:left="1797" w:header="680" w:footer="680" w:gutter="0"/>
          <w:cols w:space="720" w:num="1"/>
          <w:rtlGutter w:val="1"/>
        </w:sectPr>
      </w:pPr>
    </w:p>
    <w:p w14:paraId="065D6073">
      <w:pPr>
        <w:snapToGrid w:val="0"/>
        <w:spacing w:line="360" w:lineRule="auto"/>
        <w:jc w:val="center"/>
        <w:rPr>
          <w:b/>
          <w:bCs/>
          <w:sz w:val="32"/>
          <w:szCs w:val="32"/>
        </w:rPr>
      </w:pPr>
      <w:r>
        <w:rPr>
          <w:rFonts w:hint="eastAsia" w:cs="宋体"/>
          <w:b/>
          <w:bCs/>
          <w:sz w:val="32"/>
          <w:szCs w:val="32"/>
        </w:rPr>
        <w:t>前言</w:t>
      </w:r>
    </w:p>
    <w:p w14:paraId="354D3512">
      <w:pPr>
        <w:pStyle w:val="27"/>
        <w:snapToGrid w:val="0"/>
        <w:spacing w:beforeLines="50" w:after="0" w:line="360" w:lineRule="auto"/>
        <w:jc w:val="both"/>
        <w:rPr>
          <w:sz w:val="28"/>
          <w:szCs w:val="28"/>
        </w:rPr>
      </w:pPr>
      <w:r>
        <w:rPr>
          <w:rFonts w:hint="eastAsia" w:cs="宋体"/>
          <w:b/>
          <w:bCs/>
          <w:sz w:val="28"/>
          <w:szCs w:val="28"/>
        </w:rPr>
        <w:t>公众意见：</w:t>
      </w:r>
    </w:p>
    <w:p w14:paraId="4C183060">
      <w:pPr>
        <w:pStyle w:val="6"/>
        <w:kinsoku w:val="0"/>
        <w:overflowPunct w:val="0"/>
        <w:snapToGrid w:val="0"/>
        <w:spacing w:afterLines="50" w:line="360" w:lineRule="auto"/>
        <w:ind w:left="0"/>
        <w:jc w:val="both"/>
        <w:rPr>
          <w:sz w:val="21"/>
          <w:szCs w:val="21"/>
        </w:rPr>
      </w:pPr>
      <w:r>
        <w:rPr>
          <w:rFonts w:hint="eastAsia" w:cs="宋体"/>
          <w:sz w:val="21"/>
          <w:szCs w:val="21"/>
        </w:rPr>
        <w:t>可以在任何时候将意见和建议提交给食品药品监督管理局文档管理组，供监管机构考虑。地址为</w:t>
      </w:r>
      <w:r>
        <w:rPr>
          <w:sz w:val="21"/>
          <w:szCs w:val="21"/>
        </w:rPr>
        <w:t>5630 Fishers Lane</w:t>
      </w:r>
      <w:r>
        <w:rPr>
          <w:rFonts w:hint="eastAsia" w:cs="宋体"/>
          <w:sz w:val="21"/>
          <w:szCs w:val="21"/>
        </w:rPr>
        <w:t>，</w:t>
      </w:r>
      <w:r>
        <w:rPr>
          <w:sz w:val="21"/>
          <w:szCs w:val="21"/>
        </w:rPr>
        <w:t>Room 1061</w:t>
      </w:r>
      <w:r>
        <w:rPr>
          <w:rFonts w:hint="eastAsia" w:cs="宋体"/>
          <w:sz w:val="21"/>
          <w:szCs w:val="21"/>
        </w:rPr>
        <w:t>，（</w:t>
      </w:r>
      <w:r>
        <w:rPr>
          <w:sz w:val="21"/>
          <w:szCs w:val="21"/>
        </w:rPr>
        <w:t>HFA-305</w:t>
      </w:r>
      <w:r>
        <w:rPr>
          <w:rFonts w:hint="eastAsia" w:cs="宋体"/>
          <w:sz w:val="21"/>
          <w:szCs w:val="21"/>
        </w:rPr>
        <w:t>），</w:t>
      </w:r>
      <w:r>
        <w:rPr>
          <w:sz w:val="21"/>
          <w:szCs w:val="21"/>
        </w:rPr>
        <w:t>Rockville</w:t>
      </w:r>
      <w:r>
        <w:rPr>
          <w:rFonts w:hint="eastAsia" w:cs="宋体"/>
          <w:sz w:val="21"/>
          <w:szCs w:val="21"/>
        </w:rPr>
        <w:t>，</w:t>
      </w:r>
      <w:r>
        <w:rPr>
          <w:sz w:val="21"/>
          <w:szCs w:val="21"/>
        </w:rPr>
        <w:t>MD</w:t>
      </w:r>
      <w:r>
        <w:rPr>
          <w:rFonts w:hint="eastAsia" w:cs="宋体"/>
          <w:sz w:val="21"/>
          <w:szCs w:val="21"/>
        </w:rPr>
        <w:t>，</w:t>
      </w:r>
      <w:r>
        <w:rPr>
          <w:sz w:val="21"/>
          <w:szCs w:val="21"/>
        </w:rPr>
        <w:t>20852</w:t>
      </w:r>
      <w:r>
        <w:rPr>
          <w:rFonts w:hint="eastAsia" w:cs="宋体"/>
          <w:sz w:val="21"/>
          <w:szCs w:val="21"/>
        </w:rPr>
        <w:t>。或者，将电子意见提交给</w:t>
      </w:r>
      <w:r>
        <w:fldChar w:fldCharType="begin"/>
      </w:r>
      <w:r>
        <w:instrText xml:space="preserve"> HYPERLINK "http://www.fda.gov/dockets.ecomments" </w:instrText>
      </w:r>
      <w:r>
        <w:fldChar w:fldCharType="separate"/>
      </w:r>
      <w:r>
        <w:rPr>
          <w:rStyle w:val="14"/>
          <w:color w:val="0000FF"/>
          <w:sz w:val="21"/>
          <w:szCs w:val="21"/>
        </w:rPr>
        <w:t>http://www.fda.gov/dockets.ecomments</w:t>
      </w:r>
      <w:r>
        <w:rPr>
          <w:rStyle w:val="14"/>
          <w:color w:val="0000FF"/>
          <w:sz w:val="21"/>
          <w:szCs w:val="21"/>
        </w:rPr>
        <w:fldChar w:fldCharType="end"/>
      </w:r>
      <w:r>
        <w:rPr>
          <w:rFonts w:hint="eastAsia" w:cs="宋体"/>
          <w:sz w:val="21"/>
          <w:szCs w:val="21"/>
        </w:rPr>
        <w:t>。当提交意见时，请提及文档号</w:t>
      </w:r>
      <w:r>
        <w:rPr>
          <w:sz w:val="21"/>
          <w:szCs w:val="21"/>
        </w:rPr>
        <w:t>2004D-0163</w:t>
      </w:r>
      <w:r>
        <w:rPr>
          <w:rFonts w:hint="eastAsia" w:cs="宋体"/>
          <w:sz w:val="21"/>
          <w:szCs w:val="21"/>
        </w:rPr>
        <w:t>。在文件被下次修订或者更新之前，意见可能不被监管机构所采用。</w:t>
      </w:r>
    </w:p>
    <w:p w14:paraId="7C662C57">
      <w:pPr>
        <w:snapToGrid w:val="0"/>
        <w:spacing w:afterLines="50" w:line="360" w:lineRule="auto"/>
        <w:jc w:val="both"/>
        <w:outlineLvl w:val="1"/>
        <w:rPr>
          <w:sz w:val="28"/>
          <w:szCs w:val="28"/>
        </w:rPr>
      </w:pPr>
      <w:bookmarkStart w:id="2" w:name="_Toc496722802"/>
      <w:r>
        <w:rPr>
          <w:rFonts w:hint="eastAsia" w:cs="宋体"/>
          <w:b/>
          <w:bCs/>
          <w:sz w:val="28"/>
          <w:szCs w:val="28"/>
        </w:rPr>
        <w:t>额外副本</w:t>
      </w:r>
      <w:bookmarkEnd w:id="2"/>
    </w:p>
    <w:p w14:paraId="1D080D5B">
      <w:pPr>
        <w:pStyle w:val="6"/>
        <w:kinsoku w:val="0"/>
        <w:overflowPunct w:val="0"/>
        <w:snapToGrid w:val="0"/>
        <w:spacing w:afterLines="50" w:line="360" w:lineRule="auto"/>
        <w:ind w:left="0"/>
        <w:jc w:val="both"/>
        <w:rPr>
          <w:sz w:val="21"/>
          <w:szCs w:val="21"/>
        </w:rPr>
      </w:pPr>
      <w:r>
        <w:rPr>
          <w:rFonts w:hint="eastAsia" w:cs="宋体"/>
          <w:sz w:val="21"/>
          <w:szCs w:val="21"/>
        </w:rPr>
        <w:t>可通过互联网网址</w:t>
      </w:r>
      <w:r>
        <w:fldChar w:fldCharType="begin"/>
      </w:r>
      <w:r>
        <w:instrText xml:space="preserve"> HYPERLINK "http://www.fda.gov/cdrh/" </w:instrText>
      </w:r>
      <w:r>
        <w:fldChar w:fldCharType="separate"/>
      </w:r>
      <w:r>
        <w:rPr>
          <w:color w:val="0000FF"/>
          <w:sz w:val="21"/>
          <w:szCs w:val="21"/>
          <w:u w:val="single"/>
        </w:rPr>
        <w:t xml:space="preserve">http://www.fda.gov/cdrh/[specific </w:t>
      </w:r>
      <w:r>
        <w:rPr>
          <w:color w:val="0000FF"/>
          <w:sz w:val="21"/>
          <w:szCs w:val="21"/>
          <w:u w:val="single"/>
        </w:rPr>
        <w:fldChar w:fldCharType="end"/>
      </w:r>
      <w:r>
        <w:rPr>
          <w:sz w:val="21"/>
          <w:szCs w:val="21"/>
        </w:rPr>
        <w:t>address]</w:t>
      </w:r>
      <w:r>
        <w:rPr>
          <w:rFonts w:hint="eastAsia" w:cs="宋体"/>
          <w:sz w:val="21"/>
          <w:szCs w:val="21"/>
        </w:rPr>
        <w:t>获得额外副本或通过传真机接收本文件，请拨打按键电话</w:t>
      </w:r>
      <w:r>
        <w:rPr>
          <w:sz w:val="21"/>
          <w:szCs w:val="21"/>
        </w:rPr>
        <w:t>800-899-0381</w:t>
      </w:r>
      <w:r>
        <w:rPr>
          <w:rFonts w:hint="eastAsia" w:cs="宋体"/>
          <w:sz w:val="21"/>
          <w:szCs w:val="21"/>
        </w:rPr>
        <w:t>或</w:t>
      </w:r>
      <w:r>
        <w:rPr>
          <w:sz w:val="21"/>
          <w:szCs w:val="21"/>
        </w:rPr>
        <w:t>301-827-0111</w:t>
      </w:r>
      <w:r>
        <w:rPr>
          <w:rFonts w:hint="eastAsia" w:cs="宋体"/>
          <w:sz w:val="21"/>
          <w:szCs w:val="21"/>
        </w:rPr>
        <w:t>呼叫</w:t>
      </w:r>
      <w:r>
        <w:rPr>
          <w:sz w:val="21"/>
          <w:szCs w:val="21"/>
        </w:rPr>
        <w:t>CDRH Facts-On-Demand</w:t>
      </w:r>
      <w:r>
        <w:rPr>
          <w:rFonts w:hint="eastAsia" w:cs="宋体"/>
          <w:sz w:val="21"/>
          <w:szCs w:val="21"/>
        </w:rPr>
        <w:t>系统。按</w:t>
      </w:r>
      <w:r>
        <w:rPr>
          <w:sz w:val="21"/>
          <w:szCs w:val="21"/>
        </w:rPr>
        <w:t>1</w:t>
      </w:r>
      <w:r>
        <w:rPr>
          <w:rFonts w:hint="eastAsia" w:cs="宋体"/>
          <w:sz w:val="21"/>
          <w:szCs w:val="21"/>
        </w:rPr>
        <w:t>进入系统。在第二次语音提示时，按</w:t>
      </w:r>
      <w:r>
        <w:rPr>
          <w:sz w:val="21"/>
          <w:szCs w:val="21"/>
        </w:rPr>
        <w:t>1</w:t>
      </w:r>
      <w:r>
        <w:rPr>
          <w:rFonts w:hint="eastAsia" w:cs="宋体"/>
          <w:sz w:val="21"/>
          <w:szCs w:val="21"/>
        </w:rPr>
        <w:t>订购文件。输入文件编号（</w:t>
      </w:r>
      <w:r>
        <w:rPr>
          <w:sz w:val="21"/>
          <w:szCs w:val="21"/>
        </w:rPr>
        <w:t>1531</w:t>
      </w:r>
      <w:r>
        <w:rPr>
          <w:rFonts w:hint="eastAsia" w:cs="宋体"/>
          <w:sz w:val="21"/>
          <w:szCs w:val="21"/>
        </w:rPr>
        <w:t>）并按井号键（</w:t>
      </w:r>
      <w:r>
        <w:rPr>
          <w:sz w:val="21"/>
          <w:szCs w:val="21"/>
        </w:rPr>
        <w:t>#</w:t>
      </w:r>
      <w:r>
        <w:rPr>
          <w:rFonts w:hint="eastAsia" w:cs="宋体"/>
          <w:sz w:val="21"/>
          <w:szCs w:val="21"/>
        </w:rPr>
        <w:t>）确认。按照后面的语音提示完成您的请求。有关本指南文件的使用或解释相关问题，请通过</w:t>
      </w:r>
      <w:r>
        <w:rPr>
          <w:sz w:val="21"/>
          <w:szCs w:val="21"/>
        </w:rPr>
        <w:t>(301) 594-1293</w:t>
      </w:r>
      <w:r>
        <w:rPr>
          <w:rFonts w:hint="eastAsia" w:cs="宋体"/>
          <w:sz w:val="21"/>
          <w:szCs w:val="21"/>
        </w:rPr>
        <w:t>转</w:t>
      </w:r>
      <w:r>
        <w:rPr>
          <w:sz w:val="21"/>
          <w:szCs w:val="21"/>
        </w:rPr>
        <w:t>138</w:t>
      </w:r>
      <w:r>
        <w:rPr>
          <w:rFonts w:hint="eastAsia" w:cs="宋体"/>
          <w:sz w:val="21"/>
          <w:szCs w:val="21"/>
        </w:rPr>
        <w:t>联系</w:t>
      </w:r>
      <w:r>
        <w:rPr>
          <w:sz w:val="21"/>
          <w:szCs w:val="21"/>
        </w:rPr>
        <w:t>Nina Chace</w:t>
      </w:r>
      <w:r>
        <w:rPr>
          <w:rFonts w:hint="eastAsia" w:cs="宋体"/>
          <w:sz w:val="21"/>
          <w:szCs w:val="21"/>
        </w:rPr>
        <w:t>，或发送电子邮件至</w:t>
      </w:r>
      <w:r>
        <w:fldChar w:fldCharType="begin"/>
      </w:r>
      <w:r>
        <w:instrText xml:space="preserve"> HYPERLINK "mailto:nmc@cdrh.fda.gov" </w:instrText>
      </w:r>
      <w:r>
        <w:fldChar w:fldCharType="separate"/>
      </w:r>
      <w:r>
        <w:rPr>
          <w:sz w:val="21"/>
          <w:szCs w:val="21"/>
        </w:rPr>
        <w:t>nmc@cdrh.fda.gov</w:t>
      </w:r>
      <w:r>
        <w:rPr>
          <w:sz w:val="21"/>
          <w:szCs w:val="21"/>
        </w:rPr>
        <w:fldChar w:fldCharType="end"/>
      </w:r>
      <w:r>
        <w:rPr>
          <w:rFonts w:hint="eastAsia" w:cs="宋体"/>
          <w:sz w:val="21"/>
          <w:szCs w:val="21"/>
        </w:rPr>
        <w:t>。</w:t>
      </w:r>
    </w:p>
    <w:p w14:paraId="124A7F56">
      <w:pPr>
        <w:pStyle w:val="3"/>
        <w:kinsoku w:val="0"/>
        <w:overflowPunct w:val="0"/>
        <w:snapToGrid w:val="0"/>
        <w:spacing w:afterLines="50" w:line="360" w:lineRule="auto"/>
        <w:ind w:left="0" w:firstLine="0"/>
        <w:jc w:val="center"/>
        <w:rPr>
          <w:b w:val="0"/>
          <w:bCs w:val="0"/>
          <w:sz w:val="21"/>
          <w:szCs w:val="21"/>
        </w:rPr>
      </w:pPr>
      <w:r>
        <w:rPr>
          <w:sz w:val="21"/>
          <w:szCs w:val="21"/>
        </w:rPr>
        <w:br w:type="page"/>
      </w:r>
      <w:bookmarkStart w:id="3" w:name="_Toc496722803"/>
      <w:r>
        <w:rPr>
          <w:rFonts w:hint="eastAsia" w:cs="宋体"/>
          <w:sz w:val="28"/>
          <w:szCs w:val="28"/>
        </w:rPr>
        <w:t>目录</w:t>
      </w:r>
      <w:bookmarkEnd w:id="3"/>
      <w:r>
        <w:rPr>
          <w:b w:val="0"/>
          <w:bCs w:val="0"/>
          <w:sz w:val="21"/>
          <w:szCs w:val="21"/>
        </w:rPr>
        <w:fldChar w:fldCharType="begin"/>
      </w:r>
      <w:r>
        <w:rPr>
          <w:b w:val="0"/>
          <w:bCs w:val="0"/>
          <w:sz w:val="21"/>
          <w:szCs w:val="21"/>
        </w:rPr>
        <w:instrText xml:space="preserve"> TOC \o "1-2" \h \z \u </w:instrText>
      </w:r>
      <w:r>
        <w:rPr>
          <w:b w:val="0"/>
          <w:bCs w:val="0"/>
          <w:sz w:val="21"/>
          <w:szCs w:val="21"/>
        </w:rPr>
        <w:fldChar w:fldCharType="separate"/>
      </w:r>
    </w:p>
    <w:p w14:paraId="3392A0E7">
      <w:pPr>
        <w:pStyle w:val="10"/>
        <w:tabs>
          <w:tab w:val="left" w:pos="567"/>
          <w:tab w:val="left" w:pos="840"/>
          <w:tab w:val="right" w:leader="dot" w:pos="8303"/>
        </w:tabs>
        <w:snapToGrid w:val="0"/>
        <w:spacing w:line="360" w:lineRule="auto"/>
        <w:ind w:left="0" w:leftChars="0"/>
        <w:rPr>
          <w:b/>
          <w:bCs/>
          <w:sz w:val="21"/>
          <w:szCs w:val="21"/>
        </w:rPr>
      </w:pPr>
      <w:r>
        <w:fldChar w:fldCharType="begin"/>
      </w:r>
      <w:r>
        <w:instrText xml:space="preserve"> HYPERLINK \l "_Toc496722804" </w:instrText>
      </w:r>
      <w:r>
        <w:fldChar w:fldCharType="separate"/>
      </w:r>
      <w:r>
        <w:rPr>
          <w:rStyle w:val="14"/>
          <w:b/>
          <w:bCs/>
          <w:sz w:val="21"/>
          <w:szCs w:val="21"/>
        </w:rPr>
        <w:t>1.</w:t>
      </w:r>
      <w:r>
        <w:rPr>
          <w:b/>
          <w:bCs/>
          <w:sz w:val="21"/>
          <w:szCs w:val="21"/>
        </w:rPr>
        <w:tab/>
      </w:r>
      <w:r>
        <w:rPr>
          <w:rStyle w:val="14"/>
          <w:rFonts w:hint="eastAsia" w:cs="宋体"/>
          <w:b/>
          <w:bCs/>
          <w:sz w:val="21"/>
          <w:szCs w:val="21"/>
        </w:rPr>
        <w:t>前言</w:t>
      </w:r>
      <w:r>
        <w:rPr>
          <w:b/>
          <w:bCs/>
          <w:sz w:val="21"/>
          <w:szCs w:val="21"/>
        </w:rPr>
        <w:tab/>
      </w:r>
      <w:r>
        <w:rPr>
          <w:b/>
          <w:bCs/>
          <w:sz w:val="21"/>
          <w:szCs w:val="21"/>
        </w:rPr>
        <w:fldChar w:fldCharType="begin"/>
      </w:r>
      <w:r>
        <w:rPr>
          <w:b/>
          <w:bCs/>
          <w:sz w:val="21"/>
          <w:szCs w:val="21"/>
        </w:rPr>
        <w:instrText xml:space="preserve"> PAGEREF _Toc496722804 \h </w:instrText>
      </w:r>
      <w:r>
        <w:rPr>
          <w:b/>
          <w:bCs/>
          <w:sz w:val="21"/>
          <w:szCs w:val="21"/>
        </w:rPr>
        <w:fldChar w:fldCharType="separate"/>
      </w:r>
      <w:r>
        <w:rPr>
          <w:b/>
          <w:bCs/>
          <w:sz w:val="21"/>
          <w:szCs w:val="21"/>
        </w:rPr>
        <w:t>4</w:t>
      </w:r>
      <w:r>
        <w:rPr>
          <w:b/>
          <w:bCs/>
          <w:sz w:val="21"/>
          <w:szCs w:val="21"/>
        </w:rPr>
        <w:fldChar w:fldCharType="end"/>
      </w:r>
      <w:r>
        <w:rPr>
          <w:b/>
          <w:bCs/>
          <w:sz w:val="21"/>
          <w:szCs w:val="21"/>
        </w:rPr>
        <w:fldChar w:fldCharType="end"/>
      </w:r>
    </w:p>
    <w:p w14:paraId="5A3B2475">
      <w:pPr>
        <w:pStyle w:val="10"/>
        <w:tabs>
          <w:tab w:val="left" w:pos="567"/>
          <w:tab w:val="left" w:pos="840"/>
          <w:tab w:val="right" w:leader="dot" w:pos="8303"/>
        </w:tabs>
        <w:snapToGrid w:val="0"/>
        <w:spacing w:line="360" w:lineRule="auto"/>
        <w:ind w:left="0" w:leftChars="0"/>
        <w:rPr>
          <w:b/>
          <w:bCs/>
          <w:sz w:val="21"/>
          <w:szCs w:val="21"/>
        </w:rPr>
      </w:pPr>
      <w:r>
        <w:fldChar w:fldCharType="begin"/>
      </w:r>
      <w:r>
        <w:instrText xml:space="preserve"> HYPERLINK \l "_Toc496722806" </w:instrText>
      </w:r>
      <w:r>
        <w:fldChar w:fldCharType="separate"/>
      </w:r>
      <w:r>
        <w:rPr>
          <w:rStyle w:val="14"/>
          <w:b/>
          <w:bCs/>
          <w:sz w:val="21"/>
          <w:szCs w:val="21"/>
        </w:rPr>
        <w:t>2.</w:t>
      </w:r>
      <w:r>
        <w:rPr>
          <w:b/>
          <w:bCs/>
          <w:sz w:val="21"/>
          <w:szCs w:val="21"/>
        </w:rPr>
        <w:tab/>
      </w:r>
      <w:r>
        <w:rPr>
          <w:rStyle w:val="14"/>
          <w:rFonts w:hint="eastAsia" w:cs="宋体"/>
          <w:b/>
          <w:bCs/>
          <w:sz w:val="21"/>
          <w:szCs w:val="21"/>
        </w:rPr>
        <w:t>背景</w:t>
      </w:r>
      <w:r>
        <w:rPr>
          <w:b/>
          <w:bCs/>
          <w:sz w:val="21"/>
          <w:szCs w:val="21"/>
        </w:rPr>
        <w:tab/>
      </w:r>
      <w:r>
        <w:rPr>
          <w:b/>
          <w:bCs/>
          <w:sz w:val="21"/>
          <w:szCs w:val="21"/>
        </w:rPr>
        <w:fldChar w:fldCharType="begin"/>
      </w:r>
      <w:r>
        <w:rPr>
          <w:b/>
          <w:bCs/>
          <w:sz w:val="21"/>
          <w:szCs w:val="21"/>
        </w:rPr>
        <w:instrText xml:space="preserve"> PAGEREF _Toc496722806 \h </w:instrText>
      </w:r>
      <w:r>
        <w:rPr>
          <w:b/>
          <w:bCs/>
          <w:sz w:val="21"/>
          <w:szCs w:val="21"/>
        </w:rPr>
        <w:fldChar w:fldCharType="separate"/>
      </w:r>
      <w:r>
        <w:rPr>
          <w:b/>
          <w:bCs/>
          <w:sz w:val="21"/>
          <w:szCs w:val="21"/>
        </w:rPr>
        <w:t>5</w:t>
      </w:r>
      <w:r>
        <w:rPr>
          <w:b/>
          <w:bCs/>
          <w:sz w:val="21"/>
          <w:szCs w:val="21"/>
        </w:rPr>
        <w:fldChar w:fldCharType="end"/>
      </w:r>
      <w:r>
        <w:rPr>
          <w:b/>
          <w:bCs/>
          <w:sz w:val="21"/>
          <w:szCs w:val="21"/>
        </w:rPr>
        <w:fldChar w:fldCharType="end"/>
      </w:r>
    </w:p>
    <w:p w14:paraId="1E9752CB">
      <w:pPr>
        <w:pStyle w:val="10"/>
        <w:tabs>
          <w:tab w:val="left" w:pos="567"/>
          <w:tab w:val="left" w:pos="840"/>
          <w:tab w:val="right" w:leader="dot" w:pos="8303"/>
        </w:tabs>
        <w:snapToGrid w:val="0"/>
        <w:spacing w:line="360" w:lineRule="auto"/>
        <w:ind w:left="0" w:leftChars="0"/>
        <w:rPr>
          <w:b/>
          <w:bCs/>
          <w:sz w:val="21"/>
          <w:szCs w:val="21"/>
        </w:rPr>
      </w:pPr>
      <w:r>
        <w:fldChar w:fldCharType="begin"/>
      </w:r>
      <w:r>
        <w:instrText xml:space="preserve"> HYPERLINK \l "_Toc496722807" </w:instrText>
      </w:r>
      <w:r>
        <w:fldChar w:fldCharType="separate"/>
      </w:r>
      <w:r>
        <w:rPr>
          <w:rStyle w:val="14"/>
          <w:b/>
          <w:bCs/>
          <w:sz w:val="21"/>
          <w:szCs w:val="21"/>
        </w:rPr>
        <w:t>3.</w:t>
      </w:r>
      <w:r>
        <w:rPr>
          <w:b/>
          <w:bCs/>
          <w:sz w:val="21"/>
          <w:szCs w:val="21"/>
        </w:rPr>
        <w:tab/>
      </w:r>
      <w:r>
        <w:rPr>
          <w:rStyle w:val="14"/>
          <w:rFonts w:hint="eastAsia" w:cs="宋体"/>
          <w:b/>
          <w:bCs/>
          <w:sz w:val="21"/>
          <w:szCs w:val="21"/>
        </w:rPr>
        <w:t>简易510</w:t>
      </w:r>
      <w:r>
        <w:rPr>
          <w:rStyle w:val="14"/>
          <w:b/>
          <w:bCs/>
          <w:sz w:val="21"/>
          <w:szCs w:val="21"/>
        </w:rPr>
        <w:t>(k)</w:t>
      </w:r>
      <w:r>
        <w:rPr>
          <w:rStyle w:val="14"/>
          <w:rFonts w:hint="eastAsia" w:cs="宋体"/>
          <w:b/>
          <w:bCs/>
          <w:sz w:val="21"/>
          <w:szCs w:val="21"/>
        </w:rPr>
        <w:t>提交件的内容和格式</w:t>
      </w:r>
      <w:r>
        <w:rPr>
          <w:b/>
          <w:bCs/>
          <w:sz w:val="21"/>
          <w:szCs w:val="21"/>
        </w:rPr>
        <w:tab/>
      </w:r>
      <w:r>
        <w:rPr>
          <w:b/>
          <w:bCs/>
          <w:sz w:val="21"/>
          <w:szCs w:val="21"/>
        </w:rPr>
        <w:fldChar w:fldCharType="begin"/>
      </w:r>
      <w:r>
        <w:rPr>
          <w:b/>
          <w:bCs/>
          <w:sz w:val="21"/>
          <w:szCs w:val="21"/>
        </w:rPr>
        <w:instrText xml:space="preserve"> PAGEREF _Toc496722807 \h </w:instrText>
      </w:r>
      <w:r>
        <w:rPr>
          <w:b/>
          <w:bCs/>
          <w:sz w:val="21"/>
          <w:szCs w:val="21"/>
        </w:rPr>
        <w:fldChar w:fldCharType="separate"/>
      </w:r>
      <w:r>
        <w:rPr>
          <w:b/>
          <w:bCs/>
          <w:sz w:val="21"/>
          <w:szCs w:val="21"/>
        </w:rPr>
        <w:t>6</w:t>
      </w:r>
      <w:r>
        <w:rPr>
          <w:b/>
          <w:bCs/>
          <w:sz w:val="21"/>
          <w:szCs w:val="21"/>
        </w:rPr>
        <w:fldChar w:fldCharType="end"/>
      </w:r>
      <w:r>
        <w:rPr>
          <w:b/>
          <w:bCs/>
          <w:sz w:val="21"/>
          <w:szCs w:val="21"/>
        </w:rPr>
        <w:fldChar w:fldCharType="end"/>
      </w:r>
    </w:p>
    <w:p w14:paraId="5ADCF8E3">
      <w:pPr>
        <w:pStyle w:val="10"/>
        <w:tabs>
          <w:tab w:val="left" w:pos="567"/>
          <w:tab w:val="left" w:pos="840"/>
          <w:tab w:val="right" w:leader="dot" w:pos="8303"/>
        </w:tabs>
        <w:snapToGrid w:val="0"/>
        <w:spacing w:line="360" w:lineRule="auto"/>
        <w:ind w:left="0" w:leftChars="0"/>
        <w:rPr>
          <w:b/>
          <w:bCs/>
          <w:sz w:val="21"/>
          <w:szCs w:val="21"/>
        </w:rPr>
      </w:pPr>
      <w:r>
        <w:fldChar w:fldCharType="begin"/>
      </w:r>
      <w:r>
        <w:instrText xml:space="preserve"> HYPERLINK \l "_Toc496722808" </w:instrText>
      </w:r>
      <w:r>
        <w:fldChar w:fldCharType="separate"/>
      </w:r>
      <w:r>
        <w:rPr>
          <w:rStyle w:val="14"/>
          <w:b/>
          <w:bCs/>
          <w:sz w:val="21"/>
          <w:szCs w:val="21"/>
        </w:rPr>
        <w:t>4.</w:t>
      </w:r>
      <w:r>
        <w:rPr>
          <w:b/>
          <w:bCs/>
          <w:sz w:val="21"/>
          <w:szCs w:val="21"/>
        </w:rPr>
        <w:tab/>
      </w:r>
      <w:r>
        <w:rPr>
          <w:rStyle w:val="14"/>
          <w:rFonts w:hint="eastAsia" w:cs="宋体"/>
          <w:b/>
          <w:bCs/>
          <w:sz w:val="21"/>
          <w:szCs w:val="21"/>
        </w:rPr>
        <w:t>适用范围</w:t>
      </w:r>
      <w:r>
        <w:rPr>
          <w:b/>
          <w:bCs/>
          <w:sz w:val="21"/>
          <w:szCs w:val="21"/>
        </w:rPr>
        <w:tab/>
      </w:r>
      <w:r>
        <w:rPr>
          <w:b/>
          <w:bCs/>
          <w:sz w:val="21"/>
          <w:szCs w:val="21"/>
        </w:rPr>
        <w:fldChar w:fldCharType="begin"/>
      </w:r>
      <w:r>
        <w:rPr>
          <w:b/>
          <w:bCs/>
          <w:sz w:val="21"/>
          <w:szCs w:val="21"/>
        </w:rPr>
        <w:instrText xml:space="preserve"> PAGEREF _Toc496722808 \h </w:instrText>
      </w:r>
      <w:r>
        <w:rPr>
          <w:b/>
          <w:bCs/>
          <w:sz w:val="21"/>
          <w:szCs w:val="21"/>
        </w:rPr>
        <w:fldChar w:fldCharType="separate"/>
      </w:r>
      <w:r>
        <w:rPr>
          <w:b/>
          <w:bCs/>
          <w:sz w:val="21"/>
          <w:szCs w:val="21"/>
        </w:rPr>
        <w:t>8</w:t>
      </w:r>
      <w:r>
        <w:rPr>
          <w:b/>
          <w:bCs/>
          <w:sz w:val="21"/>
          <w:szCs w:val="21"/>
        </w:rPr>
        <w:fldChar w:fldCharType="end"/>
      </w:r>
      <w:r>
        <w:rPr>
          <w:b/>
          <w:bCs/>
          <w:sz w:val="21"/>
          <w:szCs w:val="21"/>
        </w:rPr>
        <w:fldChar w:fldCharType="end"/>
      </w:r>
    </w:p>
    <w:p w14:paraId="7D132747">
      <w:pPr>
        <w:pStyle w:val="10"/>
        <w:tabs>
          <w:tab w:val="left" w:pos="567"/>
          <w:tab w:val="left" w:pos="840"/>
          <w:tab w:val="right" w:leader="dot" w:pos="8303"/>
        </w:tabs>
        <w:snapToGrid w:val="0"/>
        <w:spacing w:line="360" w:lineRule="auto"/>
        <w:ind w:left="0" w:leftChars="0"/>
        <w:rPr>
          <w:b/>
          <w:bCs/>
          <w:sz w:val="21"/>
          <w:szCs w:val="21"/>
        </w:rPr>
      </w:pPr>
      <w:r>
        <w:fldChar w:fldCharType="begin"/>
      </w:r>
      <w:r>
        <w:instrText xml:space="preserve"> HYPERLINK \l "_Toc496722809" </w:instrText>
      </w:r>
      <w:r>
        <w:fldChar w:fldCharType="separate"/>
      </w:r>
      <w:r>
        <w:rPr>
          <w:rStyle w:val="14"/>
          <w:b/>
          <w:bCs/>
          <w:sz w:val="21"/>
          <w:szCs w:val="21"/>
        </w:rPr>
        <w:t>5.</w:t>
      </w:r>
      <w:r>
        <w:rPr>
          <w:b/>
          <w:bCs/>
          <w:sz w:val="21"/>
          <w:szCs w:val="21"/>
        </w:rPr>
        <w:tab/>
      </w:r>
      <w:r>
        <w:rPr>
          <w:rStyle w:val="14"/>
          <w:rFonts w:hint="eastAsia" w:cs="宋体"/>
          <w:b/>
          <w:bCs/>
          <w:sz w:val="21"/>
          <w:szCs w:val="21"/>
        </w:rPr>
        <w:t>健康风险</w:t>
      </w:r>
      <w:r>
        <w:rPr>
          <w:b/>
          <w:bCs/>
          <w:sz w:val="21"/>
          <w:szCs w:val="21"/>
        </w:rPr>
        <w:tab/>
      </w:r>
      <w:r>
        <w:rPr>
          <w:b/>
          <w:bCs/>
          <w:sz w:val="21"/>
          <w:szCs w:val="21"/>
        </w:rPr>
        <w:fldChar w:fldCharType="begin"/>
      </w:r>
      <w:r>
        <w:rPr>
          <w:b/>
          <w:bCs/>
          <w:sz w:val="21"/>
          <w:szCs w:val="21"/>
        </w:rPr>
        <w:instrText xml:space="preserve"> PAGEREF _Toc496722809 \h </w:instrText>
      </w:r>
      <w:r>
        <w:rPr>
          <w:b/>
          <w:bCs/>
          <w:sz w:val="21"/>
          <w:szCs w:val="21"/>
        </w:rPr>
        <w:fldChar w:fldCharType="separate"/>
      </w:r>
      <w:r>
        <w:rPr>
          <w:b/>
          <w:bCs/>
          <w:sz w:val="21"/>
          <w:szCs w:val="21"/>
        </w:rPr>
        <w:t>8</w:t>
      </w:r>
      <w:r>
        <w:rPr>
          <w:b/>
          <w:bCs/>
          <w:sz w:val="21"/>
          <w:szCs w:val="21"/>
        </w:rPr>
        <w:fldChar w:fldCharType="end"/>
      </w:r>
      <w:r>
        <w:rPr>
          <w:b/>
          <w:bCs/>
          <w:sz w:val="21"/>
          <w:szCs w:val="21"/>
        </w:rPr>
        <w:fldChar w:fldCharType="end"/>
      </w:r>
    </w:p>
    <w:p w14:paraId="60A123C5">
      <w:pPr>
        <w:pStyle w:val="10"/>
        <w:tabs>
          <w:tab w:val="left" w:pos="567"/>
          <w:tab w:val="left" w:pos="840"/>
          <w:tab w:val="right" w:leader="dot" w:pos="8303"/>
        </w:tabs>
        <w:snapToGrid w:val="0"/>
        <w:spacing w:line="360" w:lineRule="auto"/>
        <w:ind w:left="0" w:leftChars="0"/>
        <w:rPr>
          <w:b/>
          <w:bCs/>
          <w:sz w:val="21"/>
          <w:szCs w:val="21"/>
        </w:rPr>
      </w:pPr>
      <w:r>
        <w:fldChar w:fldCharType="begin"/>
      </w:r>
      <w:r>
        <w:instrText xml:space="preserve"> HYPERLINK \l "_Toc496722810" </w:instrText>
      </w:r>
      <w:r>
        <w:fldChar w:fldCharType="separate"/>
      </w:r>
      <w:r>
        <w:rPr>
          <w:rStyle w:val="14"/>
          <w:b/>
          <w:bCs/>
          <w:sz w:val="21"/>
          <w:szCs w:val="21"/>
        </w:rPr>
        <w:t>6.</w:t>
      </w:r>
      <w:r>
        <w:rPr>
          <w:b/>
          <w:bCs/>
          <w:sz w:val="21"/>
          <w:szCs w:val="21"/>
        </w:rPr>
        <w:tab/>
      </w:r>
      <w:r>
        <w:rPr>
          <w:rStyle w:val="14"/>
          <w:rFonts w:hint="eastAsia" w:cs="宋体"/>
          <w:b/>
          <w:bCs/>
          <w:sz w:val="21"/>
          <w:szCs w:val="21"/>
        </w:rPr>
        <w:t>性能特征</w:t>
      </w:r>
      <w:r>
        <w:rPr>
          <w:b/>
          <w:bCs/>
          <w:sz w:val="21"/>
          <w:szCs w:val="21"/>
        </w:rPr>
        <w:tab/>
      </w:r>
      <w:r>
        <w:rPr>
          <w:b/>
          <w:bCs/>
          <w:sz w:val="21"/>
          <w:szCs w:val="21"/>
        </w:rPr>
        <w:fldChar w:fldCharType="begin"/>
      </w:r>
      <w:r>
        <w:rPr>
          <w:b/>
          <w:bCs/>
          <w:sz w:val="21"/>
          <w:szCs w:val="21"/>
        </w:rPr>
        <w:instrText xml:space="preserve"> PAGEREF _Toc496722810 \h </w:instrText>
      </w:r>
      <w:r>
        <w:rPr>
          <w:b/>
          <w:bCs/>
          <w:sz w:val="21"/>
          <w:szCs w:val="21"/>
        </w:rPr>
        <w:fldChar w:fldCharType="separate"/>
      </w:r>
      <w:r>
        <w:rPr>
          <w:b/>
          <w:bCs/>
          <w:sz w:val="21"/>
          <w:szCs w:val="21"/>
        </w:rPr>
        <w:t>8</w:t>
      </w:r>
      <w:r>
        <w:rPr>
          <w:b/>
          <w:bCs/>
          <w:sz w:val="21"/>
          <w:szCs w:val="21"/>
        </w:rPr>
        <w:fldChar w:fldCharType="end"/>
      </w:r>
      <w:r>
        <w:rPr>
          <w:b/>
          <w:bCs/>
          <w:sz w:val="21"/>
          <w:szCs w:val="21"/>
        </w:rPr>
        <w:fldChar w:fldCharType="end"/>
      </w:r>
    </w:p>
    <w:p w14:paraId="6ED91D94">
      <w:pPr>
        <w:pStyle w:val="10"/>
        <w:tabs>
          <w:tab w:val="left" w:pos="567"/>
          <w:tab w:val="left" w:pos="840"/>
          <w:tab w:val="right" w:leader="dot" w:pos="8303"/>
        </w:tabs>
        <w:snapToGrid w:val="0"/>
        <w:spacing w:line="360" w:lineRule="auto"/>
        <w:ind w:left="0" w:leftChars="0"/>
        <w:rPr>
          <w:b/>
          <w:bCs/>
          <w:sz w:val="21"/>
          <w:szCs w:val="21"/>
        </w:rPr>
      </w:pPr>
      <w:r>
        <w:fldChar w:fldCharType="begin"/>
      </w:r>
      <w:r>
        <w:instrText xml:space="preserve"> HYPERLINK \l "_Toc496722811" </w:instrText>
      </w:r>
      <w:r>
        <w:fldChar w:fldCharType="separate"/>
      </w:r>
      <w:r>
        <w:rPr>
          <w:rStyle w:val="14"/>
          <w:b/>
          <w:bCs/>
          <w:sz w:val="21"/>
          <w:szCs w:val="21"/>
        </w:rPr>
        <w:t>7.</w:t>
      </w:r>
      <w:r>
        <w:rPr>
          <w:b/>
          <w:bCs/>
          <w:sz w:val="21"/>
          <w:szCs w:val="21"/>
        </w:rPr>
        <w:tab/>
      </w:r>
      <w:r>
        <w:rPr>
          <w:rStyle w:val="14"/>
          <w:rFonts w:hint="eastAsia" w:cs="宋体"/>
          <w:b/>
          <w:bCs/>
          <w:sz w:val="21"/>
          <w:szCs w:val="21"/>
        </w:rPr>
        <w:t>方法比较</w:t>
      </w:r>
      <w:r>
        <w:rPr>
          <w:b/>
          <w:bCs/>
          <w:sz w:val="21"/>
          <w:szCs w:val="21"/>
        </w:rPr>
        <w:tab/>
      </w:r>
      <w:r>
        <w:rPr>
          <w:b/>
          <w:bCs/>
          <w:sz w:val="21"/>
          <w:szCs w:val="21"/>
        </w:rPr>
        <w:fldChar w:fldCharType="begin"/>
      </w:r>
      <w:r>
        <w:rPr>
          <w:b/>
          <w:bCs/>
          <w:sz w:val="21"/>
          <w:szCs w:val="21"/>
        </w:rPr>
        <w:instrText xml:space="preserve"> PAGEREF _Toc496722811 \h </w:instrText>
      </w:r>
      <w:r>
        <w:rPr>
          <w:b/>
          <w:bCs/>
          <w:sz w:val="21"/>
          <w:szCs w:val="21"/>
        </w:rPr>
        <w:fldChar w:fldCharType="separate"/>
      </w:r>
      <w:r>
        <w:rPr>
          <w:b/>
          <w:bCs/>
          <w:sz w:val="21"/>
          <w:szCs w:val="21"/>
        </w:rPr>
        <w:t>12</w:t>
      </w:r>
      <w:r>
        <w:rPr>
          <w:b/>
          <w:bCs/>
          <w:sz w:val="21"/>
          <w:szCs w:val="21"/>
        </w:rPr>
        <w:fldChar w:fldCharType="end"/>
      </w:r>
      <w:r>
        <w:rPr>
          <w:b/>
          <w:bCs/>
          <w:sz w:val="21"/>
          <w:szCs w:val="21"/>
        </w:rPr>
        <w:fldChar w:fldCharType="end"/>
      </w:r>
    </w:p>
    <w:p w14:paraId="31E30D5B">
      <w:pPr>
        <w:pStyle w:val="10"/>
        <w:tabs>
          <w:tab w:val="left" w:pos="567"/>
          <w:tab w:val="left" w:pos="840"/>
          <w:tab w:val="right" w:leader="dot" w:pos="8303"/>
        </w:tabs>
        <w:snapToGrid w:val="0"/>
        <w:spacing w:line="360" w:lineRule="auto"/>
        <w:ind w:left="0" w:leftChars="0"/>
        <w:rPr>
          <w:b/>
          <w:bCs/>
          <w:sz w:val="21"/>
          <w:szCs w:val="21"/>
        </w:rPr>
      </w:pPr>
      <w:r>
        <w:fldChar w:fldCharType="begin"/>
      </w:r>
      <w:r>
        <w:instrText xml:space="preserve"> HYPERLINK \l "_Toc496722812" </w:instrText>
      </w:r>
      <w:r>
        <w:fldChar w:fldCharType="separate"/>
      </w:r>
      <w:r>
        <w:rPr>
          <w:rStyle w:val="14"/>
          <w:b/>
          <w:bCs/>
          <w:sz w:val="21"/>
          <w:szCs w:val="21"/>
        </w:rPr>
        <w:t>8.</w:t>
      </w:r>
      <w:r>
        <w:rPr>
          <w:b/>
          <w:bCs/>
          <w:sz w:val="21"/>
          <w:szCs w:val="21"/>
        </w:rPr>
        <w:tab/>
      </w:r>
      <w:r>
        <w:rPr>
          <w:rStyle w:val="14"/>
          <w:rFonts w:hint="eastAsia" w:cs="宋体"/>
          <w:b/>
          <w:bCs/>
          <w:sz w:val="21"/>
          <w:szCs w:val="21"/>
        </w:rPr>
        <w:t>标签</w:t>
      </w:r>
      <w:r>
        <w:rPr>
          <w:b/>
          <w:bCs/>
          <w:sz w:val="21"/>
          <w:szCs w:val="21"/>
        </w:rPr>
        <w:tab/>
      </w:r>
      <w:r>
        <w:rPr>
          <w:b/>
          <w:bCs/>
          <w:sz w:val="21"/>
          <w:szCs w:val="21"/>
        </w:rPr>
        <w:fldChar w:fldCharType="begin"/>
      </w:r>
      <w:r>
        <w:rPr>
          <w:b/>
          <w:bCs/>
          <w:sz w:val="21"/>
          <w:szCs w:val="21"/>
        </w:rPr>
        <w:instrText xml:space="preserve"> PAGEREF _Toc496722812 \h </w:instrText>
      </w:r>
      <w:r>
        <w:rPr>
          <w:b/>
          <w:bCs/>
          <w:sz w:val="21"/>
          <w:szCs w:val="21"/>
        </w:rPr>
        <w:fldChar w:fldCharType="separate"/>
      </w:r>
      <w:r>
        <w:rPr>
          <w:b/>
          <w:bCs/>
          <w:sz w:val="21"/>
          <w:szCs w:val="21"/>
        </w:rPr>
        <w:t>14</w:t>
      </w:r>
      <w:r>
        <w:rPr>
          <w:b/>
          <w:bCs/>
          <w:sz w:val="21"/>
          <w:szCs w:val="21"/>
        </w:rPr>
        <w:fldChar w:fldCharType="end"/>
      </w:r>
      <w:r>
        <w:rPr>
          <w:b/>
          <w:bCs/>
          <w:sz w:val="21"/>
          <w:szCs w:val="21"/>
        </w:rPr>
        <w:fldChar w:fldCharType="end"/>
      </w:r>
    </w:p>
    <w:p w14:paraId="6C883707">
      <w:pPr>
        <w:tabs>
          <w:tab w:val="left" w:pos="567"/>
        </w:tabs>
        <w:snapToGrid w:val="0"/>
        <w:spacing w:line="360" w:lineRule="auto"/>
        <w:jc w:val="center"/>
        <w:rPr>
          <w:b/>
          <w:bCs/>
          <w:sz w:val="44"/>
          <w:szCs w:val="44"/>
        </w:rPr>
      </w:pPr>
      <w:r>
        <w:rPr>
          <w:b/>
          <w:bCs/>
          <w:sz w:val="21"/>
          <w:szCs w:val="21"/>
        </w:rPr>
        <w:fldChar w:fldCharType="end"/>
      </w:r>
      <w:r>
        <w:br w:type="page"/>
      </w:r>
      <w:r>
        <w:rPr>
          <w:rFonts w:hint="eastAsia" w:cs="宋体"/>
          <w:b/>
          <w:bCs/>
          <w:sz w:val="44"/>
          <w:szCs w:val="44"/>
        </w:rPr>
        <w:t>行业和</w:t>
      </w:r>
      <w:r>
        <w:rPr>
          <w:b/>
          <w:bCs/>
          <w:sz w:val="44"/>
          <w:szCs w:val="44"/>
        </w:rPr>
        <w:t>FDA</w:t>
      </w:r>
      <w:r>
        <w:rPr>
          <w:rFonts w:hint="eastAsia" w:cs="宋体"/>
          <w:b/>
          <w:bCs/>
          <w:sz w:val="44"/>
          <w:szCs w:val="44"/>
        </w:rPr>
        <w:t>工作人员指南</w:t>
      </w:r>
    </w:p>
    <w:p w14:paraId="63378CE4">
      <w:pPr>
        <w:kinsoku w:val="0"/>
        <w:overflowPunct w:val="0"/>
        <w:snapToGrid w:val="0"/>
        <w:spacing w:afterLines="50" w:line="360" w:lineRule="auto"/>
        <w:jc w:val="center"/>
        <w:rPr>
          <w:sz w:val="44"/>
          <w:szCs w:val="44"/>
        </w:rPr>
      </w:pPr>
      <w:r>
        <w:rPr>
          <w:b/>
          <w:bCs/>
          <w:sz w:val="44"/>
          <w:szCs w:val="44"/>
        </w:rPr>
        <w:t>II</w:t>
      </w:r>
      <w:r>
        <w:rPr>
          <w:rFonts w:hint="eastAsia" w:cs="宋体"/>
          <w:b/>
          <w:bCs/>
          <w:sz w:val="44"/>
          <w:szCs w:val="44"/>
        </w:rPr>
        <w:t>类特殊控制指南文件：免疫磁性循环癌细胞选择和计数系统</w:t>
      </w:r>
    </w:p>
    <w:p w14:paraId="13728E67">
      <w:pPr>
        <w:pBdr>
          <w:top w:val="single" w:color="auto" w:sz="4" w:space="1"/>
          <w:left w:val="single" w:color="auto" w:sz="4" w:space="4"/>
          <w:bottom w:val="single" w:color="auto" w:sz="4" w:space="1"/>
          <w:right w:val="single" w:color="auto" w:sz="4" w:space="4"/>
        </w:pBdr>
        <w:kinsoku w:val="0"/>
        <w:overflowPunct w:val="0"/>
        <w:snapToGrid w:val="0"/>
        <w:spacing w:afterLines="50" w:line="360" w:lineRule="auto"/>
        <w:jc w:val="both"/>
        <w:rPr>
          <w:sz w:val="21"/>
          <w:szCs w:val="21"/>
        </w:rPr>
      </w:pPr>
      <w:r>
        <w:rPr>
          <w:rFonts w:hint="eastAsia" w:cs="宋体"/>
          <w:b/>
          <w:bCs/>
          <w:i/>
          <w:iCs/>
          <w:sz w:val="21"/>
          <w:szCs w:val="21"/>
        </w:rPr>
        <w:t>本指导代表了美国食品和药品管理局（</w:t>
      </w:r>
      <w:r>
        <w:rPr>
          <w:b/>
          <w:bCs/>
          <w:i/>
          <w:iCs/>
          <w:sz w:val="21"/>
          <w:szCs w:val="21"/>
        </w:rPr>
        <w:t>FDA</w:t>
      </w:r>
      <w:r>
        <w:rPr>
          <w:rFonts w:hint="eastAsia" w:cs="宋体"/>
          <w:b/>
          <w:bCs/>
          <w:i/>
          <w:iCs/>
          <w:sz w:val="21"/>
          <w:szCs w:val="21"/>
        </w:rPr>
        <w:t>）当前对本主题的想法。其不为任何人或向任何人授予任何权利，不约束</w:t>
      </w:r>
      <w:r>
        <w:rPr>
          <w:b/>
          <w:bCs/>
          <w:i/>
          <w:iCs/>
          <w:sz w:val="21"/>
          <w:szCs w:val="21"/>
        </w:rPr>
        <w:t>FDA</w:t>
      </w:r>
      <w:r>
        <w:rPr>
          <w:rFonts w:hint="eastAsia" w:cs="宋体"/>
          <w:b/>
          <w:bCs/>
          <w:i/>
          <w:iCs/>
          <w:sz w:val="21"/>
          <w:szCs w:val="21"/>
        </w:rPr>
        <w:t>或公众。如果其他方法满足适用的法律和法规的要求，您可以使用其他方法。如果您想讨论其他方法</w:t>
      </w:r>
      <w:r>
        <w:rPr>
          <w:b/>
          <w:bCs/>
          <w:i/>
          <w:iCs/>
          <w:sz w:val="21"/>
          <w:szCs w:val="21"/>
        </w:rPr>
        <w:t>,</w:t>
      </w:r>
      <w:r>
        <w:rPr>
          <w:rFonts w:hint="eastAsia" w:cs="宋体"/>
          <w:b/>
          <w:bCs/>
          <w:i/>
          <w:iCs/>
          <w:sz w:val="21"/>
          <w:szCs w:val="21"/>
        </w:rPr>
        <w:t>请联系负责实施本指导的</w:t>
      </w:r>
      <w:r>
        <w:rPr>
          <w:b/>
          <w:bCs/>
          <w:i/>
          <w:iCs/>
          <w:sz w:val="21"/>
          <w:szCs w:val="21"/>
        </w:rPr>
        <w:t>FDA</w:t>
      </w:r>
      <w:r>
        <w:rPr>
          <w:rFonts w:hint="eastAsia" w:cs="宋体"/>
          <w:b/>
          <w:bCs/>
          <w:i/>
          <w:iCs/>
          <w:sz w:val="21"/>
          <w:szCs w:val="21"/>
        </w:rPr>
        <w:t>工作人员。如果您找不到合适的</w:t>
      </w:r>
      <w:r>
        <w:rPr>
          <w:b/>
          <w:bCs/>
          <w:i/>
          <w:iCs/>
          <w:sz w:val="21"/>
          <w:szCs w:val="21"/>
        </w:rPr>
        <w:t>FDA</w:t>
      </w:r>
      <w:r>
        <w:rPr>
          <w:rFonts w:hint="eastAsia" w:cs="宋体"/>
          <w:b/>
          <w:bCs/>
          <w:i/>
          <w:iCs/>
          <w:sz w:val="21"/>
          <w:szCs w:val="21"/>
        </w:rPr>
        <w:t>工作人员，电话联系列在本指南标题页的适用号码。</w:t>
      </w:r>
    </w:p>
    <w:p w14:paraId="6FB644A5">
      <w:pPr>
        <w:pStyle w:val="3"/>
        <w:kinsoku w:val="0"/>
        <w:overflowPunct w:val="0"/>
        <w:snapToGrid w:val="0"/>
        <w:spacing w:afterLines="50" w:line="360" w:lineRule="auto"/>
        <w:ind w:left="0" w:firstLine="0"/>
        <w:jc w:val="both"/>
        <w:rPr>
          <w:b w:val="0"/>
          <w:bCs w:val="0"/>
          <w:sz w:val="21"/>
          <w:szCs w:val="21"/>
        </w:rPr>
      </w:pPr>
    </w:p>
    <w:p w14:paraId="0A08D5BB">
      <w:pPr>
        <w:pStyle w:val="3"/>
        <w:numPr>
          <w:ilvl w:val="1"/>
          <w:numId w:val="1"/>
        </w:numPr>
        <w:kinsoku w:val="0"/>
        <w:overflowPunct w:val="0"/>
        <w:snapToGrid w:val="0"/>
        <w:spacing w:afterLines="50" w:line="360" w:lineRule="auto"/>
        <w:ind w:left="0" w:firstLine="0"/>
        <w:jc w:val="both"/>
        <w:rPr>
          <w:b w:val="0"/>
          <w:bCs w:val="0"/>
          <w:sz w:val="28"/>
          <w:szCs w:val="28"/>
        </w:rPr>
      </w:pPr>
      <w:bookmarkStart w:id="4" w:name="_Toc496722804"/>
      <w:r>
        <w:rPr>
          <w:rFonts w:hint="eastAsia" w:cs="宋体"/>
          <w:sz w:val="28"/>
          <w:szCs w:val="28"/>
        </w:rPr>
        <w:t>前言</w:t>
      </w:r>
      <w:bookmarkEnd w:id="4"/>
    </w:p>
    <w:p w14:paraId="545BE1BF">
      <w:pPr>
        <w:pStyle w:val="6"/>
        <w:kinsoku w:val="0"/>
        <w:overflowPunct w:val="0"/>
        <w:snapToGrid w:val="0"/>
        <w:spacing w:afterLines="50" w:line="360" w:lineRule="auto"/>
        <w:ind w:left="0"/>
        <w:jc w:val="both"/>
        <w:rPr>
          <w:sz w:val="21"/>
          <w:szCs w:val="21"/>
          <w:highlight w:val="green"/>
        </w:rPr>
      </w:pPr>
      <w:r>
        <w:rPr>
          <w:rFonts w:hint="eastAsia" w:cs="宋体"/>
          <w:sz w:val="21"/>
          <w:szCs w:val="21"/>
        </w:rPr>
        <w:t>本指南文件是作为特殊控制指南开发的，用于支持将免疫磁性循环癌细胞选择和计数系统分类为</w:t>
      </w:r>
      <w:r>
        <w:rPr>
          <w:sz w:val="21"/>
          <w:szCs w:val="21"/>
        </w:rPr>
        <w:t>II</w:t>
      </w:r>
      <w:r>
        <w:rPr>
          <w:rFonts w:hint="eastAsia" w:cs="宋体"/>
          <w:sz w:val="21"/>
          <w:szCs w:val="21"/>
        </w:rPr>
        <w:t>类（特殊控制）。循环癌细胞（</w:t>
      </w:r>
      <w:r>
        <w:rPr>
          <w:sz w:val="21"/>
          <w:szCs w:val="21"/>
        </w:rPr>
        <w:t>CCC</w:t>
      </w:r>
      <w:r>
        <w:rPr>
          <w:rFonts w:hint="eastAsia" w:cs="宋体"/>
          <w:sz w:val="21"/>
          <w:szCs w:val="21"/>
        </w:rPr>
        <w:t>）选择和计数系统是由一种或多种试剂、样本制备和细胞选择装置，以及选择和计数所制备的样本中的</w:t>
      </w:r>
      <w:r>
        <w:rPr>
          <w:sz w:val="21"/>
          <w:szCs w:val="21"/>
        </w:rPr>
        <w:t>CCC</w:t>
      </w:r>
      <w:r>
        <w:rPr>
          <w:rFonts w:hint="eastAsia" w:cs="宋体"/>
          <w:sz w:val="21"/>
          <w:szCs w:val="21"/>
        </w:rPr>
        <w:t>的半自动分析仪器组成。该器械旨在计数循环癌细胞用于辅助监测和预测癌症进展以及对治疗的反应，并可用于检测复发性疾病。</w:t>
      </w:r>
    </w:p>
    <w:p w14:paraId="127DEACF">
      <w:pPr>
        <w:pStyle w:val="6"/>
        <w:kinsoku w:val="0"/>
        <w:overflowPunct w:val="0"/>
        <w:snapToGrid w:val="0"/>
        <w:spacing w:afterLines="50" w:line="360" w:lineRule="auto"/>
        <w:ind w:left="0"/>
        <w:jc w:val="both"/>
        <w:rPr>
          <w:sz w:val="21"/>
          <w:szCs w:val="21"/>
          <w:highlight w:val="green"/>
        </w:rPr>
      </w:pPr>
      <w:r>
        <w:rPr>
          <w:rFonts w:hint="eastAsia" w:cs="宋体"/>
          <w:sz w:val="21"/>
          <w:szCs w:val="21"/>
        </w:rPr>
        <w:t>本指南文件与宣布免疫磁性循环癌细胞选择和计数系统分类的联邦公报通知一起发布。</w:t>
      </w:r>
    </w:p>
    <w:p w14:paraId="102D8BD9">
      <w:pPr>
        <w:pStyle w:val="6"/>
        <w:kinsoku w:val="0"/>
        <w:overflowPunct w:val="0"/>
        <w:snapToGrid w:val="0"/>
        <w:spacing w:afterLines="50" w:line="360" w:lineRule="auto"/>
        <w:ind w:left="0"/>
        <w:jc w:val="both"/>
        <w:rPr>
          <w:sz w:val="21"/>
          <w:szCs w:val="21"/>
          <w:highlight w:val="green"/>
        </w:rPr>
      </w:pPr>
      <w:r>
        <w:rPr>
          <w:rFonts w:hint="eastAsia" w:cs="宋体"/>
          <w:sz w:val="21"/>
          <w:szCs w:val="21"/>
        </w:rPr>
        <w:t>提交免疫磁性循环癌细胞选择和计数系统的上市前通知（</w:t>
      </w:r>
      <w:r>
        <w:rPr>
          <w:sz w:val="21"/>
          <w:szCs w:val="21"/>
        </w:rPr>
        <w:t>510</w:t>
      </w:r>
      <w:r>
        <w:rPr>
          <w:rFonts w:hint="eastAsia" w:cs="宋体"/>
          <w:sz w:val="21"/>
          <w:szCs w:val="21"/>
        </w:rPr>
        <w:t>（</w:t>
      </w:r>
      <w:r>
        <w:rPr>
          <w:sz w:val="21"/>
          <w:szCs w:val="21"/>
        </w:rPr>
        <w:t>k</w:t>
      </w:r>
      <w:r>
        <w:rPr>
          <w:rFonts w:hint="eastAsia" w:cs="宋体"/>
          <w:sz w:val="21"/>
          <w:szCs w:val="21"/>
        </w:rPr>
        <w:t>））的所有企业都需要解决本特殊控制指南文件中涉及的问题。然而，企业只需要证明其器械符合指南的建议，或以某种其他方式提供安全性和有效性的等同性保证。</w:t>
      </w:r>
    </w:p>
    <w:p w14:paraId="58A1926E">
      <w:pPr>
        <w:pStyle w:val="6"/>
        <w:kinsoku w:val="0"/>
        <w:overflowPunct w:val="0"/>
        <w:snapToGrid w:val="0"/>
        <w:spacing w:afterLines="50" w:line="360" w:lineRule="auto"/>
        <w:ind w:left="0"/>
        <w:jc w:val="both"/>
        <w:rPr>
          <w:sz w:val="21"/>
          <w:szCs w:val="21"/>
          <w:highlight w:val="green"/>
        </w:rPr>
      </w:pPr>
      <w:r>
        <w:rPr>
          <w:sz w:val="21"/>
          <w:szCs w:val="21"/>
        </w:rPr>
        <w:t>FDA</w:t>
      </w:r>
      <w:r>
        <w:rPr>
          <w:rFonts w:hint="eastAsia" w:cs="宋体"/>
          <w:sz w:val="21"/>
          <w:szCs w:val="21"/>
        </w:rPr>
        <w:t>的指南文件，包括本指南，不构成法律上强制性责任。相反，指南文件描述了本机构目前对某一主题的思考，只应将其视为建议，除非引用了具体的法规或法定要求。在机构指南文件中使用的</w:t>
      </w:r>
      <w:r>
        <w:rPr>
          <w:sz w:val="21"/>
          <w:szCs w:val="21"/>
        </w:rPr>
        <w:t>“</w:t>
      </w:r>
      <w:r>
        <w:rPr>
          <w:rFonts w:hint="eastAsia"/>
          <w:sz w:val="21"/>
          <w:szCs w:val="21"/>
        </w:rPr>
        <w:t>应当</w:t>
      </w:r>
      <w:r>
        <w:rPr>
          <w:sz w:val="21"/>
          <w:szCs w:val="21"/>
        </w:rPr>
        <w:t>”</w:t>
      </w:r>
      <w:r>
        <w:rPr>
          <w:rFonts w:hint="eastAsia" w:cs="宋体"/>
          <w:sz w:val="21"/>
          <w:szCs w:val="21"/>
        </w:rPr>
        <w:t>一词，表示建议或推荐某些内容，但不是必须。</w:t>
      </w:r>
    </w:p>
    <w:p w14:paraId="284CF449">
      <w:pPr>
        <w:pStyle w:val="6"/>
        <w:kinsoku w:val="0"/>
        <w:overflowPunct w:val="0"/>
        <w:snapToGrid w:val="0"/>
        <w:spacing w:afterLines="50" w:line="360" w:lineRule="auto"/>
        <w:ind w:left="0"/>
        <w:jc w:val="both"/>
        <w:rPr>
          <w:b/>
          <w:bCs/>
          <w:sz w:val="21"/>
          <w:szCs w:val="21"/>
        </w:rPr>
      </w:pPr>
      <w:r>
        <w:rPr>
          <w:sz w:val="21"/>
          <w:szCs w:val="21"/>
          <w:highlight w:val="green"/>
        </w:rPr>
        <w:br w:type="page"/>
      </w:r>
      <w:r>
        <w:rPr>
          <w:rFonts w:hint="eastAsia" w:cs="宋体"/>
          <w:b/>
          <w:bCs/>
          <w:sz w:val="21"/>
          <w:szCs w:val="21"/>
        </w:rPr>
        <w:t>最简易方法</w:t>
      </w:r>
    </w:p>
    <w:p w14:paraId="3C680B86">
      <w:pPr>
        <w:pStyle w:val="3"/>
        <w:kinsoku w:val="0"/>
        <w:overflowPunct w:val="0"/>
        <w:snapToGrid w:val="0"/>
        <w:spacing w:afterLines="50" w:line="360" w:lineRule="auto"/>
        <w:ind w:left="0" w:firstLine="0"/>
        <w:rPr>
          <w:b w:val="0"/>
          <w:bCs w:val="0"/>
          <w:sz w:val="21"/>
          <w:szCs w:val="21"/>
        </w:rPr>
      </w:pPr>
      <w:bookmarkStart w:id="5" w:name="_Toc496722805"/>
      <w:r>
        <w:rPr>
          <w:rFonts w:hint="eastAsia" w:cs="宋体"/>
          <w:b w:val="0"/>
          <w:bCs w:val="0"/>
          <w:sz w:val="21"/>
          <w:szCs w:val="21"/>
        </w:rPr>
        <w:t>本指南文件中识别出的问题代表了我们认为在您的器械上市之前需要解决的问题。在开发指南文件时，我们认真考虑了有关管理局决策的相关法定标准。我们还考虑到您试图按照指南文件提出的方式遵守法定和监管标准，并试图解决我们所识别出问题可能引起的负担。我们认为，我们已经考虑到解决指南文件中所提出问题的最简单方法。但是，如果您认为有可用于解决问题的较简单方法，则应遵循</w:t>
      </w:r>
      <w:r>
        <w:rPr>
          <w:b w:val="0"/>
          <w:bCs w:val="0"/>
          <w:sz w:val="21"/>
          <w:szCs w:val="21"/>
        </w:rPr>
        <w:t>“</w:t>
      </w:r>
      <w:r>
        <w:rPr>
          <w:rFonts w:hint="eastAsia" w:cs="宋体"/>
          <w:sz w:val="21"/>
          <w:szCs w:val="21"/>
        </w:rPr>
        <w:t>用于解决最简单问题的建议方法</w:t>
      </w:r>
      <w:r>
        <w:rPr>
          <w:b w:val="0"/>
          <w:bCs w:val="0"/>
          <w:sz w:val="21"/>
          <w:szCs w:val="21"/>
        </w:rPr>
        <w:t>”</w:t>
      </w:r>
      <w:r>
        <w:rPr>
          <w:rFonts w:hint="eastAsia" w:cs="宋体"/>
          <w:b w:val="0"/>
          <w:bCs w:val="0"/>
          <w:sz w:val="21"/>
          <w:szCs w:val="21"/>
        </w:rPr>
        <w:t>文件中所述程序。可在我们的中心网页上查找：</w:t>
      </w:r>
      <w:r>
        <w:fldChar w:fldCharType="begin"/>
      </w:r>
      <w:r>
        <w:instrText xml:space="preserve"> HYPERLINK "http://www.fda.gov/cdrh/modact/leastburdensome.html" </w:instrText>
      </w:r>
      <w:r>
        <w:fldChar w:fldCharType="separate"/>
      </w:r>
      <w:r>
        <w:rPr>
          <w:b w:val="0"/>
          <w:bCs w:val="0"/>
          <w:sz w:val="21"/>
          <w:szCs w:val="21"/>
          <w:u w:val="single"/>
        </w:rPr>
        <w:t>http://www.fda.gov/cdrh/modact/leastburdensome.html</w:t>
      </w:r>
      <w:r>
        <w:rPr>
          <w:b w:val="0"/>
          <w:bCs w:val="0"/>
          <w:sz w:val="21"/>
          <w:szCs w:val="21"/>
          <w:u w:val="single"/>
        </w:rPr>
        <w:fldChar w:fldCharType="end"/>
      </w:r>
      <w:r>
        <w:rPr>
          <w:rFonts w:hint="eastAsia" w:cs="宋体"/>
          <w:sz w:val="21"/>
          <w:szCs w:val="21"/>
        </w:rPr>
        <w:t>。</w:t>
      </w:r>
      <w:bookmarkEnd w:id="5"/>
    </w:p>
    <w:p w14:paraId="20F7E312">
      <w:pPr>
        <w:pStyle w:val="3"/>
        <w:numPr>
          <w:ilvl w:val="1"/>
          <w:numId w:val="1"/>
        </w:numPr>
        <w:kinsoku w:val="0"/>
        <w:overflowPunct w:val="0"/>
        <w:snapToGrid w:val="0"/>
        <w:spacing w:afterLines="50" w:line="360" w:lineRule="auto"/>
        <w:ind w:left="0" w:firstLine="0"/>
        <w:jc w:val="both"/>
        <w:rPr>
          <w:b w:val="0"/>
          <w:bCs w:val="0"/>
          <w:sz w:val="28"/>
          <w:szCs w:val="28"/>
        </w:rPr>
      </w:pPr>
      <w:bookmarkStart w:id="6" w:name="_Toc496722806"/>
      <w:r>
        <w:rPr>
          <w:rFonts w:hint="eastAsia" w:cs="宋体"/>
          <w:sz w:val="28"/>
          <w:szCs w:val="28"/>
        </w:rPr>
        <w:t>背景</w:t>
      </w:r>
      <w:bookmarkEnd w:id="6"/>
    </w:p>
    <w:p w14:paraId="794A43EB">
      <w:pPr>
        <w:kinsoku w:val="0"/>
        <w:overflowPunct w:val="0"/>
        <w:snapToGrid w:val="0"/>
        <w:spacing w:afterLines="50" w:line="360" w:lineRule="auto"/>
        <w:jc w:val="both"/>
        <w:rPr>
          <w:sz w:val="21"/>
          <w:szCs w:val="21"/>
          <w:highlight w:val="green"/>
        </w:rPr>
      </w:pPr>
      <w:r>
        <w:rPr>
          <w:sz w:val="21"/>
          <w:szCs w:val="21"/>
        </w:rPr>
        <w:t>FDA</w:t>
      </w:r>
      <w:r>
        <w:rPr>
          <w:rFonts w:hint="eastAsia" w:cs="宋体"/>
          <w:sz w:val="21"/>
          <w:szCs w:val="21"/>
        </w:rPr>
        <w:t>认为，特殊控制与通用管制相结合将足以为免疫磁性循环癌细胞选择和计数系统的安全性和有效性提供合理保证。因此，拟销售这类型器械的制造商应：（</w:t>
      </w:r>
      <w:r>
        <w:rPr>
          <w:sz w:val="21"/>
          <w:szCs w:val="21"/>
        </w:rPr>
        <w:t>1</w:t>
      </w:r>
      <w:r>
        <w:rPr>
          <w:rFonts w:hint="eastAsia" w:cs="宋体"/>
          <w:sz w:val="21"/>
          <w:szCs w:val="21"/>
        </w:rPr>
        <w:t>）符合《联邦食品、药品和化妆品法案》（该法案）的通用管制措施，包括</w:t>
      </w:r>
      <w:r>
        <w:rPr>
          <w:sz w:val="21"/>
          <w:szCs w:val="21"/>
        </w:rPr>
        <w:t>21 CFR 807</w:t>
      </w:r>
      <w:r>
        <w:rPr>
          <w:rFonts w:hint="eastAsia" w:cs="宋体"/>
          <w:sz w:val="21"/>
          <w:szCs w:val="21"/>
        </w:rPr>
        <w:t>子部分</w:t>
      </w:r>
      <w:r>
        <w:rPr>
          <w:sz w:val="21"/>
          <w:szCs w:val="21"/>
        </w:rPr>
        <w:t>E</w:t>
      </w:r>
      <w:r>
        <w:rPr>
          <w:rFonts w:hint="eastAsia" w:cs="宋体"/>
          <w:sz w:val="21"/>
          <w:szCs w:val="21"/>
        </w:rPr>
        <w:t>中描述的上市前通知要求；（</w:t>
      </w:r>
      <w:r>
        <w:rPr>
          <w:sz w:val="21"/>
          <w:szCs w:val="21"/>
        </w:rPr>
        <w:t>2</w:t>
      </w:r>
      <w:r>
        <w:rPr>
          <w:rFonts w:hint="eastAsia" w:cs="宋体"/>
          <w:sz w:val="21"/>
          <w:szCs w:val="21"/>
        </w:rPr>
        <w:t>）解决本指南中确定的与免疫磁性循环癌细胞选择和计数系统相关的具体健康风险；（</w:t>
      </w:r>
      <w:r>
        <w:rPr>
          <w:sz w:val="21"/>
          <w:szCs w:val="21"/>
        </w:rPr>
        <w:t>3</w:t>
      </w:r>
      <w:r>
        <w:rPr>
          <w:rFonts w:hint="eastAsia" w:cs="宋体"/>
          <w:sz w:val="21"/>
          <w:szCs w:val="21"/>
        </w:rPr>
        <w:t>）在该器械销售前，获得</w:t>
      </w:r>
      <w:r>
        <w:rPr>
          <w:sz w:val="21"/>
          <w:szCs w:val="21"/>
        </w:rPr>
        <w:t>FDA</w:t>
      </w:r>
      <w:r>
        <w:rPr>
          <w:rFonts w:hint="eastAsia" w:cs="宋体"/>
          <w:sz w:val="21"/>
          <w:szCs w:val="21"/>
        </w:rPr>
        <w:t>的实质等同性认定。</w:t>
      </w:r>
    </w:p>
    <w:p w14:paraId="58084CF5">
      <w:pPr>
        <w:pStyle w:val="6"/>
        <w:kinsoku w:val="0"/>
        <w:overflowPunct w:val="0"/>
        <w:snapToGrid w:val="0"/>
        <w:spacing w:afterLines="50" w:line="360" w:lineRule="auto"/>
        <w:ind w:left="0"/>
        <w:jc w:val="both"/>
        <w:rPr>
          <w:sz w:val="21"/>
          <w:szCs w:val="21"/>
        </w:rPr>
      </w:pPr>
      <w:r>
        <w:rPr>
          <w:rFonts w:hint="eastAsia" w:cs="宋体"/>
          <w:sz w:val="21"/>
          <w:szCs w:val="21"/>
        </w:rPr>
        <w:t>该特殊控制指南文件确定了免疫磁性循环癌细胞选择和计数系统的分类规定和产品编号（参见第</w:t>
      </w:r>
      <w:r>
        <w:rPr>
          <w:sz w:val="21"/>
          <w:szCs w:val="21"/>
        </w:rPr>
        <w:t>4</w:t>
      </w:r>
      <w:r>
        <w:rPr>
          <w:rFonts w:hint="eastAsia" w:cs="宋体"/>
          <w:sz w:val="21"/>
          <w:szCs w:val="21"/>
        </w:rPr>
        <w:t>节</w:t>
      </w:r>
      <w:r>
        <w:rPr>
          <w:sz w:val="21"/>
          <w:szCs w:val="21"/>
        </w:rPr>
        <w:t xml:space="preserve"> - </w:t>
      </w:r>
      <w:r>
        <w:rPr>
          <w:rFonts w:hint="eastAsia" w:cs="宋体"/>
          <w:sz w:val="21"/>
          <w:szCs w:val="21"/>
        </w:rPr>
        <w:t>适用范围）。此外，本特殊控制指南文件的其他部分列出了</w:t>
      </w:r>
      <w:r>
        <w:rPr>
          <w:sz w:val="21"/>
          <w:szCs w:val="21"/>
        </w:rPr>
        <w:t>FDA</w:t>
      </w:r>
      <w:r>
        <w:rPr>
          <w:rFonts w:hint="eastAsia" w:cs="宋体"/>
          <w:sz w:val="21"/>
          <w:szCs w:val="21"/>
        </w:rPr>
        <w:t>确定的健康风险，并描述了一些具体措施，如果制造商遵守这些措施并结合通用管制措施，通常将能解决与这些免疫磁性循环癌细胞选择和计数系统相关的风险，有助于</w:t>
      </w:r>
      <w:r>
        <w:rPr>
          <w:sz w:val="21"/>
          <w:szCs w:val="21"/>
        </w:rPr>
        <w:t>510</w:t>
      </w:r>
      <w:r>
        <w:rPr>
          <w:rFonts w:hint="eastAsia" w:cs="宋体"/>
          <w:sz w:val="21"/>
          <w:szCs w:val="21"/>
        </w:rPr>
        <w:t>（</w:t>
      </w:r>
      <w:r>
        <w:rPr>
          <w:sz w:val="21"/>
          <w:szCs w:val="21"/>
        </w:rPr>
        <w:t>k</w:t>
      </w:r>
      <w:r>
        <w:rPr>
          <w:rFonts w:hint="eastAsia" w:cs="宋体"/>
          <w:sz w:val="21"/>
          <w:szCs w:val="21"/>
        </w:rPr>
        <w:t>）的及时审查和签发。本文件是对上市前通知提交件具体内容要求相关其他</w:t>
      </w:r>
      <w:r>
        <w:rPr>
          <w:sz w:val="21"/>
          <w:szCs w:val="21"/>
        </w:rPr>
        <w:t>FDA</w:t>
      </w:r>
      <w:r>
        <w:rPr>
          <w:rFonts w:hint="eastAsia" w:cs="宋体"/>
          <w:sz w:val="21"/>
          <w:szCs w:val="21"/>
        </w:rPr>
        <w:t>文件的补充。此外，还应参考</w:t>
      </w:r>
      <w:r>
        <w:rPr>
          <w:sz w:val="21"/>
          <w:szCs w:val="21"/>
        </w:rPr>
        <w:t>21 CFR 807.87</w:t>
      </w:r>
      <w:r>
        <w:rPr>
          <w:rFonts w:hint="eastAsia" w:cs="宋体"/>
          <w:sz w:val="21"/>
          <w:szCs w:val="21"/>
        </w:rPr>
        <w:t>和其他该主题相关</w:t>
      </w:r>
      <w:r>
        <w:rPr>
          <w:sz w:val="21"/>
          <w:szCs w:val="21"/>
        </w:rPr>
        <w:t>FDA</w:t>
      </w:r>
      <w:r>
        <w:rPr>
          <w:rFonts w:hint="eastAsia" w:cs="宋体"/>
          <w:sz w:val="21"/>
          <w:szCs w:val="21"/>
        </w:rPr>
        <w:t>文件，例如：</w:t>
      </w:r>
      <w:r>
        <w:rPr>
          <w:b/>
          <w:bCs/>
          <w:sz w:val="21"/>
          <w:szCs w:val="21"/>
        </w:rPr>
        <w:t>510(k)</w:t>
      </w:r>
      <w:r>
        <w:rPr>
          <w:rFonts w:hint="eastAsia" w:cs="宋体"/>
          <w:b/>
          <w:bCs/>
          <w:sz w:val="21"/>
          <w:szCs w:val="21"/>
        </w:rPr>
        <w:t>手册</w:t>
      </w:r>
      <w:r>
        <w:rPr>
          <w:b/>
          <w:bCs/>
          <w:sz w:val="21"/>
          <w:szCs w:val="21"/>
        </w:rPr>
        <w:t>-</w:t>
      </w:r>
      <w:r>
        <w:rPr>
          <w:rFonts w:hint="eastAsia" w:cs="宋体"/>
          <w:b/>
          <w:bCs/>
          <w:sz w:val="21"/>
          <w:szCs w:val="21"/>
        </w:rPr>
        <w:t>上市前通知：</w:t>
      </w:r>
      <w:r>
        <w:rPr>
          <w:b/>
          <w:bCs/>
          <w:sz w:val="21"/>
          <w:szCs w:val="21"/>
        </w:rPr>
        <w:t>510(k)-</w:t>
      </w:r>
      <w:r>
        <w:rPr>
          <w:rFonts w:hint="eastAsia" w:cs="宋体"/>
          <w:b/>
          <w:bCs/>
          <w:sz w:val="21"/>
          <w:szCs w:val="21"/>
        </w:rPr>
        <w:t>医疗器械的法规要求，</w:t>
      </w:r>
      <w:r>
        <w:fldChar w:fldCharType="begin"/>
      </w:r>
      <w:r>
        <w:instrText xml:space="preserve"> HYPERLINK "http://www.fda.gov/cdrh/manual/510kprt1.html" </w:instrText>
      </w:r>
      <w:r>
        <w:fldChar w:fldCharType="separate"/>
      </w:r>
      <w:r>
        <w:rPr>
          <w:color w:val="0000FF"/>
          <w:sz w:val="21"/>
          <w:szCs w:val="21"/>
          <w:u w:val="single"/>
        </w:rPr>
        <w:t>http://www.fda.gov/cdrh/manual/510kprt1.html</w:t>
      </w:r>
      <w:r>
        <w:rPr>
          <w:color w:val="0000FF"/>
          <w:sz w:val="21"/>
          <w:szCs w:val="21"/>
          <w:u w:val="single"/>
        </w:rPr>
        <w:fldChar w:fldCharType="end"/>
      </w:r>
      <w:r>
        <w:rPr>
          <w:rFonts w:hint="eastAsia" w:cs="宋体"/>
          <w:sz w:val="21"/>
          <w:szCs w:val="21"/>
        </w:rPr>
        <w:t>。</w:t>
      </w:r>
    </w:p>
    <w:p w14:paraId="3499382A">
      <w:pPr>
        <w:kinsoku w:val="0"/>
        <w:overflowPunct w:val="0"/>
        <w:snapToGrid w:val="0"/>
        <w:spacing w:afterLines="50" w:line="360" w:lineRule="auto"/>
        <w:jc w:val="both"/>
        <w:rPr>
          <w:sz w:val="21"/>
          <w:szCs w:val="21"/>
        </w:rPr>
      </w:pPr>
    </w:p>
    <w:p w14:paraId="51224BED">
      <w:pPr>
        <w:kinsoku w:val="0"/>
        <w:overflowPunct w:val="0"/>
        <w:snapToGrid w:val="0"/>
        <w:spacing w:afterLines="50" w:line="360" w:lineRule="auto"/>
        <w:jc w:val="both"/>
        <w:rPr>
          <w:sz w:val="21"/>
          <w:szCs w:val="21"/>
        </w:rPr>
      </w:pPr>
      <w:r>
        <w:rPr>
          <w:rFonts w:hint="eastAsia" w:cs="宋体"/>
          <w:sz w:val="21"/>
          <w:szCs w:val="21"/>
        </w:rPr>
        <w:t>如</w:t>
      </w:r>
      <w:r>
        <w:rPr>
          <w:sz w:val="21"/>
          <w:szCs w:val="21"/>
        </w:rPr>
        <w:t>“</w:t>
      </w:r>
      <w:r>
        <w:rPr>
          <w:rFonts w:hint="eastAsia" w:cs="宋体"/>
          <w:b/>
          <w:bCs/>
          <w:sz w:val="21"/>
          <w:szCs w:val="21"/>
        </w:rPr>
        <w:t>新</w:t>
      </w:r>
      <w:r>
        <w:rPr>
          <w:b/>
          <w:bCs/>
          <w:sz w:val="21"/>
          <w:szCs w:val="21"/>
        </w:rPr>
        <w:t>510</w:t>
      </w:r>
      <w:r>
        <w:rPr>
          <w:rFonts w:hint="eastAsia" w:cs="宋体"/>
          <w:b/>
          <w:bCs/>
          <w:sz w:val="21"/>
          <w:szCs w:val="21"/>
        </w:rPr>
        <w:t>（</w:t>
      </w:r>
      <w:r>
        <w:rPr>
          <w:b/>
          <w:bCs/>
          <w:sz w:val="21"/>
          <w:szCs w:val="21"/>
        </w:rPr>
        <w:t>k</w:t>
      </w:r>
      <w:r>
        <w:rPr>
          <w:rFonts w:hint="eastAsia" w:cs="宋体"/>
          <w:b/>
          <w:bCs/>
          <w:sz w:val="21"/>
          <w:szCs w:val="21"/>
        </w:rPr>
        <w:t>）范例</w:t>
      </w:r>
      <w:r>
        <w:rPr>
          <w:b/>
          <w:bCs/>
          <w:sz w:val="21"/>
          <w:szCs w:val="21"/>
        </w:rPr>
        <w:t xml:space="preserve">  -  </w:t>
      </w:r>
      <w:r>
        <w:rPr>
          <w:rFonts w:hint="eastAsia" w:cs="宋体"/>
          <w:b/>
          <w:bCs/>
          <w:sz w:val="21"/>
          <w:szCs w:val="21"/>
        </w:rPr>
        <w:t>在上市前通知中证明实质等同性的替代方法：最终指南</w:t>
      </w:r>
      <w:r>
        <w:rPr>
          <w:b/>
          <w:bCs/>
          <w:sz w:val="21"/>
          <w:szCs w:val="21"/>
          <w:vertAlign w:val="superscript"/>
        </w:rPr>
        <w:t>1</w:t>
      </w:r>
      <w:r>
        <w:rPr>
          <w:sz w:val="21"/>
          <w:szCs w:val="21"/>
        </w:rPr>
        <w:t>”</w:t>
      </w:r>
      <w:r>
        <w:rPr>
          <w:rFonts w:hint="eastAsia" w:cs="宋体"/>
          <w:sz w:val="21"/>
          <w:szCs w:val="21"/>
        </w:rPr>
        <w:t>所述，制造商可以提交传统的</w:t>
      </w:r>
      <w:r>
        <w:rPr>
          <w:sz w:val="21"/>
          <w:szCs w:val="21"/>
        </w:rPr>
        <w:t>510</w:t>
      </w:r>
      <w:r>
        <w:rPr>
          <w:rFonts w:hint="eastAsia" w:cs="宋体"/>
          <w:sz w:val="21"/>
          <w:szCs w:val="21"/>
        </w:rPr>
        <w:t>（</w:t>
      </w:r>
      <w:r>
        <w:rPr>
          <w:sz w:val="21"/>
          <w:szCs w:val="21"/>
        </w:rPr>
        <w:t>k</w:t>
      </w:r>
      <w:r>
        <w:rPr>
          <w:rFonts w:hint="eastAsia" w:cs="宋体"/>
          <w:sz w:val="21"/>
          <w:szCs w:val="21"/>
        </w:rPr>
        <w:t>），或者也可以选择提交简易</w:t>
      </w:r>
      <w:r>
        <w:rPr>
          <w:sz w:val="21"/>
          <w:szCs w:val="21"/>
        </w:rPr>
        <w:t>510</w:t>
      </w:r>
      <w:r>
        <w:rPr>
          <w:rFonts w:hint="eastAsia" w:cs="宋体"/>
          <w:sz w:val="21"/>
          <w:szCs w:val="21"/>
        </w:rPr>
        <w:t>（</w:t>
      </w:r>
      <w:r>
        <w:rPr>
          <w:sz w:val="21"/>
          <w:szCs w:val="21"/>
        </w:rPr>
        <w:t>k</w:t>
      </w:r>
      <w:r>
        <w:rPr>
          <w:rFonts w:hint="eastAsia" w:cs="宋体"/>
          <w:sz w:val="21"/>
          <w:szCs w:val="21"/>
        </w:rPr>
        <w:t>）或特殊</w:t>
      </w:r>
      <w:r>
        <w:rPr>
          <w:sz w:val="21"/>
          <w:szCs w:val="21"/>
        </w:rPr>
        <w:t>510</w:t>
      </w:r>
      <w:r>
        <w:rPr>
          <w:rFonts w:hint="eastAsia" w:cs="宋体"/>
          <w:sz w:val="21"/>
          <w:szCs w:val="21"/>
        </w:rPr>
        <w:t>（</w:t>
      </w:r>
      <w:r>
        <w:rPr>
          <w:sz w:val="21"/>
          <w:szCs w:val="21"/>
        </w:rPr>
        <w:t>k</w:t>
      </w:r>
      <w:r>
        <w:rPr>
          <w:rFonts w:hint="eastAsia" w:cs="宋体"/>
          <w:sz w:val="21"/>
          <w:szCs w:val="21"/>
        </w:rPr>
        <w:t>）。</w:t>
      </w:r>
      <w:r>
        <w:rPr>
          <w:sz w:val="21"/>
          <w:szCs w:val="21"/>
        </w:rPr>
        <w:t>FDA</w:t>
      </w:r>
      <w:r>
        <w:rPr>
          <w:rFonts w:hint="eastAsia" w:cs="宋体"/>
          <w:sz w:val="21"/>
          <w:szCs w:val="21"/>
        </w:rPr>
        <w:t>认为，简易</w:t>
      </w:r>
      <w:r>
        <w:rPr>
          <w:sz w:val="21"/>
          <w:szCs w:val="21"/>
        </w:rPr>
        <w:t>510</w:t>
      </w:r>
      <w:r>
        <w:rPr>
          <w:rFonts w:hint="eastAsia" w:cs="宋体"/>
          <w:sz w:val="21"/>
          <w:szCs w:val="21"/>
        </w:rPr>
        <w:t>（</w:t>
      </w:r>
      <w:r>
        <w:rPr>
          <w:sz w:val="21"/>
          <w:szCs w:val="21"/>
        </w:rPr>
        <w:t>k</w:t>
      </w:r>
      <w:r>
        <w:rPr>
          <w:rFonts w:hint="eastAsia" w:cs="宋体"/>
          <w:sz w:val="21"/>
          <w:szCs w:val="21"/>
        </w:rPr>
        <w:t>）提供了证明新器械的实质等同性的最简易方法，特别是一旦</w:t>
      </w:r>
      <w:r>
        <w:rPr>
          <w:sz w:val="21"/>
          <w:szCs w:val="21"/>
        </w:rPr>
        <w:t>FDA</w:t>
      </w:r>
      <w:r>
        <w:rPr>
          <w:rFonts w:hint="eastAsia" w:cs="宋体"/>
          <w:sz w:val="21"/>
          <w:szCs w:val="21"/>
        </w:rPr>
        <w:t>已发布了特殊控制指南文件。制造商如果要修改自己的经批准的器械，可通过提交特殊</w:t>
      </w:r>
      <w:r>
        <w:rPr>
          <w:sz w:val="21"/>
          <w:szCs w:val="21"/>
        </w:rPr>
        <w:t>510</w:t>
      </w:r>
      <w:r>
        <w:rPr>
          <w:rFonts w:hint="eastAsia" w:cs="宋体"/>
          <w:sz w:val="21"/>
          <w:szCs w:val="21"/>
        </w:rPr>
        <w:t>（</w:t>
      </w:r>
      <w:r>
        <w:rPr>
          <w:sz w:val="21"/>
          <w:szCs w:val="21"/>
        </w:rPr>
        <w:t>k</w:t>
      </w:r>
      <w:r>
        <w:rPr>
          <w:rFonts w:hint="eastAsia" w:cs="宋体"/>
          <w:sz w:val="21"/>
          <w:szCs w:val="21"/>
        </w:rPr>
        <w:t>）来减轻监管负担。</w:t>
      </w:r>
    </w:p>
    <w:p w14:paraId="339EB416">
      <w:pPr>
        <w:kinsoku w:val="0"/>
        <w:overflowPunct w:val="0"/>
        <w:snapToGrid w:val="0"/>
        <w:spacing w:afterLines="50" w:line="360" w:lineRule="auto"/>
        <w:jc w:val="both"/>
        <w:rPr>
          <w:sz w:val="21"/>
          <w:szCs w:val="21"/>
          <w:vertAlign w:val="superscript"/>
        </w:rPr>
      </w:pPr>
    </w:p>
    <w:p w14:paraId="34C84A8B">
      <w:pPr>
        <w:kinsoku w:val="0"/>
        <w:overflowPunct w:val="0"/>
        <w:snapToGrid w:val="0"/>
        <w:spacing w:afterLines="50" w:line="360" w:lineRule="auto"/>
        <w:jc w:val="both"/>
        <w:rPr>
          <w:sz w:val="21"/>
          <w:szCs w:val="21"/>
        </w:rPr>
      </w:pPr>
      <w:r>
        <w:rPr>
          <w:sz w:val="21"/>
          <w:szCs w:val="21"/>
        </w:rPr>
        <w:t>______________________________</w:t>
      </w:r>
    </w:p>
    <w:p w14:paraId="00A6ACFC">
      <w:pPr>
        <w:pStyle w:val="6"/>
        <w:numPr>
          <w:ilvl w:val="0"/>
          <w:numId w:val="2"/>
        </w:numPr>
        <w:kinsoku w:val="0"/>
        <w:overflowPunct w:val="0"/>
        <w:snapToGrid w:val="0"/>
        <w:spacing w:afterLines="50" w:line="360" w:lineRule="auto"/>
        <w:ind w:left="0" w:firstLine="0"/>
        <w:jc w:val="both"/>
        <w:rPr>
          <w:color w:val="0000FF"/>
          <w:sz w:val="21"/>
          <w:szCs w:val="21"/>
        </w:rPr>
      </w:pPr>
      <w:r>
        <w:fldChar w:fldCharType="begin"/>
      </w:r>
      <w:r>
        <w:instrText xml:space="preserve"> HYPERLINK "http://www.fda.gov/cdrh/ode/parad510.html" </w:instrText>
      </w:r>
      <w:r>
        <w:fldChar w:fldCharType="separate"/>
      </w:r>
      <w:r>
        <w:rPr>
          <w:color w:val="0000FF"/>
          <w:sz w:val="21"/>
          <w:szCs w:val="21"/>
          <w:u w:val="single"/>
        </w:rPr>
        <w:t>http://www.fda.gov/cdrh/ode/parad510.html</w:t>
      </w:r>
      <w:r>
        <w:rPr>
          <w:color w:val="0000FF"/>
          <w:sz w:val="21"/>
          <w:szCs w:val="21"/>
          <w:u w:val="single"/>
        </w:rPr>
        <w:fldChar w:fldCharType="end"/>
      </w:r>
    </w:p>
    <w:p w14:paraId="4536732F">
      <w:pPr>
        <w:pStyle w:val="3"/>
        <w:numPr>
          <w:ilvl w:val="1"/>
          <w:numId w:val="1"/>
        </w:numPr>
        <w:kinsoku w:val="0"/>
        <w:overflowPunct w:val="0"/>
        <w:snapToGrid w:val="0"/>
        <w:spacing w:afterLines="50" w:line="360" w:lineRule="auto"/>
        <w:ind w:left="0" w:firstLine="0"/>
        <w:jc w:val="both"/>
        <w:rPr>
          <w:sz w:val="28"/>
          <w:szCs w:val="28"/>
        </w:rPr>
      </w:pPr>
      <w:r>
        <w:rPr>
          <w:b w:val="0"/>
          <w:bCs w:val="0"/>
          <w:sz w:val="21"/>
          <w:szCs w:val="21"/>
          <w:highlight w:val="green"/>
        </w:rPr>
        <w:br w:type="page"/>
      </w:r>
      <w:bookmarkStart w:id="7" w:name="_Toc496722807"/>
      <w:r>
        <w:rPr>
          <w:rFonts w:hint="eastAsia" w:cs="宋体"/>
          <w:sz w:val="28"/>
          <w:szCs w:val="28"/>
        </w:rPr>
        <w:t>简易510</w:t>
      </w:r>
      <w:r>
        <w:rPr>
          <w:sz w:val="28"/>
          <w:szCs w:val="28"/>
        </w:rPr>
        <w:t>(k)</w:t>
      </w:r>
      <w:r>
        <w:rPr>
          <w:rFonts w:hint="eastAsia" w:cs="宋体"/>
          <w:sz w:val="28"/>
          <w:szCs w:val="28"/>
        </w:rPr>
        <w:t>提交件的内容和格式</w:t>
      </w:r>
      <w:bookmarkEnd w:id="7"/>
    </w:p>
    <w:p w14:paraId="1E4E5018">
      <w:pPr>
        <w:pStyle w:val="6"/>
        <w:kinsoku w:val="0"/>
        <w:overflowPunct w:val="0"/>
        <w:snapToGrid w:val="0"/>
        <w:spacing w:afterLines="50" w:line="360" w:lineRule="auto"/>
        <w:ind w:left="0"/>
        <w:jc w:val="both"/>
        <w:rPr>
          <w:sz w:val="21"/>
          <w:szCs w:val="21"/>
          <w:highlight w:val="green"/>
        </w:rPr>
      </w:pPr>
      <w:r>
        <w:rPr>
          <w:rFonts w:hint="eastAsia" w:cs="宋体"/>
          <w:sz w:val="21"/>
          <w:szCs w:val="21"/>
        </w:rPr>
        <w:t>简易510</w:t>
      </w:r>
      <w:r>
        <w:rPr>
          <w:sz w:val="21"/>
          <w:szCs w:val="21"/>
        </w:rPr>
        <w:t>(k)</w:t>
      </w:r>
      <w:r>
        <w:rPr>
          <w:rFonts w:hint="eastAsia" w:cs="宋体"/>
          <w:sz w:val="21"/>
          <w:szCs w:val="21"/>
        </w:rPr>
        <w:t>提交件必须包括</w:t>
      </w:r>
      <w:r>
        <w:rPr>
          <w:sz w:val="21"/>
          <w:szCs w:val="21"/>
        </w:rPr>
        <w:t>21 CFR 807.87</w:t>
      </w:r>
      <w:r>
        <w:rPr>
          <w:rFonts w:hint="eastAsia" w:cs="宋体"/>
          <w:sz w:val="21"/>
          <w:szCs w:val="21"/>
        </w:rPr>
        <w:t>中确定的要素，其中包括足以描述器械的建议器械标签、其预期用途和使用说明。在简易510</w:t>
      </w:r>
      <w:r>
        <w:rPr>
          <w:sz w:val="21"/>
          <w:szCs w:val="21"/>
        </w:rPr>
        <w:t>(k)</w:t>
      </w:r>
      <w:r>
        <w:rPr>
          <w:rFonts w:hint="eastAsia" w:cs="宋体"/>
          <w:sz w:val="21"/>
          <w:szCs w:val="21"/>
        </w:rPr>
        <w:t>中，</w:t>
      </w:r>
      <w:r>
        <w:rPr>
          <w:sz w:val="21"/>
          <w:szCs w:val="21"/>
        </w:rPr>
        <w:t>FDA</w:t>
      </w:r>
      <w:r>
        <w:rPr>
          <w:rFonts w:hint="eastAsia" w:cs="宋体"/>
          <w:sz w:val="21"/>
          <w:szCs w:val="21"/>
        </w:rPr>
        <w:t>会认为总结报告的内容是</w:t>
      </w:r>
      <w:r>
        <w:rPr>
          <w:sz w:val="21"/>
          <w:szCs w:val="21"/>
        </w:rPr>
        <w:t>21 CFR 807.87(f)</w:t>
      </w:r>
      <w:r>
        <w:rPr>
          <w:rFonts w:hint="eastAsia" w:cs="宋体"/>
          <w:sz w:val="21"/>
          <w:szCs w:val="21"/>
        </w:rPr>
        <w:t>或</w:t>
      </w:r>
      <w:r>
        <w:rPr>
          <w:sz w:val="21"/>
          <w:szCs w:val="21"/>
        </w:rPr>
        <w:t>(g)</w:t>
      </w:r>
      <w:r>
        <w:rPr>
          <w:rFonts w:hint="eastAsia" w:cs="宋体"/>
          <w:sz w:val="21"/>
          <w:szCs w:val="21"/>
        </w:rPr>
        <w:t>的含义中的适当支持数据；因此，我们建议您提供总结报告。该报告应描述在器械开发和测试过程中如何使用这个特殊控制指南文件，并应简要描述所使用的方法或测试，以及测试数据的总结或描述用于解决本指南文件中的已确定风险和您的器械所特有的任何其他风险的验收标准。本部分提供了符合</w:t>
      </w:r>
      <w:r>
        <w:rPr>
          <w:sz w:val="21"/>
          <w:szCs w:val="21"/>
        </w:rPr>
        <w:t>21 CFR 807.87</w:t>
      </w:r>
      <w:r>
        <w:rPr>
          <w:rFonts w:hint="eastAsia" w:cs="宋体"/>
          <w:sz w:val="21"/>
          <w:szCs w:val="21"/>
        </w:rPr>
        <w:t>的一些要求的信息，以及我们建议您纳入简易</w:t>
      </w:r>
      <w:r>
        <w:rPr>
          <w:sz w:val="21"/>
          <w:szCs w:val="21"/>
        </w:rPr>
        <w:t>510</w:t>
      </w:r>
      <w:r>
        <w:rPr>
          <w:rFonts w:hint="eastAsia" w:cs="宋体"/>
          <w:sz w:val="21"/>
          <w:szCs w:val="21"/>
        </w:rPr>
        <w:t>（</w:t>
      </w:r>
      <w:r>
        <w:rPr>
          <w:sz w:val="21"/>
          <w:szCs w:val="21"/>
        </w:rPr>
        <w:t>k</w:t>
      </w:r>
      <w:r>
        <w:rPr>
          <w:rFonts w:hint="eastAsia" w:cs="宋体"/>
          <w:sz w:val="21"/>
          <w:szCs w:val="21"/>
        </w:rPr>
        <w:t>）中的一些其他项目。</w:t>
      </w:r>
    </w:p>
    <w:p w14:paraId="5899653B">
      <w:pPr>
        <w:pStyle w:val="6"/>
        <w:kinsoku w:val="0"/>
        <w:overflowPunct w:val="0"/>
        <w:snapToGrid w:val="0"/>
        <w:spacing w:afterLines="50" w:line="360" w:lineRule="auto"/>
        <w:ind w:left="480" w:leftChars="200"/>
        <w:jc w:val="both"/>
        <w:rPr>
          <w:b/>
          <w:bCs/>
          <w:sz w:val="21"/>
          <w:szCs w:val="21"/>
        </w:rPr>
      </w:pPr>
      <w:r>
        <w:rPr>
          <w:rFonts w:hint="eastAsia" w:cs="宋体"/>
          <w:b/>
          <w:bCs/>
          <w:sz w:val="21"/>
          <w:szCs w:val="21"/>
        </w:rPr>
        <w:t>文件封面</w:t>
      </w:r>
    </w:p>
    <w:p w14:paraId="09C42CFD">
      <w:pPr>
        <w:pStyle w:val="6"/>
        <w:kinsoku w:val="0"/>
        <w:overflowPunct w:val="0"/>
        <w:snapToGrid w:val="0"/>
        <w:spacing w:afterLines="50" w:line="360" w:lineRule="auto"/>
        <w:ind w:left="480" w:leftChars="200"/>
        <w:jc w:val="both"/>
        <w:rPr>
          <w:sz w:val="21"/>
          <w:szCs w:val="21"/>
        </w:rPr>
      </w:pPr>
      <w:r>
        <w:rPr>
          <w:rFonts w:hint="eastAsia" w:cs="宋体"/>
          <w:sz w:val="21"/>
          <w:szCs w:val="21"/>
        </w:rPr>
        <w:t>所提交文件的封面应显著标示</w:t>
      </w:r>
      <w:r>
        <w:rPr>
          <w:sz w:val="21"/>
          <w:szCs w:val="21"/>
        </w:rPr>
        <w:t>“</w:t>
      </w:r>
      <w:r>
        <w:rPr>
          <w:rFonts w:hint="eastAsia" w:cs="宋体"/>
          <w:sz w:val="21"/>
          <w:szCs w:val="21"/>
        </w:rPr>
        <w:t>简易</w:t>
      </w:r>
      <w:r>
        <w:rPr>
          <w:sz w:val="21"/>
          <w:szCs w:val="21"/>
        </w:rPr>
        <w:t>510</w:t>
      </w:r>
      <w:r>
        <w:rPr>
          <w:rFonts w:hint="eastAsia" w:cs="宋体"/>
          <w:sz w:val="21"/>
          <w:szCs w:val="21"/>
        </w:rPr>
        <w:t>（</w:t>
      </w:r>
      <w:r>
        <w:rPr>
          <w:sz w:val="21"/>
          <w:szCs w:val="21"/>
        </w:rPr>
        <w:t>k</w:t>
      </w:r>
      <w:r>
        <w:rPr>
          <w:rFonts w:hint="eastAsia" w:cs="宋体"/>
          <w:sz w:val="21"/>
          <w:szCs w:val="21"/>
        </w:rPr>
        <w:t>）</w:t>
      </w:r>
      <w:r>
        <w:rPr>
          <w:sz w:val="21"/>
          <w:szCs w:val="21"/>
        </w:rPr>
        <w:t>”</w:t>
      </w:r>
      <w:r>
        <w:rPr>
          <w:rFonts w:hint="eastAsia" w:cs="宋体"/>
          <w:sz w:val="21"/>
          <w:szCs w:val="21"/>
        </w:rPr>
        <w:t>，并引用本</w:t>
      </w:r>
      <w:r>
        <w:rPr>
          <w:sz w:val="21"/>
          <w:szCs w:val="21"/>
        </w:rPr>
        <w:t>II</w:t>
      </w:r>
      <w:r>
        <w:rPr>
          <w:rFonts w:hint="eastAsia" w:cs="宋体"/>
          <w:sz w:val="21"/>
          <w:szCs w:val="21"/>
        </w:rPr>
        <w:t>类特殊控制指南文件的标题。</w:t>
      </w:r>
    </w:p>
    <w:p w14:paraId="010B95C0">
      <w:pPr>
        <w:pStyle w:val="6"/>
        <w:kinsoku w:val="0"/>
        <w:overflowPunct w:val="0"/>
        <w:snapToGrid w:val="0"/>
        <w:spacing w:afterLines="50" w:line="360" w:lineRule="auto"/>
        <w:ind w:left="480" w:leftChars="200"/>
        <w:jc w:val="both"/>
        <w:rPr>
          <w:b/>
          <w:bCs/>
          <w:sz w:val="21"/>
          <w:szCs w:val="21"/>
        </w:rPr>
      </w:pPr>
      <w:r>
        <w:rPr>
          <w:rFonts w:hint="eastAsia" w:cs="宋体"/>
          <w:b/>
          <w:bCs/>
          <w:sz w:val="21"/>
          <w:szCs w:val="21"/>
        </w:rPr>
        <w:t>标签样稿</w:t>
      </w:r>
    </w:p>
    <w:p w14:paraId="5F96F42D">
      <w:pPr>
        <w:pStyle w:val="6"/>
        <w:kinsoku w:val="0"/>
        <w:overflowPunct w:val="0"/>
        <w:snapToGrid w:val="0"/>
        <w:spacing w:afterLines="50" w:line="360" w:lineRule="auto"/>
        <w:ind w:left="480" w:leftChars="200"/>
        <w:jc w:val="both"/>
        <w:rPr>
          <w:sz w:val="21"/>
          <w:szCs w:val="21"/>
          <w:highlight w:val="green"/>
        </w:rPr>
      </w:pPr>
      <w:r>
        <w:rPr>
          <w:rFonts w:hint="eastAsia" w:cs="宋体"/>
          <w:sz w:val="21"/>
          <w:szCs w:val="21"/>
        </w:rPr>
        <w:t>标签样稿应足以描述该器械组成、预期用途及其使用说明。（有关本文件所涉及类型的器械的标签中应包含的具体信息，请参阅第</w:t>
      </w:r>
      <w:r>
        <w:rPr>
          <w:sz w:val="21"/>
          <w:szCs w:val="21"/>
        </w:rPr>
        <w:t>8</w:t>
      </w:r>
      <w:r>
        <w:rPr>
          <w:rFonts w:hint="eastAsia" w:cs="宋体"/>
          <w:sz w:val="21"/>
          <w:szCs w:val="21"/>
        </w:rPr>
        <w:t>节。）</w:t>
      </w:r>
    </w:p>
    <w:p w14:paraId="16325255">
      <w:pPr>
        <w:pStyle w:val="6"/>
        <w:kinsoku w:val="0"/>
        <w:overflowPunct w:val="0"/>
        <w:snapToGrid w:val="0"/>
        <w:spacing w:afterLines="50" w:line="360" w:lineRule="auto"/>
        <w:ind w:left="480" w:leftChars="200"/>
        <w:jc w:val="both"/>
        <w:rPr>
          <w:b/>
          <w:bCs/>
          <w:sz w:val="21"/>
          <w:szCs w:val="21"/>
        </w:rPr>
      </w:pPr>
      <w:r>
        <w:rPr>
          <w:rFonts w:hint="eastAsia" w:cs="宋体"/>
          <w:b/>
          <w:bCs/>
          <w:sz w:val="21"/>
          <w:szCs w:val="21"/>
        </w:rPr>
        <w:t>总结报告</w:t>
      </w:r>
    </w:p>
    <w:p w14:paraId="0988EC23">
      <w:pPr>
        <w:pStyle w:val="6"/>
        <w:kinsoku w:val="0"/>
        <w:overflowPunct w:val="0"/>
        <w:snapToGrid w:val="0"/>
        <w:spacing w:afterLines="50" w:line="360" w:lineRule="auto"/>
        <w:ind w:left="480" w:leftChars="200"/>
        <w:jc w:val="both"/>
        <w:rPr>
          <w:sz w:val="21"/>
          <w:szCs w:val="21"/>
        </w:rPr>
      </w:pPr>
      <w:r>
        <w:rPr>
          <w:rFonts w:hint="eastAsia" w:cs="宋体"/>
          <w:sz w:val="21"/>
          <w:szCs w:val="21"/>
        </w:rPr>
        <w:t>我们建议总结报告包含：</w:t>
      </w:r>
    </w:p>
    <w:p w14:paraId="1AAB7E8D">
      <w:pPr>
        <w:pStyle w:val="6"/>
        <w:numPr>
          <w:ilvl w:val="0"/>
          <w:numId w:val="3"/>
        </w:numPr>
        <w:kinsoku w:val="0"/>
        <w:overflowPunct w:val="0"/>
        <w:snapToGrid w:val="0"/>
        <w:spacing w:afterLines="50" w:line="360" w:lineRule="auto"/>
        <w:ind w:left="960" w:leftChars="400"/>
        <w:jc w:val="both"/>
        <w:rPr>
          <w:sz w:val="21"/>
          <w:szCs w:val="21"/>
          <w:vertAlign w:val="superscript"/>
        </w:rPr>
      </w:pPr>
      <w:r>
        <w:rPr>
          <w:rFonts w:hint="eastAsia" w:cs="宋体"/>
          <w:sz w:val="21"/>
          <w:szCs w:val="21"/>
        </w:rPr>
        <w:t>描述器械及其预期用途。我们建议该描述包括对性能要求的完整讨论，并在适当时提供详细标注的器械图纸。您还应以附件形式提交</w:t>
      </w:r>
      <w:r>
        <w:rPr>
          <w:sz w:val="21"/>
          <w:szCs w:val="21"/>
        </w:rPr>
        <w:t>“</w:t>
      </w:r>
      <w:r>
        <w:rPr>
          <w:rFonts w:hint="eastAsia" w:cs="宋体"/>
          <w:sz w:val="21"/>
          <w:szCs w:val="21"/>
        </w:rPr>
        <w:t>使用说明书</w:t>
      </w:r>
      <w:r>
        <w:rPr>
          <w:sz w:val="21"/>
          <w:szCs w:val="21"/>
        </w:rPr>
        <w:t>”</w:t>
      </w:r>
      <w:r>
        <w:rPr>
          <w:sz w:val="21"/>
          <w:szCs w:val="21"/>
          <w:vertAlign w:val="superscript"/>
        </w:rPr>
        <w:t>2</w:t>
      </w:r>
      <w:r>
        <w:rPr>
          <w:rFonts w:hint="eastAsia" w:cs="宋体"/>
          <w:sz w:val="21"/>
          <w:szCs w:val="21"/>
        </w:rPr>
        <w:t>。</w:t>
      </w:r>
    </w:p>
    <w:p w14:paraId="60E41952">
      <w:pPr>
        <w:pStyle w:val="6"/>
        <w:numPr>
          <w:ilvl w:val="0"/>
          <w:numId w:val="3"/>
        </w:numPr>
        <w:kinsoku w:val="0"/>
        <w:overflowPunct w:val="0"/>
        <w:snapToGrid w:val="0"/>
        <w:spacing w:afterLines="50" w:line="360" w:lineRule="auto"/>
        <w:ind w:left="960" w:leftChars="400"/>
        <w:jc w:val="both"/>
        <w:rPr>
          <w:sz w:val="21"/>
          <w:szCs w:val="21"/>
        </w:rPr>
      </w:pPr>
      <w:r>
        <w:rPr>
          <w:rFonts w:hint="eastAsia" w:cs="宋体"/>
          <w:sz w:val="21"/>
          <w:szCs w:val="21"/>
        </w:rPr>
        <w:t>描述器械设计要求。</w:t>
      </w:r>
    </w:p>
    <w:p w14:paraId="5B738E94">
      <w:pPr>
        <w:pStyle w:val="6"/>
        <w:numPr>
          <w:ilvl w:val="0"/>
          <w:numId w:val="3"/>
        </w:numPr>
        <w:kinsoku w:val="0"/>
        <w:overflowPunct w:val="0"/>
        <w:snapToGrid w:val="0"/>
        <w:spacing w:afterLines="50" w:line="360" w:lineRule="auto"/>
        <w:ind w:left="960" w:leftChars="400"/>
        <w:jc w:val="both"/>
        <w:rPr>
          <w:sz w:val="21"/>
          <w:szCs w:val="21"/>
        </w:rPr>
      </w:pPr>
      <w:r>
        <w:rPr>
          <w:rFonts w:hint="eastAsia" w:cs="宋体"/>
          <w:sz w:val="21"/>
          <w:szCs w:val="21"/>
        </w:rPr>
        <w:t>确定用于评估整体风险概况的风险分析方法以及具体器械的设计和此分析的结果。（有关</w:t>
      </w:r>
      <w:r>
        <w:rPr>
          <w:sz w:val="21"/>
          <w:szCs w:val="21"/>
        </w:rPr>
        <w:t>FDA</w:t>
      </w:r>
      <w:r>
        <w:rPr>
          <w:rFonts w:hint="eastAsia" w:cs="宋体"/>
          <w:sz w:val="21"/>
          <w:szCs w:val="21"/>
        </w:rPr>
        <w:t>已确认的通常与使用该器械相关的健康风险，请参阅第</w:t>
      </w:r>
      <w:r>
        <w:rPr>
          <w:sz w:val="21"/>
          <w:szCs w:val="21"/>
        </w:rPr>
        <w:t>5</w:t>
      </w:r>
      <w:r>
        <w:rPr>
          <w:rFonts w:hint="eastAsia" w:cs="宋体"/>
          <w:sz w:val="21"/>
          <w:szCs w:val="21"/>
        </w:rPr>
        <w:t>节。）</w:t>
      </w:r>
    </w:p>
    <w:p w14:paraId="4ADEF678">
      <w:pPr>
        <w:pStyle w:val="6"/>
        <w:numPr>
          <w:ilvl w:val="0"/>
          <w:numId w:val="3"/>
        </w:numPr>
        <w:kinsoku w:val="0"/>
        <w:overflowPunct w:val="0"/>
        <w:snapToGrid w:val="0"/>
        <w:spacing w:afterLines="50" w:line="360" w:lineRule="auto"/>
        <w:ind w:left="960" w:leftChars="400"/>
        <w:jc w:val="both"/>
        <w:rPr>
          <w:sz w:val="21"/>
          <w:szCs w:val="21"/>
        </w:rPr>
      </w:pPr>
      <w:r>
        <w:rPr>
          <w:rFonts w:hint="eastAsia" w:cs="宋体"/>
          <w:sz w:val="21"/>
          <w:szCs w:val="21"/>
        </w:rPr>
        <w:t>讨论解决</w:t>
      </w:r>
      <w:r>
        <w:rPr>
          <w:sz w:val="21"/>
          <w:szCs w:val="21"/>
        </w:rPr>
        <w:t>II</w:t>
      </w:r>
      <w:r>
        <w:rPr>
          <w:rFonts w:hint="eastAsia" w:cs="宋体"/>
          <w:sz w:val="21"/>
          <w:szCs w:val="21"/>
        </w:rPr>
        <w:t>类特殊控制指南文件中确定的风险的器械特性，以及在风险分析过程中确定的任何其他风险。</w:t>
      </w:r>
    </w:p>
    <w:p w14:paraId="595C4F8F">
      <w:pPr>
        <w:kinsoku w:val="0"/>
        <w:overflowPunct w:val="0"/>
        <w:snapToGrid w:val="0"/>
        <w:spacing w:afterLines="50" w:line="360" w:lineRule="auto"/>
        <w:jc w:val="both"/>
        <w:rPr>
          <w:sz w:val="21"/>
          <w:szCs w:val="21"/>
        </w:rPr>
      </w:pPr>
      <w:r>
        <w:rPr>
          <w:sz w:val="21"/>
          <w:szCs w:val="21"/>
        </w:rPr>
        <w:t>______________________________</w:t>
      </w:r>
    </w:p>
    <w:p w14:paraId="6CC87452">
      <w:pPr>
        <w:pStyle w:val="6"/>
        <w:numPr>
          <w:ilvl w:val="0"/>
          <w:numId w:val="2"/>
        </w:numPr>
        <w:kinsoku w:val="0"/>
        <w:overflowPunct w:val="0"/>
        <w:snapToGrid w:val="0"/>
        <w:spacing w:afterLines="50" w:line="360" w:lineRule="auto"/>
        <w:ind w:left="0" w:firstLine="0"/>
        <w:jc w:val="both"/>
        <w:rPr>
          <w:color w:val="000000"/>
          <w:sz w:val="21"/>
          <w:szCs w:val="21"/>
        </w:rPr>
      </w:pPr>
      <w:r>
        <w:rPr>
          <w:rFonts w:hint="eastAsia" w:cs="宋体"/>
          <w:sz w:val="21"/>
          <w:szCs w:val="21"/>
        </w:rPr>
        <w:t>推荐格式请参考</w:t>
      </w:r>
      <w:r>
        <w:fldChar w:fldCharType="begin"/>
      </w:r>
      <w:r>
        <w:instrText xml:space="preserve"> HYPERLINK "http://www.fda.gov/cdrh/ode/indicate.html" </w:instrText>
      </w:r>
      <w:r>
        <w:fldChar w:fldCharType="separate"/>
      </w:r>
      <w:r>
        <w:rPr>
          <w:color w:val="0000FF"/>
          <w:sz w:val="21"/>
          <w:szCs w:val="21"/>
          <w:u w:val="single"/>
        </w:rPr>
        <w:t xml:space="preserve">http://www.fda.gov/cdrh/ode/indicate.html </w:t>
      </w:r>
      <w:r>
        <w:rPr>
          <w:color w:val="0000FF"/>
          <w:sz w:val="21"/>
          <w:szCs w:val="21"/>
          <w:u w:val="single"/>
        </w:rPr>
        <w:fldChar w:fldCharType="end"/>
      </w:r>
      <w:r>
        <w:rPr>
          <w:rFonts w:hint="eastAsia" w:cs="宋体"/>
          <w:color w:val="000000"/>
          <w:sz w:val="21"/>
          <w:szCs w:val="21"/>
        </w:rPr>
        <w:t>。</w:t>
      </w:r>
    </w:p>
    <w:p w14:paraId="220EA8A5">
      <w:pPr>
        <w:pStyle w:val="6"/>
        <w:numPr>
          <w:ilvl w:val="0"/>
          <w:numId w:val="4"/>
        </w:numPr>
        <w:tabs>
          <w:tab w:val="left" w:pos="993"/>
        </w:tabs>
        <w:kinsoku w:val="0"/>
        <w:overflowPunct w:val="0"/>
        <w:snapToGrid w:val="0"/>
        <w:spacing w:afterLines="50" w:line="360" w:lineRule="auto"/>
        <w:ind w:left="571" w:leftChars="238"/>
        <w:jc w:val="both"/>
        <w:rPr>
          <w:sz w:val="21"/>
          <w:szCs w:val="21"/>
        </w:rPr>
      </w:pPr>
      <w:r>
        <w:rPr>
          <w:sz w:val="21"/>
          <w:szCs w:val="21"/>
        </w:rPr>
        <w:br w:type="page"/>
      </w:r>
      <w:r>
        <w:rPr>
          <w:rFonts w:hint="eastAsia" w:cs="宋体"/>
          <w:sz w:val="21"/>
          <w:szCs w:val="21"/>
        </w:rPr>
        <w:t>简要说明您已使用或打算用于解决本</w:t>
      </w:r>
      <w:r>
        <w:rPr>
          <w:sz w:val="21"/>
          <w:szCs w:val="21"/>
        </w:rPr>
        <w:t>II</w:t>
      </w:r>
      <w:r>
        <w:rPr>
          <w:rFonts w:hint="eastAsia" w:cs="宋体"/>
          <w:sz w:val="21"/>
          <w:szCs w:val="21"/>
        </w:rPr>
        <w:t>类特殊控制指南文件第</w:t>
      </w:r>
      <w:r>
        <w:rPr>
          <w:sz w:val="21"/>
          <w:szCs w:val="21"/>
        </w:rPr>
        <w:t>6</w:t>
      </w:r>
      <w:r>
        <w:rPr>
          <w:rFonts w:hint="eastAsia" w:cs="宋体"/>
          <w:sz w:val="21"/>
          <w:szCs w:val="21"/>
        </w:rPr>
        <w:t>节和第</w:t>
      </w:r>
      <w:r>
        <w:rPr>
          <w:sz w:val="21"/>
          <w:szCs w:val="21"/>
        </w:rPr>
        <w:t>7</w:t>
      </w:r>
      <w:r>
        <w:rPr>
          <w:rFonts w:hint="eastAsia" w:cs="宋体"/>
          <w:sz w:val="21"/>
          <w:szCs w:val="21"/>
        </w:rPr>
        <w:t>节中确定的每个性能的测试方法。如果您遵循建议的测试方法，您可以引用该方法而不用具体描述。如果您修改了建议的测试方法，您可以引用该方法，但应详细说明修改的性质和原因。对于每个测试，您应（</w:t>
      </w:r>
      <w:r>
        <w:rPr>
          <w:sz w:val="21"/>
          <w:szCs w:val="21"/>
        </w:rPr>
        <w:t>1</w:t>
      </w:r>
      <w:r>
        <w:rPr>
          <w:rFonts w:hint="eastAsia" w:cs="宋体"/>
          <w:sz w:val="21"/>
          <w:szCs w:val="21"/>
        </w:rPr>
        <w:t>）以清晰简洁的形式（如表格）简要列出测试结果，</w:t>
      </w:r>
      <w:r>
        <w:rPr>
          <w:rFonts w:hint="eastAsia" w:cs="宋体"/>
          <w:b/>
          <w:bCs/>
          <w:sz w:val="21"/>
          <w:szCs w:val="21"/>
          <w:u w:val="single"/>
        </w:rPr>
        <w:t>或</w:t>
      </w:r>
      <w:r>
        <w:rPr>
          <w:rFonts w:hint="eastAsia" w:cs="宋体"/>
          <w:sz w:val="21"/>
          <w:szCs w:val="21"/>
        </w:rPr>
        <w:t>（</w:t>
      </w:r>
      <w:r>
        <w:rPr>
          <w:sz w:val="21"/>
          <w:szCs w:val="21"/>
        </w:rPr>
        <w:t>2</w:t>
      </w:r>
      <w:r>
        <w:rPr>
          <w:rFonts w:hint="eastAsia" w:cs="宋体"/>
          <w:sz w:val="21"/>
          <w:szCs w:val="21"/>
        </w:rPr>
        <w:t>）描述您将用于测试结果的验收标准</w:t>
      </w:r>
      <w:r>
        <w:rPr>
          <w:sz w:val="21"/>
          <w:szCs w:val="21"/>
          <w:vertAlign w:val="superscript"/>
        </w:rPr>
        <w:t>3</w:t>
      </w:r>
      <w:r>
        <w:rPr>
          <w:rFonts w:hint="eastAsia" w:cs="宋体"/>
          <w:sz w:val="21"/>
          <w:szCs w:val="21"/>
        </w:rPr>
        <w:t>。（另见</w:t>
      </w:r>
      <w:r>
        <w:rPr>
          <w:sz w:val="21"/>
          <w:szCs w:val="21"/>
        </w:rPr>
        <w:t xml:space="preserve"> 21 CFR 820.30</w:t>
      </w:r>
      <w:r>
        <w:rPr>
          <w:rFonts w:hint="eastAsia" w:cs="宋体"/>
          <w:sz w:val="21"/>
          <w:szCs w:val="21"/>
        </w:rPr>
        <w:t>，子部分</w:t>
      </w:r>
      <w:r>
        <w:rPr>
          <w:sz w:val="21"/>
          <w:szCs w:val="21"/>
        </w:rPr>
        <w:t xml:space="preserve">C - </w:t>
      </w:r>
      <w:r>
        <w:rPr>
          <w:rFonts w:hint="eastAsia" w:cs="宋体"/>
          <w:sz w:val="21"/>
          <w:szCs w:val="21"/>
        </w:rPr>
        <w:t>质量体系规定的设计控制。）</w:t>
      </w:r>
    </w:p>
    <w:p w14:paraId="60166ACB">
      <w:pPr>
        <w:pStyle w:val="6"/>
        <w:numPr>
          <w:ilvl w:val="0"/>
          <w:numId w:val="4"/>
        </w:numPr>
        <w:tabs>
          <w:tab w:val="left" w:pos="993"/>
        </w:tabs>
        <w:kinsoku w:val="0"/>
        <w:overflowPunct w:val="0"/>
        <w:snapToGrid w:val="0"/>
        <w:spacing w:afterLines="50" w:line="360" w:lineRule="auto"/>
        <w:ind w:left="571" w:leftChars="238"/>
        <w:jc w:val="both"/>
        <w:rPr>
          <w:sz w:val="21"/>
          <w:szCs w:val="21"/>
        </w:rPr>
      </w:pPr>
      <w:r>
        <w:rPr>
          <w:rFonts w:hint="eastAsia" w:cs="宋体"/>
          <w:sz w:val="21"/>
          <w:szCs w:val="21"/>
        </w:rPr>
        <w:t>如果器械的设计或测试有任何部分依赖于认可标准，则（</w:t>
      </w:r>
      <w:r>
        <w:rPr>
          <w:sz w:val="21"/>
          <w:szCs w:val="21"/>
        </w:rPr>
        <w:t>1</w:t>
      </w:r>
      <w:r>
        <w:rPr>
          <w:rFonts w:hint="eastAsia" w:cs="宋体"/>
          <w:sz w:val="21"/>
          <w:szCs w:val="21"/>
        </w:rPr>
        <w:t>）声明在产品上市前进行测试并符合规定的验收标准，或（</w:t>
      </w:r>
      <w:r>
        <w:rPr>
          <w:sz w:val="21"/>
          <w:szCs w:val="21"/>
        </w:rPr>
        <w:t>2</w:t>
      </w:r>
      <w:r>
        <w:rPr>
          <w:rFonts w:hint="eastAsia" w:cs="宋体"/>
          <w:sz w:val="21"/>
          <w:szCs w:val="21"/>
        </w:rPr>
        <w:t>）声明符合标准</w:t>
      </w:r>
      <w:r>
        <w:rPr>
          <w:sz w:val="21"/>
          <w:szCs w:val="21"/>
          <w:vertAlign w:val="superscript"/>
        </w:rPr>
        <w:t>4</w:t>
      </w:r>
      <w:r>
        <w:rPr>
          <w:rFonts w:hint="eastAsia" w:cs="宋体"/>
          <w:sz w:val="21"/>
          <w:szCs w:val="21"/>
        </w:rPr>
        <w:t>。</w:t>
      </w:r>
      <w:r>
        <w:rPr>
          <w:rFonts w:hint="eastAsia" w:cs="宋体"/>
          <w:sz w:val="21"/>
          <w:szCs w:val="21"/>
          <w:u w:val="single"/>
        </w:rPr>
        <w:t>请注意，测试必须在提交符合认可标准的声明之前完成。</w:t>
      </w:r>
      <w:r>
        <w:rPr>
          <w:rFonts w:hint="eastAsia" w:cs="宋体"/>
          <w:sz w:val="21"/>
          <w:szCs w:val="21"/>
        </w:rPr>
        <w:t>（该法案第</w:t>
      </w:r>
      <w:r>
        <w:rPr>
          <w:sz w:val="21"/>
          <w:szCs w:val="21"/>
        </w:rPr>
        <w:t>514(c)(1)(B)</w:t>
      </w:r>
      <w:r>
        <w:rPr>
          <w:rFonts w:hint="eastAsia" w:cs="宋体"/>
          <w:sz w:val="21"/>
          <w:szCs w:val="21"/>
        </w:rPr>
        <w:t>部分）。详细信息请参阅</w:t>
      </w:r>
      <w:r>
        <w:rPr>
          <w:sz w:val="21"/>
          <w:szCs w:val="21"/>
        </w:rPr>
        <w:t>FDA</w:t>
      </w:r>
      <w:r>
        <w:rPr>
          <w:rFonts w:hint="eastAsia" w:cs="宋体"/>
          <w:sz w:val="21"/>
          <w:szCs w:val="21"/>
        </w:rPr>
        <w:t>指南《标准在实质等同性判定中的使用：最终行业和</w:t>
      </w:r>
      <w:r>
        <w:rPr>
          <w:sz w:val="21"/>
          <w:szCs w:val="21"/>
        </w:rPr>
        <w:t>FDA</w:t>
      </w:r>
      <w:r>
        <w:rPr>
          <w:rFonts w:hint="eastAsia" w:cs="宋体"/>
          <w:sz w:val="21"/>
          <w:szCs w:val="21"/>
        </w:rPr>
        <w:t>指南》（</w:t>
      </w:r>
      <w:r>
        <w:rPr>
          <w:sz w:val="21"/>
          <w:szCs w:val="21"/>
        </w:rPr>
        <w:t>http://www.fda.gov/cdrh/ode/guidance/1131.html</w:t>
      </w:r>
      <w:r>
        <w:rPr>
          <w:rFonts w:hint="eastAsia" w:cs="宋体"/>
          <w:sz w:val="21"/>
          <w:szCs w:val="21"/>
        </w:rPr>
        <w:t>）。</w:t>
      </w:r>
    </w:p>
    <w:p w14:paraId="34D7E867">
      <w:pPr>
        <w:pStyle w:val="6"/>
        <w:kinsoku w:val="0"/>
        <w:overflowPunct w:val="0"/>
        <w:snapToGrid w:val="0"/>
        <w:spacing w:afterLines="50" w:line="360" w:lineRule="auto"/>
        <w:ind w:left="0"/>
        <w:jc w:val="both"/>
        <w:rPr>
          <w:sz w:val="21"/>
          <w:szCs w:val="21"/>
        </w:rPr>
      </w:pPr>
      <w:r>
        <w:rPr>
          <w:rFonts w:hint="eastAsia" w:cs="宋体"/>
          <w:sz w:val="21"/>
          <w:szCs w:val="21"/>
        </w:rPr>
        <w:t>如果不清楚如何解决</w:t>
      </w:r>
      <w:r>
        <w:rPr>
          <w:sz w:val="21"/>
          <w:szCs w:val="21"/>
        </w:rPr>
        <w:t>FDA</w:t>
      </w:r>
      <w:r>
        <w:rPr>
          <w:rFonts w:hint="eastAsia" w:cs="宋体"/>
          <w:sz w:val="21"/>
          <w:szCs w:val="21"/>
        </w:rPr>
        <w:t>识别出的风险或通过风险分析识别出的风险，我们会要求提供器械性能特性方面的相关附加信息。我们还会要求提供需要用于评估验收标准充分性的附加信息。（依据</w:t>
      </w:r>
      <w:r>
        <w:rPr>
          <w:sz w:val="21"/>
          <w:szCs w:val="21"/>
        </w:rPr>
        <w:t>21 CFR 807.87(l)</w:t>
      </w:r>
      <w:r>
        <w:rPr>
          <w:rFonts w:hint="eastAsia" w:cs="宋体"/>
          <w:sz w:val="21"/>
          <w:szCs w:val="21"/>
        </w:rPr>
        <w:t>，我们会要求提供确定实质等同性所需附加信息。）</w:t>
      </w:r>
    </w:p>
    <w:p w14:paraId="40C90265">
      <w:pPr>
        <w:pStyle w:val="6"/>
        <w:kinsoku w:val="0"/>
        <w:overflowPunct w:val="0"/>
        <w:snapToGrid w:val="0"/>
        <w:spacing w:afterLines="50" w:line="360" w:lineRule="auto"/>
        <w:ind w:left="0"/>
        <w:jc w:val="both"/>
        <w:rPr>
          <w:sz w:val="21"/>
          <w:szCs w:val="21"/>
        </w:rPr>
      </w:pPr>
      <w:r>
        <w:rPr>
          <w:rFonts w:hint="eastAsia" w:cs="宋体"/>
          <w:sz w:val="21"/>
          <w:szCs w:val="21"/>
        </w:rPr>
        <w:t>作为提交简易510</w:t>
      </w:r>
      <w:r>
        <w:rPr>
          <w:sz w:val="21"/>
          <w:szCs w:val="21"/>
        </w:rPr>
        <w:t>(k)</w:t>
      </w:r>
      <w:r>
        <w:rPr>
          <w:rFonts w:hint="eastAsia" w:cs="宋体"/>
          <w:sz w:val="21"/>
          <w:szCs w:val="21"/>
        </w:rPr>
        <w:t>的替代方法，您可提交传统</w:t>
      </w:r>
      <w:r>
        <w:rPr>
          <w:sz w:val="21"/>
          <w:szCs w:val="21"/>
        </w:rPr>
        <w:t>510(k)</w:t>
      </w:r>
      <w:r>
        <w:rPr>
          <w:rFonts w:hint="eastAsia" w:cs="宋体"/>
          <w:sz w:val="21"/>
          <w:szCs w:val="21"/>
        </w:rPr>
        <w:t>，其中应提供</w:t>
      </w:r>
      <w:r>
        <w:rPr>
          <w:sz w:val="21"/>
          <w:szCs w:val="21"/>
        </w:rPr>
        <w:t>21 CFR 807.87</w:t>
      </w:r>
      <w:r>
        <w:rPr>
          <w:rFonts w:hint="eastAsia" w:cs="宋体"/>
          <w:sz w:val="21"/>
          <w:szCs w:val="21"/>
        </w:rPr>
        <w:t>要求的所有信息和数据以及本指南文件中所示所有信息和数据。传统的</w:t>
      </w:r>
      <w:r>
        <w:rPr>
          <w:sz w:val="21"/>
          <w:szCs w:val="21"/>
        </w:rPr>
        <w:t>510</w:t>
      </w:r>
      <w:r>
        <w:rPr>
          <w:rFonts w:hint="eastAsia" w:cs="宋体"/>
          <w:sz w:val="21"/>
          <w:szCs w:val="21"/>
        </w:rPr>
        <w:t>（</w:t>
      </w:r>
      <w:r>
        <w:rPr>
          <w:sz w:val="21"/>
          <w:szCs w:val="21"/>
        </w:rPr>
        <w:t>k</w:t>
      </w:r>
      <w:r>
        <w:rPr>
          <w:rFonts w:hint="eastAsia" w:cs="宋体"/>
          <w:sz w:val="21"/>
          <w:szCs w:val="21"/>
        </w:rPr>
        <w:t>）应包括您使用的所有方法、数据、验收标准和结论。考虑对获认可器械进行改造的制造商应考虑提交特殊</w:t>
      </w:r>
      <w:r>
        <w:rPr>
          <w:sz w:val="21"/>
          <w:szCs w:val="21"/>
        </w:rPr>
        <w:t>510(k)</w:t>
      </w:r>
      <w:r>
        <w:rPr>
          <w:rFonts w:hint="eastAsia" w:cs="宋体"/>
          <w:sz w:val="21"/>
          <w:szCs w:val="21"/>
        </w:rPr>
        <w:t>。</w:t>
      </w:r>
    </w:p>
    <w:p w14:paraId="27C2B196">
      <w:pPr>
        <w:pStyle w:val="6"/>
        <w:kinsoku w:val="0"/>
        <w:overflowPunct w:val="0"/>
        <w:snapToGrid w:val="0"/>
        <w:spacing w:afterLines="50" w:line="360" w:lineRule="auto"/>
        <w:ind w:left="0"/>
        <w:jc w:val="both"/>
        <w:rPr>
          <w:sz w:val="21"/>
          <w:szCs w:val="21"/>
        </w:rPr>
      </w:pPr>
      <w:r>
        <w:rPr>
          <w:rFonts w:hint="eastAsia" w:cs="宋体"/>
          <w:sz w:val="21"/>
          <w:szCs w:val="21"/>
        </w:rPr>
        <w:t>上述一般性讨论适用于受特殊控制指南文件约束的所有器械。以下具体讨论您应如何将此特殊控制指南文件应用于免疫磁性循环癌细胞选择和计数系统的上市前通知。</w:t>
      </w:r>
    </w:p>
    <w:p w14:paraId="62170B90">
      <w:pPr>
        <w:pStyle w:val="6"/>
        <w:kinsoku w:val="0"/>
        <w:overflowPunct w:val="0"/>
        <w:snapToGrid w:val="0"/>
        <w:spacing w:afterLines="50" w:line="360" w:lineRule="auto"/>
        <w:ind w:left="0"/>
        <w:jc w:val="both"/>
        <w:rPr>
          <w:sz w:val="21"/>
          <w:szCs w:val="21"/>
        </w:rPr>
      </w:pPr>
    </w:p>
    <w:p w14:paraId="7ADF8030">
      <w:pPr>
        <w:kinsoku w:val="0"/>
        <w:overflowPunct w:val="0"/>
        <w:snapToGrid w:val="0"/>
        <w:spacing w:afterLines="50" w:line="360" w:lineRule="auto"/>
        <w:jc w:val="both"/>
        <w:rPr>
          <w:sz w:val="21"/>
          <w:szCs w:val="21"/>
        </w:rPr>
      </w:pPr>
      <w:r>
        <w:rPr>
          <w:sz w:val="21"/>
          <w:szCs w:val="21"/>
        </w:rPr>
        <w:t>______________________________</w:t>
      </w:r>
    </w:p>
    <w:p w14:paraId="7C212A40">
      <w:pPr>
        <w:numPr>
          <w:ilvl w:val="0"/>
          <w:numId w:val="2"/>
        </w:numPr>
        <w:snapToGrid w:val="0"/>
        <w:spacing w:line="360" w:lineRule="auto"/>
        <w:ind w:left="136" w:hanging="136"/>
        <w:rPr>
          <w:sz w:val="21"/>
          <w:szCs w:val="21"/>
        </w:rPr>
      </w:pPr>
      <w:r>
        <w:rPr>
          <w:rFonts w:hint="eastAsia" w:cs="宋体"/>
          <w:sz w:val="21"/>
          <w:szCs w:val="21"/>
        </w:rPr>
        <w:t>如果</w:t>
      </w:r>
      <w:r>
        <w:rPr>
          <w:sz w:val="21"/>
          <w:szCs w:val="21"/>
        </w:rPr>
        <w:t>FDA</w:t>
      </w:r>
      <w:r>
        <w:rPr>
          <w:rFonts w:hint="eastAsia" w:cs="宋体"/>
          <w:sz w:val="21"/>
          <w:szCs w:val="21"/>
        </w:rPr>
        <w:t>基于验收标准确定实质等同性，则在引入州际贸易之前，应对受试器械进行测试，并表明其符合这些验收标准。如果最终器械不符合验收标准，因此而不同于已批准的</w:t>
      </w:r>
      <w:r>
        <w:rPr>
          <w:sz w:val="21"/>
          <w:szCs w:val="21"/>
        </w:rPr>
        <w:t>510</w:t>
      </w:r>
      <w:r>
        <w:rPr>
          <w:rFonts w:hint="eastAsia" w:cs="宋体"/>
          <w:sz w:val="21"/>
          <w:szCs w:val="21"/>
        </w:rPr>
        <w:t>（</w:t>
      </w:r>
      <w:r>
        <w:rPr>
          <w:sz w:val="21"/>
          <w:szCs w:val="21"/>
        </w:rPr>
        <w:t>k</w:t>
      </w:r>
      <w:r>
        <w:rPr>
          <w:rFonts w:hint="eastAsia" w:cs="宋体"/>
          <w:sz w:val="21"/>
          <w:szCs w:val="21"/>
        </w:rPr>
        <w:t>）中描述的器械，</w:t>
      </w:r>
      <w:r>
        <w:rPr>
          <w:sz w:val="21"/>
          <w:szCs w:val="21"/>
        </w:rPr>
        <w:t>FDA</w:t>
      </w:r>
      <w:r>
        <w:rPr>
          <w:rFonts w:hint="eastAsia" w:cs="宋体"/>
          <w:sz w:val="21"/>
          <w:szCs w:val="21"/>
        </w:rPr>
        <w:t>建议申请人使用与用于评估已合法销售的器械相同的标准（</w:t>
      </w:r>
      <w:r>
        <w:rPr>
          <w:sz w:val="21"/>
          <w:szCs w:val="21"/>
        </w:rPr>
        <w:t>21 CFR 807.81(a)(3)</w:t>
      </w:r>
      <w:r>
        <w:rPr>
          <w:rFonts w:hint="eastAsia" w:cs="宋体"/>
          <w:sz w:val="21"/>
          <w:szCs w:val="21"/>
        </w:rPr>
        <w:t>）来评估变化，以确定销售该最终器械是否需要申请新的</w:t>
      </w:r>
      <w:r>
        <w:rPr>
          <w:sz w:val="21"/>
          <w:szCs w:val="21"/>
        </w:rPr>
        <w:t>510</w:t>
      </w:r>
      <w:r>
        <w:rPr>
          <w:rFonts w:hint="eastAsia" w:cs="宋体"/>
          <w:sz w:val="21"/>
          <w:szCs w:val="21"/>
        </w:rPr>
        <w:t>（</w:t>
      </w:r>
      <w:r>
        <w:rPr>
          <w:sz w:val="21"/>
          <w:szCs w:val="21"/>
        </w:rPr>
        <w:t>k</w:t>
      </w:r>
      <w:r>
        <w:rPr>
          <w:rFonts w:hint="eastAsia" w:cs="宋体"/>
          <w:sz w:val="21"/>
          <w:szCs w:val="21"/>
        </w:rPr>
        <w:t>）。</w:t>
      </w:r>
    </w:p>
    <w:p w14:paraId="363C0DC7">
      <w:pPr>
        <w:numPr>
          <w:ilvl w:val="0"/>
          <w:numId w:val="2"/>
        </w:numPr>
        <w:snapToGrid w:val="0"/>
        <w:spacing w:line="360" w:lineRule="auto"/>
        <w:ind w:left="136" w:hanging="136"/>
        <w:rPr>
          <w:sz w:val="21"/>
          <w:szCs w:val="21"/>
        </w:rPr>
      </w:pPr>
      <w:r>
        <w:rPr>
          <w:rFonts w:hint="eastAsia" w:cs="宋体"/>
          <w:sz w:val="21"/>
          <w:szCs w:val="21"/>
        </w:rPr>
        <w:t>参见获得认可的标准合规声明所需要素（筛选所有上市前通知</w:t>
      </w:r>
      <w:r>
        <w:rPr>
          <w:sz w:val="21"/>
          <w:szCs w:val="21"/>
        </w:rPr>
        <w:t>[510(k)]</w:t>
      </w:r>
      <w:r>
        <w:rPr>
          <w:rFonts w:hint="eastAsia" w:cs="宋体"/>
          <w:sz w:val="21"/>
          <w:szCs w:val="21"/>
        </w:rPr>
        <w:t>提交件的检查表）</w:t>
      </w:r>
      <w:r>
        <w:fldChar w:fldCharType="begin"/>
      </w:r>
      <w:r>
        <w:instrText xml:space="preserve"> HYPERLINK "http://www.fda.gov/cdrh/ode/reqrecstand.html" </w:instrText>
      </w:r>
      <w:r>
        <w:fldChar w:fldCharType="separate"/>
      </w:r>
      <w:r>
        <w:rPr>
          <w:color w:val="0000FF"/>
          <w:sz w:val="21"/>
          <w:szCs w:val="21"/>
          <w:u w:val="single"/>
        </w:rPr>
        <w:t>http://www.fda.gov/cdrh/ode/reqrecstand.html</w:t>
      </w:r>
      <w:r>
        <w:rPr>
          <w:color w:val="0000FF"/>
          <w:sz w:val="21"/>
          <w:szCs w:val="21"/>
          <w:u w:val="single"/>
        </w:rPr>
        <w:fldChar w:fldCharType="end"/>
      </w:r>
      <w:r>
        <w:rPr>
          <w:rFonts w:hint="eastAsia" w:cs="宋体"/>
          <w:sz w:val="21"/>
          <w:szCs w:val="21"/>
        </w:rPr>
        <w:t>。</w:t>
      </w:r>
    </w:p>
    <w:p w14:paraId="351392F0">
      <w:pPr>
        <w:pStyle w:val="6"/>
        <w:kinsoku w:val="0"/>
        <w:overflowPunct w:val="0"/>
        <w:snapToGrid w:val="0"/>
        <w:spacing w:afterLines="50" w:line="360" w:lineRule="auto"/>
        <w:ind w:left="0"/>
        <w:jc w:val="both"/>
        <w:rPr>
          <w:color w:val="000000"/>
          <w:sz w:val="21"/>
          <w:szCs w:val="21"/>
          <w:highlight w:val="green"/>
        </w:rPr>
      </w:pPr>
    </w:p>
    <w:p w14:paraId="35CDB22C">
      <w:pPr>
        <w:pStyle w:val="3"/>
        <w:numPr>
          <w:ilvl w:val="1"/>
          <w:numId w:val="1"/>
        </w:numPr>
        <w:pBdr>
          <w:top w:val="single" w:color="BFBFBF" w:sz="12" w:space="1"/>
        </w:pBdr>
        <w:kinsoku w:val="0"/>
        <w:overflowPunct w:val="0"/>
        <w:snapToGrid w:val="0"/>
        <w:spacing w:afterLines="50" w:line="360" w:lineRule="auto"/>
        <w:ind w:left="0" w:firstLine="0"/>
        <w:jc w:val="both"/>
        <w:rPr>
          <w:b w:val="0"/>
          <w:bCs w:val="0"/>
          <w:sz w:val="28"/>
          <w:szCs w:val="28"/>
        </w:rPr>
      </w:pPr>
      <w:r>
        <w:rPr>
          <w:sz w:val="21"/>
          <w:szCs w:val="21"/>
          <w:highlight w:val="green"/>
        </w:rPr>
        <w:br w:type="page"/>
      </w:r>
      <w:bookmarkStart w:id="8" w:name="_Toc496722808"/>
      <w:r>
        <w:rPr>
          <w:rFonts w:hint="eastAsia" w:cs="宋体"/>
          <w:sz w:val="28"/>
          <w:szCs w:val="28"/>
        </w:rPr>
        <w:t>适用范围</w:t>
      </w:r>
      <w:bookmarkEnd w:id="8"/>
    </w:p>
    <w:p w14:paraId="7759B23D">
      <w:pPr>
        <w:pStyle w:val="6"/>
        <w:kinsoku w:val="0"/>
        <w:overflowPunct w:val="0"/>
        <w:snapToGrid w:val="0"/>
        <w:spacing w:afterLines="50" w:line="360" w:lineRule="auto"/>
        <w:ind w:left="0"/>
        <w:jc w:val="both"/>
        <w:rPr>
          <w:sz w:val="21"/>
          <w:szCs w:val="21"/>
        </w:rPr>
      </w:pPr>
      <w:r>
        <w:rPr>
          <w:rFonts w:hint="eastAsia" w:cs="宋体"/>
          <w:sz w:val="21"/>
          <w:szCs w:val="21"/>
        </w:rPr>
        <w:t>本文件的适用范围仅限于</w:t>
      </w:r>
      <w:r>
        <w:rPr>
          <w:sz w:val="21"/>
          <w:szCs w:val="21"/>
        </w:rPr>
        <w:t>21 CFR 866.6020</w:t>
      </w:r>
      <w:r>
        <w:rPr>
          <w:rFonts w:hint="eastAsia" w:cs="宋体"/>
          <w:sz w:val="21"/>
          <w:szCs w:val="21"/>
        </w:rPr>
        <w:t>描述的以下器械（产品编号：</w:t>
      </w:r>
      <w:r>
        <w:rPr>
          <w:sz w:val="21"/>
          <w:szCs w:val="21"/>
        </w:rPr>
        <w:t>NQI</w:t>
      </w:r>
      <w:r>
        <w:rPr>
          <w:rFonts w:hint="eastAsia" w:cs="宋体"/>
          <w:sz w:val="21"/>
          <w:szCs w:val="21"/>
        </w:rPr>
        <w:t>）：</w:t>
      </w:r>
    </w:p>
    <w:p w14:paraId="3424C45B">
      <w:pPr>
        <w:pStyle w:val="6"/>
        <w:kinsoku w:val="0"/>
        <w:overflowPunct w:val="0"/>
        <w:snapToGrid w:val="0"/>
        <w:spacing w:afterLines="50" w:line="360" w:lineRule="auto"/>
        <w:ind w:left="425" w:leftChars="177"/>
        <w:jc w:val="both"/>
        <w:rPr>
          <w:sz w:val="21"/>
          <w:szCs w:val="21"/>
        </w:rPr>
      </w:pPr>
      <w:r>
        <w:rPr>
          <w:sz w:val="21"/>
          <w:szCs w:val="21"/>
          <w:u w:val="single"/>
        </w:rPr>
        <w:t>21 CFR-866.6020</w:t>
      </w:r>
      <w:r>
        <w:rPr>
          <w:rFonts w:hint="eastAsia" w:cs="宋体"/>
          <w:sz w:val="21"/>
          <w:szCs w:val="21"/>
          <w:u w:val="single"/>
        </w:rPr>
        <w:t>免疫磁性循环癌细胞选择和计数系统</w:t>
      </w:r>
    </w:p>
    <w:p w14:paraId="54418031">
      <w:pPr>
        <w:pStyle w:val="6"/>
        <w:kinsoku w:val="0"/>
        <w:overflowPunct w:val="0"/>
        <w:snapToGrid w:val="0"/>
        <w:spacing w:afterLines="50" w:line="360" w:lineRule="auto"/>
        <w:ind w:left="425" w:leftChars="177"/>
        <w:jc w:val="both"/>
        <w:rPr>
          <w:sz w:val="21"/>
          <w:szCs w:val="21"/>
          <w:highlight w:val="green"/>
        </w:rPr>
      </w:pPr>
      <w:r>
        <w:rPr>
          <w:rFonts w:hint="eastAsia" w:cs="宋体"/>
          <w:sz w:val="21"/>
          <w:szCs w:val="21"/>
        </w:rPr>
        <w:t>免疫磁性循环癌细胞选择和计数系统由生物探针、荧光染料和其他试剂；保存和制备装置；以及用于选择和计数所制备的全血样本中的循环癌细胞的半自动分析仪器组成。该器械旨在辅助监测和预测疾病进展、对治疗的反应，并可用于检测复发性疾病。</w:t>
      </w:r>
    </w:p>
    <w:p w14:paraId="7B246079">
      <w:pPr>
        <w:pStyle w:val="3"/>
        <w:numPr>
          <w:ilvl w:val="1"/>
          <w:numId w:val="1"/>
        </w:numPr>
        <w:pBdr>
          <w:top w:val="single" w:color="BFBFBF" w:sz="12" w:space="1"/>
        </w:pBdr>
        <w:kinsoku w:val="0"/>
        <w:overflowPunct w:val="0"/>
        <w:snapToGrid w:val="0"/>
        <w:spacing w:afterLines="50" w:line="360" w:lineRule="auto"/>
        <w:ind w:left="0" w:firstLine="0"/>
        <w:jc w:val="both"/>
        <w:rPr>
          <w:b w:val="0"/>
          <w:bCs w:val="0"/>
          <w:sz w:val="28"/>
          <w:szCs w:val="28"/>
        </w:rPr>
      </w:pPr>
      <w:bookmarkStart w:id="9" w:name="_Toc496722809"/>
      <w:r>
        <w:rPr>
          <w:rFonts w:hint="eastAsia" w:cs="宋体"/>
          <w:sz w:val="28"/>
          <w:szCs w:val="28"/>
        </w:rPr>
        <w:t>健康风险</w:t>
      </w:r>
      <w:bookmarkEnd w:id="9"/>
    </w:p>
    <w:p w14:paraId="4F33A1E9">
      <w:pPr>
        <w:pStyle w:val="6"/>
        <w:kinsoku w:val="0"/>
        <w:overflowPunct w:val="0"/>
        <w:snapToGrid w:val="0"/>
        <w:spacing w:afterLines="50" w:line="360" w:lineRule="auto"/>
        <w:ind w:left="0"/>
        <w:jc w:val="both"/>
        <w:rPr>
          <w:sz w:val="21"/>
          <w:szCs w:val="21"/>
          <w:highlight w:val="green"/>
        </w:rPr>
      </w:pPr>
      <w:r>
        <w:rPr>
          <w:rFonts w:hint="eastAsia" w:cs="宋体"/>
          <w:sz w:val="21"/>
          <w:szCs w:val="21"/>
        </w:rPr>
        <w:t>对患者没有已知的直接健康风险。然而，如果测试失败，未能按照所述的方法进行测试或结果解释错误，则可能导致患者管理不当。虚低的癌细胞测量或假阴性可能会导致无法检测到疾病进展，无法发现复发性疾病或错误指示对治疗的反应。虚高的癌细胞测量或假阳性可能会导致不适当的治疗决定，或者不能充分治疗。仅使用测定结果调整治疗方案而不考虑其他临床因素可能会造成风险。</w:t>
      </w:r>
    </w:p>
    <w:p w14:paraId="02C79D77">
      <w:pPr>
        <w:pStyle w:val="6"/>
        <w:kinsoku w:val="0"/>
        <w:overflowPunct w:val="0"/>
        <w:snapToGrid w:val="0"/>
        <w:spacing w:afterLines="50" w:line="360" w:lineRule="auto"/>
        <w:jc w:val="both"/>
        <w:rPr>
          <w:sz w:val="21"/>
          <w:szCs w:val="21"/>
        </w:rPr>
      </w:pPr>
      <w:r>
        <w:rPr>
          <w:rFonts w:hint="eastAsia" w:cs="宋体"/>
          <w:sz w:val="21"/>
          <w:szCs w:val="21"/>
        </w:rPr>
        <w:t>下表中，</w:t>
      </w:r>
      <w:r>
        <w:rPr>
          <w:sz w:val="21"/>
          <w:szCs w:val="21"/>
        </w:rPr>
        <w:t>FDA</w:t>
      </w:r>
      <w:r>
        <w:rPr>
          <w:rFonts w:hint="eastAsia" w:cs="宋体"/>
          <w:sz w:val="21"/>
          <w:szCs w:val="21"/>
        </w:rPr>
        <w:t>已经确定了与使用本文件所述的免疫磁性循环癌细胞选择和计数系统相关的健康风险。如下表所示，本指南文件给出了减小这些已识别风险的建议措施。在提交上市前通知之前，您应进行风险分析，以识别您的器械所特有的任何其他风险。上市前通知应说明风险分析方法。如果您选择采用替代方法处理本指南文件识别出的特别风险或识别出额外风险，则您应提供充分的详细信息，以支持用于处理该风险的方法。</w:t>
      </w:r>
    </w:p>
    <w:tbl>
      <w:tblPr>
        <w:tblStyle w:val="12"/>
        <w:tblW w:w="3977" w:type="pct"/>
        <w:jc w:val="center"/>
        <w:tblLayout w:type="autofit"/>
        <w:tblCellMar>
          <w:top w:w="0" w:type="dxa"/>
          <w:left w:w="0" w:type="dxa"/>
          <w:bottom w:w="0" w:type="dxa"/>
          <w:right w:w="0" w:type="dxa"/>
        </w:tblCellMar>
      </w:tblPr>
      <w:tblGrid>
        <w:gridCol w:w="3486"/>
        <w:gridCol w:w="3261"/>
      </w:tblGrid>
      <w:tr w14:paraId="6F8506DE">
        <w:tblPrEx>
          <w:tblCellMar>
            <w:top w:w="0" w:type="dxa"/>
            <w:left w:w="0" w:type="dxa"/>
            <w:bottom w:w="0" w:type="dxa"/>
            <w:right w:w="0" w:type="dxa"/>
          </w:tblCellMar>
        </w:tblPrEx>
        <w:trPr>
          <w:jc w:val="center"/>
        </w:trPr>
        <w:tc>
          <w:tcPr>
            <w:tcW w:w="2583" w:type="pct"/>
            <w:tcBorders>
              <w:top w:val="single" w:color="000000" w:sz="6" w:space="0"/>
              <w:left w:val="single" w:color="000000" w:sz="6" w:space="0"/>
              <w:bottom w:val="single" w:color="000000" w:sz="6" w:space="0"/>
              <w:right w:val="single" w:color="000000" w:sz="6" w:space="0"/>
            </w:tcBorders>
            <w:shd w:val="clear" w:color="auto" w:fill="CCECFF"/>
            <w:tcMar>
              <w:left w:w="85" w:type="dxa"/>
              <w:right w:w="85" w:type="dxa"/>
            </w:tcMar>
          </w:tcPr>
          <w:p w14:paraId="1B417993">
            <w:pPr>
              <w:snapToGrid w:val="0"/>
              <w:spacing w:line="360" w:lineRule="auto"/>
              <w:jc w:val="center"/>
              <w:rPr>
                <w:b/>
                <w:bCs/>
                <w:sz w:val="21"/>
                <w:szCs w:val="21"/>
              </w:rPr>
            </w:pPr>
            <w:r>
              <w:rPr>
                <w:rFonts w:hint="eastAsia" w:cs="宋体"/>
                <w:b/>
                <w:bCs/>
                <w:sz w:val="21"/>
                <w:szCs w:val="21"/>
              </w:rPr>
              <w:t>所识别出风险</w:t>
            </w:r>
          </w:p>
        </w:tc>
        <w:tc>
          <w:tcPr>
            <w:tcW w:w="2417" w:type="pct"/>
            <w:tcBorders>
              <w:top w:val="single" w:color="000000" w:sz="6" w:space="0"/>
              <w:left w:val="single" w:color="000000" w:sz="6" w:space="0"/>
              <w:bottom w:val="single" w:color="000000" w:sz="6" w:space="0"/>
              <w:right w:val="single" w:color="000000" w:sz="6" w:space="0"/>
            </w:tcBorders>
            <w:shd w:val="clear" w:color="auto" w:fill="CCECFF"/>
            <w:tcMar>
              <w:left w:w="85" w:type="dxa"/>
              <w:right w:w="85" w:type="dxa"/>
            </w:tcMar>
          </w:tcPr>
          <w:p w14:paraId="4FF92C0D">
            <w:pPr>
              <w:snapToGrid w:val="0"/>
              <w:spacing w:line="360" w:lineRule="auto"/>
              <w:jc w:val="center"/>
              <w:rPr>
                <w:b/>
                <w:bCs/>
                <w:sz w:val="21"/>
                <w:szCs w:val="21"/>
              </w:rPr>
            </w:pPr>
            <w:r>
              <w:rPr>
                <w:rFonts w:hint="eastAsia" w:cs="宋体"/>
                <w:b/>
                <w:bCs/>
                <w:sz w:val="21"/>
                <w:szCs w:val="21"/>
              </w:rPr>
              <w:t>建议缓解措施</w:t>
            </w:r>
          </w:p>
        </w:tc>
      </w:tr>
      <w:tr w14:paraId="07C46632">
        <w:tblPrEx>
          <w:tblCellMar>
            <w:top w:w="0" w:type="dxa"/>
            <w:left w:w="0" w:type="dxa"/>
            <w:bottom w:w="0" w:type="dxa"/>
            <w:right w:w="0" w:type="dxa"/>
          </w:tblCellMar>
        </w:tblPrEx>
        <w:trPr>
          <w:jc w:val="center"/>
        </w:trPr>
        <w:tc>
          <w:tcPr>
            <w:tcW w:w="2583" w:type="pct"/>
            <w:tcBorders>
              <w:top w:val="single" w:color="000000" w:sz="6" w:space="0"/>
              <w:left w:val="single" w:color="000000" w:sz="6" w:space="0"/>
              <w:bottom w:val="single" w:color="000000" w:sz="6" w:space="0"/>
              <w:right w:val="single" w:color="000000" w:sz="6" w:space="0"/>
            </w:tcBorders>
            <w:tcMar>
              <w:left w:w="85" w:type="dxa"/>
              <w:right w:w="85" w:type="dxa"/>
            </w:tcMar>
          </w:tcPr>
          <w:p w14:paraId="2B8E6FC6">
            <w:pPr>
              <w:pStyle w:val="20"/>
              <w:kinsoku w:val="0"/>
              <w:overflowPunct w:val="0"/>
              <w:snapToGrid w:val="0"/>
              <w:spacing w:line="360" w:lineRule="auto"/>
              <w:jc w:val="both"/>
              <w:rPr>
                <w:sz w:val="21"/>
                <w:szCs w:val="21"/>
              </w:rPr>
            </w:pPr>
            <w:r>
              <w:rPr>
                <w:rFonts w:hint="eastAsia" w:cs="宋体"/>
                <w:sz w:val="21"/>
                <w:szCs w:val="21"/>
              </w:rPr>
              <w:t>假阴性，虚低的癌细胞计数</w:t>
            </w:r>
          </w:p>
        </w:tc>
        <w:tc>
          <w:tcPr>
            <w:tcW w:w="2417" w:type="pct"/>
            <w:tcBorders>
              <w:top w:val="single" w:color="000000" w:sz="6" w:space="0"/>
              <w:left w:val="single" w:color="000000" w:sz="6" w:space="0"/>
              <w:bottom w:val="single" w:color="000000" w:sz="6" w:space="0"/>
              <w:right w:val="single" w:color="000000" w:sz="6" w:space="0"/>
            </w:tcBorders>
            <w:tcMar>
              <w:left w:w="85" w:type="dxa"/>
              <w:right w:w="85" w:type="dxa"/>
            </w:tcMar>
            <w:vAlign w:val="center"/>
          </w:tcPr>
          <w:p w14:paraId="6CFB2FCD">
            <w:pPr>
              <w:pStyle w:val="20"/>
              <w:kinsoku w:val="0"/>
              <w:overflowPunct w:val="0"/>
              <w:snapToGrid w:val="0"/>
              <w:spacing w:line="360" w:lineRule="auto"/>
              <w:jc w:val="both"/>
              <w:rPr>
                <w:sz w:val="21"/>
                <w:szCs w:val="21"/>
              </w:rPr>
            </w:pPr>
            <w:r>
              <w:rPr>
                <w:rFonts w:hint="eastAsia" w:cs="宋体"/>
                <w:sz w:val="21"/>
                <w:szCs w:val="21"/>
              </w:rPr>
              <w:t>第</w:t>
            </w:r>
            <w:r>
              <w:rPr>
                <w:sz w:val="21"/>
                <w:szCs w:val="21"/>
              </w:rPr>
              <w:t>6</w:t>
            </w:r>
            <w:r>
              <w:rPr>
                <w:rFonts w:hint="eastAsia" w:cs="宋体"/>
                <w:sz w:val="21"/>
                <w:szCs w:val="21"/>
              </w:rPr>
              <w:t>、</w:t>
            </w:r>
            <w:r>
              <w:rPr>
                <w:sz w:val="21"/>
                <w:szCs w:val="21"/>
              </w:rPr>
              <w:t>7和8</w:t>
            </w:r>
            <w:r>
              <w:rPr>
                <w:rFonts w:hint="eastAsia" w:cs="宋体"/>
                <w:sz w:val="21"/>
                <w:szCs w:val="21"/>
              </w:rPr>
              <w:t>节</w:t>
            </w:r>
          </w:p>
        </w:tc>
      </w:tr>
      <w:tr w14:paraId="34F80CE2">
        <w:tblPrEx>
          <w:tblCellMar>
            <w:top w:w="0" w:type="dxa"/>
            <w:left w:w="0" w:type="dxa"/>
            <w:bottom w:w="0" w:type="dxa"/>
            <w:right w:w="0" w:type="dxa"/>
          </w:tblCellMar>
        </w:tblPrEx>
        <w:trPr>
          <w:jc w:val="center"/>
        </w:trPr>
        <w:tc>
          <w:tcPr>
            <w:tcW w:w="2583" w:type="pct"/>
            <w:tcBorders>
              <w:top w:val="single" w:color="000000" w:sz="6" w:space="0"/>
              <w:left w:val="single" w:color="000000" w:sz="6" w:space="0"/>
              <w:bottom w:val="single" w:color="000000" w:sz="6" w:space="0"/>
              <w:right w:val="single" w:color="000000" w:sz="6" w:space="0"/>
            </w:tcBorders>
            <w:tcMar>
              <w:left w:w="85" w:type="dxa"/>
              <w:right w:w="85" w:type="dxa"/>
            </w:tcMar>
          </w:tcPr>
          <w:p w14:paraId="4F3D5ACF">
            <w:pPr>
              <w:pStyle w:val="20"/>
              <w:kinsoku w:val="0"/>
              <w:overflowPunct w:val="0"/>
              <w:snapToGrid w:val="0"/>
              <w:spacing w:line="360" w:lineRule="auto"/>
              <w:jc w:val="both"/>
              <w:rPr>
                <w:sz w:val="21"/>
                <w:szCs w:val="21"/>
              </w:rPr>
            </w:pPr>
            <w:r>
              <w:rPr>
                <w:rFonts w:hint="eastAsia" w:cs="宋体"/>
                <w:sz w:val="21"/>
                <w:szCs w:val="21"/>
              </w:rPr>
              <w:t>假阳性，虚高的癌细胞计数</w:t>
            </w:r>
          </w:p>
        </w:tc>
        <w:tc>
          <w:tcPr>
            <w:tcW w:w="2417" w:type="pct"/>
            <w:tcBorders>
              <w:top w:val="single" w:color="000000" w:sz="6" w:space="0"/>
              <w:left w:val="single" w:color="000000" w:sz="6" w:space="0"/>
              <w:bottom w:val="single" w:color="000000" w:sz="6" w:space="0"/>
              <w:right w:val="single" w:color="000000" w:sz="6" w:space="0"/>
            </w:tcBorders>
            <w:tcMar>
              <w:left w:w="85" w:type="dxa"/>
              <w:right w:w="85" w:type="dxa"/>
            </w:tcMar>
            <w:vAlign w:val="center"/>
          </w:tcPr>
          <w:p w14:paraId="4BC06298">
            <w:pPr>
              <w:pStyle w:val="20"/>
              <w:kinsoku w:val="0"/>
              <w:overflowPunct w:val="0"/>
              <w:snapToGrid w:val="0"/>
              <w:spacing w:line="360" w:lineRule="auto"/>
              <w:jc w:val="both"/>
              <w:rPr>
                <w:sz w:val="21"/>
                <w:szCs w:val="21"/>
              </w:rPr>
            </w:pPr>
            <w:r>
              <w:rPr>
                <w:rFonts w:hint="eastAsia" w:cs="宋体"/>
                <w:sz w:val="21"/>
                <w:szCs w:val="21"/>
              </w:rPr>
              <w:t>第</w:t>
            </w:r>
            <w:r>
              <w:rPr>
                <w:sz w:val="21"/>
                <w:szCs w:val="21"/>
              </w:rPr>
              <w:t>6</w:t>
            </w:r>
            <w:r>
              <w:rPr>
                <w:rFonts w:hint="eastAsia" w:cs="宋体"/>
                <w:sz w:val="21"/>
                <w:szCs w:val="21"/>
              </w:rPr>
              <w:t>、</w:t>
            </w:r>
            <w:r>
              <w:rPr>
                <w:sz w:val="21"/>
                <w:szCs w:val="21"/>
              </w:rPr>
              <w:t>7和8</w:t>
            </w:r>
            <w:r>
              <w:rPr>
                <w:rFonts w:hint="eastAsia" w:cs="宋体"/>
                <w:sz w:val="21"/>
                <w:szCs w:val="21"/>
              </w:rPr>
              <w:t>节</w:t>
            </w:r>
          </w:p>
        </w:tc>
      </w:tr>
    </w:tbl>
    <w:p w14:paraId="4ABAFAF6">
      <w:pPr>
        <w:kinsoku w:val="0"/>
        <w:overflowPunct w:val="0"/>
        <w:snapToGrid w:val="0"/>
        <w:spacing w:afterLines="50" w:line="360" w:lineRule="auto"/>
        <w:jc w:val="both"/>
        <w:rPr>
          <w:sz w:val="21"/>
          <w:szCs w:val="21"/>
        </w:rPr>
      </w:pPr>
    </w:p>
    <w:p w14:paraId="0AA9ADCA">
      <w:pPr>
        <w:pStyle w:val="3"/>
        <w:numPr>
          <w:ilvl w:val="1"/>
          <w:numId w:val="1"/>
        </w:numPr>
        <w:kinsoku w:val="0"/>
        <w:overflowPunct w:val="0"/>
        <w:snapToGrid w:val="0"/>
        <w:spacing w:afterLines="50" w:line="360" w:lineRule="auto"/>
        <w:ind w:left="0" w:firstLine="0"/>
        <w:jc w:val="both"/>
        <w:rPr>
          <w:b w:val="0"/>
          <w:bCs w:val="0"/>
          <w:sz w:val="28"/>
          <w:szCs w:val="28"/>
        </w:rPr>
      </w:pPr>
      <w:bookmarkStart w:id="10" w:name="_Toc496722810"/>
      <w:r>
        <w:rPr>
          <w:rFonts w:hint="eastAsia" w:cs="宋体"/>
          <w:sz w:val="28"/>
          <w:szCs w:val="28"/>
        </w:rPr>
        <w:t>性能特征</w:t>
      </w:r>
      <w:bookmarkEnd w:id="10"/>
    </w:p>
    <w:p w14:paraId="102BBE90">
      <w:pPr>
        <w:pStyle w:val="4"/>
        <w:kinsoku w:val="0"/>
        <w:overflowPunct w:val="0"/>
        <w:snapToGrid w:val="0"/>
        <w:spacing w:afterLines="50" w:line="360" w:lineRule="auto"/>
        <w:ind w:left="0"/>
        <w:jc w:val="both"/>
        <w:rPr>
          <w:b w:val="0"/>
          <w:bCs w:val="0"/>
          <w:sz w:val="21"/>
          <w:szCs w:val="21"/>
          <w:highlight w:val="green"/>
        </w:rPr>
      </w:pPr>
      <w:r>
        <w:rPr>
          <w:sz w:val="21"/>
          <w:szCs w:val="21"/>
        </w:rPr>
        <w:br w:type="page"/>
      </w:r>
      <w:r>
        <w:rPr>
          <w:rFonts w:hint="eastAsia" w:cs="宋体"/>
          <w:sz w:val="21"/>
          <w:szCs w:val="21"/>
        </w:rPr>
        <w:t>一般研究建议</w:t>
      </w:r>
    </w:p>
    <w:p w14:paraId="0DA6E216">
      <w:pPr>
        <w:pStyle w:val="6"/>
        <w:kinsoku w:val="0"/>
        <w:overflowPunct w:val="0"/>
        <w:snapToGrid w:val="0"/>
        <w:spacing w:afterLines="50" w:line="360" w:lineRule="auto"/>
        <w:ind w:left="0"/>
        <w:jc w:val="both"/>
        <w:rPr>
          <w:sz w:val="21"/>
          <w:szCs w:val="21"/>
          <w:highlight w:val="green"/>
        </w:rPr>
      </w:pPr>
      <w:r>
        <w:rPr>
          <w:rFonts w:hint="eastAsia" w:cs="宋体"/>
          <w:sz w:val="21"/>
          <w:szCs w:val="21"/>
        </w:rPr>
        <w:t>对于下面描述的临床前研究，您可以使用加标已知量的代表性培养癌细胞（例如：</w:t>
      </w:r>
      <w:r>
        <w:rPr>
          <w:sz w:val="21"/>
          <w:szCs w:val="21"/>
        </w:rPr>
        <w:t>SkBr-3</w:t>
      </w:r>
      <w:r>
        <w:rPr>
          <w:rFonts w:hint="eastAsia" w:cs="宋体"/>
          <w:sz w:val="21"/>
          <w:szCs w:val="21"/>
        </w:rPr>
        <w:t>）的全血样本。虽然加标样本可用于补充研究，但我们提醒您不要使用加标样本作为评估中的唯一基质，因为加标样本可能无法准确评估性能特征。临床研究应包括来自预期使用人群（例如：转移性癌症患者）和适当对照组的患者样本。</w:t>
      </w:r>
    </w:p>
    <w:p w14:paraId="60D11D06">
      <w:pPr>
        <w:pStyle w:val="6"/>
        <w:kinsoku w:val="0"/>
        <w:overflowPunct w:val="0"/>
        <w:snapToGrid w:val="0"/>
        <w:spacing w:afterLines="50" w:line="360" w:lineRule="auto"/>
        <w:ind w:left="0"/>
        <w:jc w:val="both"/>
        <w:rPr>
          <w:sz w:val="21"/>
          <w:szCs w:val="21"/>
        </w:rPr>
      </w:pPr>
      <w:r>
        <w:rPr>
          <w:sz w:val="21"/>
          <w:szCs w:val="21"/>
        </w:rPr>
        <w:t>FDA</w:t>
      </w:r>
      <w:r>
        <w:rPr>
          <w:rFonts w:hint="eastAsia" w:cs="宋体"/>
          <w:sz w:val="21"/>
          <w:szCs w:val="21"/>
        </w:rPr>
        <w:t>建议您除了在生厂公司进行测定外，还要在两个或更多个地理位置分散的外部测试机构进行测定评价。一般来说，您应由临床实践中进行测试的个人（例如：护士，经过培训的技术人员）在该器械最终使用的测试环境（即：中心实验室或护理站）下进行性能评估。您应首先对数据进行独立分析，以评价任何测试机构间的变异性，并将分析结果纳入到</w:t>
      </w:r>
      <w:r>
        <w:rPr>
          <w:sz w:val="21"/>
          <w:szCs w:val="21"/>
        </w:rPr>
        <w:t>510</w:t>
      </w:r>
      <w:r>
        <w:rPr>
          <w:rFonts w:hint="eastAsia" w:cs="宋体"/>
          <w:sz w:val="21"/>
          <w:szCs w:val="21"/>
        </w:rPr>
        <w:t>（</w:t>
      </w:r>
      <w:r>
        <w:rPr>
          <w:sz w:val="21"/>
          <w:szCs w:val="21"/>
        </w:rPr>
        <w:t>k</w:t>
      </w:r>
      <w:r>
        <w:rPr>
          <w:rFonts w:hint="eastAsia" w:cs="宋体"/>
          <w:sz w:val="21"/>
          <w:szCs w:val="21"/>
        </w:rPr>
        <w:t>）总结报告中。如果您可以证明测试机构间的结果没有显著差异，则可以在包装说明书中汇总来自单个测试机构的结果。在开展临床研究之前，您可以联系血液学和免疫学部门。</w:t>
      </w:r>
    </w:p>
    <w:p w14:paraId="6DB82F5F">
      <w:pPr>
        <w:pStyle w:val="6"/>
        <w:kinsoku w:val="0"/>
        <w:overflowPunct w:val="0"/>
        <w:snapToGrid w:val="0"/>
        <w:spacing w:afterLines="50" w:line="360" w:lineRule="auto"/>
        <w:ind w:left="0"/>
        <w:jc w:val="both"/>
        <w:rPr>
          <w:sz w:val="21"/>
          <w:szCs w:val="21"/>
          <w:highlight w:val="green"/>
        </w:rPr>
      </w:pPr>
      <w:r>
        <w:rPr>
          <w:rFonts w:hint="eastAsia" w:cs="宋体"/>
          <w:sz w:val="21"/>
          <w:szCs w:val="21"/>
        </w:rPr>
        <w:t>我们建议您提供详细的研究方案，以便</w:t>
      </w:r>
      <w:r>
        <w:rPr>
          <w:sz w:val="21"/>
          <w:szCs w:val="21"/>
        </w:rPr>
        <w:t>FDA</w:t>
      </w:r>
      <w:r>
        <w:rPr>
          <w:rFonts w:hint="eastAsia" w:cs="宋体"/>
          <w:sz w:val="21"/>
          <w:szCs w:val="21"/>
        </w:rPr>
        <w:t>可以在审核期间理解验收标准或数据摘要。例如，在参考</w:t>
      </w:r>
      <w:r>
        <w:rPr>
          <w:sz w:val="21"/>
          <w:szCs w:val="21"/>
        </w:rPr>
        <w:t>NCCLS</w:t>
      </w:r>
      <w:r>
        <w:rPr>
          <w:rFonts w:hint="eastAsia" w:cs="宋体"/>
          <w:sz w:val="21"/>
          <w:szCs w:val="21"/>
        </w:rPr>
        <w:t>方案或指南时，我们建议您说明您遵循的方案或指南的哪些具体方面。我们还建议您在标签中纳入研究方案的详细信息，因为这可能有助于用户理解标签中的信息。</w:t>
      </w:r>
    </w:p>
    <w:p w14:paraId="6FEA4306">
      <w:pPr>
        <w:pStyle w:val="6"/>
        <w:kinsoku w:val="0"/>
        <w:overflowPunct w:val="0"/>
        <w:snapToGrid w:val="0"/>
        <w:spacing w:afterLines="50" w:line="360" w:lineRule="auto"/>
        <w:ind w:left="0"/>
        <w:jc w:val="both"/>
        <w:rPr>
          <w:b/>
          <w:bCs/>
          <w:sz w:val="21"/>
          <w:szCs w:val="21"/>
        </w:rPr>
      </w:pPr>
      <w:r>
        <w:rPr>
          <w:rFonts w:hint="eastAsia" w:cs="宋体"/>
          <w:b/>
          <w:bCs/>
          <w:sz w:val="21"/>
          <w:szCs w:val="21"/>
        </w:rPr>
        <w:t>软件验证</w:t>
      </w:r>
    </w:p>
    <w:p w14:paraId="1842E8C6">
      <w:pPr>
        <w:pStyle w:val="6"/>
        <w:kinsoku w:val="0"/>
        <w:overflowPunct w:val="0"/>
        <w:snapToGrid w:val="0"/>
        <w:spacing w:afterLines="50" w:line="360" w:lineRule="auto"/>
        <w:ind w:left="0"/>
        <w:jc w:val="both"/>
        <w:rPr>
          <w:sz w:val="21"/>
          <w:szCs w:val="21"/>
        </w:rPr>
      </w:pPr>
      <w:r>
        <w:rPr>
          <w:rFonts w:hint="eastAsia" w:cs="宋体"/>
          <w:sz w:val="21"/>
          <w:szCs w:val="21"/>
        </w:rPr>
        <w:t>您应提供与该器械相关的所有程序的软件验证文件。</w:t>
      </w:r>
      <w:r>
        <w:rPr>
          <w:sz w:val="21"/>
          <w:szCs w:val="21"/>
        </w:rPr>
        <w:t>FDA</w:t>
      </w:r>
      <w:r>
        <w:rPr>
          <w:rFonts w:hint="eastAsia" w:cs="宋体"/>
          <w:sz w:val="21"/>
          <w:szCs w:val="21"/>
        </w:rPr>
        <w:t>指南</w:t>
      </w:r>
      <w:r>
        <w:rPr>
          <w:sz w:val="21"/>
          <w:szCs w:val="21"/>
        </w:rPr>
        <w:t>“</w:t>
      </w:r>
      <w:r>
        <w:rPr>
          <w:rFonts w:hint="eastAsia" w:cs="宋体"/>
          <w:b/>
          <w:bCs/>
          <w:sz w:val="21"/>
          <w:szCs w:val="21"/>
        </w:rPr>
        <w:t>医疗器械所含软件的上市前提交内容指南；最终版</w:t>
      </w:r>
      <w:r>
        <w:rPr>
          <w:sz w:val="21"/>
          <w:szCs w:val="21"/>
        </w:rPr>
        <w:t>”</w:t>
      </w:r>
      <w:r>
        <w:rPr>
          <w:rFonts w:hint="eastAsia" w:cs="宋体"/>
          <w:sz w:val="21"/>
          <w:szCs w:val="21"/>
        </w:rPr>
        <w:t>（</w:t>
      </w:r>
      <w:r>
        <w:rPr>
          <w:color w:val="0000FF"/>
          <w:sz w:val="21"/>
          <w:szCs w:val="21"/>
          <w:u w:val="single"/>
        </w:rPr>
        <w:t>www.fda.gov/cdrh/ode/57.html</w:t>
      </w:r>
      <w:r>
        <w:rPr>
          <w:rFonts w:hint="eastAsia" w:cs="宋体"/>
          <w:sz w:val="21"/>
          <w:szCs w:val="21"/>
        </w:rPr>
        <w:t>）和</w:t>
      </w:r>
      <w:r>
        <w:rPr>
          <w:sz w:val="21"/>
          <w:szCs w:val="21"/>
        </w:rPr>
        <w:t>“</w:t>
      </w:r>
      <w:r>
        <w:rPr>
          <w:rFonts w:hint="eastAsia" w:cs="宋体"/>
          <w:b/>
          <w:bCs/>
          <w:sz w:val="21"/>
          <w:szCs w:val="21"/>
        </w:rPr>
        <w:t>医疗器械中现成软件使用指南；最终版</w:t>
      </w:r>
      <w:r>
        <w:rPr>
          <w:sz w:val="21"/>
          <w:szCs w:val="21"/>
        </w:rPr>
        <w:t>”</w:t>
      </w:r>
      <w:r>
        <w:rPr>
          <w:rFonts w:hint="eastAsia" w:cs="宋体"/>
          <w:sz w:val="21"/>
          <w:szCs w:val="21"/>
        </w:rPr>
        <w:t>（</w:t>
      </w:r>
      <w:r>
        <w:rPr>
          <w:color w:val="0000FF"/>
          <w:sz w:val="21"/>
          <w:szCs w:val="21"/>
          <w:u w:val="single"/>
        </w:rPr>
        <w:t>www.fda.gov/cdrh/ode/1252.html</w:t>
      </w:r>
      <w:r>
        <w:rPr>
          <w:rFonts w:hint="eastAsia" w:cs="宋体"/>
          <w:sz w:val="21"/>
          <w:szCs w:val="21"/>
        </w:rPr>
        <w:t>）包含推荐文件的相关信息。</w:t>
      </w:r>
    </w:p>
    <w:p w14:paraId="5FDB402B">
      <w:pPr>
        <w:pStyle w:val="6"/>
        <w:kinsoku w:val="0"/>
        <w:overflowPunct w:val="0"/>
        <w:snapToGrid w:val="0"/>
        <w:spacing w:afterLines="50" w:line="360" w:lineRule="auto"/>
        <w:ind w:left="0"/>
        <w:jc w:val="both"/>
        <w:rPr>
          <w:sz w:val="21"/>
          <w:szCs w:val="21"/>
          <w:highlight w:val="green"/>
        </w:rPr>
      </w:pPr>
      <w:r>
        <w:rPr>
          <w:sz w:val="21"/>
          <w:szCs w:val="21"/>
        </w:rPr>
        <w:t>FDA</w:t>
      </w:r>
      <w:r>
        <w:rPr>
          <w:rFonts w:hint="eastAsia" w:cs="宋体"/>
          <w:sz w:val="21"/>
          <w:szCs w:val="21"/>
        </w:rPr>
        <w:t>认为，</w:t>
      </w:r>
      <w:r>
        <w:rPr>
          <w:sz w:val="21"/>
          <w:szCs w:val="21"/>
        </w:rPr>
        <w:t>II</w:t>
      </w:r>
      <w:r>
        <w:rPr>
          <w:rFonts w:hint="eastAsia" w:cs="宋体"/>
          <w:sz w:val="21"/>
          <w:szCs w:val="21"/>
        </w:rPr>
        <w:t>类器械免疫磁性循环癌细胞选择和计数系统中使用的软件符合这些指南文件中提出的中度关注水平器械的定义，因为用它们进行诊断，如果误诊可能导致患者严重损伤。因此，您应提供适合中度关注水平器械的文件。</w:t>
      </w:r>
    </w:p>
    <w:p w14:paraId="40522898">
      <w:pPr>
        <w:pStyle w:val="4"/>
        <w:kinsoku w:val="0"/>
        <w:overflowPunct w:val="0"/>
        <w:snapToGrid w:val="0"/>
        <w:spacing w:afterLines="50" w:line="360" w:lineRule="auto"/>
        <w:ind w:left="0"/>
        <w:jc w:val="both"/>
        <w:rPr>
          <w:b w:val="0"/>
          <w:bCs w:val="0"/>
          <w:sz w:val="21"/>
          <w:szCs w:val="21"/>
        </w:rPr>
      </w:pPr>
      <w:r>
        <w:rPr>
          <w:sz w:val="21"/>
          <w:szCs w:val="21"/>
          <w:highlight w:val="green"/>
        </w:rPr>
        <w:br w:type="page"/>
      </w:r>
      <w:r>
        <w:rPr>
          <w:rFonts w:hint="eastAsia" w:cs="宋体"/>
          <w:sz w:val="21"/>
          <w:szCs w:val="21"/>
        </w:rPr>
        <w:t>具体性能特征</w:t>
      </w:r>
    </w:p>
    <w:p w14:paraId="49D74FFE">
      <w:pPr>
        <w:kinsoku w:val="0"/>
        <w:overflowPunct w:val="0"/>
        <w:snapToGrid w:val="0"/>
        <w:spacing w:afterLines="50" w:line="360" w:lineRule="auto"/>
        <w:ind w:left="283" w:leftChars="118"/>
        <w:jc w:val="both"/>
        <w:rPr>
          <w:sz w:val="21"/>
          <w:szCs w:val="21"/>
        </w:rPr>
      </w:pPr>
      <w:r>
        <w:rPr>
          <w:rFonts w:hint="eastAsia" w:cs="宋体"/>
          <w:b/>
          <w:bCs/>
          <w:sz w:val="21"/>
          <w:szCs w:val="21"/>
          <w:u w:val="thick"/>
        </w:rPr>
        <w:t>重现性</w:t>
      </w:r>
    </w:p>
    <w:p w14:paraId="2E7C3DEE">
      <w:pPr>
        <w:pStyle w:val="6"/>
        <w:kinsoku w:val="0"/>
        <w:overflowPunct w:val="0"/>
        <w:snapToGrid w:val="0"/>
        <w:spacing w:afterLines="50" w:line="360" w:lineRule="auto"/>
        <w:ind w:left="283" w:leftChars="118"/>
        <w:jc w:val="both"/>
        <w:rPr>
          <w:sz w:val="21"/>
          <w:szCs w:val="21"/>
          <w:highlight w:val="green"/>
        </w:rPr>
      </w:pPr>
      <w:r>
        <w:rPr>
          <w:rFonts w:hint="eastAsia" w:cs="宋体"/>
          <w:sz w:val="21"/>
          <w:szCs w:val="21"/>
        </w:rPr>
        <w:t>您应表征您的器械的运行内精确度和总精确度。除了使用在血液中加标已知量的代表性癌细胞的加标样本外，</w:t>
      </w:r>
      <w:r>
        <w:rPr>
          <w:sz w:val="21"/>
          <w:szCs w:val="21"/>
        </w:rPr>
        <w:t>FDA</w:t>
      </w:r>
      <w:r>
        <w:rPr>
          <w:rFonts w:hint="eastAsia" w:cs="宋体"/>
          <w:sz w:val="21"/>
          <w:szCs w:val="21"/>
        </w:rPr>
        <w:t>还建议使用患者样本来评估重现性。样本应涵盖适合您器械的浓度范围。</w:t>
      </w:r>
      <w:r>
        <w:rPr>
          <w:sz w:val="21"/>
          <w:szCs w:val="21"/>
        </w:rPr>
        <w:t>“</w:t>
      </w:r>
      <w:r>
        <w:rPr>
          <w:rFonts w:hint="eastAsia" w:cs="宋体"/>
          <w:sz w:val="21"/>
          <w:szCs w:val="21"/>
        </w:rPr>
        <w:t>临床化学设备精密度性能的评价</w:t>
      </w:r>
      <w:r>
        <w:rPr>
          <w:sz w:val="21"/>
          <w:szCs w:val="21"/>
        </w:rPr>
        <w:t>”</w:t>
      </w:r>
      <w:r>
        <w:rPr>
          <w:rFonts w:hint="eastAsia" w:cs="宋体"/>
          <w:sz w:val="21"/>
          <w:szCs w:val="21"/>
        </w:rPr>
        <w:t>中提供的准则；已批准的</w:t>
      </w:r>
      <w:r>
        <w:rPr>
          <w:sz w:val="21"/>
          <w:szCs w:val="21"/>
        </w:rPr>
        <w:t>NCCLS</w:t>
      </w:r>
      <w:r>
        <w:rPr>
          <w:rFonts w:hint="eastAsia" w:cs="宋体"/>
          <w:sz w:val="21"/>
          <w:szCs w:val="21"/>
        </w:rPr>
        <w:t>指南文件</w:t>
      </w:r>
      <w:r>
        <w:rPr>
          <w:sz w:val="21"/>
          <w:szCs w:val="21"/>
        </w:rPr>
        <w:t>EP5-A</w:t>
      </w:r>
      <w:r>
        <w:rPr>
          <w:rFonts w:hint="eastAsia" w:cs="宋体"/>
          <w:sz w:val="21"/>
          <w:szCs w:val="21"/>
        </w:rPr>
        <w:t>描述了一种可接受的方法。您还应评价在相关细胞浓度下的精确度，包括接近医疗决策浓度和接近可报告范围限值的那些浓度。</w:t>
      </w:r>
    </w:p>
    <w:p w14:paraId="4B804036">
      <w:pPr>
        <w:pStyle w:val="6"/>
        <w:kinsoku w:val="0"/>
        <w:overflowPunct w:val="0"/>
        <w:snapToGrid w:val="0"/>
        <w:spacing w:afterLines="50" w:line="360" w:lineRule="auto"/>
        <w:ind w:left="283" w:leftChars="118"/>
        <w:jc w:val="both"/>
        <w:rPr>
          <w:sz w:val="21"/>
          <w:szCs w:val="21"/>
        </w:rPr>
      </w:pPr>
      <w:r>
        <w:rPr>
          <w:rFonts w:hint="eastAsia" w:cs="宋体"/>
          <w:sz w:val="21"/>
          <w:szCs w:val="21"/>
        </w:rPr>
        <w:t>在适当的情况下，我们建议您在分析中纳入以下列出的项目：</w:t>
      </w:r>
    </w:p>
    <w:p w14:paraId="0C40D894">
      <w:pPr>
        <w:pStyle w:val="6"/>
        <w:numPr>
          <w:ilvl w:val="2"/>
          <w:numId w:val="1"/>
        </w:numPr>
        <w:tabs>
          <w:tab w:val="left" w:pos="851"/>
        </w:tabs>
        <w:kinsoku w:val="0"/>
        <w:overflowPunct w:val="0"/>
        <w:snapToGrid w:val="0"/>
        <w:spacing w:afterLines="50" w:line="360" w:lineRule="auto"/>
        <w:ind w:left="566" w:leftChars="236" w:firstLine="0"/>
        <w:jc w:val="both"/>
        <w:rPr>
          <w:sz w:val="21"/>
          <w:szCs w:val="21"/>
        </w:rPr>
      </w:pPr>
      <w:r>
        <w:rPr>
          <w:rFonts w:hint="eastAsia" w:cs="宋体"/>
          <w:sz w:val="21"/>
          <w:szCs w:val="21"/>
        </w:rPr>
        <w:t>样本类型（例如，加标代表性癌细胞的血液样本）</w:t>
      </w:r>
    </w:p>
    <w:p w14:paraId="5B89D792">
      <w:pPr>
        <w:pStyle w:val="6"/>
        <w:numPr>
          <w:ilvl w:val="2"/>
          <w:numId w:val="1"/>
        </w:numPr>
        <w:tabs>
          <w:tab w:val="left" w:pos="851"/>
        </w:tabs>
        <w:kinsoku w:val="0"/>
        <w:overflowPunct w:val="0"/>
        <w:snapToGrid w:val="0"/>
        <w:spacing w:afterLines="50" w:line="360" w:lineRule="auto"/>
        <w:ind w:left="566" w:leftChars="236" w:firstLine="0"/>
        <w:jc w:val="both"/>
        <w:rPr>
          <w:sz w:val="21"/>
          <w:szCs w:val="21"/>
        </w:rPr>
      </w:pPr>
      <w:r>
        <w:rPr>
          <w:rFonts w:hint="eastAsia" w:cs="宋体"/>
          <w:sz w:val="21"/>
          <w:szCs w:val="21"/>
        </w:rPr>
        <w:t>细胞浓度的点估计</w:t>
      </w:r>
    </w:p>
    <w:p w14:paraId="4BDB4FC3">
      <w:pPr>
        <w:pStyle w:val="6"/>
        <w:numPr>
          <w:ilvl w:val="2"/>
          <w:numId w:val="1"/>
        </w:numPr>
        <w:tabs>
          <w:tab w:val="left" w:pos="851"/>
        </w:tabs>
        <w:kinsoku w:val="0"/>
        <w:overflowPunct w:val="0"/>
        <w:snapToGrid w:val="0"/>
        <w:spacing w:afterLines="50" w:line="360" w:lineRule="auto"/>
        <w:ind w:left="566" w:leftChars="236" w:firstLine="0"/>
        <w:jc w:val="both"/>
        <w:rPr>
          <w:sz w:val="21"/>
          <w:szCs w:val="21"/>
        </w:rPr>
      </w:pPr>
      <w:r>
        <w:rPr>
          <w:rFonts w:hint="eastAsia" w:cs="宋体"/>
          <w:sz w:val="21"/>
          <w:szCs w:val="21"/>
        </w:rPr>
        <w:t>运行内精确度和总精确度的标准偏差</w:t>
      </w:r>
    </w:p>
    <w:p w14:paraId="34A40AA4">
      <w:pPr>
        <w:pStyle w:val="6"/>
        <w:numPr>
          <w:ilvl w:val="2"/>
          <w:numId w:val="1"/>
        </w:numPr>
        <w:tabs>
          <w:tab w:val="left" w:pos="851"/>
        </w:tabs>
        <w:kinsoku w:val="0"/>
        <w:overflowPunct w:val="0"/>
        <w:snapToGrid w:val="0"/>
        <w:spacing w:afterLines="50" w:line="360" w:lineRule="auto"/>
        <w:ind w:left="566" w:leftChars="236" w:firstLine="0"/>
        <w:jc w:val="both"/>
        <w:rPr>
          <w:sz w:val="21"/>
          <w:szCs w:val="21"/>
        </w:rPr>
      </w:pPr>
      <w:r>
        <w:rPr>
          <w:rFonts w:hint="eastAsia" w:cs="宋体"/>
          <w:sz w:val="21"/>
          <w:szCs w:val="21"/>
        </w:rPr>
        <w:t>运行精确度方案的测试机构</w:t>
      </w:r>
    </w:p>
    <w:p w14:paraId="785906E0">
      <w:pPr>
        <w:pStyle w:val="6"/>
        <w:numPr>
          <w:ilvl w:val="2"/>
          <w:numId w:val="1"/>
        </w:numPr>
        <w:tabs>
          <w:tab w:val="left" w:pos="851"/>
        </w:tabs>
        <w:kinsoku w:val="0"/>
        <w:overflowPunct w:val="0"/>
        <w:snapToGrid w:val="0"/>
        <w:spacing w:afterLines="50" w:line="360" w:lineRule="auto"/>
        <w:ind w:left="566" w:leftChars="236" w:firstLine="0"/>
        <w:jc w:val="both"/>
        <w:rPr>
          <w:sz w:val="21"/>
          <w:szCs w:val="21"/>
        </w:rPr>
      </w:pPr>
      <w:r>
        <w:rPr>
          <w:rFonts w:hint="eastAsia" w:cs="宋体"/>
          <w:sz w:val="21"/>
          <w:szCs w:val="21"/>
        </w:rPr>
        <w:t>天数，运行次数和观测次数</w:t>
      </w:r>
    </w:p>
    <w:p w14:paraId="007B0C43">
      <w:pPr>
        <w:pStyle w:val="6"/>
        <w:kinsoku w:val="0"/>
        <w:overflowPunct w:val="0"/>
        <w:snapToGrid w:val="0"/>
        <w:spacing w:afterLines="50" w:line="360" w:lineRule="auto"/>
        <w:ind w:left="283" w:leftChars="118"/>
        <w:jc w:val="both"/>
        <w:rPr>
          <w:sz w:val="21"/>
          <w:szCs w:val="21"/>
        </w:rPr>
      </w:pPr>
      <w:r>
        <w:rPr>
          <w:rFonts w:hint="eastAsia" w:cs="宋体"/>
          <w:sz w:val="21"/>
          <w:szCs w:val="21"/>
        </w:rPr>
        <w:t>您应确定哪些因素（例如：仪器校准，试剂批次，操作人员）保持不变（这些因素在评价期间是变化的），并描述计算方法（如果所用的计算方法与</w:t>
      </w:r>
      <w:r>
        <w:rPr>
          <w:sz w:val="21"/>
          <w:szCs w:val="21"/>
        </w:rPr>
        <w:t>NCCLS EP5-A</w:t>
      </w:r>
      <w:r>
        <w:rPr>
          <w:rFonts w:hint="eastAsia" w:cs="宋体"/>
          <w:sz w:val="21"/>
          <w:szCs w:val="21"/>
        </w:rPr>
        <w:t>所述不同）。</w:t>
      </w:r>
    </w:p>
    <w:p w14:paraId="17A39437">
      <w:pPr>
        <w:pStyle w:val="6"/>
        <w:kinsoku w:val="0"/>
        <w:overflowPunct w:val="0"/>
        <w:snapToGrid w:val="0"/>
        <w:spacing w:afterLines="50" w:line="360" w:lineRule="auto"/>
        <w:ind w:left="283" w:leftChars="118"/>
        <w:jc w:val="both"/>
        <w:rPr>
          <w:b/>
          <w:bCs/>
          <w:sz w:val="21"/>
          <w:szCs w:val="21"/>
          <w:u w:val="single"/>
        </w:rPr>
      </w:pPr>
      <w:r>
        <w:rPr>
          <w:rFonts w:hint="eastAsia" w:cs="宋体"/>
          <w:b/>
          <w:bCs/>
          <w:sz w:val="21"/>
          <w:szCs w:val="21"/>
          <w:u w:val="single"/>
        </w:rPr>
        <w:t>干扰</w:t>
      </w:r>
    </w:p>
    <w:p w14:paraId="2F0FBB0B">
      <w:pPr>
        <w:pStyle w:val="6"/>
        <w:kinsoku w:val="0"/>
        <w:overflowPunct w:val="0"/>
        <w:snapToGrid w:val="0"/>
        <w:spacing w:afterLines="50" w:line="360" w:lineRule="auto"/>
        <w:ind w:left="283" w:leftChars="118"/>
        <w:jc w:val="both"/>
        <w:rPr>
          <w:sz w:val="21"/>
          <w:szCs w:val="21"/>
        </w:rPr>
      </w:pPr>
      <w:r>
        <w:rPr>
          <w:rFonts w:hint="eastAsia" w:cs="宋体"/>
          <w:sz w:val="21"/>
          <w:szCs w:val="21"/>
        </w:rPr>
        <w:t>我们建议您表征潜在干扰物对测定性能的影响。</w:t>
      </w:r>
      <w:r>
        <w:rPr>
          <w:sz w:val="21"/>
          <w:szCs w:val="21"/>
        </w:rPr>
        <w:t>NCCLS</w:t>
      </w:r>
      <w:r>
        <w:rPr>
          <w:rFonts w:hint="eastAsia" w:cs="宋体"/>
          <w:sz w:val="21"/>
          <w:szCs w:val="21"/>
        </w:rPr>
        <w:t>文件</w:t>
      </w:r>
      <w:r>
        <w:rPr>
          <w:sz w:val="21"/>
          <w:szCs w:val="21"/>
        </w:rPr>
        <w:t>EP7-A“</w:t>
      </w:r>
      <w:r>
        <w:rPr>
          <w:rFonts w:hint="eastAsia" w:cs="宋体"/>
          <w:sz w:val="21"/>
          <w:szCs w:val="21"/>
        </w:rPr>
        <w:t>临床化学中的干扰测试；已核准的指南</w:t>
      </w:r>
      <w:r>
        <w:rPr>
          <w:sz w:val="21"/>
          <w:szCs w:val="21"/>
        </w:rPr>
        <w:t>”</w:t>
      </w:r>
      <w:r>
        <w:rPr>
          <w:rFonts w:hint="eastAsia" w:cs="宋体"/>
          <w:sz w:val="21"/>
          <w:szCs w:val="21"/>
        </w:rPr>
        <w:t>详细描述了试验设计的实例，包括选择干扰物进行测试的准则。</w:t>
      </w:r>
    </w:p>
    <w:p w14:paraId="3A0E5E32">
      <w:pPr>
        <w:pStyle w:val="6"/>
        <w:kinsoku w:val="0"/>
        <w:overflowPunct w:val="0"/>
        <w:snapToGrid w:val="0"/>
        <w:spacing w:afterLines="50" w:line="360" w:lineRule="auto"/>
        <w:ind w:left="283" w:leftChars="118"/>
        <w:jc w:val="both"/>
        <w:rPr>
          <w:sz w:val="21"/>
          <w:szCs w:val="21"/>
        </w:rPr>
      </w:pPr>
      <w:r>
        <w:rPr>
          <w:rFonts w:hint="eastAsia" w:cs="宋体"/>
          <w:sz w:val="21"/>
          <w:szCs w:val="21"/>
        </w:rPr>
        <w:t>通常情况下，干扰研究涉及向癌细胞样本中加入潜在干扰物，并测定细胞回收率相对于对照样本（没有添加干扰物）的任何偏差。</w:t>
      </w:r>
    </w:p>
    <w:p w14:paraId="5FDBD012">
      <w:pPr>
        <w:pStyle w:val="6"/>
        <w:kinsoku w:val="0"/>
        <w:overflowPunct w:val="0"/>
        <w:snapToGrid w:val="0"/>
        <w:spacing w:afterLines="50" w:line="360" w:lineRule="auto"/>
        <w:ind w:left="283" w:leftChars="118"/>
        <w:jc w:val="both"/>
        <w:rPr>
          <w:sz w:val="21"/>
          <w:szCs w:val="21"/>
        </w:rPr>
      </w:pPr>
      <w:r>
        <w:rPr>
          <w:rFonts w:hint="eastAsia" w:cs="宋体"/>
          <w:sz w:val="21"/>
          <w:szCs w:val="21"/>
        </w:rPr>
        <w:t>我们建议您纳入以下项目：</w:t>
      </w:r>
    </w:p>
    <w:p w14:paraId="6BBE3536">
      <w:pPr>
        <w:pStyle w:val="6"/>
        <w:numPr>
          <w:ilvl w:val="2"/>
          <w:numId w:val="1"/>
        </w:numPr>
        <w:kinsoku w:val="0"/>
        <w:overflowPunct w:val="0"/>
        <w:snapToGrid w:val="0"/>
        <w:spacing w:afterLines="50" w:line="360" w:lineRule="auto"/>
        <w:ind w:left="1276" w:leftChars="355" w:hanging="424" w:hangingChars="202"/>
        <w:jc w:val="both"/>
        <w:rPr>
          <w:sz w:val="21"/>
          <w:szCs w:val="21"/>
        </w:rPr>
      </w:pPr>
      <w:r>
        <w:rPr>
          <w:rFonts w:hint="eastAsia" w:cs="宋体"/>
          <w:sz w:val="21"/>
          <w:szCs w:val="21"/>
        </w:rPr>
        <w:t>所测试的干扰物的类型和水平</w:t>
      </w:r>
    </w:p>
    <w:p w14:paraId="631D6ABC">
      <w:pPr>
        <w:pStyle w:val="6"/>
        <w:numPr>
          <w:ilvl w:val="2"/>
          <w:numId w:val="1"/>
        </w:numPr>
        <w:kinsoku w:val="0"/>
        <w:overflowPunct w:val="0"/>
        <w:snapToGrid w:val="0"/>
        <w:spacing w:afterLines="50" w:line="360" w:lineRule="auto"/>
        <w:ind w:left="1276" w:leftChars="355" w:hanging="424" w:hangingChars="202"/>
        <w:jc w:val="both"/>
        <w:rPr>
          <w:sz w:val="21"/>
          <w:szCs w:val="21"/>
        </w:rPr>
      </w:pPr>
      <w:r>
        <w:rPr>
          <w:rFonts w:hint="eastAsia" w:cs="宋体"/>
          <w:sz w:val="21"/>
          <w:szCs w:val="21"/>
        </w:rPr>
        <w:t>样本类型（如：全血）</w:t>
      </w:r>
    </w:p>
    <w:p w14:paraId="30D15914">
      <w:pPr>
        <w:pStyle w:val="6"/>
        <w:numPr>
          <w:ilvl w:val="2"/>
          <w:numId w:val="1"/>
        </w:numPr>
        <w:kinsoku w:val="0"/>
        <w:overflowPunct w:val="0"/>
        <w:snapToGrid w:val="0"/>
        <w:spacing w:afterLines="50" w:line="360" w:lineRule="auto"/>
        <w:ind w:left="1276" w:leftChars="355" w:hanging="424" w:hangingChars="202"/>
        <w:jc w:val="both"/>
        <w:rPr>
          <w:sz w:val="21"/>
          <w:szCs w:val="21"/>
        </w:rPr>
      </w:pPr>
      <w:r>
        <w:rPr>
          <w:rFonts w:hint="eastAsia" w:cs="宋体"/>
          <w:sz w:val="21"/>
          <w:szCs w:val="21"/>
        </w:rPr>
        <w:t>样本中加标细胞的数量</w:t>
      </w:r>
    </w:p>
    <w:p w14:paraId="464E1F15">
      <w:pPr>
        <w:pStyle w:val="6"/>
        <w:numPr>
          <w:ilvl w:val="2"/>
          <w:numId w:val="1"/>
        </w:numPr>
        <w:kinsoku w:val="0"/>
        <w:overflowPunct w:val="0"/>
        <w:snapToGrid w:val="0"/>
        <w:spacing w:afterLines="50" w:line="360" w:lineRule="auto"/>
        <w:ind w:left="1276" w:leftChars="355" w:hanging="424" w:hangingChars="202"/>
        <w:jc w:val="both"/>
        <w:rPr>
          <w:sz w:val="21"/>
          <w:szCs w:val="21"/>
        </w:rPr>
      </w:pPr>
      <w:r>
        <w:rPr>
          <w:rFonts w:hint="eastAsia" w:cs="宋体"/>
          <w:sz w:val="21"/>
          <w:szCs w:val="21"/>
        </w:rPr>
        <w:t>所测试的平行试样的数量</w:t>
      </w:r>
    </w:p>
    <w:p w14:paraId="42BE536C">
      <w:pPr>
        <w:pStyle w:val="6"/>
        <w:numPr>
          <w:ilvl w:val="2"/>
          <w:numId w:val="1"/>
        </w:numPr>
        <w:kinsoku w:val="0"/>
        <w:overflowPunct w:val="0"/>
        <w:snapToGrid w:val="0"/>
        <w:spacing w:afterLines="50" w:line="360" w:lineRule="auto"/>
        <w:ind w:left="1276" w:leftChars="355" w:hanging="424" w:hangingChars="202"/>
        <w:jc w:val="both"/>
        <w:rPr>
          <w:sz w:val="21"/>
          <w:szCs w:val="21"/>
        </w:rPr>
      </w:pPr>
      <w:r>
        <w:rPr>
          <w:sz w:val="21"/>
          <w:szCs w:val="21"/>
          <w:highlight w:val="green"/>
        </w:rPr>
        <w:br w:type="page"/>
      </w:r>
      <w:r>
        <w:rPr>
          <w:rFonts w:hint="eastAsia" w:cs="宋体"/>
          <w:sz w:val="21"/>
          <w:szCs w:val="21"/>
        </w:rPr>
        <w:t>计算干扰的定义或方法。</w:t>
      </w:r>
    </w:p>
    <w:p w14:paraId="4423C8A2">
      <w:pPr>
        <w:pStyle w:val="6"/>
        <w:numPr>
          <w:ilvl w:val="2"/>
          <w:numId w:val="1"/>
        </w:numPr>
        <w:kinsoku w:val="0"/>
        <w:overflowPunct w:val="0"/>
        <w:snapToGrid w:val="0"/>
        <w:spacing w:afterLines="50" w:line="360" w:lineRule="auto"/>
        <w:ind w:left="1276" w:leftChars="355" w:hanging="424" w:hangingChars="202"/>
        <w:jc w:val="both"/>
        <w:rPr>
          <w:sz w:val="21"/>
          <w:szCs w:val="21"/>
        </w:rPr>
      </w:pPr>
      <w:r>
        <w:rPr>
          <w:rFonts w:hint="eastAsia" w:cs="宋体"/>
          <w:sz w:val="21"/>
          <w:szCs w:val="21"/>
        </w:rPr>
        <w:t>确定无干扰的标准，例如在</w:t>
      </w:r>
      <w:r>
        <w:rPr>
          <w:sz w:val="21"/>
          <w:szCs w:val="21"/>
        </w:rPr>
        <w:t>Y[</w:t>
      </w:r>
      <w:r>
        <w:rPr>
          <w:rFonts w:hint="eastAsia" w:cs="宋体"/>
          <w:sz w:val="21"/>
          <w:szCs w:val="21"/>
        </w:rPr>
        <w:t>浓度</w:t>
      </w:r>
      <w:r>
        <w:rPr>
          <w:sz w:val="21"/>
          <w:szCs w:val="21"/>
        </w:rPr>
        <w:t>]</w:t>
      </w:r>
      <w:r>
        <w:rPr>
          <w:rFonts w:hint="eastAsia" w:cs="宋体"/>
          <w:sz w:val="21"/>
          <w:szCs w:val="21"/>
        </w:rPr>
        <w:t>的干扰水平下，不准确度小于</w:t>
      </w:r>
      <w:r>
        <w:rPr>
          <w:sz w:val="21"/>
          <w:szCs w:val="21"/>
        </w:rPr>
        <w:t>X</w:t>
      </w:r>
      <w:r>
        <w:rPr>
          <w:rFonts w:hint="eastAsia" w:cs="宋体"/>
          <w:sz w:val="21"/>
          <w:szCs w:val="21"/>
        </w:rPr>
        <w:t>％。</w:t>
      </w:r>
    </w:p>
    <w:p w14:paraId="02B06DD8">
      <w:pPr>
        <w:pStyle w:val="6"/>
        <w:kinsoku w:val="0"/>
        <w:overflowPunct w:val="0"/>
        <w:snapToGrid w:val="0"/>
        <w:spacing w:afterLines="50" w:line="360" w:lineRule="auto"/>
        <w:ind w:left="0"/>
        <w:jc w:val="both"/>
        <w:rPr>
          <w:sz w:val="21"/>
          <w:szCs w:val="21"/>
        </w:rPr>
      </w:pPr>
      <w:r>
        <w:rPr>
          <w:rFonts w:hint="eastAsia" w:cs="宋体"/>
          <w:sz w:val="21"/>
          <w:szCs w:val="21"/>
        </w:rPr>
        <w:t>如果您确认了任何观察到的偏倚趋势（即，阴性或阳性），您应该指出在特定干扰物存在下观察到的回收率的范围。</w:t>
      </w:r>
    </w:p>
    <w:p w14:paraId="436D0DD4">
      <w:pPr>
        <w:pStyle w:val="6"/>
        <w:kinsoku w:val="0"/>
        <w:overflowPunct w:val="0"/>
        <w:snapToGrid w:val="0"/>
        <w:spacing w:afterLines="50" w:line="360" w:lineRule="auto"/>
        <w:ind w:left="0"/>
        <w:jc w:val="both"/>
        <w:rPr>
          <w:sz w:val="21"/>
          <w:szCs w:val="21"/>
        </w:rPr>
      </w:pPr>
      <w:r>
        <w:rPr>
          <w:rFonts w:hint="eastAsia" w:cs="宋体"/>
          <w:sz w:val="21"/>
          <w:szCs w:val="21"/>
        </w:rPr>
        <w:t>您可能不需要对文献或其他来源已确认的潜在干扰物进行额外的干扰测试。但是，我们建议您将其纳入到标签中。</w:t>
      </w:r>
    </w:p>
    <w:p w14:paraId="611E5EB0">
      <w:pPr>
        <w:pStyle w:val="6"/>
        <w:kinsoku w:val="0"/>
        <w:overflowPunct w:val="0"/>
        <w:snapToGrid w:val="0"/>
        <w:spacing w:afterLines="50" w:line="360" w:lineRule="auto"/>
        <w:ind w:left="0"/>
        <w:jc w:val="both"/>
        <w:rPr>
          <w:b/>
          <w:bCs/>
          <w:sz w:val="21"/>
          <w:szCs w:val="21"/>
          <w:u w:val="single"/>
        </w:rPr>
      </w:pPr>
      <w:r>
        <w:rPr>
          <w:rFonts w:hint="eastAsia" w:cs="宋体"/>
          <w:b/>
          <w:bCs/>
          <w:sz w:val="21"/>
          <w:szCs w:val="21"/>
          <w:u w:val="single"/>
        </w:rPr>
        <w:t>检测限</w:t>
      </w:r>
    </w:p>
    <w:p w14:paraId="75A1E4A2">
      <w:pPr>
        <w:pStyle w:val="6"/>
        <w:kinsoku w:val="0"/>
        <w:overflowPunct w:val="0"/>
        <w:snapToGrid w:val="0"/>
        <w:spacing w:afterLines="50" w:line="360" w:lineRule="auto"/>
        <w:ind w:left="0"/>
        <w:jc w:val="both"/>
        <w:rPr>
          <w:sz w:val="21"/>
          <w:szCs w:val="21"/>
          <w:highlight w:val="green"/>
        </w:rPr>
      </w:pPr>
      <w:r>
        <w:rPr>
          <w:rFonts w:hint="eastAsia" w:cs="宋体"/>
          <w:sz w:val="21"/>
          <w:szCs w:val="21"/>
        </w:rPr>
        <w:t>您应该计算您的器械的检测限。这种类型测定的检测限为使用该器械在每单位体积样本内可重复检测到的最小细胞数量，不包括零。您应描述用于进行此确定的方法（例如：样本类型，灵敏度测定，验收标准）。</w:t>
      </w:r>
    </w:p>
    <w:p w14:paraId="3DB20D7D">
      <w:pPr>
        <w:pStyle w:val="6"/>
        <w:kinsoku w:val="0"/>
        <w:overflowPunct w:val="0"/>
        <w:snapToGrid w:val="0"/>
        <w:spacing w:afterLines="50" w:line="360" w:lineRule="auto"/>
        <w:ind w:left="0"/>
        <w:jc w:val="both"/>
        <w:rPr>
          <w:b/>
          <w:bCs/>
          <w:sz w:val="21"/>
          <w:szCs w:val="21"/>
          <w:u w:val="single"/>
        </w:rPr>
      </w:pPr>
      <w:r>
        <w:rPr>
          <w:rFonts w:hint="eastAsia" w:cs="宋体"/>
          <w:b/>
          <w:bCs/>
          <w:sz w:val="21"/>
          <w:szCs w:val="21"/>
          <w:u w:val="single"/>
        </w:rPr>
        <w:t>参考区间</w:t>
      </w:r>
    </w:p>
    <w:p w14:paraId="14B6F95A">
      <w:pPr>
        <w:pStyle w:val="6"/>
        <w:kinsoku w:val="0"/>
        <w:overflowPunct w:val="0"/>
        <w:snapToGrid w:val="0"/>
        <w:spacing w:afterLines="50" w:line="360" w:lineRule="auto"/>
        <w:ind w:left="0"/>
        <w:jc w:val="both"/>
        <w:rPr>
          <w:sz w:val="21"/>
          <w:szCs w:val="21"/>
          <w:highlight w:val="green"/>
        </w:rPr>
      </w:pPr>
      <w:r>
        <w:rPr>
          <w:rFonts w:hint="eastAsia" w:cs="宋体"/>
          <w:sz w:val="21"/>
          <w:szCs w:val="21"/>
        </w:rPr>
        <w:t>您应确定您的器械的参考区间。</w:t>
      </w:r>
      <w:r>
        <w:rPr>
          <w:sz w:val="21"/>
          <w:szCs w:val="21"/>
        </w:rPr>
        <w:t>NCCLS</w:t>
      </w:r>
      <w:r>
        <w:rPr>
          <w:rFonts w:hint="eastAsia" w:cs="宋体"/>
          <w:sz w:val="21"/>
          <w:szCs w:val="21"/>
        </w:rPr>
        <w:t>指南</w:t>
      </w:r>
      <w:r>
        <w:rPr>
          <w:sz w:val="21"/>
          <w:szCs w:val="21"/>
        </w:rPr>
        <w:t>C28-A2“</w:t>
      </w:r>
      <w:r>
        <w:rPr>
          <w:rFonts w:hint="eastAsia" w:cs="宋体"/>
          <w:sz w:val="21"/>
          <w:szCs w:val="21"/>
        </w:rPr>
        <w:t>如何定义和确定临床实验室测定的参考区间</w:t>
      </w:r>
      <w:r>
        <w:rPr>
          <w:sz w:val="21"/>
          <w:szCs w:val="21"/>
        </w:rPr>
        <w:t>”</w:t>
      </w:r>
      <w:r>
        <w:rPr>
          <w:rFonts w:hint="eastAsia" w:cs="宋体"/>
          <w:sz w:val="21"/>
          <w:szCs w:val="21"/>
        </w:rPr>
        <w:t>中提供的准则适用于确定参考区间。</w:t>
      </w:r>
    </w:p>
    <w:p w14:paraId="025E60EC">
      <w:pPr>
        <w:pStyle w:val="6"/>
        <w:kinsoku w:val="0"/>
        <w:overflowPunct w:val="0"/>
        <w:snapToGrid w:val="0"/>
        <w:spacing w:afterLines="50" w:line="360" w:lineRule="auto"/>
        <w:ind w:left="0"/>
        <w:jc w:val="both"/>
        <w:rPr>
          <w:b/>
          <w:bCs/>
          <w:sz w:val="21"/>
          <w:szCs w:val="21"/>
          <w:u w:val="single"/>
        </w:rPr>
      </w:pPr>
      <w:r>
        <w:rPr>
          <w:rFonts w:hint="eastAsia" w:cs="宋体"/>
          <w:b/>
          <w:bCs/>
          <w:sz w:val="21"/>
          <w:szCs w:val="21"/>
          <w:u w:val="single"/>
        </w:rPr>
        <w:t>线性度</w:t>
      </w:r>
      <w:r>
        <w:rPr>
          <w:b/>
          <w:bCs/>
          <w:sz w:val="21"/>
          <w:szCs w:val="21"/>
          <w:u w:val="single"/>
        </w:rPr>
        <w:t>/</w:t>
      </w:r>
      <w:r>
        <w:rPr>
          <w:rFonts w:hint="eastAsia" w:cs="宋体"/>
          <w:b/>
          <w:bCs/>
          <w:sz w:val="21"/>
          <w:szCs w:val="21"/>
          <w:u w:val="single"/>
        </w:rPr>
        <w:t>可报告范围</w:t>
      </w:r>
    </w:p>
    <w:p w14:paraId="7F2F3C30">
      <w:pPr>
        <w:pStyle w:val="6"/>
        <w:kinsoku w:val="0"/>
        <w:overflowPunct w:val="0"/>
        <w:snapToGrid w:val="0"/>
        <w:spacing w:afterLines="50" w:line="360" w:lineRule="auto"/>
        <w:ind w:left="0"/>
        <w:jc w:val="both"/>
        <w:rPr>
          <w:sz w:val="21"/>
          <w:szCs w:val="21"/>
        </w:rPr>
      </w:pPr>
      <w:r>
        <w:rPr>
          <w:rFonts w:hint="eastAsia" w:cs="宋体"/>
          <w:sz w:val="21"/>
          <w:szCs w:val="21"/>
        </w:rPr>
        <w:t>您应验证您的器械的线性范围，并报告您用于确定该器械的线性性能的标准（例如：回归，相关系数）。您还应描述样本类型及其浓度、所使用的稀释液的数量和平行试样的数量。</w:t>
      </w:r>
    </w:p>
    <w:p w14:paraId="6C581F5C">
      <w:pPr>
        <w:pStyle w:val="6"/>
        <w:kinsoku w:val="0"/>
        <w:overflowPunct w:val="0"/>
        <w:snapToGrid w:val="0"/>
        <w:spacing w:afterLines="50" w:line="360" w:lineRule="auto"/>
        <w:ind w:left="0"/>
        <w:jc w:val="both"/>
        <w:rPr>
          <w:sz w:val="21"/>
          <w:szCs w:val="21"/>
        </w:rPr>
      </w:pPr>
      <w:r>
        <w:rPr>
          <w:rFonts w:hint="eastAsia" w:cs="宋体"/>
          <w:sz w:val="21"/>
          <w:szCs w:val="21"/>
        </w:rPr>
        <w:t>我们建议您报告估计线的斜率、截距和置信区间，观察到的线性范围以及相对于估计的回归线的偏差（偏倚）程度。</w:t>
      </w:r>
    </w:p>
    <w:p w14:paraId="66F4ADEA">
      <w:pPr>
        <w:pStyle w:val="6"/>
        <w:kinsoku w:val="0"/>
        <w:overflowPunct w:val="0"/>
        <w:snapToGrid w:val="0"/>
        <w:spacing w:afterLines="50" w:line="360" w:lineRule="auto"/>
        <w:ind w:left="0"/>
        <w:jc w:val="both"/>
        <w:rPr>
          <w:b/>
          <w:bCs/>
          <w:sz w:val="21"/>
          <w:szCs w:val="21"/>
          <w:u w:val="single"/>
        </w:rPr>
      </w:pPr>
      <w:r>
        <w:rPr>
          <w:rFonts w:hint="eastAsia" w:cs="宋体"/>
          <w:b/>
          <w:bCs/>
          <w:sz w:val="21"/>
          <w:szCs w:val="21"/>
          <w:u w:val="single"/>
        </w:rPr>
        <w:t>回收率</w:t>
      </w:r>
    </w:p>
    <w:p w14:paraId="271C30FA">
      <w:pPr>
        <w:pStyle w:val="6"/>
        <w:kinsoku w:val="0"/>
        <w:overflowPunct w:val="0"/>
        <w:snapToGrid w:val="0"/>
        <w:spacing w:afterLines="50" w:line="360" w:lineRule="auto"/>
        <w:ind w:left="0"/>
        <w:jc w:val="both"/>
        <w:rPr>
          <w:b/>
          <w:bCs/>
          <w:sz w:val="21"/>
          <w:szCs w:val="21"/>
          <w:u w:val="single"/>
        </w:rPr>
      </w:pPr>
      <w:r>
        <w:rPr>
          <w:rFonts w:hint="eastAsia" w:cs="宋体"/>
          <w:sz w:val="21"/>
          <w:szCs w:val="21"/>
        </w:rPr>
        <w:t>您应确定当覆盖测定线性范围的至少五个浓度水平的细胞掺入到相关基质时的测定验收标准和回收率。</w:t>
      </w:r>
    </w:p>
    <w:p w14:paraId="5A61FFA3">
      <w:pPr>
        <w:pStyle w:val="6"/>
        <w:kinsoku w:val="0"/>
        <w:overflowPunct w:val="0"/>
        <w:snapToGrid w:val="0"/>
        <w:spacing w:afterLines="50" w:line="360" w:lineRule="auto"/>
        <w:ind w:left="0"/>
        <w:jc w:val="both"/>
        <w:rPr>
          <w:b/>
          <w:bCs/>
          <w:sz w:val="21"/>
          <w:szCs w:val="21"/>
          <w:u w:val="single"/>
        </w:rPr>
      </w:pPr>
      <w:r>
        <w:rPr>
          <w:rFonts w:hint="eastAsia" w:cs="宋体"/>
          <w:b/>
          <w:bCs/>
          <w:sz w:val="21"/>
          <w:szCs w:val="21"/>
          <w:u w:val="single"/>
        </w:rPr>
        <w:t>临界值</w:t>
      </w:r>
    </w:p>
    <w:p w14:paraId="45A25691">
      <w:pPr>
        <w:pStyle w:val="6"/>
        <w:kinsoku w:val="0"/>
        <w:overflowPunct w:val="0"/>
        <w:snapToGrid w:val="0"/>
        <w:spacing w:afterLines="50" w:line="360" w:lineRule="auto"/>
        <w:ind w:left="0"/>
        <w:jc w:val="both"/>
        <w:rPr>
          <w:sz w:val="21"/>
          <w:szCs w:val="21"/>
        </w:rPr>
      </w:pPr>
      <w:r>
        <w:rPr>
          <w:rFonts w:hint="eastAsia" w:cs="宋体"/>
          <w:sz w:val="21"/>
          <w:szCs w:val="21"/>
        </w:rPr>
        <w:t>您应解释如何选择和确定临界点。我们建议临界值为绝对细胞数或细胞计数的显著变化。在确定测定临界值时，您应考虑临界值附近的患者样本的重现性。</w:t>
      </w:r>
    </w:p>
    <w:p w14:paraId="75F31C23">
      <w:pPr>
        <w:pStyle w:val="3"/>
        <w:numPr>
          <w:ilvl w:val="1"/>
          <w:numId w:val="1"/>
        </w:numPr>
        <w:kinsoku w:val="0"/>
        <w:overflowPunct w:val="0"/>
        <w:snapToGrid w:val="0"/>
        <w:spacing w:afterLines="50" w:line="360" w:lineRule="auto"/>
        <w:ind w:left="0" w:firstLine="0"/>
        <w:jc w:val="both"/>
        <w:rPr>
          <w:b w:val="0"/>
          <w:bCs w:val="0"/>
          <w:sz w:val="28"/>
          <w:szCs w:val="28"/>
        </w:rPr>
      </w:pPr>
      <w:r>
        <w:rPr>
          <w:sz w:val="21"/>
          <w:szCs w:val="21"/>
        </w:rPr>
        <w:br w:type="page"/>
      </w:r>
      <w:bookmarkStart w:id="11" w:name="_Toc496722811"/>
      <w:r>
        <w:rPr>
          <w:rFonts w:hint="eastAsia" w:cs="宋体"/>
          <w:sz w:val="28"/>
          <w:szCs w:val="28"/>
        </w:rPr>
        <w:t>方法比较</w:t>
      </w:r>
      <w:bookmarkEnd w:id="11"/>
    </w:p>
    <w:p w14:paraId="701C4E2E">
      <w:pPr>
        <w:pStyle w:val="6"/>
        <w:kinsoku w:val="0"/>
        <w:overflowPunct w:val="0"/>
        <w:snapToGrid w:val="0"/>
        <w:spacing w:afterLines="50" w:line="360" w:lineRule="auto"/>
        <w:ind w:left="0"/>
        <w:jc w:val="both"/>
        <w:rPr>
          <w:sz w:val="21"/>
          <w:szCs w:val="21"/>
          <w:highlight w:val="green"/>
        </w:rPr>
      </w:pPr>
      <w:r>
        <w:rPr>
          <w:rFonts w:hint="eastAsia" w:cs="宋体"/>
          <w:sz w:val="21"/>
          <w:szCs w:val="21"/>
        </w:rPr>
        <w:t>由于细胞选择和计数系统可能基于不同的生物学选择和检测试剂，并且由于不同器械的仪器可能有很大差异，因此</w:t>
      </w:r>
      <w:r>
        <w:rPr>
          <w:sz w:val="21"/>
          <w:szCs w:val="21"/>
        </w:rPr>
        <w:t>FDA</w:t>
      </w:r>
      <w:r>
        <w:rPr>
          <w:rFonts w:hint="eastAsia" w:cs="宋体"/>
          <w:sz w:val="21"/>
          <w:szCs w:val="21"/>
        </w:rPr>
        <w:t>建议，对于免疫磁性循环癌细胞选择和计数系统，您应将您的器械的结果与用于谓词器械的参考值（临床状态，诊断，和</w:t>
      </w:r>
      <w:r>
        <w:rPr>
          <w:sz w:val="21"/>
          <w:szCs w:val="21"/>
        </w:rPr>
        <w:t>/</w:t>
      </w:r>
      <w:r>
        <w:rPr>
          <w:rFonts w:hint="eastAsia" w:cs="宋体"/>
          <w:sz w:val="21"/>
          <w:szCs w:val="21"/>
        </w:rPr>
        <w:t>或结局）进行比较。与评价性能特征的研究一样，您可以在开始对比研究之前联系血液学和免疫学部门，以便</w:t>
      </w:r>
      <w:r>
        <w:rPr>
          <w:sz w:val="21"/>
          <w:szCs w:val="21"/>
        </w:rPr>
        <w:t>FDA</w:t>
      </w:r>
      <w:r>
        <w:rPr>
          <w:rFonts w:hint="eastAsia" w:cs="宋体"/>
          <w:sz w:val="21"/>
          <w:szCs w:val="21"/>
        </w:rPr>
        <w:t>输入您的研究计划。</w:t>
      </w:r>
    </w:p>
    <w:p w14:paraId="4EBDBDE3">
      <w:pPr>
        <w:pStyle w:val="6"/>
        <w:kinsoku w:val="0"/>
        <w:overflowPunct w:val="0"/>
        <w:snapToGrid w:val="0"/>
        <w:spacing w:afterLines="50" w:line="360" w:lineRule="auto"/>
        <w:ind w:left="0"/>
        <w:jc w:val="both"/>
        <w:rPr>
          <w:b/>
          <w:bCs/>
          <w:sz w:val="21"/>
          <w:szCs w:val="21"/>
        </w:rPr>
      </w:pPr>
      <w:r>
        <w:rPr>
          <w:rFonts w:hint="eastAsia" w:cs="宋体"/>
          <w:b/>
          <w:bCs/>
          <w:sz w:val="21"/>
          <w:szCs w:val="21"/>
        </w:rPr>
        <w:t>样本收集和处理条件</w:t>
      </w:r>
    </w:p>
    <w:p w14:paraId="402AAB43">
      <w:pPr>
        <w:pStyle w:val="6"/>
        <w:kinsoku w:val="0"/>
        <w:overflowPunct w:val="0"/>
        <w:snapToGrid w:val="0"/>
        <w:spacing w:afterLines="50" w:line="360" w:lineRule="auto"/>
        <w:ind w:left="0"/>
        <w:jc w:val="both"/>
        <w:rPr>
          <w:sz w:val="21"/>
          <w:szCs w:val="21"/>
        </w:rPr>
      </w:pPr>
      <w:r>
        <w:rPr>
          <w:rFonts w:hint="eastAsia" w:cs="宋体"/>
          <w:sz w:val="21"/>
          <w:szCs w:val="21"/>
        </w:rPr>
        <w:t>您应通过评估器械在推荐给用户的存储时间和温度下存储后是否能够保持可接受的性能（例如：精确度，回收率）来证实标签中关于样本储存和运输的声明。</w:t>
      </w:r>
    </w:p>
    <w:p w14:paraId="56C87C57">
      <w:pPr>
        <w:pStyle w:val="6"/>
        <w:kinsoku w:val="0"/>
        <w:overflowPunct w:val="0"/>
        <w:snapToGrid w:val="0"/>
        <w:spacing w:afterLines="50" w:line="360" w:lineRule="auto"/>
        <w:ind w:left="0"/>
        <w:jc w:val="both"/>
        <w:rPr>
          <w:b/>
          <w:bCs/>
          <w:sz w:val="21"/>
          <w:szCs w:val="21"/>
        </w:rPr>
      </w:pPr>
      <w:r>
        <w:rPr>
          <w:rFonts w:hint="eastAsia" w:cs="宋体"/>
          <w:b/>
          <w:bCs/>
          <w:sz w:val="21"/>
          <w:szCs w:val="21"/>
        </w:rPr>
        <w:t>临床研究</w:t>
      </w:r>
    </w:p>
    <w:p w14:paraId="17C08B61">
      <w:pPr>
        <w:pStyle w:val="6"/>
        <w:kinsoku w:val="0"/>
        <w:overflowPunct w:val="0"/>
        <w:snapToGrid w:val="0"/>
        <w:spacing w:afterLines="50" w:line="360" w:lineRule="auto"/>
        <w:ind w:left="0"/>
        <w:jc w:val="both"/>
        <w:rPr>
          <w:sz w:val="21"/>
          <w:szCs w:val="21"/>
        </w:rPr>
      </w:pPr>
      <w:r>
        <w:rPr>
          <w:rFonts w:hint="eastAsia" w:cs="宋体"/>
          <w:sz w:val="21"/>
          <w:szCs w:val="21"/>
        </w:rPr>
        <w:t>为了证明循环癌细胞的选择和计数的临床效用，您应证明使用您的器械进行循环癌细胞选择和计数能够显著预测或监测临床状态的变化。您可以通过测试适宜的患者样本并根据或结合其他已知的临床诊断变量（年龄，性别，疾病阶段，缓解，复发和其他状况（包括既往治疗方案））评价器械的预测能力，以此来证明这一点。您应采用适当的统计检验来确定临床灵敏度、临床特异性以及阳性和阴性预测能力。</w:t>
      </w:r>
    </w:p>
    <w:p w14:paraId="786B3AC2">
      <w:pPr>
        <w:pStyle w:val="6"/>
        <w:kinsoku w:val="0"/>
        <w:overflowPunct w:val="0"/>
        <w:snapToGrid w:val="0"/>
        <w:spacing w:afterLines="50" w:line="360" w:lineRule="auto"/>
        <w:ind w:left="0"/>
        <w:jc w:val="both"/>
        <w:rPr>
          <w:sz w:val="21"/>
          <w:szCs w:val="21"/>
        </w:rPr>
      </w:pPr>
      <w:r>
        <w:rPr>
          <w:rFonts w:hint="eastAsia" w:cs="宋体"/>
          <w:sz w:val="21"/>
          <w:szCs w:val="21"/>
        </w:rPr>
        <w:t>我们建议您在临床评价研究计划中纳入以下内容：</w:t>
      </w:r>
    </w:p>
    <w:p w14:paraId="2FE7DFD1">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安排研究以支持所有诊断声明和对该器械的操作重要的具体参数。</w:t>
      </w:r>
    </w:p>
    <w:p w14:paraId="507D7F71">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由于性能可能因患者人群而异，因此应明确界定研究人群、纳入和排除标准以及选定的临床终点。</w:t>
      </w:r>
    </w:p>
    <w:p w14:paraId="1D1564E6">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我们建议您的每个研究中心都有三名或以上的研究者，包含一个或多个在美国的研究中心。</w:t>
      </w:r>
    </w:p>
    <w:p w14:paraId="6C4C821E">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在研究之前，制定外部研究中心进行评价的统一方案。在整个数据收集过程中应始终遵循这些要求。当需要进行更改时，应将其记录在案并进行说明，以便数据可以得到正确解释。</w:t>
      </w:r>
    </w:p>
    <w:p w14:paraId="12FFD4A5">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应使用适当的质量控制方法进行研究。</w:t>
      </w:r>
    </w:p>
    <w:p w14:paraId="1DA32362">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在需要</w:t>
      </w:r>
      <w:r>
        <w:rPr>
          <w:sz w:val="21"/>
          <w:szCs w:val="21"/>
        </w:rPr>
        <w:t>IRB</w:t>
      </w:r>
      <w:r>
        <w:rPr>
          <w:rFonts w:hint="eastAsia" w:cs="宋体"/>
          <w:sz w:val="21"/>
          <w:szCs w:val="21"/>
        </w:rPr>
        <w:t>监督的情况下，在机构审查委员会（</w:t>
      </w:r>
      <w:r>
        <w:rPr>
          <w:sz w:val="21"/>
          <w:szCs w:val="21"/>
        </w:rPr>
        <w:t>IRB</w:t>
      </w:r>
      <w:r>
        <w:rPr>
          <w:rFonts w:hint="eastAsia" w:cs="宋体"/>
          <w:sz w:val="21"/>
          <w:szCs w:val="21"/>
        </w:rPr>
        <w:t>）的审查下进行外部评价研究。</w:t>
      </w:r>
    </w:p>
    <w:p w14:paraId="7DF0EBB3">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sz w:val="21"/>
          <w:szCs w:val="21"/>
          <w:highlight w:val="green"/>
        </w:rPr>
        <w:br w:type="page"/>
      </w:r>
      <w:r>
        <w:rPr>
          <w:rFonts w:hint="eastAsia" w:cs="宋体"/>
          <w:sz w:val="21"/>
          <w:szCs w:val="21"/>
        </w:rPr>
        <w:t>使用经核准的知情同意书招募患者。</w:t>
      </w:r>
    </w:p>
    <w:p w14:paraId="28FE8FEC">
      <w:pPr>
        <w:pStyle w:val="6"/>
        <w:kinsoku w:val="0"/>
        <w:overflowPunct w:val="0"/>
        <w:snapToGrid w:val="0"/>
        <w:spacing w:afterLines="50" w:line="360" w:lineRule="auto"/>
        <w:ind w:left="0"/>
        <w:jc w:val="both"/>
        <w:rPr>
          <w:sz w:val="21"/>
          <w:szCs w:val="21"/>
        </w:rPr>
      </w:pPr>
      <w:r>
        <w:rPr>
          <w:rFonts w:hint="eastAsia" w:cs="宋体"/>
          <w:sz w:val="21"/>
          <w:szCs w:val="21"/>
        </w:rPr>
        <w:t>我们建议采取以下样本量和选择：</w:t>
      </w:r>
    </w:p>
    <w:p w14:paraId="3624968D">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应在开始临床研究之前确定样本量和方法（例如：纳入和排除标准）。样本量应具有检测临床重要差异的足够高的统计学把握度或能力。替代方法可能适用于具有较低发病率的疾病或病症。</w:t>
      </w:r>
    </w:p>
    <w:p w14:paraId="09D3C22B">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您应对预期用途声明中声明的所有基质（例如：肝素化或</w:t>
      </w:r>
      <w:r>
        <w:rPr>
          <w:sz w:val="21"/>
          <w:szCs w:val="21"/>
        </w:rPr>
        <w:t>EDTA</w:t>
      </w:r>
      <w:r>
        <w:rPr>
          <w:rFonts w:hint="eastAsia" w:cs="宋体"/>
          <w:sz w:val="21"/>
          <w:szCs w:val="21"/>
        </w:rPr>
        <w:t>抗凝血液）进行充分取样。我们还建议您清晰描述如何选择样本，以及是否选择样本用于选择特定临床结局或其他特征。</w:t>
      </w:r>
    </w:p>
    <w:p w14:paraId="07C2F28A">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用于支持该器械的预期用途声明的数据应来自该器械的预期使用人群。在适用的情况下，您还应包含来自患有疾病或病症的个体、可能会导致假阳性或假阴性结果的样本。</w:t>
      </w:r>
    </w:p>
    <w:p w14:paraId="3E401A31">
      <w:pPr>
        <w:pStyle w:val="6"/>
        <w:kinsoku w:val="0"/>
        <w:overflowPunct w:val="0"/>
        <w:snapToGrid w:val="0"/>
        <w:spacing w:afterLines="50" w:line="360" w:lineRule="auto"/>
        <w:ind w:left="0"/>
        <w:jc w:val="both"/>
        <w:rPr>
          <w:sz w:val="21"/>
          <w:szCs w:val="21"/>
        </w:rPr>
      </w:pPr>
      <w:r>
        <w:rPr>
          <w:rFonts w:hint="eastAsia" w:cs="宋体"/>
          <w:sz w:val="21"/>
          <w:szCs w:val="21"/>
        </w:rPr>
        <w:t>您的</w:t>
      </w:r>
      <w:r>
        <w:rPr>
          <w:sz w:val="21"/>
          <w:szCs w:val="21"/>
        </w:rPr>
        <w:t>510</w:t>
      </w:r>
      <w:r>
        <w:rPr>
          <w:rFonts w:hint="eastAsia" w:cs="宋体"/>
          <w:sz w:val="21"/>
          <w:szCs w:val="21"/>
        </w:rPr>
        <w:t>（</w:t>
      </w:r>
      <w:r>
        <w:rPr>
          <w:sz w:val="21"/>
          <w:szCs w:val="21"/>
        </w:rPr>
        <w:t>k</w:t>
      </w:r>
      <w:r>
        <w:rPr>
          <w:rFonts w:hint="eastAsia" w:cs="宋体"/>
          <w:sz w:val="21"/>
          <w:szCs w:val="21"/>
        </w:rPr>
        <w:t>）提交内容应包括您的内部方案和外部评价研究方案以及研究结果的描述。您应描述您如何处理上述有关研究计划和样本选择的问题。我们建议您在结果说明中纳入以下内容：</w:t>
      </w:r>
    </w:p>
    <w:p w14:paraId="053DDE49">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每位研究者的现有分析测试数据和结论，以及所有研究者的汇总的数据和结论（如果在统计学和临床上合理）。</w:t>
      </w:r>
    </w:p>
    <w:p w14:paraId="5019731E">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描述您使用的统计方法。</w:t>
      </w:r>
    </w:p>
    <w:p w14:paraId="23A42718">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提供描述性信息和实验室数据，以显示如何确定临床临界点（阳性和阴性之间的区别，两个时间点之间的显著差异或其他医疗决定限值）。描述您在确定临界点时考虑的性能特征（例如：精确度，灵敏度，特异性）。</w:t>
      </w:r>
    </w:p>
    <w:p w14:paraId="7F553272">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纳入与该器械相关的已发布的信息和</w:t>
      </w:r>
      <w:r>
        <w:rPr>
          <w:sz w:val="21"/>
          <w:szCs w:val="21"/>
        </w:rPr>
        <w:t>/</w:t>
      </w:r>
      <w:r>
        <w:rPr>
          <w:rFonts w:hint="eastAsia" w:cs="宋体"/>
          <w:sz w:val="21"/>
          <w:szCs w:val="21"/>
        </w:rPr>
        <w:t>或临床数据的概述可能会有所帮助，如果您认为它支持您的声明。</w:t>
      </w:r>
    </w:p>
    <w:p w14:paraId="5D26FF7F">
      <w:pPr>
        <w:pStyle w:val="4"/>
        <w:kinsoku w:val="0"/>
        <w:overflowPunct w:val="0"/>
        <w:snapToGrid w:val="0"/>
        <w:spacing w:afterLines="50" w:line="360" w:lineRule="auto"/>
        <w:ind w:left="0"/>
        <w:jc w:val="both"/>
        <w:rPr>
          <w:b w:val="0"/>
          <w:bCs w:val="0"/>
          <w:sz w:val="21"/>
          <w:szCs w:val="21"/>
        </w:rPr>
      </w:pPr>
      <w:r>
        <w:rPr>
          <w:rFonts w:hint="eastAsia" w:cs="宋体"/>
          <w:sz w:val="21"/>
          <w:szCs w:val="21"/>
        </w:rPr>
        <w:t>结果呈现</w:t>
      </w:r>
    </w:p>
    <w:p w14:paraId="123F3920">
      <w:pPr>
        <w:pStyle w:val="6"/>
        <w:kinsoku w:val="0"/>
        <w:overflowPunct w:val="0"/>
        <w:snapToGrid w:val="0"/>
        <w:spacing w:afterLines="50" w:line="360" w:lineRule="auto"/>
        <w:ind w:left="0"/>
        <w:jc w:val="both"/>
        <w:rPr>
          <w:sz w:val="21"/>
          <w:szCs w:val="21"/>
        </w:rPr>
      </w:pPr>
      <w:r>
        <w:rPr>
          <w:rFonts w:hint="eastAsia" w:cs="宋体"/>
          <w:sz w:val="21"/>
          <w:szCs w:val="21"/>
        </w:rPr>
        <w:t>在呈现研究结果时，我们建议您使用标准图形表示。例如：</w:t>
      </w:r>
    </w:p>
    <w:p w14:paraId="2DBF6E6E">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对于生存和无进展生存分析，使用</w:t>
      </w:r>
      <w:r>
        <w:rPr>
          <w:sz w:val="21"/>
          <w:szCs w:val="21"/>
        </w:rPr>
        <w:t>Kaplan-Meier</w:t>
      </w:r>
      <w:r>
        <w:rPr>
          <w:rFonts w:hint="eastAsia" w:cs="宋体"/>
          <w:sz w:val="21"/>
          <w:szCs w:val="21"/>
        </w:rPr>
        <w:t>图。</w:t>
      </w:r>
    </w:p>
    <w:p w14:paraId="2FE5D35C">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rFonts w:hint="eastAsia" w:cs="宋体"/>
          <w:sz w:val="21"/>
          <w:szCs w:val="21"/>
        </w:rPr>
        <w:t>对于诉求监测，使用</w:t>
      </w:r>
      <w:r>
        <w:rPr>
          <w:sz w:val="21"/>
          <w:szCs w:val="21"/>
        </w:rPr>
        <w:t>2X2</w:t>
      </w:r>
      <w:r>
        <w:rPr>
          <w:rFonts w:hint="eastAsia" w:cs="宋体"/>
          <w:sz w:val="21"/>
          <w:szCs w:val="21"/>
        </w:rPr>
        <w:t>表格，显示新检测方法与参考方法或临床状态之间的一致性。</w:t>
      </w:r>
    </w:p>
    <w:p w14:paraId="2FC6010A">
      <w:pPr>
        <w:pStyle w:val="6"/>
        <w:numPr>
          <w:ilvl w:val="2"/>
          <w:numId w:val="1"/>
        </w:numPr>
        <w:tabs>
          <w:tab w:val="left" w:pos="924"/>
        </w:tabs>
        <w:kinsoku w:val="0"/>
        <w:overflowPunct w:val="0"/>
        <w:snapToGrid w:val="0"/>
        <w:spacing w:afterLines="50" w:line="360" w:lineRule="auto"/>
        <w:ind w:left="904" w:leftChars="200" w:hanging="424" w:hangingChars="202"/>
        <w:jc w:val="both"/>
        <w:rPr>
          <w:sz w:val="21"/>
          <w:szCs w:val="21"/>
        </w:rPr>
      </w:pPr>
      <w:r>
        <w:rPr>
          <w:sz w:val="21"/>
          <w:szCs w:val="21"/>
          <w:highlight w:val="green"/>
        </w:rPr>
        <w:br w:type="page"/>
      </w:r>
      <w:r>
        <w:rPr>
          <w:rFonts w:hint="eastAsia" w:cs="宋体"/>
          <w:sz w:val="21"/>
          <w:szCs w:val="21"/>
        </w:rPr>
        <w:t>对于纵向分析，使用每例患者的结果的注释图。</w:t>
      </w:r>
    </w:p>
    <w:p w14:paraId="3498C491">
      <w:pPr>
        <w:pStyle w:val="3"/>
        <w:numPr>
          <w:ilvl w:val="1"/>
          <w:numId w:val="1"/>
        </w:numPr>
        <w:kinsoku w:val="0"/>
        <w:overflowPunct w:val="0"/>
        <w:snapToGrid w:val="0"/>
        <w:spacing w:afterLines="50" w:line="360" w:lineRule="auto"/>
        <w:ind w:left="0" w:firstLine="0"/>
        <w:jc w:val="both"/>
        <w:rPr>
          <w:b w:val="0"/>
          <w:bCs w:val="0"/>
          <w:sz w:val="28"/>
          <w:szCs w:val="28"/>
        </w:rPr>
      </w:pPr>
      <w:bookmarkStart w:id="12" w:name="_Toc496722812"/>
      <w:r>
        <w:rPr>
          <w:rFonts w:hint="eastAsia" w:cs="宋体"/>
          <w:sz w:val="28"/>
          <w:szCs w:val="28"/>
        </w:rPr>
        <w:t>标签</w:t>
      </w:r>
      <w:bookmarkEnd w:id="12"/>
    </w:p>
    <w:p w14:paraId="75DBD100">
      <w:pPr>
        <w:pStyle w:val="6"/>
        <w:kinsoku w:val="0"/>
        <w:overflowPunct w:val="0"/>
        <w:snapToGrid w:val="0"/>
        <w:spacing w:afterLines="50" w:line="360" w:lineRule="auto"/>
        <w:ind w:left="0"/>
        <w:jc w:val="both"/>
        <w:rPr>
          <w:sz w:val="21"/>
          <w:szCs w:val="21"/>
          <w:vertAlign w:val="superscript"/>
        </w:rPr>
      </w:pPr>
      <w:r>
        <w:rPr>
          <w:rFonts w:hint="eastAsia" w:cs="宋体"/>
          <w:sz w:val="21"/>
          <w:szCs w:val="21"/>
        </w:rPr>
        <w:t>上市前通知应包括符合</w:t>
      </w:r>
      <w:r>
        <w:rPr>
          <w:sz w:val="21"/>
          <w:szCs w:val="21"/>
        </w:rPr>
        <w:t>21 CFR 807.87(e)</w:t>
      </w:r>
      <w:r>
        <w:rPr>
          <w:rFonts w:hint="eastAsia" w:cs="宋体"/>
          <w:sz w:val="21"/>
          <w:szCs w:val="21"/>
        </w:rPr>
        <w:t>要求的详细标签。以下建议旨在帮助您准备符合</w:t>
      </w:r>
      <w:r>
        <w:rPr>
          <w:sz w:val="21"/>
          <w:szCs w:val="21"/>
        </w:rPr>
        <w:t>21 CFR 807.87(e)</w:t>
      </w:r>
      <w:r>
        <w:rPr>
          <w:rFonts w:hint="eastAsia" w:cs="宋体"/>
          <w:sz w:val="21"/>
          <w:szCs w:val="21"/>
        </w:rPr>
        <w:t>要求的标签</w:t>
      </w:r>
      <w:r>
        <w:rPr>
          <w:sz w:val="21"/>
          <w:szCs w:val="21"/>
          <w:vertAlign w:val="superscript"/>
        </w:rPr>
        <w:t>5</w:t>
      </w:r>
      <w:r>
        <w:rPr>
          <w:rFonts w:hint="eastAsia" w:cs="宋体"/>
          <w:sz w:val="21"/>
          <w:szCs w:val="21"/>
        </w:rPr>
        <w:t>。</w:t>
      </w:r>
    </w:p>
    <w:p w14:paraId="6438CB11">
      <w:pPr>
        <w:pStyle w:val="6"/>
        <w:kinsoku w:val="0"/>
        <w:overflowPunct w:val="0"/>
        <w:snapToGrid w:val="0"/>
        <w:spacing w:afterLines="50" w:line="360" w:lineRule="auto"/>
        <w:ind w:left="0"/>
        <w:jc w:val="both"/>
        <w:rPr>
          <w:b/>
          <w:bCs/>
          <w:sz w:val="21"/>
          <w:szCs w:val="21"/>
        </w:rPr>
      </w:pPr>
      <w:r>
        <w:rPr>
          <w:rFonts w:hint="eastAsia" w:cs="宋体"/>
          <w:b/>
          <w:bCs/>
          <w:sz w:val="21"/>
          <w:szCs w:val="21"/>
        </w:rPr>
        <w:t>使用说明</w:t>
      </w:r>
    </w:p>
    <w:p w14:paraId="1D29C76C">
      <w:pPr>
        <w:pStyle w:val="6"/>
        <w:kinsoku w:val="0"/>
        <w:overflowPunct w:val="0"/>
        <w:snapToGrid w:val="0"/>
        <w:spacing w:afterLines="50" w:line="360" w:lineRule="auto"/>
        <w:ind w:left="0"/>
        <w:jc w:val="both"/>
        <w:rPr>
          <w:sz w:val="21"/>
          <w:szCs w:val="21"/>
          <w:highlight w:val="green"/>
        </w:rPr>
      </w:pPr>
      <w:r>
        <w:rPr>
          <w:rFonts w:hint="eastAsia" w:cs="宋体"/>
          <w:sz w:val="21"/>
          <w:szCs w:val="21"/>
        </w:rPr>
        <w:t>为了符合</w:t>
      </w:r>
      <w:r>
        <w:rPr>
          <w:sz w:val="21"/>
          <w:szCs w:val="21"/>
        </w:rPr>
        <w:t>21 CFR 807.87</w:t>
      </w:r>
      <w:r>
        <w:rPr>
          <w:rFonts w:hint="eastAsia" w:cs="宋体"/>
          <w:sz w:val="21"/>
          <w:szCs w:val="21"/>
        </w:rPr>
        <w:t>的要求，您应提供清晰简明的说明，描述特定器械的技术特征以及该器械如何用于患者。说明书应鼓励本地</w:t>
      </w:r>
      <w:r>
        <w:rPr>
          <w:sz w:val="21"/>
          <w:szCs w:val="21"/>
        </w:rPr>
        <w:t>/</w:t>
      </w:r>
      <w:r>
        <w:rPr>
          <w:rFonts w:hint="eastAsia" w:cs="宋体"/>
          <w:sz w:val="21"/>
          <w:szCs w:val="21"/>
        </w:rPr>
        <w:t>机构培训计划，旨在使用户熟悉器械的功能以及如何安全有效地使用。</w:t>
      </w:r>
    </w:p>
    <w:p w14:paraId="3598AB22">
      <w:pPr>
        <w:pStyle w:val="6"/>
        <w:kinsoku w:val="0"/>
        <w:overflowPunct w:val="0"/>
        <w:snapToGrid w:val="0"/>
        <w:spacing w:afterLines="50" w:line="360" w:lineRule="auto"/>
        <w:ind w:left="0"/>
        <w:jc w:val="both"/>
        <w:rPr>
          <w:b/>
          <w:bCs/>
          <w:sz w:val="21"/>
          <w:szCs w:val="21"/>
        </w:rPr>
      </w:pPr>
      <w:r>
        <w:rPr>
          <w:rFonts w:hint="eastAsia" w:cs="宋体"/>
          <w:b/>
          <w:bCs/>
          <w:sz w:val="21"/>
          <w:szCs w:val="21"/>
        </w:rPr>
        <w:t>局限性</w:t>
      </w:r>
    </w:p>
    <w:p w14:paraId="3F9A80D1">
      <w:pPr>
        <w:pStyle w:val="6"/>
        <w:kinsoku w:val="0"/>
        <w:overflowPunct w:val="0"/>
        <w:snapToGrid w:val="0"/>
        <w:spacing w:afterLines="50" w:line="360" w:lineRule="auto"/>
        <w:ind w:left="0"/>
        <w:jc w:val="both"/>
        <w:rPr>
          <w:sz w:val="21"/>
          <w:szCs w:val="21"/>
          <w:highlight w:val="green"/>
        </w:rPr>
      </w:pPr>
      <w:r>
        <w:rPr>
          <w:rFonts w:hint="eastAsia" w:cs="宋体"/>
          <w:sz w:val="21"/>
          <w:szCs w:val="21"/>
        </w:rPr>
        <w:t>我们建议您在标签中提供局限性，描述在什么条件下可能会改变测定结果，例如，未表达测定靶分子的细胞将无法被检测到，任何同时或最近的针对测定项目的治疗方案都可能影响测定结果。</w:t>
      </w:r>
    </w:p>
    <w:p w14:paraId="00703C45">
      <w:pPr>
        <w:pStyle w:val="6"/>
        <w:kinsoku w:val="0"/>
        <w:overflowPunct w:val="0"/>
        <w:snapToGrid w:val="0"/>
        <w:spacing w:afterLines="50" w:line="360" w:lineRule="auto"/>
        <w:ind w:left="0"/>
        <w:jc w:val="both"/>
        <w:rPr>
          <w:b/>
          <w:bCs/>
          <w:sz w:val="21"/>
          <w:szCs w:val="21"/>
        </w:rPr>
      </w:pPr>
      <w:r>
        <w:rPr>
          <w:rFonts w:hint="eastAsia" w:cs="宋体"/>
          <w:b/>
          <w:bCs/>
          <w:sz w:val="21"/>
          <w:szCs w:val="21"/>
        </w:rPr>
        <w:t>质量控制</w:t>
      </w:r>
    </w:p>
    <w:p w14:paraId="45F7F274">
      <w:pPr>
        <w:pStyle w:val="6"/>
        <w:kinsoku w:val="0"/>
        <w:overflowPunct w:val="0"/>
        <w:snapToGrid w:val="0"/>
        <w:spacing w:afterLines="50" w:line="360" w:lineRule="auto"/>
        <w:ind w:left="0"/>
        <w:jc w:val="both"/>
        <w:rPr>
          <w:sz w:val="21"/>
          <w:szCs w:val="21"/>
        </w:rPr>
      </w:pPr>
      <w:r>
        <w:rPr>
          <w:rFonts w:hint="eastAsia" w:cs="宋体"/>
          <w:sz w:val="21"/>
          <w:szCs w:val="21"/>
        </w:rPr>
        <w:t>我们建议您在使用说明书中确定靶向癌细胞的合适对照。</w:t>
      </w:r>
    </w:p>
    <w:p w14:paraId="0B25F142">
      <w:pPr>
        <w:pStyle w:val="6"/>
        <w:kinsoku w:val="0"/>
        <w:overflowPunct w:val="0"/>
        <w:snapToGrid w:val="0"/>
        <w:spacing w:afterLines="50" w:line="360" w:lineRule="auto"/>
        <w:ind w:left="0"/>
        <w:jc w:val="both"/>
        <w:rPr>
          <w:b/>
          <w:bCs/>
          <w:sz w:val="21"/>
          <w:szCs w:val="21"/>
        </w:rPr>
      </w:pPr>
      <w:r>
        <w:rPr>
          <w:rFonts w:hint="eastAsia" w:cs="宋体"/>
          <w:b/>
          <w:bCs/>
          <w:sz w:val="21"/>
          <w:szCs w:val="21"/>
        </w:rPr>
        <w:t>结果解释的注意事项</w:t>
      </w:r>
    </w:p>
    <w:p w14:paraId="643659FE">
      <w:pPr>
        <w:pStyle w:val="6"/>
        <w:kinsoku w:val="0"/>
        <w:overflowPunct w:val="0"/>
        <w:snapToGrid w:val="0"/>
        <w:spacing w:afterLines="50" w:line="360" w:lineRule="auto"/>
        <w:ind w:left="0"/>
        <w:jc w:val="both"/>
        <w:rPr>
          <w:sz w:val="21"/>
          <w:szCs w:val="21"/>
        </w:rPr>
      </w:pPr>
      <w:r>
        <w:rPr>
          <w:rFonts w:hint="eastAsia" w:cs="宋体"/>
          <w:sz w:val="21"/>
          <w:szCs w:val="21"/>
        </w:rPr>
        <w:t>我们建议您在标签中强调，患者管理和治疗决策不应仅仅基于使用该器械获得的结果，而应始终与其他公认的临床评估方法相结合。</w:t>
      </w:r>
    </w:p>
    <w:p w14:paraId="437C4CD3">
      <w:pPr>
        <w:kinsoku w:val="0"/>
        <w:overflowPunct w:val="0"/>
        <w:snapToGrid w:val="0"/>
        <w:spacing w:afterLines="50" w:line="360" w:lineRule="auto"/>
        <w:jc w:val="both"/>
        <w:rPr>
          <w:sz w:val="21"/>
          <w:szCs w:val="21"/>
        </w:rPr>
      </w:pPr>
    </w:p>
    <w:p w14:paraId="6ED01553">
      <w:pPr>
        <w:kinsoku w:val="0"/>
        <w:overflowPunct w:val="0"/>
        <w:snapToGrid w:val="0"/>
        <w:spacing w:afterLines="50" w:line="360" w:lineRule="auto"/>
        <w:jc w:val="both"/>
        <w:rPr>
          <w:sz w:val="21"/>
          <w:szCs w:val="21"/>
        </w:rPr>
      </w:pPr>
    </w:p>
    <w:p w14:paraId="43280D85">
      <w:pPr>
        <w:kinsoku w:val="0"/>
        <w:overflowPunct w:val="0"/>
        <w:snapToGrid w:val="0"/>
        <w:spacing w:afterLines="50" w:line="360" w:lineRule="auto"/>
        <w:jc w:val="both"/>
        <w:rPr>
          <w:sz w:val="21"/>
          <w:szCs w:val="21"/>
        </w:rPr>
      </w:pPr>
      <w:r>
        <w:rPr>
          <w:sz w:val="21"/>
          <w:szCs w:val="21"/>
        </w:rPr>
        <w:t>______________________________</w:t>
      </w:r>
    </w:p>
    <w:p w14:paraId="3BB109C3">
      <w:pPr>
        <w:pStyle w:val="6"/>
        <w:numPr>
          <w:ilvl w:val="0"/>
          <w:numId w:val="2"/>
        </w:numPr>
        <w:kinsoku w:val="0"/>
        <w:overflowPunct w:val="0"/>
        <w:snapToGrid w:val="0"/>
        <w:spacing w:afterLines="50" w:line="360" w:lineRule="auto"/>
        <w:ind w:left="0" w:firstLine="0"/>
        <w:jc w:val="both"/>
        <w:rPr>
          <w:sz w:val="21"/>
          <w:szCs w:val="21"/>
        </w:rPr>
      </w:pPr>
      <w:r>
        <w:rPr>
          <w:rFonts w:hint="eastAsia" w:cs="宋体"/>
          <w:sz w:val="21"/>
          <w:szCs w:val="21"/>
        </w:rPr>
        <w:t>尽管</w:t>
      </w:r>
      <w:r>
        <w:rPr>
          <w:sz w:val="21"/>
          <w:szCs w:val="21"/>
        </w:rPr>
        <w:t>510</w:t>
      </w:r>
      <w:r>
        <w:rPr>
          <w:rFonts w:hint="eastAsia" w:cs="宋体"/>
          <w:sz w:val="21"/>
          <w:szCs w:val="21"/>
        </w:rPr>
        <w:t>（</w:t>
      </w:r>
      <w:r>
        <w:rPr>
          <w:sz w:val="21"/>
          <w:szCs w:val="21"/>
        </w:rPr>
        <w:t>k</w:t>
      </w:r>
      <w:r>
        <w:rPr>
          <w:rFonts w:hint="eastAsia" w:cs="宋体"/>
          <w:sz w:val="21"/>
          <w:szCs w:val="21"/>
        </w:rPr>
        <w:t>）批准不需要提交最终标签，但在将医疗器械引入州际贸易之前，最终标签必须符合</w:t>
      </w:r>
      <w:r>
        <w:rPr>
          <w:sz w:val="21"/>
          <w:szCs w:val="21"/>
        </w:rPr>
        <w:t>21 CFR 801</w:t>
      </w:r>
      <w:r>
        <w:rPr>
          <w:rFonts w:hint="eastAsia" w:cs="宋体"/>
          <w:sz w:val="21"/>
          <w:szCs w:val="21"/>
        </w:rPr>
        <w:t>或</w:t>
      </w:r>
      <w:r>
        <w:rPr>
          <w:sz w:val="21"/>
          <w:szCs w:val="21"/>
        </w:rPr>
        <w:t>21 CFR 809.10</w:t>
      </w:r>
      <w:r>
        <w:rPr>
          <w:rFonts w:hint="eastAsia" w:cs="宋体"/>
          <w:sz w:val="21"/>
          <w:szCs w:val="21"/>
        </w:rPr>
        <w:t>的要求。本指南中的标签建议与第</w:t>
      </w:r>
      <w:r>
        <w:rPr>
          <w:sz w:val="21"/>
          <w:szCs w:val="21"/>
        </w:rPr>
        <w:t>801</w:t>
      </w:r>
      <w:r>
        <w:rPr>
          <w:rFonts w:hint="eastAsia" w:cs="宋体"/>
          <w:sz w:val="21"/>
          <w:szCs w:val="21"/>
        </w:rPr>
        <w:t>部分和第</w:t>
      </w:r>
      <w:r>
        <w:rPr>
          <w:sz w:val="21"/>
          <w:szCs w:val="21"/>
        </w:rPr>
        <w:t>809.10</w:t>
      </w:r>
      <w:r>
        <w:rPr>
          <w:rFonts w:hint="eastAsia" w:cs="宋体"/>
          <w:sz w:val="21"/>
          <w:szCs w:val="21"/>
        </w:rPr>
        <w:t>节的要求一致。</w:t>
      </w:r>
    </w:p>
    <w:p w14:paraId="2EFD223E">
      <w:pPr>
        <w:snapToGrid w:val="0"/>
        <w:spacing w:line="360" w:lineRule="auto"/>
        <w:jc w:val="center"/>
        <w:rPr>
          <w:rFonts w:hint="eastAsia" w:eastAsia="宋体"/>
          <w:lang w:eastAsia="zh-CN"/>
        </w:rPr>
      </w:pPr>
    </w:p>
    <w:p w14:paraId="64F4547A">
      <w:pPr>
        <w:snapToGrid w:val="0"/>
        <w:spacing w:line="360" w:lineRule="auto"/>
        <w:jc w:val="center"/>
        <w:rPr>
          <w:rFonts w:hint="eastAsia" w:eastAsia="宋体"/>
          <w:lang w:eastAsia="zh-CN"/>
        </w:rPr>
      </w:pPr>
    </w:p>
    <w:p w14:paraId="21F3D2BB">
      <w:pPr>
        <w:snapToGrid w:val="0"/>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1907" w:h="16840"/>
      <w:pgMar w:top="1440" w:right="1797" w:bottom="1440" w:left="1797" w:header="680" w:footer="680" w:gutter="0"/>
      <w:cols w:space="720" w:num="1"/>
      <w:rtlGutter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08E82">
    <w:pPr>
      <w:kinsoku w:val="0"/>
      <w:overflowPunct w:val="0"/>
      <w:spacing w:line="218" w:lineRule="exact"/>
      <w:ind w:left="4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B32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83005">
    <w:pPr>
      <w:kinsoku w:val="0"/>
      <w:overflowPunct w:val="0"/>
      <w:spacing w:afterLines="50"/>
      <w:jc w:val="center"/>
      <w:rPr>
        <w:sz w:val="21"/>
        <w:szCs w:val="21"/>
      </w:rPr>
    </w:pPr>
    <w:r>
      <w:rPr>
        <w:rFonts w:hint="eastAsia" w:cs="宋体"/>
        <w:b/>
        <w:bCs/>
        <w:i/>
        <w:iCs/>
        <w:sz w:val="21"/>
        <w:szCs w:val="21"/>
      </w:rPr>
      <w:t>包含不具约束力的建议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2"/>
    <w:multiLevelType w:val="multilevel"/>
    <w:tmpl w:val="00000402"/>
    <w:lvl w:ilvl="0" w:tentative="0">
      <w:start w:val="1"/>
      <w:numFmt w:val="decimal"/>
      <w:lvlText w:val="%1."/>
      <w:lvlJc w:val="left"/>
      <w:pPr>
        <w:ind w:hanging="405"/>
      </w:pPr>
      <w:rPr>
        <w:rFonts w:ascii="Times New Roman" w:hAnsi="Times New Roman" w:cs="Times New Roman"/>
        <w:b/>
        <w:bCs/>
        <w:spacing w:val="9"/>
        <w:w w:val="102"/>
        <w:sz w:val="19"/>
        <w:szCs w:val="19"/>
      </w:rPr>
    </w:lvl>
    <w:lvl w:ilvl="1" w:tentative="0">
      <w:start w:val="1"/>
      <w:numFmt w:val="decimal"/>
      <w:lvlText w:val="%2."/>
      <w:lvlJc w:val="left"/>
      <w:pPr>
        <w:ind w:hanging="720"/>
      </w:pPr>
      <w:rPr>
        <w:rFonts w:ascii="Times New Roman" w:hAnsi="Times New Roman" w:cs="Times New Roman"/>
        <w:b/>
        <w:bCs/>
        <w:sz w:val="28"/>
        <w:szCs w:val="28"/>
      </w:rPr>
    </w:lvl>
    <w:lvl w:ilvl="2" w:tentative="0">
      <w:start w:val="0"/>
      <w:numFmt w:val="bullet"/>
      <w:lvlText w:val="·"/>
      <w:lvlJc w:val="left"/>
      <w:pPr>
        <w:ind w:hanging="360"/>
      </w:pPr>
      <w:rPr>
        <w:rFonts w:ascii="Symbol" w:hAnsi="Symbol" w:cs="Symbol"/>
        <w:b w:val="0"/>
        <w:bCs w:val="0"/>
        <w:w w:val="76"/>
        <w:sz w:val="24"/>
        <w:szCs w:val="24"/>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03"/>
    <w:multiLevelType w:val="multilevel"/>
    <w:tmpl w:val="00000403"/>
    <w:lvl w:ilvl="0" w:tentative="0">
      <w:start w:val="1"/>
      <w:numFmt w:val="decimal"/>
      <w:lvlText w:val="%1"/>
      <w:lvlJc w:val="left"/>
      <w:pPr>
        <w:ind w:hanging="135"/>
      </w:pPr>
      <w:rPr>
        <w:rFonts w:ascii="Times New Roman" w:hAnsi="Times New Roman" w:cs="Times New Roman"/>
        <w:b w:val="0"/>
        <w:bCs w:val="0"/>
        <w:position w:val="10"/>
        <w:sz w:val="15"/>
        <w:szCs w:val="15"/>
      </w:rPr>
    </w:lvl>
    <w:lvl w:ilvl="1" w:tentative="0">
      <w:start w:val="0"/>
      <w:numFmt w:val="bullet"/>
      <w:lvlText w:val="·"/>
      <w:lvlJc w:val="left"/>
      <w:pPr>
        <w:ind w:hanging="360"/>
      </w:pPr>
      <w:rPr>
        <w:rFonts w:ascii="Symbol" w:hAnsi="Symbol" w:cs="Symbol"/>
        <w:b w:val="0"/>
        <w:bCs w:val="0"/>
        <w:w w:val="76"/>
        <w:sz w:val="24"/>
        <w:szCs w:val="24"/>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41D7051F"/>
    <w:multiLevelType w:val="multilevel"/>
    <w:tmpl w:val="41D7051F"/>
    <w:lvl w:ilvl="0" w:tentative="0">
      <w:start w:val="1"/>
      <w:numFmt w:val="bullet"/>
      <w:lvlText w:val=""/>
      <w:lvlJc w:val="left"/>
      <w:pPr>
        <w:ind w:left="420" w:hanging="420"/>
      </w:pPr>
      <w:rPr>
        <w:rFonts w:hint="default" w:ascii="Wingdings" w:hAnsi="Wingdings" w:cs="Wingdings"/>
        <w:vertAlign w:val="baseline"/>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3">
    <w:nsid w:val="7D8956E8"/>
    <w:multiLevelType w:val="multilevel"/>
    <w:tmpl w:val="7D8956E8"/>
    <w:lvl w:ilvl="0" w:tentative="0">
      <w:start w:val="1"/>
      <w:numFmt w:val="bullet"/>
      <w:lvlText w:val=""/>
      <w:lvlJc w:val="left"/>
      <w:pPr>
        <w:ind w:left="420" w:hanging="420"/>
      </w:pPr>
      <w:rPr>
        <w:rFonts w:hint="default" w:ascii="Wingdings" w:hAnsi="Wingdings" w:cs="Wingdings"/>
        <w:vertAlign w:val="baseline"/>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2907CB"/>
    <w:rsid w:val="000302C6"/>
    <w:rsid w:val="000312F1"/>
    <w:rsid w:val="00041E0E"/>
    <w:rsid w:val="000461D4"/>
    <w:rsid w:val="00046BDD"/>
    <w:rsid w:val="00060A00"/>
    <w:rsid w:val="00063885"/>
    <w:rsid w:val="000668EF"/>
    <w:rsid w:val="000725F0"/>
    <w:rsid w:val="00076DA2"/>
    <w:rsid w:val="000819E2"/>
    <w:rsid w:val="00091B38"/>
    <w:rsid w:val="00096C75"/>
    <w:rsid w:val="000A418B"/>
    <w:rsid w:val="000B55E3"/>
    <w:rsid w:val="000C07DB"/>
    <w:rsid w:val="000C18A1"/>
    <w:rsid w:val="000D36F0"/>
    <w:rsid w:val="000E2D27"/>
    <w:rsid w:val="000E634E"/>
    <w:rsid w:val="000F3502"/>
    <w:rsid w:val="000F6149"/>
    <w:rsid w:val="00101B83"/>
    <w:rsid w:val="00131684"/>
    <w:rsid w:val="00155C35"/>
    <w:rsid w:val="00157ACA"/>
    <w:rsid w:val="001626F0"/>
    <w:rsid w:val="00165CB8"/>
    <w:rsid w:val="00167F44"/>
    <w:rsid w:val="0018706F"/>
    <w:rsid w:val="0019150D"/>
    <w:rsid w:val="001C2C32"/>
    <w:rsid w:val="001D36DC"/>
    <w:rsid w:val="001E2F6D"/>
    <w:rsid w:val="001F3D17"/>
    <w:rsid w:val="002062A7"/>
    <w:rsid w:val="002127E1"/>
    <w:rsid w:val="00231E13"/>
    <w:rsid w:val="002401A3"/>
    <w:rsid w:val="002541E7"/>
    <w:rsid w:val="00257E60"/>
    <w:rsid w:val="00280DCD"/>
    <w:rsid w:val="0028352E"/>
    <w:rsid w:val="00287BD3"/>
    <w:rsid w:val="002907CB"/>
    <w:rsid w:val="00292769"/>
    <w:rsid w:val="002A6C0C"/>
    <w:rsid w:val="002B181F"/>
    <w:rsid w:val="002B27BF"/>
    <w:rsid w:val="002B3C67"/>
    <w:rsid w:val="002B64E3"/>
    <w:rsid w:val="002C2865"/>
    <w:rsid w:val="002D5B54"/>
    <w:rsid w:val="002F64DE"/>
    <w:rsid w:val="002F74C9"/>
    <w:rsid w:val="00305E31"/>
    <w:rsid w:val="0031162A"/>
    <w:rsid w:val="00311D28"/>
    <w:rsid w:val="00335EDF"/>
    <w:rsid w:val="0035045E"/>
    <w:rsid w:val="00356D89"/>
    <w:rsid w:val="00372DCD"/>
    <w:rsid w:val="00384221"/>
    <w:rsid w:val="0038536A"/>
    <w:rsid w:val="00385B10"/>
    <w:rsid w:val="003A0AF1"/>
    <w:rsid w:val="003A39CE"/>
    <w:rsid w:val="003C568B"/>
    <w:rsid w:val="003F00BC"/>
    <w:rsid w:val="003F0D5A"/>
    <w:rsid w:val="004038B9"/>
    <w:rsid w:val="00417B39"/>
    <w:rsid w:val="004231F2"/>
    <w:rsid w:val="00445BCF"/>
    <w:rsid w:val="00453978"/>
    <w:rsid w:val="0046083B"/>
    <w:rsid w:val="00462DA2"/>
    <w:rsid w:val="0048105B"/>
    <w:rsid w:val="004820B6"/>
    <w:rsid w:val="004833E8"/>
    <w:rsid w:val="004A0DCE"/>
    <w:rsid w:val="004B4090"/>
    <w:rsid w:val="004B4C62"/>
    <w:rsid w:val="004C0FAA"/>
    <w:rsid w:val="004C33CF"/>
    <w:rsid w:val="004D452E"/>
    <w:rsid w:val="004D73CD"/>
    <w:rsid w:val="004E4166"/>
    <w:rsid w:val="004F4989"/>
    <w:rsid w:val="005015BB"/>
    <w:rsid w:val="00502D4F"/>
    <w:rsid w:val="00503A22"/>
    <w:rsid w:val="005200DA"/>
    <w:rsid w:val="00520231"/>
    <w:rsid w:val="005203ED"/>
    <w:rsid w:val="00530F51"/>
    <w:rsid w:val="005404CB"/>
    <w:rsid w:val="00542125"/>
    <w:rsid w:val="005425DD"/>
    <w:rsid w:val="00544CAE"/>
    <w:rsid w:val="00546079"/>
    <w:rsid w:val="00564EEB"/>
    <w:rsid w:val="00565649"/>
    <w:rsid w:val="0057556D"/>
    <w:rsid w:val="005777EE"/>
    <w:rsid w:val="00577A38"/>
    <w:rsid w:val="005805E9"/>
    <w:rsid w:val="005947F9"/>
    <w:rsid w:val="005E3552"/>
    <w:rsid w:val="005E380B"/>
    <w:rsid w:val="005F3E11"/>
    <w:rsid w:val="005F5A84"/>
    <w:rsid w:val="005F7A32"/>
    <w:rsid w:val="006254E9"/>
    <w:rsid w:val="00643E10"/>
    <w:rsid w:val="00650766"/>
    <w:rsid w:val="00653930"/>
    <w:rsid w:val="00665B6C"/>
    <w:rsid w:val="006834DD"/>
    <w:rsid w:val="006905EC"/>
    <w:rsid w:val="00692120"/>
    <w:rsid w:val="006A576F"/>
    <w:rsid w:val="006B1017"/>
    <w:rsid w:val="006B7063"/>
    <w:rsid w:val="006C1C04"/>
    <w:rsid w:val="006C3E49"/>
    <w:rsid w:val="006C4FAB"/>
    <w:rsid w:val="006D45C3"/>
    <w:rsid w:val="006D622C"/>
    <w:rsid w:val="006F23FA"/>
    <w:rsid w:val="006F4F93"/>
    <w:rsid w:val="007003D4"/>
    <w:rsid w:val="00705772"/>
    <w:rsid w:val="00713EEE"/>
    <w:rsid w:val="00715748"/>
    <w:rsid w:val="00737080"/>
    <w:rsid w:val="007422C8"/>
    <w:rsid w:val="007438DD"/>
    <w:rsid w:val="0075218D"/>
    <w:rsid w:val="007551B4"/>
    <w:rsid w:val="00766FAE"/>
    <w:rsid w:val="007775AA"/>
    <w:rsid w:val="00784840"/>
    <w:rsid w:val="00786317"/>
    <w:rsid w:val="00786F27"/>
    <w:rsid w:val="007B04BC"/>
    <w:rsid w:val="007B1CA9"/>
    <w:rsid w:val="007C40A9"/>
    <w:rsid w:val="007C5100"/>
    <w:rsid w:val="007D5439"/>
    <w:rsid w:val="007D54C0"/>
    <w:rsid w:val="007E68E7"/>
    <w:rsid w:val="007E6B32"/>
    <w:rsid w:val="007E7F39"/>
    <w:rsid w:val="007F58DF"/>
    <w:rsid w:val="007F76A2"/>
    <w:rsid w:val="00802D61"/>
    <w:rsid w:val="00806450"/>
    <w:rsid w:val="00812433"/>
    <w:rsid w:val="008206C2"/>
    <w:rsid w:val="00831CB7"/>
    <w:rsid w:val="00847087"/>
    <w:rsid w:val="00866B1F"/>
    <w:rsid w:val="00882095"/>
    <w:rsid w:val="00885A47"/>
    <w:rsid w:val="00892EAD"/>
    <w:rsid w:val="008B0FD6"/>
    <w:rsid w:val="008B264E"/>
    <w:rsid w:val="008B4793"/>
    <w:rsid w:val="008D183D"/>
    <w:rsid w:val="008D63A5"/>
    <w:rsid w:val="008E2F1C"/>
    <w:rsid w:val="008E573D"/>
    <w:rsid w:val="009020FB"/>
    <w:rsid w:val="009028A6"/>
    <w:rsid w:val="00904CDA"/>
    <w:rsid w:val="00912AA2"/>
    <w:rsid w:val="00913BF4"/>
    <w:rsid w:val="0092038D"/>
    <w:rsid w:val="00922EBE"/>
    <w:rsid w:val="00930EF5"/>
    <w:rsid w:val="00931E33"/>
    <w:rsid w:val="0093351D"/>
    <w:rsid w:val="009428C2"/>
    <w:rsid w:val="00944413"/>
    <w:rsid w:val="009520C4"/>
    <w:rsid w:val="00953CF4"/>
    <w:rsid w:val="00972027"/>
    <w:rsid w:val="00975B12"/>
    <w:rsid w:val="0098321E"/>
    <w:rsid w:val="009934D6"/>
    <w:rsid w:val="0099443A"/>
    <w:rsid w:val="009969E7"/>
    <w:rsid w:val="009B3621"/>
    <w:rsid w:val="009B6E28"/>
    <w:rsid w:val="009B7741"/>
    <w:rsid w:val="009D33AB"/>
    <w:rsid w:val="009F2AC6"/>
    <w:rsid w:val="00A07E37"/>
    <w:rsid w:val="00A11318"/>
    <w:rsid w:val="00A24324"/>
    <w:rsid w:val="00A262F2"/>
    <w:rsid w:val="00A33A60"/>
    <w:rsid w:val="00A4768B"/>
    <w:rsid w:val="00A6070B"/>
    <w:rsid w:val="00A74CC7"/>
    <w:rsid w:val="00A76D5A"/>
    <w:rsid w:val="00A83E00"/>
    <w:rsid w:val="00A870A4"/>
    <w:rsid w:val="00A91857"/>
    <w:rsid w:val="00A92338"/>
    <w:rsid w:val="00A9458A"/>
    <w:rsid w:val="00A97467"/>
    <w:rsid w:val="00AB312B"/>
    <w:rsid w:val="00AB6090"/>
    <w:rsid w:val="00AC458D"/>
    <w:rsid w:val="00AC4BF9"/>
    <w:rsid w:val="00AC6CE1"/>
    <w:rsid w:val="00AD6CCF"/>
    <w:rsid w:val="00AE6251"/>
    <w:rsid w:val="00AF3BC7"/>
    <w:rsid w:val="00B12693"/>
    <w:rsid w:val="00B12E67"/>
    <w:rsid w:val="00B175BA"/>
    <w:rsid w:val="00B265CB"/>
    <w:rsid w:val="00B31638"/>
    <w:rsid w:val="00B35B39"/>
    <w:rsid w:val="00B460AA"/>
    <w:rsid w:val="00B5779A"/>
    <w:rsid w:val="00B6335D"/>
    <w:rsid w:val="00B641A1"/>
    <w:rsid w:val="00BA185D"/>
    <w:rsid w:val="00BA707D"/>
    <w:rsid w:val="00BB5D52"/>
    <w:rsid w:val="00BC44A5"/>
    <w:rsid w:val="00BD12BB"/>
    <w:rsid w:val="00BE2E0C"/>
    <w:rsid w:val="00BE6F6B"/>
    <w:rsid w:val="00C00D29"/>
    <w:rsid w:val="00C024ED"/>
    <w:rsid w:val="00C02775"/>
    <w:rsid w:val="00C0733E"/>
    <w:rsid w:val="00C34D65"/>
    <w:rsid w:val="00C37834"/>
    <w:rsid w:val="00C469C3"/>
    <w:rsid w:val="00C62F25"/>
    <w:rsid w:val="00C734E8"/>
    <w:rsid w:val="00C806C7"/>
    <w:rsid w:val="00C86FC2"/>
    <w:rsid w:val="00C91F3E"/>
    <w:rsid w:val="00CC575E"/>
    <w:rsid w:val="00D107AE"/>
    <w:rsid w:val="00D11A79"/>
    <w:rsid w:val="00D13BEE"/>
    <w:rsid w:val="00D16184"/>
    <w:rsid w:val="00D16359"/>
    <w:rsid w:val="00D16DB9"/>
    <w:rsid w:val="00D66193"/>
    <w:rsid w:val="00D67CC0"/>
    <w:rsid w:val="00D72CD7"/>
    <w:rsid w:val="00D75F69"/>
    <w:rsid w:val="00DA16F8"/>
    <w:rsid w:val="00DB1301"/>
    <w:rsid w:val="00DC4D0A"/>
    <w:rsid w:val="00DD01EB"/>
    <w:rsid w:val="00DD6B7F"/>
    <w:rsid w:val="00DE3045"/>
    <w:rsid w:val="00DF1757"/>
    <w:rsid w:val="00DF391B"/>
    <w:rsid w:val="00DF493D"/>
    <w:rsid w:val="00E03EA4"/>
    <w:rsid w:val="00E06C87"/>
    <w:rsid w:val="00E12A8F"/>
    <w:rsid w:val="00E145E5"/>
    <w:rsid w:val="00E17F3A"/>
    <w:rsid w:val="00E254BB"/>
    <w:rsid w:val="00E4584D"/>
    <w:rsid w:val="00E479C7"/>
    <w:rsid w:val="00E70950"/>
    <w:rsid w:val="00E72D5F"/>
    <w:rsid w:val="00E748AC"/>
    <w:rsid w:val="00E820FB"/>
    <w:rsid w:val="00E85F8E"/>
    <w:rsid w:val="00E97597"/>
    <w:rsid w:val="00EA44E0"/>
    <w:rsid w:val="00EB16F9"/>
    <w:rsid w:val="00EC0817"/>
    <w:rsid w:val="00ED4FD2"/>
    <w:rsid w:val="00EF2509"/>
    <w:rsid w:val="00EF6A21"/>
    <w:rsid w:val="00F17EF6"/>
    <w:rsid w:val="00F201F9"/>
    <w:rsid w:val="00F4039B"/>
    <w:rsid w:val="00F46D46"/>
    <w:rsid w:val="00F51B02"/>
    <w:rsid w:val="00F63563"/>
    <w:rsid w:val="00F772C1"/>
    <w:rsid w:val="00F81768"/>
    <w:rsid w:val="00F82DF3"/>
    <w:rsid w:val="00F97BA8"/>
    <w:rsid w:val="00FB6858"/>
    <w:rsid w:val="00FB71D6"/>
    <w:rsid w:val="00FC2F9B"/>
    <w:rsid w:val="00FE1CCC"/>
    <w:rsid w:val="00FF6053"/>
    <w:rsid w:val="23332FD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qFormat="1" w:unhideWhenUsed="0" w:uiPriority="9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name="header"/>
    <w:lsdException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3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styleId="2">
    <w:name w:val="heading 1"/>
    <w:basedOn w:val="1"/>
    <w:link w:val="16"/>
    <w:qFormat/>
    <w:uiPriority w:val="99"/>
    <w:pPr>
      <w:outlineLvl w:val="0"/>
    </w:pPr>
    <w:rPr>
      <w:b/>
      <w:bCs/>
      <w:sz w:val="48"/>
      <w:szCs w:val="48"/>
    </w:rPr>
  </w:style>
  <w:style w:type="paragraph" w:styleId="3">
    <w:name w:val="heading 2"/>
    <w:basedOn w:val="1"/>
    <w:link w:val="17"/>
    <w:qFormat/>
    <w:uiPriority w:val="99"/>
    <w:pPr>
      <w:ind w:left="820" w:hanging="720"/>
      <w:outlineLvl w:val="1"/>
    </w:pPr>
    <w:rPr>
      <w:b/>
      <w:bCs/>
      <w:sz w:val="36"/>
      <w:szCs w:val="36"/>
    </w:rPr>
  </w:style>
  <w:style w:type="paragraph" w:styleId="4">
    <w:name w:val="heading 3"/>
    <w:basedOn w:val="1"/>
    <w:link w:val="18"/>
    <w:qFormat/>
    <w:uiPriority w:val="99"/>
    <w:pPr>
      <w:ind w:left="100"/>
      <w:outlineLvl w:val="2"/>
    </w:pPr>
    <w:rPr>
      <w:b/>
      <w:bCs/>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semiHidden/>
    <w:qFormat/>
    <w:uiPriority w:val="99"/>
  </w:style>
  <w:style w:type="paragraph" w:styleId="6">
    <w:name w:val="Body Text"/>
    <w:basedOn w:val="1"/>
    <w:link w:val="21"/>
    <w:qFormat/>
    <w:uiPriority w:val="99"/>
    <w:pPr>
      <w:ind w:left="100"/>
    </w:pPr>
  </w:style>
  <w:style w:type="paragraph" w:styleId="7">
    <w:name w:val="Balloon Text"/>
    <w:basedOn w:val="1"/>
    <w:link w:val="26"/>
    <w:semiHidden/>
    <w:qFormat/>
    <w:uiPriority w:val="99"/>
    <w:rPr>
      <w:sz w:val="18"/>
      <w:szCs w:val="18"/>
    </w:rPr>
  </w:style>
  <w:style w:type="paragraph" w:styleId="8">
    <w:name w:val="footer"/>
    <w:basedOn w:val="1"/>
    <w:link w:val="23"/>
    <w:semiHidden/>
    <w:uiPriority w:val="99"/>
    <w:pPr>
      <w:tabs>
        <w:tab w:val="center" w:pos="4153"/>
        <w:tab w:val="right" w:pos="8306"/>
      </w:tabs>
      <w:snapToGrid w:val="0"/>
    </w:pPr>
    <w:rPr>
      <w:sz w:val="18"/>
      <w:szCs w:val="18"/>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autoRedefine/>
    <w:semiHidden/>
    <w:qFormat/>
    <w:locked/>
    <w:uiPriority w:val="99"/>
    <w:pPr>
      <w:ind w:left="420" w:leftChars="200"/>
    </w:pPr>
  </w:style>
  <w:style w:type="paragraph" w:styleId="11">
    <w:name w:val="annotation subject"/>
    <w:basedOn w:val="5"/>
    <w:next w:val="5"/>
    <w:link w:val="25"/>
    <w:semiHidden/>
    <w:qFormat/>
    <w:uiPriority w:val="99"/>
    <w:rPr>
      <w:b/>
      <w:bCs/>
    </w:rPr>
  </w:style>
  <w:style w:type="character" w:styleId="14">
    <w:name w:val="Hyperlink"/>
    <w:basedOn w:val="13"/>
    <w:uiPriority w:val="99"/>
    <w:rPr>
      <w:color w:val="auto"/>
      <w:u w:val="single"/>
    </w:rPr>
  </w:style>
  <w:style w:type="character" w:styleId="15">
    <w:name w:val="annotation reference"/>
    <w:basedOn w:val="13"/>
    <w:semiHidden/>
    <w:uiPriority w:val="99"/>
    <w:rPr>
      <w:sz w:val="21"/>
      <w:szCs w:val="21"/>
    </w:rPr>
  </w:style>
  <w:style w:type="character" w:customStyle="1" w:styleId="16">
    <w:name w:val="标题 1 Char"/>
    <w:basedOn w:val="13"/>
    <w:link w:val="2"/>
    <w:locked/>
    <w:uiPriority w:val="99"/>
    <w:rPr>
      <w:rFonts w:ascii="Times New Roman" w:hAnsi="Times New Roman" w:cs="Times New Roman"/>
      <w:b/>
      <w:bCs/>
      <w:kern w:val="44"/>
      <w:sz w:val="44"/>
      <w:szCs w:val="44"/>
    </w:rPr>
  </w:style>
  <w:style w:type="character" w:customStyle="1" w:styleId="17">
    <w:name w:val="标题 2 Char"/>
    <w:basedOn w:val="13"/>
    <w:link w:val="3"/>
    <w:semiHidden/>
    <w:locked/>
    <w:uiPriority w:val="99"/>
    <w:rPr>
      <w:rFonts w:ascii="等线 Light" w:hAnsi="等线 Light" w:eastAsia="等线 Light" w:cs="等线 Light"/>
      <w:b/>
      <w:bCs/>
      <w:kern w:val="0"/>
      <w:sz w:val="32"/>
      <w:szCs w:val="32"/>
    </w:rPr>
  </w:style>
  <w:style w:type="character" w:customStyle="1" w:styleId="18">
    <w:name w:val="标题 3 Char"/>
    <w:basedOn w:val="13"/>
    <w:link w:val="4"/>
    <w:semiHidden/>
    <w:locked/>
    <w:uiPriority w:val="99"/>
    <w:rPr>
      <w:rFonts w:ascii="Times New Roman" w:hAnsi="Times New Roman" w:cs="Times New Roman"/>
      <w:b/>
      <w:bCs/>
      <w:kern w:val="0"/>
      <w:sz w:val="32"/>
      <w:szCs w:val="32"/>
    </w:rPr>
  </w:style>
  <w:style w:type="paragraph" w:styleId="19">
    <w:name w:val="List Paragraph"/>
    <w:basedOn w:val="1"/>
    <w:qFormat/>
    <w:uiPriority w:val="99"/>
  </w:style>
  <w:style w:type="paragraph" w:customStyle="1" w:styleId="20">
    <w:name w:val="Table Paragraph"/>
    <w:basedOn w:val="1"/>
    <w:qFormat/>
    <w:uiPriority w:val="99"/>
  </w:style>
  <w:style w:type="character" w:customStyle="1" w:styleId="21">
    <w:name w:val="正文文本 Char"/>
    <w:basedOn w:val="13"/>
    <w:link w:val="6"/>
    <w:semiHidden/>
    <w:locked/>
    <w:uiPriority w:val="99"/>
    <w:rPr>
      <w:rFonts w:ascii="Times New Roman" w:hAnsi="Times New Roman" w:cs="Times New Roman"/>
      <w:kern w:val="0"/>
      <w:sz w:val="24"/>
      <w:szCs w:val="24"/>
    </w:rPr>
  </w:style>
  <w:style w:type="character" w:customStyle="1" w:styleId="22">
    <w:name w:val="页眉 Char"/>
    <w:basedOn w:val="13"/>
    <w:link w:val="9"/>
    <w:semiHidden/>
    <w:qFormat/>
    <w:locked/>
    <w:uiPriority w:val="99"/>
    <w:rPr>
      <w:rFonts w:ascii="Times New Roman" w:hAnsi="Times New Roman" w:cs="Times New Roman"/>
      <w:kern w:val="0"/>
      <w:sz w:val="18"/>
      <w:szCs w:val="18"/>
    </w:rPr>
  </w:style>
  <w:style w:type="character" w:customStyle="1" w:styleId="23">
    <w:name w:val="页脚 Char"/>
    <w:basedOn w:val="13"/>
    <w:link w:val="8"/>
    <w:semiHidden/>
    <w:qFormat/>
    <w:locked/>
    <w:uiPriority w:val="99"/>
    <w:rPr>
      <w:rFonts w:ascii="Times New Roman" w:hAnsi="Times New Roman" w:cs="Times New Roman"/>
      <w:kern w:val="0"/>
      <w:sz w:val="18"/>
      <w:szCs w:val="18"/>
    </w:rPr>
  </w:style>
  <w:style w:type="character" w:customStyle="1" w:styleId="24">
    <w:name w:val="批注文字 Char"/>
    <w:basedOn w:val="13"/>
    <w:link w:val="5"/>
    <w:semiHidden/>
    <w:qFormat/>
    <w:locked/>
    <w:uiPriority w:val="99"/>
    <w:rPr>
      <w:rFonts w:ascii="Times New Roman" w:hAnsi="Times New Roman" w:cs="Times New Roman"/>
      <w:kern w:val="0"/>
      <w:sz w:val="24"/>
      <w:szCs w:val="24"/>
    </w:rPr>
  </w:style>
  <w:style w:type="character" w:customStyle="1" w:styleId="25">
    <w:name w:val="批注主题 Char"/>
    <w:basedOn w:val="24"/>
    <w:link w:val="11"/>
    <w:semiHidden/>
    <w:qFormat/>
    <w:locked/>
    <w:uiPriority w:val="99"/>
    <w:rPr>
      <w:rFonts w:ascii="Times New Roman" w:hAnsi="Times New Roman" w:cs="Times New Roman"/>
      <w:b/>
      <w:bCs/>
      <w:kern w:val="0"/>
      <w:sz w:val="24"/>
      <w:szCs w:val="24"/>
    </w:rPr>
  </w:style>
  <w:style w:type="character" w:customStyle="1" w:styleId="26">
    <w:name w:val="批注框文本 Char"/>
    <w:basedOn w:val="13"/>
    <w:link w:val="7"/>
    <w:semiHidden/>
    <w:qFormat/>
    <w:locked/>
    <w:uiPriority w:val="99"/>
    <w:rPr>
      <w:rFonts w:ascii="Times New Roman" w:hAnsi="Times New Roman" w:cs="Times New Roman"/>
      <w:kern w:val="0"/>
      <w:sz w:val="18"/>
      <w:szCs w:val="18"/>
    </w:rPr>
  </w:style>
  <w:style w:type="paragraph" w:customStyle="1" w:styleId="27">
    <w:name w:val="CM23"/>
    <w:basedOn w:val="1"/>
    <w:next w:val="1"/>
    <w:qFormat/>
    <w:uiPriority w:val="99"/>
    <w:pPr>
      <w:spacing w:after="420"/>
    </w:pPr>
  </w:style>
  <w:style w:type="character" w:customStyle="1" w:styleId="28">
    <w:name w:val="未处理的提及1"/>
    <w:basedOn w:val="13"/>
    <w:semiHidden/>
    <w:qFormat/>
    <w:uiPriority w:val="99"/>
    <w:rPr>
      <w:color w:val="808080"/>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14</Pages>
  <Words>7355</Words>
  <Characters>8478</Characters>
  <Lines>68</Lines>
  <Paragraphs>19</Paragraphs>
  <TotalTime>24</TotalTime>
  <ScaleCrop>false</ScaleCrop>
  <LinksUpToDate>false</LinksUpToDate>
  <CharactersWithSpaces>8544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2017-10-28T03:21:00Z</dcterms:created>
  <dc:creator>xlmedtrans</dc:creator>
  <cp:keywords>Posted: May 10, 2004</cp:keywords>
  <cp:lastModifiedBy>太极箫客</cp:lastModifiedBy>
  <dcterms:modified xsi:type="dcterms:W3CDTF">2025-08-14T06:17:33Z</dcterms:modified>
  <dc:subject>Issued: May 11, 2004</dc:subject>
  <dc:title>Class II Special Controls Guidance: Immunomagnetic circulating Cancel Cell Selection and Enumeration System</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D652B1516B44437CB843109F58B03F18_12</vt:lpwstr>
  </property>
</Properties>
</file>