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82CD">
      <w:pPr>
        <w:snapToGrid w:val="0"/>
        <w:spacing w:after="240" w:line="300" w:lineRule="auto"/>
        <w:rPr>
          <w:rFonts w:ascii="Arial" w:hAnsi="Arial" w:eastAsia="宋体" w:cs="Arial"/>
          <w:b/>
          <w:sz w:val="44"/>
          <w:szCs w:val="44"/>
        </w:rPr>
      </w:pPr>
      <w:bookmarkStart w:id="0" w:name="OLE_LINK3"/>
      <w:bookmarkStart w:id="4" w:name="_GoBack"/>
      <w:bookmarkEnd w:id="4"/>
      <w:r>
        <w:rPr>
          <w:rFonts w:ascii="Arial" w:hAnsi="Arial" w:eastAsia="宋体" w:cs="Arial"/>
          <w:b/>
          <w:sz w:val="44"/>
          <w:szCs w:val="44"/>
        </w:rPr>
        <w:t>行业和FDA人员指南—II 类特殊控制</w:t>
      </w:r>
      <w:r>
        <w:rPr>
          <w:rFonts w:hint="eastAsia" w:ascii="Arial" w:hAnsi="Arial" w:eastAsia="宋体" w:cs="Arial"/>
          <w:b/>
          <w:sz w:val="44"/>
          <w:szCs w:val="44"/>
        </w:rPr>
        <w:t>指导性</w:t>
      </w:r>
      <w:r>
        <w:rPr>
          <w:rFonts w:ascii="Arial" w:hAnsi="Arial" w:eastAsia="宋体" w:cs="Arial"/>
          <w:b/>
          <w:sz w:val="44"/>
          <w:szCs w:val="44"/>
        </w:rPr>
        <w:t>文件：辅助生殖激光系统</w:t>
      </w:r>
    </w:p>
    <w:p w14:paraId="518C247E">
      <w:pPr>
        <w:widowControl/>
        <w:numPr>
          <w:ilvl w:val="0"/>
          <w:numId w:val="1"/>
        </w:numPr>
        <w:snapToGrid w:val="0"/>
        <w:spacing w:line="300" w:lineRule="auto"/>
        <w:ind w:left="475" w:hanging="474" w:hangingChars="226"/>
        <w:rPr>
          <w:rFonts w:ascii="Arial" w:hAnsi="Arial" w:eastAsia="宋体" w:cs="Arial"/>
          <w:caps/>
          <w:color w:val="000000"/>
          <w:kern w:val="0"/>
          <w:szCs w:val="21"/>
          <w:lang w:val="en"/>
        </w:rPr>
      </w:pPr>
      <w:r>
        <w:rPr>
          <w:rFonts w:hint="eastAsia" w:ascii="Arial" w:hAnsi="Arial" w:eastAsia="宋体" w:cs="Arial"/>
          <w:caps/>
          <w:color w:val="000000"/>
          <w:kern w:val="0"/>
          <w:szCs w:val="21"/>
          <w:lang w:val="en"/>
        </w:rPr>
        <w:t>更多共享选项</w:t>
      </w:r>
    </w:p>
    <w:p w14:paraId="0C14A397">
      <w:pPr>
        <w:widowControl/>
        <w:numPr>
          <w:ilvl w:val="1"/>
          <w:numId w:val="1"/>
        </w:numPr>
        <w:snapToGrid w:val="0"/>
        <w:spacing w:line="300" w:lineRule="auto"/>
        <w:ind w:left="475" w:hanging="474" w:hangingChars="226"/>
        <w:rPr>
          <w:rFonts w:ascii="Arial" w:hAnsi="Arial" w:eastAsia="宋体" w:cs="Arial"/>
          <w:color w:val="333333"/>
          <w:kern w:val="0"/>
          <w:szCs w:val="21"/>
          <w:lang w:val="en"/>
        </w:rPr>
      </w:pPr>
      <w:r>
        <w:fldChar w:fldCharType="begin"/>
      </w:r>
      <w:r>
        <w:instrText xml:space="preserve"> HYPERLINK "https://www.linkedin.com/shareArticle?mini=true&amp;url=https%3a%2f%2fwww.fda.gov%3a80%2fFDAgov%2fMedicalDevices%2fDeviceRegulationandGuidance%2fGuidanceDocuments%2fucm072067.htm&amp;title=Guidance%20for%20Industry%20and%20FDA%20Staff%20-%20Class%20II%20Special%20Controls%20Guidance%20Document%3a%20Assisted%20Reproduction%20Laser%20Systems&amp;summary=1539&amp;source=FDA" \t "_blank" </w:instrText>
      </w:r>
      <w:r>
        <w:fldChar w:fldCharType="separate"/>
      </w:r>
      <w:r>
        <w:rPr>
          <w:rFonts w:ascii="Arial" w:hAnsi="Arial" w:eastAsia="宋体" w:cs="Arial"/>
          <w:caps/>
          <w:color w:val="000000"/>
          <w:kern w:val="0"/>
          <w:szCs w:val="21"/>
          <w:lang w:val="en"/>
        </w:rPr>
        <w:t>Linkedin</w:t>
      </w:r>
      <w:r>
        <w:rPr>
          <w:rFonts w:ascii="Arial" w:hAnsi="Arial" w:eastAsia="宋体" w:cs="Arial"/>
          <w:caps/>
          <w:color w:val="000000"/>
          <w:kern w:val="0"/>
          <w:szCs w:val="21"/>
          <w:lang w:val="en"/>
        </w:rPr>
        <w:fldChar w:fldCharType="end"/>
      </w:r>
    </w:p>
    <w:p w14:paraId="76A21B2A">
      <w:pPr>
        <w:widowControl/>
        <w:numPr>
          <w:ilvl w:val="1"/>
          <w:numId w:val="1"/>
        </w:numPr>
        <w:snapToGrid w:val="0"/>
        <w:spacing w:line="300" w:lineRule="auto"/>
        <w:ind w:left="475" w:hanging="474" w:hangingChars="226"/>
        <w:rPr>
          <w:rFonts w:ascii="Arial" w:hAnsi="Arial" w:eastAsia="宋体" w:cs="Arial"/>
          <w:color w:val="333333"/>
          <w:kern w:val="0"/>
          <w:szCs w:val="21"/>
          <w:lang w:val="en"/>
        </w:rPr>
      </w:pPr>
      <w:r>
        <w:fldChar w:fldCharType="begin"/>
      </w:r>
      <w:r>
        <w:instrText xml:space="preserve"> HYPERLINK "https://www.pinterest.com/pin/create/button/?url=https%3a%2f%2fwww.fda.gov%3a80%2fFDAgov%2fMedicalDevices%2fDeviceRegulationandGuidance%2fGuidanceDocuments%2fucm072067.htm&amp;description=Guidance%20for%20Industry%20and%20FDA%20Staff%20-%20Class%20II%20Special%20Controls%20Guidance%20Document%3a%20Assisted%20Reproduction%20Laser%20Systems" \t "_blank" </w:instrText>
      </w:r>
      <w:r>
        <w:fldChar w:fldCharType="separate"/>
      </w:r>
      <w:r>
        <w:rPr>
          <w:rFonts w:ascii="Arial" w:hAnsi="Arial" w:eastAsia="宋体" w:cs="Arial"/>
          <w:caps/>
          <w:color w:val="000000"/>
          <w:kern w:val="0"/>
          <w:szCs w:val="21"/>
          <w:lang w:val="en"/>
        </w:rPr>
        <w:t>快捷方式</w:t>
      </w:r>
      <w:r>
        <w:rPr>
          <w:rFonts w:ascii="Arial" w:hAnsi="Arial" w:eastAsia="宋体" w:cs="Arial"/>
          <w:caps/>
          <w:color w:val="000000"/>
          <w:kern w:val="0"/>
          <w:szCs w:val="21"/>
          <w:lang w:val="en"/>
        </w:rPr>
        <w:fldChar w:fldCharType="end"/>
      </w:r>
    </w:p>
    <w:p w14:paraId="71A76630">
      <w:pPr>
        <w:snapToGrid w:val="0"/>
        <w:spacing w:after="240" w:line="300" w:lineRule="auto"/>
        <w:rPr>
          <w:rFonts w:ascii="Arial" w:hAnsi="Arial" w:eastAsia="宋体" w:cs="Arial"/>
          <w:szCs w:val="21"/>
        </w:rPr>
      </w:pPr>
    </w:p>
    <w:bookmarkEnd w:id="0"/>
    <w:p w14:paraId="1295C571">
      <w:pPr>
        <w:snapToGrid w:val="0"/>
        <w:spacing w:line="300" w:lineRule="auto"/>
        <w:rPr>
          <w:rFonts w:ascii="Arial" w:hAnsi="Arial" w:eastAsia="宋体" w:cs="Arial"/>
          <w:b/>
          <w:szCs w:val="21"/>
        </w:rPr>
      </w:pPr>
      <w:r>
        <w:rPr>
          <w:rFonts w:ascii="Arial" w:hAnsi="Arial" w:eastAsia="宋体" w:cs="Arial"/>
          <w:b/>
          <w:szCs w:val="21"/>
        </w:rPr>
        <w:t>文件发布日期：2004年12月28日</w:t>
      </w:r>
    </w:p>
    <w:p w14:paraId="402CA603">
      <w:pPr>
        <w:snapToGrid w:val="0"/>
        <w:spacing w:after="240" w:line="300" w:lineRule="auto"/>
        <w:rPr>
          <w:rFonts w:ascii="Arial" w:hAnsi="Arial" w:eastAsia="宋体" w:cs="Arial"/>
          <w:szCs w:val="21"/>
        </w:rPr>
      </w:pPr>
      <w:r>
        <w:rPr>
          <w:rFonts w:ascii="Arial" w:hAnsi="Arial" w:eastAsia="宋体" w:cs="Arial"/>
          <w:szCs w:val="21"/>
        </w:rPr>
        <w:t>有关本文档的问题，请致电301-796-6530或发送电子邮件至</w:t>
      </w:r>
      <w:r>
        <w:rPr>
          <w:rFonts w:ascii="Arial" w:hAnsi="Arial" w:eastAsia="宋体" w:cs="Arial"/>
          <w:color w:val="005F9F"/>
          <w:szCs w:val="21"/>
        </w:rPr>
        <w:t>michael.bailey@fda.hhs.gov</w:t>
      </w:r>
      <w:r>
        <w:rPr>
          <w:rFonts w:ascii="Arial" w:hAnsi="Arial" w:eastAsia="宋体" w:cs="Arial"/>
          <w:szCs w:val="21"/>
        </w:rPr>
        <w:t>与Michael Bailey联络。</w:t>
      </w:r>
    </w:p>
    <w:p w14:paraId="335A6159">
      <w:pPr>
        <w:snapToGrid w:val="0"/>
        <w:spacing w:after="240" w:line="300" w:lineRule="auto"/>
        <w:rPr>
          <w:rFonts w:ascii="Arial" w:hAnsi="Arial" w:eastAsia="宋体" w:cs="Arial"/>
          <w:szCs w:val="21"/>
        </w:rPr>
      </w:pPr>
      <w:r>
        <w:rPr>
          <w:rFonts w:ascii="Helvetica" w:hAnsi="Helvetica" w:eastAsia="宋体" w:cs="Helvetica"/>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1385" cy="948690"/>
                    </a:xfrm>
                    <a:prstGeom prst="rect">
                      <a:avLst/>
                    </a:prstGeom>
                    <a:noFill/>
                    <a:ln>
                      <a:noFill/>
                    </a:ln>
                  </pic:spPr>
                </pic:pic>
              </a:graphicData>
            </a:graphic>
          </wp:inline>
        </w:drawing>
      </w:r>
    </w:p>
    <w:p w14:paraId="0E1B39FE">
      <w:pPr>
        <w:snapToGrid w:val="0"/>
        <w:spacing w:line="300" w:lineRule="auto"/>
        <w:jc w:val="right"/>
        <w:rPr>
          <w:rFonts w:ascii="Arial" w:hAnsi="Arial" w:eastAsia="宋体" w:cs="Arial"/>
          <w:b/>
          <w:szCs w:val="21"/>
        </w:rPr>
      </w:pPr>
      <w:r>
        <w:rPr>
          <w:rFonts w:ascii="Arial" w:hAnsi="Arial" w:eastAsia="宋体" w:cs="Arial"/>
          <w:b/>
          <w:szCs w:val="21"/>
        </w:rPr>
        <w:t>美国卫生与公众服务部</w:t>
      </w:r>
    </w:p>
    <w:p w14:paraId="04DE210C">
      <w:pPr>
        <w:snapToGrid w:val="0"/>
        <w:spacing w:line="300" w:lineRule="auto"/>
        <w:jc w:val="right"/>
        <w:rPr>
          <w:rFonts w:ascii="Arial" w:hAnsi="Arial" w:eastAsia="宋体" w:cs="Arial"/>
          <w:b/>
          <w:szCs w:val="21"/>
        </w:rPr>
      </w:pPr>
      <w:r>
        <w:rPr>
          <w:rFonts w:ascii="Arial" w:hAnsi="Arial" w:eastAsia="宋体" w:cs="Arial"/>
          <w:b/>
          <w:szCs w:val="21"/>
        </w:rPr>
        <w:t>食品药品监督管理局</w:t>
      </w:r>
    </w:p>
    <w:p w14:paraId="7A46B730">
      <w:pPr>
        <w:snapToGrid w:val="0"/>
        <w:spacing w:line="300" w:lineRule="auto"/>
        <w:jc w:val="right"/>
        <w:rPr>
          <w:rFonts w:ascii="Arial" w:hAnsi="Arial" w:eastAsia="宋体" w:cs="Arial"/>
          <w:b/>
          <w:szCs w:val="21"/>
        </w:rPr>
      </w:pPr>
      <w:r>
        <w:rPr>
          <w:rFonts w:ascii="Arial" w:hAnsi="Arial" w:eastAsia="宋体" w:cs="Arial"/>
          <w:b/>
          <w:szCs w:val="21"/>
        </w:rPr>
        <w:t>器械</w:t>
      </w:r>
      <w:r>
        <w:rPr>
          <w:rFonts w:hint="eastAsia" w:ascii="Arial" w:hAnsi="Arial" w:eastAsia="宋体" w:cs="Arial"/>
          <w:b/>
          <w:szCs w:val="21"/>
        </w:rPr>
        <w:t>和放射卫生</w:t>
      </w:r>
      <w:r>
        <w:rPr>
          <w:rFonts w:ascii="Arial" w:hAnsi="Arial" w:eastAsia="宋体" w:cs="Arial"/>
          <w:b/>
          <w:szCs w:val="21"/>
        </w:rPr>
        <w:t>中心</w:t>
      </w:r>
    </w:p>
    <w:p w14:paraId="21242912">
      <w:pPr>
        <w:snapToGrid w:val="0"/>
        <w:spacing w:line="300" w:lineRule="auto"/>
        <w:jc w:val="right"/>
        <w:rPr>
          <w:rFonts w:ascii="Arial" w:hAnsi="Arial" w:eastAsia="宋体" w:cs="Arial"/>
          <w:b/>
          <w:szCs w:val="21"/>
        </w:rPr>
      </w:pPr>
      <w:r>
        <w:rPr>
          <w:rFonts w:ascii="Arial" w:hAnsi="Arial" w:eastAsia="宋体" w:cs="Arial"/>
          <w:b/>
          <w:szCs w:val="21"/>
        </w:rPr>
        <w:t>妇产科器械分部</w:t>
      </w:r>
    </w:p>
    <w:p w14:paraId="77707DA3">
      <w:pPr>
        <w:snapToGrid w:val="0"/>
        <w:spacing w:line="300" w:lineRule="auto"/>
        <w:jc w:val="right"/>
        <w:rPr>
          <w:rFonts w:ascii="Arial" w:hAnsi="Arial" w:eastAsia="宋体" w:cs="Arial"/>
          <w:b/>
          <w:szCs w:val="21"/>
        </w:rPr>
      </w:pPr>
      <w:r>
        <w:rPr>
          <w:rFonts w:ascii="Arial" w:hAnsi="Arial" w:eastAsia="宋体" w:cs="Arial"/>
          <w:b/>
          <w:szCs w:val="21"/>
        </w:rPr>
        <w:t>生殖、腹部和放射器械分部</w:t>
      </w:r>
    </w:p>
    <w:p w14:paraId="182EE94F">
      <w:pPr>
        <w:snapToGrid w:val="0"/>
        <w:spacing w:after="240" w:line="300" w:lineRule="auto"/>
        <w:jc w:val="right"/>
        <w:rPr>
          <w:rFonts w:ascii="Arial" w:hAnsi="Arial" w:eastAsia="宋体" w:cs="Arial"/>
          <w:b/>
          <w:szCs w:val="21"/>
        </w:rPr>
      </w:pPr>
      <w:r>
        <w:rPr>
          <w:rFonts w:ascii="Arial" w:hAnsi="Arial" w:eastAsia="宋体" w:cs="Arial"/>
          <w:b/>
          <w:szCs w:val="21"/>
        </w:rPr>
        <w:t>器械评估办公室</w:t>
      </w:r>
    </w:p>
    <w:p w14:paraId="17E1114C">
      <w:pPr>
        <w:snapToGrid w:val="0"/>
        <w:spacing w:after="240" w:line="300" w:lineRule="auto"/>
        <w:jc w:val="center"/>
        <w:rPr>
          <w:rFonts w:ascii="Arial" w:hAnsi="Arial" w:eastAsia="宋体" w:cs="Arial"/>
          <w:b/>
          <w:sz w:val="32"/>
          <w:szCs w:val="32"/>
        </w:rPr>
      </w:pPr>
      <w:r>
        <w:rPr>
          <w:rFonts w:ascii="Arial" w:hAnsi="Arial" w:eastAsia="宋体" w:cs="Arial"/>
          <w:b/>
          <w:sz w:val="32"/>
          <w:szCs w:val="32"/>
        </w:rPr>
        <w:t>前言</w:t>
      </w:r>
    </w:p>
    <w:p w14:paraId="10054DE6">
      <w:pPr>
        <w:snapToGrid w:val="0"/>
        <w:spacing w:after="240" w:line="300" w:lineRule="auto"/>
        <w:rPr>
          <w:rFonts w:ascii="Arial" w:hAnsi="Arial" w:eastAsia="宋体" w:cs="Arial"/>
          <w:b/>
          <w:sz w:val="24"/>
          <w:szCs w:val="24"/>
        </w:rPr>
      </w:pPr>
      <w:r>
        <w:rPr>
          <w:rFonts w:ascii="Arial" w:hAnsi="Arial" w:eastAsia="宋体" w:cs="Arial"/>
          <w:b/>
          <w:sz w:val="24"/>
          <w:szCs w:val="24"/>
        </w:rPr>
        <w:t>公众评论</w:t>
      </w:r>
    </w:p>
    <w:p w14:paraId="0924CA8D">
      <w:pPr>
        <w:snapToGrid w:val="0"/>
        <w:spacing w:after="240" w:line="300" w:lineRule="auto"/>
        <w:rPr>
          <w:rFonts w:ascii="Arial" w:hAnsi="Arial" w:eastAsia="宋体" w:cs="Arial"/>
          <w:szCs w:val="21"/>
        </w:rPr>
      </w:pPr>
      <w:r>
        <w:rPr>
          <w:rFonts w:ascii="Arial" w:hAnsi="Arial" w:eastAsia="宋体" w:cs="Arial"/>
          <w:szCs w:val="21"/>
        </w:rPr>
        <w:t>贵公司可以在任何时间向食品药品监督管理局文档管理部（5630 Fishers Lane, Room 1061, (HFA-305), Rockville, MD, 20852）提交书面评论或建议，供部门审议。电子评论也可以提交至</w:t>
      </w:r>
      <w:r>
        <w:rPr>
          <w:rFonts w:ascii="Arial" w:hAnsi="Arial" w:eastAsia="宋体" w:cs="Arial"/>
          <w:color w:val="005F9F"/>
          <w:szCs w:val="21"/>
        </w:rPr>
        <w:t>Regulations.gov</w:t>
      </w:r>
      <w:r>
        <w:rPr>
          <w:rFonts w:ascii="Arial" w:hAnsi="Arial" w:eastAsia="宋体" w:cs="Arial"/>
          <w:szCs w:val="21"/>
        </w:rPr>
        <w:t>。请在贵公司的评论中确定发布于联邦公报宣布本指导性文件可用性声明中列出的文档编号。可能直到文件下次修订或更新时，评论才会被机构受理。</w:t>
      </w:r>
    </w:p>
    <w:p w14:paraId="351D523B">
      <w:pPr>
        <w:widowControl/>
        <w:jc w:val="left"/>
        <w:rPr>
          <w:rFonts w:ascii="Arial" w:hAnsi="Arial" w:eastAsia="宋体" w:cs="Arial"/>
          <w:b/>
          <w:sz w:val="24"/>
          <w:szCs w:val="24"/>
        </w:rPr>
      </w:pPr>
      <w:r>
        <w:rPr>
          <w:rFonts w:ascii="Arial" w:hAnsi="Arial" w:eastAsia="宋体" w:cs="Arial"/>
          <w:b/>
          <w:sz w:val="24"/>
          <w:szCs w:val="24"/>
        </w:rPr>
        <w:br w:type="page"/>
      </w:r>
    </w:p>
    <w:p w14:paraId="7E70FEE4">
      <w:pPr>
        <w:snapToGrid w:val="0"/>
        <w:spacing w:after="240" w:line="300" w:lineRule="auto"/>
        <w:rPr>
          <w:rFonts w:ascii="Arial" w:hAnsi="Arial" w:eastAsia="宋体" w:cs="Arial"/>
          <w:b/>
          <w:sz w:val="24"/>
          <w:szCs w:val="24"/>
        </w:rPr>
      </w:pPr>
      <w:r>
        <w:rPr>
          <w:rFonts w:ascii="Arial" w:hAnsi="Arial" w:eastAsia="宋体" w:cs="Arial"/>
          <w:b/>
          <w:sz w:val="24"/>
          <w:szCs w:val="24"/>
        </w:rPr>
        <w:t>其他副本</w:t>
      </w:r>
    </w:p>
    <w:p w14:paraId="7353557A">
      <w:pPr>
        <w:snapToGrid w:val="0"/>
        <w:spacing w:after="240" w:line="300" w:lineRule="auto"/>
        <w:rPr>
          <w:rFonts w:ascii="Arial" w:hAnsi="Arial" w:eastAsia="宋体" w:cs="Arial"/>
          <w:szCs w:val="21"/>
        </w:rPr>
      </w:pPr>
      <w:r>
        <w:rPr>
          <w:rFonts w:ascii="Arial" w:hAnsi="Arial" w:eastAsia="宋体" w:cs="Arial"/>
          <w:szCs w:val="21"/>
        </w:rPr>
        <w:t>文件其他副本可以从网上下载。贵公司也可以发送请求邮件至</w:t>
      </w:r>
      <w:r>
        <w:rPr>
          <w:rFonts w:ascii="Arial" w:hAnsi="Arial" w:eastAsia="宋体" w:cs="Arial"/>
          <w:color w:val="005F9F"/>
          <w:szCs w:val="21"/>
        </w:rPr>
        <w:t>dsmica @fda.hhs.gov</w:t>
      </w:r>
      <w:r>
        <w:rPr>
          <w:rFonts w:ascii="Arial" w:hAnsi="Arial" w:eastAsia="宋体" w:cs="Arial"/>
          <w:szCs w:val="21"/>
        </w:rPr>
        <w:t>来获取指南的电子版本，或发送传真申请至301-827-8149来获取打印版本。请使用文档编号（1539）以确认贵公司请求的指南。</w:t>
      </w:r>
    </w:p>
    <w:p w14:paraId="30E42C9D">
      <w:pPr>
        <w:widowControl/>
        <w:snapToGrid w:val="0"/>
        <w:spacing w:line="300" w:lineRule="auto"/>
        <w:rPr>
          <w:rFonts w:ascii="Arial" w:hAnsi="Arial" w:eastAsia="宋体" w:cs="Arial"/>
          <w:szCs w:val="21"/>
        </w:rPr>
      </w:pPr>
    </w:p>
    <w:p w14:paraId="3C60FC50">
      <w:pPr>
        <w:snapToGrid w:val="0"/>
        <w:spacing w:after="240" w:line="300" w:lineRule="auto"/>
        <w:jc w:val="center"/>
        <w:rPr>
          <w:rFonts w:ascii="Arial" w:hAnsi="Arial" w:eastAsia="宋体" w:cs="Arial"/>
          <w:b/>
          <w:sz w:val="32"/>
          <w:szCs w:val="32"/>
        </w:rPr>
      </w:pPr>
      <w:r>
        <w:rPr>
          <w:rFonts w:ascii="Arial" w:hAnsi="Arial" w:eastAsia="宋体" w:cs="Arial"/>
          <w:b/>
          <w:sz w:val="32"/>
          <w:szCs w:val="32"/>
        </w:rPr>
        <w:t>目录</w:t>
      </w:r>
    </w:p>
    <w:p w14:paraId="7CA184CD">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引言</w:t>
      </w:r>
    </w:p>
    <w:p w14:paraId="0F4739DF">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背景</w:t>
      </w:r>
    </w:p>
    <w:p w14:paraId="37F1ACB9">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简化510（K）提交的内容和格式</w:t>
      </w:r>
    </w:p>
    <w:p w14:paraId="0AE60202">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范围</w:t>
      </w:r>
    </w:p>
    <w:p w14:paraId="2FF2B70D">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器械描述</w:t>
      </w:r>
    </w:p>
    <w:p w14:paraId="0FE33714">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健康风险</w:t>
      </w:r>
    </w:p>
    <w:p w14:paraId="62261E12">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非临床分析与测试</w:t>
      </w:r>
    </w:p>
    <w:p w14:paraId="3C260FA1">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激光与靶子相互作用</w:t>
      </w:r>
    </w:p>
    <w:p w14:paraId="369ED2B2">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激光束特性</w:t>
      </w:r>
    </w:p>
    <w:p w14:paraId="175F36FB">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激光瞄准稳定性</w:t>
      </w:r>
    </w:p>
    <w:p w14:paraId="1F415F59">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电气设备安全</w:t>
      </w:r>
    </w:p>
    <w:p w14:paraId="351945E2">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电磁兼容性</w:t>
      </w:r>
    </w:p>
    <w:p w14:paraId="2A316828">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辐射</w:t>
      </w:r>
    </w:p>
    <w:p w14:paraId="6F605011">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抗扰性</w:t>
      </w:r>
    </w:p>
    <w:p w14:paraId="4867F17C">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软件生命周期和风险管理</w:t>
      </w:r>
    </w:p>
    <w:p w14:paraId="5E40B393">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动物实验</w:t>
      </w:r>
    </w:p>
    <w:p w14:paraId="66DCFC46">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临床信息</w:t>
      </w:r>
    </w:p>
    <w:p w14:paraId="4A602742">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贵公司临床研究结果的上市前通告中的统计报告</w:t>
      </w:r>
    </w:p>
    <w:p w14:paraId="7AD7C528">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期刊文章的报告结果</w:t>
      </w:r>
    </w:p>
    <w:p w14:paraId="581CCCC5">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报告元分析结果（适用于原创临床研究和期刊文章）</w:t>
      </w:r>
    </w:p>
    <w:p w14:paraId="6B09B3FA">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标签</w:t>
      </w:r>
    </w:p>
    <w:p w14:paraId="55830740">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使用说明</w:t>
      </w:r>
    </w:p>
    <w:p w14:paraId="27EE1D1D">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用户培训</w:t>
      </w:r>
    </w:p>
    <w:p w14:paraId="0C52DB68">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警告</w:t>
      </w:r>
    </w:p>
    <w:p w14:paraId="66830FF3">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注意事项</w:t>
      </w:r>
    </w:p>
    <w:p w14:paraId="42170D53">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患者手册</w:t>
      </w:r>
    </w:p>
    <w:p w14:paraId="249CE3CA">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显微镜兼容性</w:t>
      </w:r>
    </w:p>
    <w:p w14:paraId="50E31E01">
      <w:pPr>
        <w:widowControl/>
        <w:snapToGrid w:val="0"/>
        <w:spacing w:line="300" w:lineRule="auto"/>
        <w:rPr>
          <w:rFonts w:ascii="Arial" w:hAnsi="Arial" w:eastAsia="宋体" w:cs="Arial"/>
          <w:szCs w:val="21"/>
        </w:rPr>
      </w:pPr>
      <w:r>
        <w:rPr>
          <w:rFonts w:ascii="Arial" w:hAnsi="Arial" w:eastAsia="宋体" w:cs="Arial"/>
          <w:szCs w:val="21"/>
        </w:rPr>
        <w:br w:type="page"/>
      </w:r>
    </w:p>
    <w:p w14:paraId="68A06CFD">
      <w:pPr>
        <w:snapToGrid w:val="0"/>
        <w:spacing w:after="240" w:line="300" w:lineRule="auto"/>
        <w:jc w:val="center"/>
        <w:rPr>
          <w:rFonts w:ascii="Helvetica" w:hAnsi="Helvetica" w:eastAsia="宋体" w:cs="Helvetica"/>
          <w:color w:val="333333"/>
          <w:kern w:val="0"/>
          <w:sz w:val="24"/>
          <w:szCs w:val="24"/>
          <w:lang w:val="en"/>
        </w:rPr>
      </w:pPr>
      <w:r>
        <w:rPr>
          <w:rFonts w:ascii="Helvetica" w:hAnsi="Helvetica" w:eastAsia="宋体" w:cs="Helvetica"/>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470DB9FB">
      <w:pPr>
        <w:snapToGrid w:val="0"/>
        <w:spacing w:after="240" w:line="300" w:lineRule="auto"/>
        <w:jc w:val="center"/>
        <w:rPr>
          <w:rFonts w:ascii="Arial" w:hAnsi="Arial" w:eastAsia="宋体" w:cs="Arial"/>
          <w:b/>
          <w:sz w:val="36"/>
          <w:szCs w:val="36"/>
        </w:rPr>
      </w:pPr>
      <w:r>
        <w:rPr>
          <w:rFonts w:ascii="Arial" w:hAnsi="Arial" w:eastAsia="宋体" w:cs="Arial"/>
          <w:b/>
          <w:sz w:val="36"/>
          <w:szCs w:val="36"/>
        </w:rPr>
        <w:t>行业和FDA人员指南——II 类特殊控制</w:t>
      </w:r>
      <w:r>
        <w:rPr>
          <w:rFonts w:hint="eastAsia" w:ascii="Arial" w:hAnsi="Arial" w:eastAsia="宋体" w:cs="Arial"/>
          <w:b/>
          <w:sz w:val="36"/>
          <w:szCs w:val="36"/>
        </w:rPr>
        <w:t>指导性</w:t>
      </w:r>
      <w:r>
        <w:rPr>
          <w:rFonts w:ascii="Arial" w:hAnsi="Arial" w:eastAsia="宋体" w:cs="Arial"/>
          <w:b/>
          <w:sz w:val="36"/>
          <w:szCs w:val="36"/>
        </w:rPr>
        <w:t>文件：辅助生殖激光系统</w:t>
      </w:r>
    </w:p>
    <w:p w14:paraId="5B249F35">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引言</w:t>
      </w:r>
    </w:p>
    <w:p w14:paraId="3F00E5D8">
      <w:pPr>
        <w:snapToGrid w:val="0"/>
        <w:spacing w:after="240" w:line="300" w:lineRule="auto"/>
        <w:rPr>
          <w:rFonts w:ascii="Arial" w:hAnsi="Arial" w:eastAsia="宋体" w:cs="Arial"/>
          <w:szCs w:val="21"/>
        </w:rPr>
      </w:pPr>
      <w:r>
        <w:rPr>
          <w:rFonts w:ascii="Arial" w:hAnsi="Arial" w:eastAsia="宋体" w:cs="Arial"/>
          <w:szCs w:val="21"/>
        </w:rPr>
        <w:t>本指导性文件作为特殊的控制指南而制定，用于支持将辅助生殖激光系统分类为II类器械（特殊控制）。该器械旨在用于在选定的体外受精（IVF）患者中消融形成透明带切向小孔或使胚胎的透明带变薄，这些患者如果不接受体外受精会出现成功受孕结局预后不良，例如高龄孕产妇、有失败的IVF史、冷冻胚胎、或透明带特征异常。本指南与联邦公报共同声明辅助再生激光系统的分类。</w:t>
      </w:r>
    </w:p>
    <w:p w14:paraId="1EF44DC2">
      <w:pPr>
        <w:snapToGrid w:val="0"/>
        <w:spacing w:after="240" w:line="300" w:lineRule="auto"/>
        <w:rPr>
          <w:rFonts w:ascii="Arial" w:hAnsi="Arial" w:eastAsia="宋体" w:cs="Arial"/>
          <w:szCs w:val="21"/>
        </w:rPr>
      </w:pPr>
      <w:r>
        <w:rPr>
          <w:rFonts w:ascii="Arial" w:hAnsi="Arial" w:eastAsia="宋体" w:cs="Arial"/>
          <w:szCs w:val="21"/>
        </w:rPr>
        <w:t>在对器械进行分类的最终规则生效后，任何为辅助生殖激光系统提交510（k）的公司都需要解决特别控制指南中涉及的问题。该公司必须表明其器械通过满足本指南的建议或通过提供安全性和有效性等效保证的其他方式来解决本指南中确定的安全性和有效性问题。</w:t>
      </w:r>
    </w:p>
    <w:p w14:paraId="31D183A2">
      <w:pPr>
        <w:snapToGrid w:val="0"/>
        <w:spacing w:after="240" w:line="300" w:lineRule="auto"/>
        <w:rPr>
          <w:rFonts w:ascii="Arial" w:hAnsi="Arial" w:eastAsia="宋体" w:cs="Arial"/>
          <w:b/>
          <w:szCs w:val="21"/>
        </w:rPr>
      </w:pPr>
      <w:r>
        <w:rPr>
          <w:rFonts w:ascii="Arial" w:hAnsi="Arial" w:eastAsia="宋体" w:cs="Arial"/>
          <w:b/>
          <w:szCs w:val="21"/>
        </w:rPr>
        <w:t>最小负担方法</w:t>
      </w:r>
    </w:p>
    <w:p w14:paraId="2DA2B46A">
      <w:pPr>
        <w:snapToGrid w:val="0"/>
        <w:spacing w:after="240" w:line="300" w:lineRule="auto"/>
        <w:rPr>
          <w:rFonts w:ascii="Arial" w:hAnsi="Arial" w:eastAsia="宋体" w:cs="Arial"/>
          <w:szCs w:val="21"/>
        </w:rPr>
      </w:pPr>
      <w:r>
        <w:rPr>
          <w:rFonts w:ascii="Arial" w:hAnsi="Arial" w:eastAsia="宋体" w:cs="Arial"/>
          <w:szCs w:val="21"/>
        </w:rPr>
        <w:t>本指导性文件中确定的问题代表了我们认为应当在医疗器械上市前解决的问题。在制定本指南的过程中，我们仔细考虑了机构决策使用的相关法定标准。我们也考虑了贵公司在遵循指南和解决我们确定的问题时可能产生的负担。我们认为，我们考虑了解决指导性文件中提出的问题负担最小的方法。但如果贵公司认为有更为便捷的方法能够解决这些问题，则贵公司需要遵守文件</w:t>
      </w:r>
      <w:r>
        <w:rPr>
          <w:rFonts w:ascii="宋体" w:hAnsi="宋体" w:eastAsia="宋体" w:cs="Arial"/>
          <w:szCs w:val="21"/>
        </w:rPr>
        <w:t>“</w:t>
      </w:r>
      <w:r>
        <w:rPr>
          <w:rFonts w:ascii="Arial" w:hAnsi="Arial" w:eastAsia="宋体" w:cs="Arial"/>
          <w:color w:val="0070C0"/>
          <w:szCs w:val="21"/>
        </w:rPr>
        <w:t>解决最小负担问题的建议方法</w:t>
      </w:r>
      <w:r>
        <w:rPr>
          <w:rFonts w:ascii="宋体" w:hAnsi="宋体" w:eastAsia="宋体" w:cs="Arial"/>
          <w:szCs w:val="21"/>
        </w:rPr>
        <w:t>”</w:t>
      </w:r>
      <w:r>
        <w:rPr>
          <w:rFonts w:ascii="Arial" w:hAnsi="Arial" w:eastAsia="宋体" w:cs="Arial"/>
          <w:szCs w:val="21"/>
        </w:rPr>
        <w:t>中所述的流程。</w:t>
      </w:r>
    </w:p>
    <w:p w14:paraId="6BA97A32">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6B5D8043">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背景</w:t>
      </w:r>
    </w:p>
    <w:p w14:paraId="7C6E8A11">
      <w:pPr>
        <w:widowControl/>
        <w:jc w:val="left"/>
        <w:rPr>
          <w:rFonts w:ascii="Arial" w:hAnsi="Arial" w:eastAsia="宋体" w:cs="Arial"/>
          <w:szCs w:val="21"/>
        </w:rPr>
      </w:pPr>
      <w:r>
        <w:rPr>
          <w:rFonts w:ascii="Arial" w:hAnsi="Arial" w:eastAsia="宋体" w:cs="Arial"/>
          <w:szCs w:val="21"/>
        </w:rPr>
        <w:br w:type="page"/>
      </w:r>
    </w:p>
    <w:p w14:paraId="07EC5771">
      <w:pPr>
        <w:snapToGrid w:val="0"/>
        <w:spacing w:after="240" w:line="300" w:lineRule="auto"/>
        <w:rPr>
          <w:rFonts w:ascii="Arial" w:hAnsi="Arial" w:eastAsia="宋体" w:cs="Arial"/>
          <w:szCs w:val="21"/>
        </w:rPr>
      </w:pPr>
      <w:r>
        <w:rPr>
          <w:rFonts w:ascii="Arial" w:hAnsi="Arial" w:eastAsia="宋体" w:cs="Arial"/>
          <w:szCs w:val="21"/>
        </w:rPr>
        <w:t>FDA认为，特殊控制与一般控制措施相结合将足够为辅助生殖激光系统的安全性和有效性提供合理的保证。因此，希望销售此类器械的制造商应该（1）遵守《联邦食品、药品和化妆品法案》（法案）的一般控制规定，包括21 CFR 807的E部分中描述的上市前通告的要求，（2）解决本指南中确定的辅助生殖激光系统相关的具体健康风险，以及（3）在销售器械之前，从FDA获得实质等同性的测定。（另见</w:t>
      </w:r>
      <w:r>
        <w:rPr>
          <w:rFonts w:ascii="Arial" w:hAnsi="Arial" w:eastAsia="宋体" w:cs="Arial"/>
          <w:color w:val="0070C0"/>
          <w:szCs w:val="21"/>
        </w:rPr>
        <w:t>21 CFR 807.85</w:t>
      </w:r>
      <w:r>
        <w:rPr>
          <w:rFonts w:ascii="Arial" w:hAnsi="Arial" w:eastAsia="宋体" w:cs="Arial"/>
          <w:szCs w:val="21"/>
        </w:rPr>
        <w:t>。）</w:t>
      </w:r>
    </w:p>
    <w:p w14:paraId="438FFFDB">
      <w:pPr>
        <w:snapToGrid w:val="0"/>
        <w:spacing w:after="240" w:line="300" w:lineRule="auto"/>
        <w:rPr>
          <w:rFonts w:ascii="Arial" w:hAnsi="Arial" w:eastAsia="宋体" w:cs="Arial"/>
          <w:szCs w:val="21"/>
        </w:rPr>
      </w:pPr>
      <w:r>
        <w:rPr>
          <w:rFonts w:ascii="Arial" w:hAnsi="Arial" w:eastAsia="宋体" w:cs="Arial"/>
          <w:szCs w:val="21"/>
        </w:rPr>
        <w:t>该特殊控制指导性文件确定了辅助再生激光系统的分类法规和产品代码（请参阅</w:t>
      </w:r>
      <w:r>
        <w:rPr>
          <w:rFonts w:hint="eastAsia" w:ascii="Arial" w:hAnsi="Arial" w:eastAsia="宋体" w:cs="Arial"/>
          <w:b/>
          <w:color w:val="0070C0"/>
          <w:szCs w:val="21"/>
        </w:rPr>
        <w:t>第</w:t>
      </w:r>
      <w:r>
        <w:rPr>
          <w:rFonts w:ascii="Arial" w:hAnsi="Arial" w:eastAsia="宋体" w:cs="Arial"/>
          <w:b/>
          <w:color w:val="0070C0"/>
          <w:szCs w:val="21"/>
        </w:rPr>
        <w:t>4</w:t>
      </w:r>
      <w:r>
        <w:rPr>
          <w:rFonts w:hint="eastAsia" w:ascii="Arial" w:hAnsi="Arial" w:eastAsia="宋体" w:cs="Arial"/>
          <w:b/>
          <w:color w:val="0070C0"/>
          <w:szCs w:val="21"/>
        </w:rPr>
        <w:t>部分范围</w:t>
      </w:r>
      <w:r>
        <w:rPr>
          <w:rFonts w:ascii="Arial" w:hAnsi="Arial" w:eastAsia="宋体" w:cs="Arial"/>
          <w:szCs w:val="21"/>
        </w:rPr>
        <w:t>）。此外，本特殊控制指导性文件的其他章节列出了FDA所确定的健康风险，并描述了相关措施，即如果制造商遵循这些措施并结合一般控制措施，将会解决与辅助生殖激光系统有关的风险，从而可以及时通过上市前通告【510（k）】审查和许可。本文件补充了有关510（k）提交内容要求的其他FDA文件。贵公司还应参考CDRH的</w:t>
      </w:r>
      <w:r>
        <w:rPr>
          <w:rFonts w:hint="eastAsia" w:ascii="Arial" w:hAnsi="Arial" w:eastAsia="宋体" w:cs="Arial"/>
          <w:b/>
          <w:color w:val="0070C0"/>
          <w:szCs w:val="21"/>
        </w:rPr>
        <w:t>器械建议</w:t>
      </w:r>
      <w:r>
        <w:rPr>
          <w:rFonts w:ascii="Arial" w:hAnsi="Arial" w:eastAsia="宋体" w:cs="Arial"/>
          <w:szCs w:val="21"/>
        </w:rPr>
        <w:t>和</w:t>
      </w:r>
      <w:r>
        <w:rPr>
          <w:rFonts w:ascii="Arial" w:hAnsi="Arial" w:eastAsia="宋体" w:cs="Arial"/>
          <w:color w:val="0070C0"/>
          <w:szCs w:val="21"/>
        </w:rPr>
        <w:t>21 CFR § 807.87</w:t>
      </w:r>
      <w:r>
        <w:rPr>
          <w:rFonts w:ascii="Arial" w:hAnsi="Arial" w:eastAsia="宋体" w:cs="Arial"/>
          <w:szCs w:val="21"/>
        </w:rPr>
        <w:t>。</w:t>
      </w:r>
    </w:p>
    <w:p w14:paraId="597237B0">
      <w:pPr>
        <w:snapToGrid w:val="0"/>
        <w:spacing w:after="240" w:line="300" w:lineRule="auto"/>
        <w:rPr>
          <w:rFonts w:ascii="Arial" w:hAnsi="Arial" w:eastAsia="宋体" w:cs="Arial"/>
          <w:szCs w:val="21"/>
        </w:rPr>
      </w:pPr>
      <w:r>
        <w:rPr>
          <w:rFonts w:ascii="Arial" w:hAnsi="Arial" w:eastAsia="宋体" w:cs="Arial"/>
          <w:szCs w:val="21"/>
        </w:rPr>
        <w:t>如标题为《</w:t>
      </w:r>
      <w:r>
        <w:rPr>
          <w:rFonts w:ascii="Arial" w:hAnsi="Arial" w:eastAsia="宋体" w:cs="Arial"/>
          <w:b/>
          <w:color w:val="0070C0"/>
          <w:szCs w:val="21"/>
        </w:rPr>
        <w:t>新510（k）范式——在上市前通告中证明实质等同性的替代方法；最终指南</w:t>
      </w:r>
      <w:r>
        <w:rPr>
          <w:rFonts w:ascii="Arial" w:hAnsi="Arial" w:eastAsia="宋体" w:cs="Arial"/>
          <w:szCs w:val="21"/>
        </w:rPr>
        <w:t>》的指南中所述，制造商可以提交传统510（k），也可以选择提交简化510（k）或特殊510（k）。FDA认为，简化510（k）提供了表明新器械实质等同性的最小负担的方法，特别是在发布了II类特别控制指导性文件后。考虑对已许可的器械进行修订的制造商可以通过提交特殊510（k）来减轻监管负担。</w:t>
      </w:r>
    </w:p>
    <w:p w14:paraId="2D9428CF">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524C35CC">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简化510（k）提交的内容和格式</w:t>
      </w:r>
    </w:p>
    <w:p w14:paraId="6E0C4F39">
      <w:pPr>
        <w:snapToGrid w:val="0"/>
        <w:spacing w:after="240" w:line="300" w:lineRule="auto"/>
        <w:rPr>
          <w:rFonts w:ascii="Arial" w:hAnsi="Arial" w:eastAsia="宋体" w:cs="Arial"/>
          <w:szCs w:val="21"/>
        </w:rPr>
      </w:pPr>
      <w:r>
        <w:rPr>
          <w:rFonts w:ascii="Arial" w:hAnsi="Arial" w:eastAsia="宋体" w:cs="Arial"/>
          <w:szCs w:val="21"/>
        </w:rPr>
        <w:t>简化510（K）提交必须包括</w:t>
      </w:r>
      <w:r>
        <w:rPr>
          <w:rFonts w:ascii="Arial" w:hAnsi="Arial" w:eastAsia="宋体" w:cs="Arial"/>
          <w:color w:val="0070C0"/>
          <w:szCs w:val="21"/>
        </w:rPr>
        <w:t>21 CFR 807.87</w:t>
      </w:r>
      <w:r>
        <w:rPr>
          <w:rFonts w:ascii="Arial" w:hAnsi="Arial" w:eastAsia="宋体" w:cs="Arial"/>
          <w:szCs w:val="21"/>
        </w:rPr>
        <w:t>中规定的必备要素，包括足够用于描述器械、其预期用途及其使用说明的拟定标签。在简化510（k）中，FDA可以将汇总报告的内容视为21 CFR 807.87（f）或（g）所规定内容的适当的支持数据；因此，我们建议贵公司提供汇总报告。该报告应描述在器械开发和测试过程中使用此特殊控制指导性文件的方法，并应简要描述所使用的方法或测试，以及用于解决本文档中确定的风险以及贵公司器械特有的任何其他风险的测试数据的总结或应用的验收标准。本节提供了满足第807.87节一些要求的信息，以及我们建议贵公司在简化510（k）中包含的其他一些项目。</w:t>
      </w:r>
    </w:p>
    <w:p w14:paraId="48B8A886">
      <w:pPr>
        <w:widowControl/>
        <w:jc w:val="left"/>
        <w:rPr>
          <w:rFonts w:ascii="Arial" w:hAnsi="Arial" w:eastAsia="宋体" w:cs="Arial"/>
          <w:szCs w:val="21"/>
        </w:rPr>
      </w:pPr>
      <w:r>
        <w:rPr>
          <w:rFonts w:ascii="Arial" w:hAnsi="Arial" w:eastAsia="宋体" w:cs="Arial"/>
          <w:szCs w:val="21"/>
        </w:rPr>
        <w:br w:type="page"/>
      </w:r>
    </w:p>
    <w:p w14:paraId="2C7B464B">
      <w:pPr>
        <w:snapToGrid w:val="0"/>
        <w:spacing w:after="240" w:line="300" w:lineRule="auto"/>
        <w:rPr>
          <w:rFonts w:ascii="Arial" w:hAnsi="Arial" w:eastAsia="宋体" w:cs="Arial"/>
          <w:b/>
          <w:szCs w:val="21"/>
        </w:rPr>
      </w:pPr>
      <w:r>
        <w:rPr>
          <w:rFonts w:ascii="Arial" w:hAnsi="Arial" w:eastAsia="宋体" w:cs="Arial"/>
          <w:b/>
          <w:szCs w:val="21"/>
        </w:rPr>
        <w:t>封面</w:t>
      </w:r>
    </w:p>
    <w:p w14:paraId="3A1F0AD0">
      <w:pPr>
        <w:snapToGrid w:val="0"/>
        <w:spacing w:after="240" w:line="300" w:lineRule="auto"/>
        <w:rPr>
          <w:rFonts w:ascii="Arial" w:hAnsi="Arial" w:eastAsia="宋体" w:cs="Arial"/>
          <w:szCs w:val="21"/>
        </w:rPr>
      </w:pPr>
      <w:r>
        <w:rPr>
          <w:rFonts w:ascii="Arial" w:hAnsi="Arial" w:eastAsia="宋体" w:cs="Arial"/>
          <w:szCs w:val="21"/>
        </w:rPr>
        <w:t>封面应以明确标明该提交资料为简化510（k），并引用本特殊指导性文件的标题。</w:t>
      </w:r>
    </w:p>
    <w:p w14:paraId="27F29E69">
      <w:pPr>
        <w:snapToGrid w:val="0"/>
        <w:spacing w:after="240" w:line="300" w:lineRule="auto"/>
        <w:rPr>
          <w:rFonts w:ascii="Arial" w:hAnsi="Arial" w:eastAsia="宋体" w:cs="Arial"/>
          <w:b/>
          <w:szCs w:val="21"/>
        </w:rPr>
      </w:pPr>
      <w:r>
        <w:rPr>
          <w:rFonts w:ascii="Arial" w:hAnsi="Arial" w:eastAsia="宋体" w:cs="Arial"/>
          <w:b/>
          <w:szCs w:val="21"/>
        </w:rPr>
        <w:t>拟定标签</w:t>
      </w:r>
    </w:p>
    <w:p w14:paraId="0A9ACA33">
      <w:pPr>
        <w:snapToGrid w:val="0"/>
        <w:spacing w:after="240" w:line="300" w:lineRule="auto"/>
        <w:rPr>
          <w:rFonts w:ascii="Arial" w:hAnsi="Arial" w:eastAsia="宋体" w:cs="Arial"/>
          <w:szCs w:val="21"/>
        </w:rPr>
      </w:pPr>
      <w:r>
        <w:rPr>
          <w:rFonts w:ascii="Arial" w:hAnsi="Arial" w:eastAsia="宋体" w:cs="Arial"/>
          <w:szCs w:val="21"/>
        </w:rPr>
        <w:t>拟定标签应足以描述器械，其预期用途及其使用方法。（有关本指导性文件所涵盖器械类型标签中应包含的具体信息，请参阅</w:t>
      </w:r>
      <w:r>
        <w:rPr>
          <w:rFonts w:hint="eastAsia" w:ascii="Arial" w:hAnsi="Arial" w:eastAsia="宋体" w:cs="Arial"/>
          <w:b/>
          <w:color w:val="0070C0"/>
          <w:szCs w:val="21"/>
        </w:rPr>
        <w:t>第</w:t>
      </w:r>
      <w:r>
        <w:rPr>
          <w:rFonts w:ascii="Arial" w:hAnsi="Arial" w:eastAsia="宋体" w:cs="Arial"/>
          <w:b/>
          <w:color w:val="0070C0"/>
          <w:szCs w:val="21"/>
        </w:rPr>
        <w:t>13</w:t>
      </w:r>
      <w:r>
        <w:rPr>
          <w:rFonts w:hint="eastAsia" w:ascii="Arial" w:hAnsi="Arial" w:eastAsia="宋体" w:cs="Arial"/>
          <w:b/>
          <w:color w:val="0070C0"/>
          <w:szCs w:val="21"/>
        </w:rPr>
        <w:t>节</w:t>
      </w:r>
      <w:r>
        <w:rPr>
          <w:rFonts w:ascii="Arial" w:hAnsi="Arial" w:eastAsia="宋体" w:cs="Arial"/>
          <w:szCs w:val="21"/>
        </w:rPr>
        <w:t>。）</w:t>
      </w:r>
    </w:p>
    <w:p w14:paraId="1CF7153B">
      <w:pPr>
        <w:snapToGrid w:val="0"/>
        <w:spacing w:after="240" w:line="300" w:lineRule="auto"/>
        <w:rPr>
          <w:rFonts w:ascii="Arial" w:hAnsi="Arial" w:eastAsia="宋体" w:cs="Arial"/>
          <w:b/>
          <w:szCs w:val="21"/>
        </w:rPr>
      </w:pPr>
      <w:r>
        <w:rPr>
          <w:rFonts w:ascii="Arial" w:hAnsi="Arial" w:eastAsia="宋体" w:cs="Arial"/>
          <w:b/>
          <w:szCs w:val="21"/>
        </w:rPr>
        <w:t>汇总报告</w:t>
      </w:r>
    </w:p>
    <w:p w14:paraId="155D31AB">
      <w:pPr>
        <w:snapToGrid w:val="0"/>
        <w:spacing w:after="240" w:line="300" w:lineRule="auto"/>
        <w:rPr>
          <w:rFonts w:ascii="Arial" w:hAnsi="Arial" w:eastAsia="宋体" w:cs="Arial"/>
          <w:szCs w:val="21"/>
        </w:rPr>
      </w:pPr>
      <w:r>
        <w:rPr>
          <w:rFonts w:ascii="Arial" w:hAnsi="Arial" w:eastAsia="宋体" w:cs="Arial"/>
          <w:szCs w:val="21"/>
        </w:rPr>
        <w:t>我们建议汇总报告包含：</w:t>
      </w:r>
    </w:p>
    <w:p w14:paraId="007FAFC6">
      <w:pPr>
        <w:snapToGrid w:val="0"/>
        <w:spacing w:after="240" w:line="300" w:lineRule="auto"/>
        <w:rPr>
          <w:rFonts w:ascii="Arial" w:hAnsi="Arial" w:eastAsia="宋体" w:cs="Arial"/>
          <w:b/>
          <w:szCs w:val="21"/>
        </w:rPr>
      </w:pPr>
      <w:r>
        <w:rPr>
          <w:rFonts w:ascii="Arial" w:hAnsi="Arial" w:eastAsia="宋体" w:cs="Arial"/>
          <w:b/>
          <w:szCs w:val="21"/>
        </w:rPr>
        <w:t>器械描述及其预期用途</w:t>
      </w:r>
    </w:p>
    <w:p w14:paraId="4D2FE8C5">
      <w:pPr>
        <w:snapToGrid w:val="0"/>
        <w:spacing w:after="240" w:line="300" w:lineRule="auto"/>
        <w:rPr>
          <w:rFonts w:ascii="Arial" w:hAnsi="Arial" w:eastAsia="宋体" w:cs="Arial"/>
          <w:szCs w:val="21"/>
        </w:rPr>
      </w:pPr>
      <w:r>
        <w:rPr>
          <w:rFonts w:ascii="Arial" w:hAnsi="Arial" w:eastAsia="宋体" w:cs="Arial"/>
          <w:szCs w:val="21"/>
        </w:rPr>
        <w:t>我们建议描述包含对性能规格的完整讨论，以及详细标注的器械图纸（如适用）。关于我们建议贵公司在本指导性文件所涵盖器械类型的器械描述的具体信息，请参阅</w:t>
      </w:r>
      <w:r>
        <w:rPr>
          <w:rFonts w:hint="eastAsia" w:ascii="Arial" w:hAnsi="Arial" w:eastAsia="宋体" w:cs="Arial"/>
          <w:b/>
          <w:color w:val="0070C0"/>
          <w:szCs w:val="21"/>
        </w:rPr>
        <w:t>第</w:t>
      </w:r>
      <w:r>
        <w:rPr>
          <w:rFonts w:ascii="Arial" w:hAnsi="Arial" w:eastAsia="宋体" w:cs="Arial"/>
          <w:b/>
          <w:color w:val="0070C0"/>
          <w:szCs w:val="21"/>
        </w:rPr>
        <w:t>5</w:t>
      </w:r>
      <w:r>
        <w:rPr>
          <w:rFonts w:hint="eastAsia" w:ascii="Arial" w:hAnsi="Arial" w:eastAsia="宋体" w:cs="Arial"/>
          <w:b/>
          <w:color w:val="0070C0"/>
          <w:szCs w:val="21"/>
        </w:rPr>
        <w:t>章</w:t>
      </w:r>
      <w:r>
        <w:rPr>
          <w:rFonts w:ascii="Arial" w:hAnsi="Arial" w:eastAsia="宋体" w:cs="Arial"/>
          <w:b/>
          <w:color w:val="0070C0"/>
          <w:szCs w:val="21"/>
        </w:rPr>
        <w:t>.</w:t>
      </w:r>
      <w:r>
        <w:rPr>
          <w:rFonts w:hint="eastAsia" w:ascii="Arial" w:hAnsi="Arial" w:eastAsia="宋体" w:cs="Arial"/>
          <w:b/>
          <w:color w:val="0070C0"/>
          <w:szCs w:val="21"/>
        </w:rPr>
        <w:t>器械描述</w:t>
      </w:r>
      <w:r>
        <w:rPr>
          <w:rFonts w:ascii="Arial" w:hAnsi="Arial" w:eastAsia="宋体" w:cs="Arial"/>
          <w:szCs w:val="21"/>
        </w:rPr>
        <w:t>。贵公司还应该提交</w:t>
      </w:r>
      <w:r>
        <w:rPr>
          <w:rFonts w:ascii="宋体" w:hAnsi="宋体" w:eastAsia="宋体" w:cs="Arial"/>
          <w:szCs w:val="21"/>
        </w:rPr>
        <w:t>“</w:t>
      </w:r>
      <w:r>
        <w:rPr>
          <w:rFonts w:ascii="Arial" w:hAnsi="Arial" w:eastAsia="宋体" w:cs="Arial"/>
          <w:szCs w:val="21"/>
        </w:rPr>
        <w:t>适应症</w:t>
      </w:r>
      <w:r>
        <w:rPr>
          <w:rFonts w:ascii="宋体" w:hAnsi="宋体" w:eastAsia="宋体" w:cs="Arial"/>
          <w:szCs w:val="21"/>
        </w:rPr>
        <w:t>”</w:t>
      </w:r>
      <w:r>
        <w:rPr>
          <w:rFonts w:ascii="Arial" w:hAnsi="Arial" w:eastAsia="宋体" w:cs="Arial"/>
          <w:szCs w:val="21"/>
        </w:rPr>
        <w:t>附件。</w:t>
      </w:r>
      <w:r>
        <w:fldChar w:fldCharType="begin"/>
      </w:r>
      <w:r>
        <w:instrText xml:space="preserve"> HYPERLINK "https://www.fda.gov/MedicalDevices/DeviceRegulationandGuidance/GuidanceDocuments/ucm072067.htm" \l "f1" </w:instrText>
      </w:r>
      <w:r>
        <w:fldChar w:fldCharType="separate"/>
      </w:r>
      <w:r>
        <w:rPr>
          <w:rFonts w:ascii="Arial" w:hAnsi="Arial" w:eastAsia="宋体" w:cs="Arial"/>
          <w:color w:val="005F9F"/>
          <w:kern w:val="0"/>
          <w:szCs w:val="21"/>
          <w:vertAlign w:val="superscript"/>
          <w:lang w:val="en"/>
        </w:rPr>
        <w:t>1</w:t>
      </w:r>
      <w:r>
        <w:rPr>
          <w:rFonts w:ascii="Arial" w:hAnsi="Arial" w:eastAsia="宋体" w:cs="Arial"/>
          <w:color w:val="005F9F"/>
          <w:kern w:val="0"/>
          <w:szCs w:val="21"/>
          <w:vertAlign w:val="superscript"/>
          <w:lang w:val="en"/>
        </w:rPr>
        <w:fldChar w:fldCharType="end"/>
      </w:r>
    </w:p>
    <w:p w14:paraId="60954061">
      <w:pPr>
        <w:snapToGrid w:val="0"/>
        <w:spacing w:after="240" w:line="300" w:lineRule="auto"/>
        <w:rPr>
          <w:rFonts w:ascii="Arial" w:hAnsi="Arial" w:eastAsia="宋体" w:cs="Arial"/>
          <w:b/>
          <w:szCs w:val="21"/>
        </w:rPr>
      </w:pPr>
      <w:r>
        <w:rPr>
          <w:rFonts w:ascii="Arial" w:hAnsi="Arial" w:eastAsia="宋体" w:cs="Arial"/>
          <w:b/>
          <w:szCs w:val="21"/>
        </w:rPr>
        <w:t>器械设计要求的描述</w:t>
      </w:r>
    </w:p>
    <w:p w14:paraId="0E863F82">
      <w:pPr>
        <w:snapToGrid w:val="0"/>
        <w:spacing w:after="240" w:line="300" w:lineRule="auto"/>
        <w:rPr>
          <w:rFonts w:ascii="Arial" w:hAnsi="Arial" w:eastAsia="宋体" w:cs="Arial"/>
          <w:szCs w:val="21"/>
        </w:rPr>
      </w:pPr>
      <w:r>
        <w:rPr>
          <w:rFonts w:ascii="Arial" w:hAnsi="Arial" w:eastAsia="宋体" w:cs="Arial"/>
          <w:szCs w:val="21"/>
        </w:rPr>
        <w:t>我们建议贵公司包括对器械设计要求的简要说明。</w:t>
      </w:r>
    </w:p>
    <w:p w14:paraId="0D40D2D6">
      <w:pPr>
        <w:snapToGrid w:val="0"/>
        <w:spacing w:after="240" w:line="300" w:lineRule="auto"/>
        <w:rPr>
          <w:rFonts w:ascii="Arial" w:hAnsi="Arial" w:eastAsia="宋体" w:cs="Arial"/>
          <w:b/>
          <w:szCs w:val="21"/>
        </w:rPr>
      </w:pPr>
      <w:r>
        <w:rPr>
          <w:rFonts w:ascii="Arial" w:hAnsi="Arial" w:eastAsia="宋体" w:cs="Arial"/>
          <w:b/>
          <w:szCs w:val="21"/>
        </w:rPr>
        <w:t>确定风险分析方法</w:t>
      </w:r>
    </w:p>
    <w:p w14:paraId="6DEDBCE9">
      <w:pPr>
        <w:snapToGrid w:val="0"/>
        <w:spacing w:after="240" w:line="300" w:lineRule="auto"/>
        <w:rPr>
          <w:rFonts w:ascii="Arial" w:hAnsi="Arial" w:eastAsia="宋体" w:cs="Arial"/>
          <w:szCs w:val="21"/>
        </w:rPr>
      </w:pPr>
      <w:r>
        <w:rPr>
          <w:rFonts w:ascii="Arial" w:hAnsi="Arial" w:eastAsia="宋体" w:cs="Arial"/>
          <w:szCs w:val="21"/>
        </w:rPr>
        <w:t>我们建议贵公司确定用于评估风险预测的风险分析方法，一般还要包含具体器械的设计和分析结果。（关于FDA已确定与器械使用相关的健康风险，请参阅</w:t>
      </w:r>
      <w:r>
        <w:rPr>
          <w:rFonts w:hint="eastAsia" w:ascii="Arial" w:hAnsi="Arial" w:eastAsia="宋体" w:cs="Arial"/>
          <w:b/>
          <w:color w:val="0070C0"/>
          <w:szCs w:val="21"/>
        </w:rPr>
        <w:t>第</w:t>
      </w:r>
      <w:r>
        <w:rPr>
          <w:rFonts w:ascii="Arial" w:hAnsi="Arial" w:eastAsia="宋体" w:cs="Arial"/>
          <w:b/>
          <w:color w:val="0070C0"/>
          <w:szCs w:val="21"/>
        </w:rPr>
        <w:t>6</w:t>
      </w:r>
      <w:r>
        <w:rPr>
          <w:rFonts w:hint="eastAsia" w:ascii="Arial" w:hAnsi="Arial" w:eastAsia="宋体" w:cs="Arial"/>
          <w:b/>
          <w:color w:val="0070C0"/>
          <w:szCs w:val="21"/>
        </w:rPr>
        <w:t>章</w:t>
      </w:r>
      <w:r>
        <w:rPr>
          <w:rFonts w:ascii="Arial" w:hAnsi="Arial" w:eastAsia="宋体" w:cs="Arial"/>
          <w:b/>
          <w:color w:val="0070C0"/>
          <w:szCs w:val="21"/>
        </w:rPr>
        <w:t>.</w:t>
      </w:r>
      <w:r>
        <w:rPr>
          <w:rFonts w:hint="eastAsia" w:ascii="Arial" w:hAnsi="Arial" w:eastAsia="宋体" w:cs="Arial"/>
          <w:b/>
          <w:color w:val="0070C0"/>
          <w:szCs w:val="21"/>
        </w:rPr>
        <w:t>健康风险</w:t>
      </w:r>
      <w:r>
        <w:rPr>
          <w:rFonts w:ascii="Arial" w:hAnsi="Arial" w:eastAsia="宋体" w:cs="Arial"/>
          <w:szCs w:val="21"/>
        </w:rPr>
        <w:t>）</w:t>
      </w:r>
    </w:p>
    <w:p w14:paraId="27B28788">
      <w:pPr>
        <w:snapToGrid w:val="0"/>
        <w:spacing w:after="240" w:line="300" w:lineRule="auto"/>
        <w:rPr>
          <w:rFonts w:ascii="Arial" w:hAnsi="Arial" w:eastAsia="宋体" w:cs="Arial"/>
          <w:b/>
          <w:szCs w:val="21"/>
        </w:rPr>
      </w:pPr>
      <w:r>
        <w:rPr>
          <w:rFonts w:ascii="Arial" w:hAnsi="Arial" w:eastAsia="宋体" w:cs="Arial"/>
          <w:b/>
          <w:szCs w:val="21"/>
        </w:rPr>
        <w:t>器械特性的讨论</w:t>
      </w:r>
    </w:p>
    <w:p w14:paraId="776916A1">
      <w:pPr>
        <w:snapToGrid w:val="0"/>
        <w:spacing w:after="240" w:line="300" w:lineRule="auto"/>
        <w:rPr>
          <w:rFonts w:ascii="Arial" w:hAnsi="Arial" w:eastAsia="宋体" w:cs="Arial"/>
          <w:szCs w:val="21"/>
        </w:rPr>
      </w:pPr>
      <w:r>
        <w:rPr>
          <w:rFonts w:ascii="Arial" w:hAnsi="Arial" w:eastAsia="宋体" w:cs="Arial"/>
          <w:szCs w:val="21"/>
        </w:rPr>
        <w:t>我们建议贵公司讨论能够解决II类特别控制指导性文件中已确定风险的器械特性，以及贵公司在风险分析中确定的任何其他风险。</w:t>
      </w:r>
    </w:p>
    <w:p w14:paraId="1E4F7C05">
      <w:pPr>
        <w:snapToGrid w:val="0"/>
        <w:spacing w:after="240" w:line="300" w:lineRule="auto"/>
        <w:rPr>
          <w:rFonts w:ascii="Arial" w:hAnsi="Arial" w:eastAsia="宋体" w:cs="Arial"/>
          <w:b/>
          <w:szCs w:val="21"/>
        </w:rPr>
      </w:pPr>
      <w:r>
        <w:rPr>
          <w:rFonts w:ascii="Arial" w:hAnsi="Arial" w:eastAsia="宋体" w:cs="Arial"/>
          <w:b/>
          <w:szCs w:val="21"/>
        </w:rPr>
        <w:t>性能方面的描述</w:t>
      </w:r>
    </w:p>
    <w:p w14:paraId="60D7A40D">
      <w:pPr>
        <w:snapToGrid w:val="0"/>
        <w:spacing w:after="240" w:line="300" w:lineRule="auto"/>
        <w:rPr>
          <w:rFonts w:ascii="Arial" w:hAnsi="Arial" w:eastAsia="宋体" w:cs="Arial"/>
          <w:szCs w:val="21"/>
        </w:rPr>
      </w:pPr>
      <w:r>
        <w:rPr>
          <w:rFonts w:ascii="Arial" w:hAnsi="Arial" w:eastAsia="宋体" w:cs="Arial"/>
          <w:szCs w:val="21"/>
        </w:rPr>
        <w:t>我们建议贵公司简要说明贵公司为了解决本II类特别控制指导性文件</w:t>
      </w:r>
      <w:r>
        <w:rPr>
          <w:rFonts w:hint="eastAsia" w:ascii="Arial" w:hAnsi="Arial" w:eastAsia="宋体" w:cs="Arial"/>
          <w:b/>
          <w:szCs w:val="21"/>
        </w:rPr>
        <w:t>第</w:t>
      </w:r>
      <w:r>
        <w:rPr>
          <w:rFonts w:ascii="Arial" w:hAnsi="Arial" w:eastAsia="宋体" w:cs="Arial"/>
          <w:b/>
          <w:szCs w:val="21"/>
        </w:rPr>
        <w:t>7-12</w:t>
      </w:r>
      <w:r>
        <w:rPr>
          <w:rFonts w:hint="eastAsia" w:ascii="Arial" w:hAnsi="Arial" w:eastAsia="宋体" w:cs="Arial"/>
          <w:b/>
          <w:szCs w:val="21"/>
        </w:rPr>
        <w:t>章</w:t>
      </w:r>
      <w:r>
        <w:rPr>
          <w:rFonts w:ascii="Arial" w:hAnsi="Arial" w:eastAsia="宋体" w:cs="Arial"/>
          <w:szCs w:val="21"/>
        </w:rPr>
        <w:t>中确定的各个性能方面所使用或打算使用的测试方法。如果贵公司采用了建议的测试方法，贵公司可以引用该方法而不必描述。如果贵公司对建议的测试方法做出了修订，贵公司可以引用该方法，但应提供足够的信息来说明修订的性质和原因。对于每项测试，贵公司可以（1）以清晰简洁的形式简要介绍测试结果，如表格形式，</w:t>
      </w:r>
      <w:r>
        <w:rPr>
          <w:rFonts w:hint="eastAsia" w:ascii="Arial" w:hAnsi="Arial" w:eastAsia="宋体" w:cs="Arial"/>
          <w:b/>
          <w:szCs w:val="21"/>
        </w:rPr>
        <w:t>或</w:t>
      </w:r>
      <w:r>
        <w:rPr>
          <w:rFonts w:ascii="Arial" w:hAnsi="Arial" w:eastAsia="宋体" w:cs="Arial"/>
          <w:szCs w:val="21"/>
        </w:rPr>
        <w:t>（2）描述贵公司将应用于测试结果的验收标准。（另见</w:t>
      </w:r>
      <w:r>
        <w:rPr>
          <w:rFonts w:ascii="Arial" w:hAnsi="Arial" w:eastAsia="宋体" w:cs="Arial"/>
          <w:color w:val="0070C0"/>
          <w:szCs w:val="21"/>
        </w:rPr>
        <w:t>21 CFR 820.30</w:t>
      </w:r>
      <w:r>
        <w:rPr>
          <w:rFonts w:ascii="Arial" w:hAnsi="Arial" w:eastAsia="宋体" w:cs="Arial"/>
          <w:szCs w:val="21"/>
        </w:rPr>
        <w:t>，C部分—质量体系规范的设计控制。）</w:t>
      </w:r>
    </w:p>
    <w:p w14:paraId="75B75192">
      <w:pPr>
        <w:widowControl/>
        <w:jc w:val="left"/>
        <w:rPr>
          <w:rFonts w:ascii="Arial" w:hAnsi="Arial" w:eastAsia="宋体" w:cs="Arial"/>
          <w:b/>
          <w:szCs w:val="21"/>
        </w:rPr>
      </w:pPr>
      <w:r>
        <w:rPr>
          <w:rFonts w:ascii="Arial" w:hAnsi="Arial" w:eastAsia="宋体" w:cs="Arial"/>
          <w:b/>
          <w:szCs w:val="21"/>
        </w:rPr>
        <w:br w:type="page"/>
      </w:r>
    </w:p>
    <w:p w14:paraId="7A156F4A">
      <w:pPr>
        <w:snapToGrid w:val="0"/>
        <w:spacing w:after="240" w:line="300" w:lineRule="auto"/>
        <w:rPr>
          <w:rFonts w:ascii="Arial" w:hAnsi="Arial" w:eastAsia="宋体" w:cs="Arial"/>
          <w:b/>
          <w:szCs w:val="21"/>
        </w:rPr>
      </w:pPr>
      <w:r>
        <w:rPr>
          <w:rFonts w:ascii="Arial" w:hAnsi="Arial" w:eastAsia="宋体" w:cs="Arial"/>
          <w:b/>
          <w:szCs w:val="21"/>
        </w:rPr>
        <w:t>标准依从</w:t>
      </w:r>
    </w:p>
    <w:p w14:paraId="553160A9">
      <w:pPr>
        <w:snapToGrid w:val="0"/>
        <w:spacing w:after="240" w:line="300" w:lineRule="auto"/>
        <w:rPr>
          <w:rFonts w:ascii="Arial" w:hAnsi="Arial" w:eastAsia="宋体" w:cs="Arial"/>
          <w:szCs w:val="21"/>
        </w:rPr>
      </w:pPr>
      <w:r>
        <w:rPr>
          <w:rFonts w:ascii="Arial" w:hAnsi="Arial" w:eastAsia="宋体" w:cs="Arial"/>
          <w:szCs w:val="21"/>
        </w:rPr>
        <w:t>如果贵公司选择在器械设计或测试的任何部分遵从认可的标准，则贵公司可以包括以下内容：</w:t>
      </w:r>
    </w:p>
    <w:p w14:paraId="72516346">
      <w:pPr>
        <w:pStyle w:val="8"/>
        <w:numPr>
          <w:ilvl w:val="0"/>
          <w:numId w:val="4"/>
        </w:numPr>
        <w:snapToGrid w:val="0"/>
        <w:spacing w:after="240" w:line="300" w:lineRule="auto"/>
        <w:ind w:firstLine="0" w:firstLineChars="0"/>
        <w:rPr>
          <w:rFonts w:ascii="Arial" w:hAnsi="Arial" w:eastAsia="宋体" w:cs="Arial"/>
          <w:szCs w:val="21"/>
        </w:rPr>
      </w:pPr>
      <w:r>
        <w:rPr>
          <w:rFonts w:ascii="Arial" w:hAnsi="Arial" w:eastAsia="宋体" w:cs="Arial"/>
          <w:szCs w:val="21"/>
        </w:rPr>
        <w:t>在产品上市之前，将针对特定的验收标准进行符合性评估的声明；或</w:t>
      </w:r>
    </w:p>
    <w:p w14:paraId="004A09D7">
      <w:pPr>
        <w:pStyle w:val="8"/>
        <w:numPr>
          <w:ilvl w:val="0"/>
          <w:numId w:val="4"/>
        </w:numPr>
        <w:snapToGrid w:val="0"/>
        <w:spacing w:after="240" w:line="300" w:lineRule="auto"/>
        <w:ind w:firstLine="0" w:firstLineChars="0"/>
        <w:rPr>
          <w:rFonts w:ascii="Arial" w:hAnsi="Arial" w:eastAsia="宋体" w:cs="Arial"/>
          <w:szCs w:val="21"/>
        </w:rPr>
      </w:pPr>
      <w:r>
        <w:rPr>
          <w:rFonts w:ascii="Arial" w:hAnsi="Arial" w:eastAsia="宋体" w:cs="Arial"/>
          <w:szCs w:val="21"/>
        </w:rPr>
        <w:t>标准</w:t>
      </w:r>
      <w:r>
        <w:rPr>
          <w:rFonts w:hint="eastAsia" w:ascii="Arial" w:hAnsi="Arial" w:eastAsia="宋体" w:cs="Arial"/>
          <w:szCs w:val="21"/>
        </w:rPr>
        <w:t>符合性声明</w:t>
      </w:r>
      <w:r>
        <w:rPr>
          <w:rFonts w:ascii="Arial" w:hAnsi="Arial" w:eastAsia="宋体" w:cs="Arial"/>
          <w:szCs w:val="21"/>
        </w:rPr>
        <w:t>。</w:t>
      </w:r>
      <w:r>
        <w:fldChar w:fldCharType="begin"/>
      </w:r>
      <w:r>
        <w:instrText xml:space="preserve"> HYPERLINK "https://www.fda.gov/MedicalDevices/DeviceRegulationandGuidance/GuidanceDocuments/ucm072067.htm" \l "f3" </w:instrText>
      </w:r>
      <w:r>
        <w:fldChar w:fldCharType="separate"/>
      </w:r>
      <w:r>
        <w:rPr>
          <w:rFonts w:ascii="Arial" w:hAnsi="Arial" w:eastAsia="宋体" w:cs="Arial"/>
          <w:color w:val="005F9F"/>
          <w:kern w:val="0"/>
          <w:szCs w:val="21"/>
          <w:vertAlign w:val="superscript"/>
          <w:lang w:val="en"/>
        </w:rPr>
        <w:t>3</w:t>
      </w:r>
      <w:r>
        <w:rPr>
          <w:rFonts w:ascii="Arial" w:hAnsi="Arial" w:eastAsia="宋体" w:cs="Arial"/>
          <w:color w:val="005F9F"/>
          <w:kern w:val="0"/>
          <w:szCs w:val="21"/>
          <w:vertAlign w:val="superscript"/>
          <w:lang w:val="en"/>
        </w:rPr>
        <w:fldChar w:fldCharType="end"/>
      </w:r>
    </w:p>
    <w:p w14:paraId="5DF03CEF">
      <w:pPr>
        <w:snapToGrid w:val="0"/>
        <w:spacing w:after="240" w:line="300" w:lineRule="auto"/>
        <w:rPr>
          <w:rFonts w:ascii="Arial" w:hAnsi="Arial" w:eastAsia="宋体" w:cs="Arial"/>
          <w:szCs w:val="21"/>
        </w:rPr>
      </w:pPr>
      <w:r>
        <w:rPr>
          <w:rFonts w:ascii="Arial" w:hAnsi="Arial" w:eastAsia="宋体" w:cs="Arial"/>
          <w:szCs w:val="21"/>
        </w:rPr>
        <w:t>因为符合性声明基于符合性评估结果，因此我们认为贵公司在完成符合性评估（例如，标准规定的测试）之后才可以提交符合性评估。有关更多信息，请参阅法案的第514（c）（1）（B）条和FDA指南</w:t>
      </w:r>
      <w:r>
        <w:rPr>
          <w:rFonts w:ascii="Arial" w:hAnsi="Arial" w:eastAsia="宋体" w:cs="Arial"/>
          <w:color w:val="0070C0"/>
          <w:szCs w:val="21"/>
        </w:rPr>
        <w:t>《实质等同性测定的标准使用；行业和FDA最终指南》</w:t>
      </w:r>
      <w:r>
        <w:rPr>
          <w:rFonts w:ascii="Arial" w:hAnsi="Arial" w:eastAsia="宋体" w:cs="Arial"/>
          <w:szCs w:val="21"/>
        </w:rPr>
        <w:t>。</w:t>
      </w:r>
    </w:p>
    <w:p w14:paraId="09BF5789">
      <w:pPr>
        <w:snapToGrid w:val="0"/>
        <w:spacing w:after="240" w:line="300" w:lineRule="auto"/>
        <w:rPr>
          <w:rFonts w:ascii="Arial" w:hAnsi="Arial" w:eastAsia="宋体" w:cs="Arial"/>
          <w:szCs w:val="21"/>
        </w:rPr>
      </w:pPr>
      <w:r>
        <w:rPr>
          <w:rFonts w:ascii="Arial" w:hAnsi="Arial" w:eastAsia="宋体" w:cs="Arial"/>
          <w:szCs w:val="21"/>
        </w:rPr>
        <w:t>如果贵公司不清楚如何解决FDA确定的风险或通过贵公司风险分析确定的其他风险，我们可能会要求有关器械性能特征方面的其他信息。如果我们需要其它信息来评估贵公司的验收标准的适当性，我们也可能会要求提供这些信息。（根据21 CFR 807.87（l），我们可能会要求提供任何必要的补充信息来进行实质等同性的测定。）</w:t>
      </w:r>
    </w:p>
    <w:p w14:paraId="2A788C77">
      <w:pPr>
        <w:snapToGrid w:val="0"/>
        <w:spacing w:after="240" w:line="300" w:lineRule="auto"/>
        <w:rPr>
          <w:rFonts w:ascii="Arial" w:hAnsi="Arial" w:eastAsia="宋体" w:cs="Arial"/>
          <w:szCs w:val="21"/>
        </w:rPr>
      </w:pPr>
      <w:r>
        <w:rPr>
          <w:rFonts w:ascii="Arial" w:hAnsi="Arial" w:eastAsia="宋体" w:cs="Arial"/>
          <w:szCs w:val="21"/>
        </w:rPr>
        <w:t>作为提交简化510（k）的替代方案，贵公司可以提交传统510（k），提供21 CFR 807.87中所要求和本指南中所描述的所有信息和数据。传统510（k）应包括贵公司的所有方法、数据、验收标准和结论。考虑修订自己已许可器械的制造商应考虑提交特殊510（k）。</w:t>
      </w:r>
    </w:p>
    <w:p w14:paraId="50734C6D">
      <w:pPr>
        <w:snapToGrid w:val="0"/>
        <w:spacing w:after="240" w:line="300" w:lineRule="auto"/>
        <w:rPr>
          <w:rFonts w:ascii="Arial" w:hAnsi="Arial" w:eastAsia="宋体" w:cs="Arial"/>
          <w:szCs w:val="21"/>
        </w:rPr>
      </w:pPr>
      <w:r>
        <w:rPr>
          <w:rFonts w:ascii="Arial" w:hAnsi="Arial" w:eastAsia="宋体" w:cs="Arial"/>
          <w:szCs w:val="21"/>
        </w:rPr>
        <w:t>上述一般性讨论适用于受特殊控制指导性文件约束的任何器械。以下是有关如何将此特殊控制指导性文件应用于辅助生殖激光系统的上市前通告提交的具体讨论。</w:t>
      </w:r>
    </w:p>
    <w:p w14:paraId="4B1D1806">
      <w:pPr>
        <w:snapToGrid w:val="0"/>
        <w:spacing w:after="240" w:line="300" w:lineRule="auto"/>
        <w:rPr>
          <w:rFonts w:ascii="Arial" w:hAnsi="Arial" w:eastAsia="宋体" w:cs="Arial"/>
          <w:szCs w:val="21"/>
        </w:rPr>
      </w:pPr>
      <w:r>
        <w:rPr>
          <w:rFonts w:ascii="Arial" w:hAnsi="Arial" w:eastAsia="宋体" w:cs="Arial"/>
          <w:szCs w:val="21"/>
        </w:rPr>
        <w:t>回到顶部</w:t>
      </w:r>
    </w:p>
    <w:p w14:paraId="0FC95A67">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范围</w:t>
      </w:r>
    </w:p>
    <w:p w14:paraId="5AF6DC68">
      <w:pPr>
        <w:snapToGrid w:val="0"/>
        <w:spacing w:after="240" w:line="300" w:lineRule="auto"/>
        <w:rPr>
          <w:rFonts w:ascii="Arial" w:hAnsi="Arial" w:eastAsia="宋体" w:cs="Arial"/>
          <w:szCs w:val="21"/>
        </w:rPr>
      </w:pPr>
      <w:r>
        <w:rPr>
          <w:rFonts w:ascii="Arial" w:hAnsi="Arial" w:eastAsia="宋体" w:cs="Arial"/>
          <w:szCs w:val="21"/>
        </w:rPr>
        <w:t>本文档的范围仅限于下述器械范围。</w:t>
      </w:r>
    </w:p>
    <w:p w14:paraId="64B5C5C3">
      <w:pPr>
        <w:snapToGrid w:val="0"/>
        <w:spacing w:after="240" w:line="300" w:lineRule="auto"/>
        <w:rPr>
          <w:rFonts w:ascii="Arial" w:hAnsi="Arial" w:eastAsia="宋体" w:cs="Arial"/>
          <w:szCs w:val="21"/>
        </w:rPr>
      </w:pPr>
      <w:r>
        <w:rPr>
          <w:rFonts w:ascii="Arial" w:hAnsi="Arial" w:eastAsia="宋体" w:cs="Arial"/>
          <w:szCs w:val="21"/>
        </w:rPr>
        <w:t>辅助生殖激光系统，法规编号21 CFR § 884.6200和产品代码MRX。</w:t>
      </w:r>
    </w:p>
    <w:p w14:paraId="720AF036">
      <w:pPr>
        <w:widowControl/>
        <w:jc w:val="left"/>
        <w:rPr>
          <w:rFonts w:ascii="Arial" w:hAnsi="Arial" w:eastAsia="宋体" w:cs="Arial"/>
          <w:szCs w:val="21"/>
        </w:rPr>
      </w:pPr>
      <w:bookmarkStart w:id="1" w:name="OLE_LINK7"/>
      <w:r>
        <w:rPr>
          <w:rFonts w:ascii="Arial" w:hAnsi="Arial" w:eastAsia="宋体" w:cs="Arial"/>
          <w:szCs w:val="21"/>
        </w:rPr>
        <w:br w:type="page"/>
      </w:r>
    </w:p>
    <w:p w14:paraId="291E8FE9">
      <w:pPr>
        <w:snapToGrid w:val="0"/>
        <w:spacing w:after="240" w:line="300" w:lineRule="auto"/>
        <w:rPr>
          <w:rFonts w:ascii="Arial" w:hAnsi="Arial" w:eastAsia="宋体" w:cs="Arial"/>
          <w:szCs w:val="21"/>
        </w:rPr>
      </w:pPr>
      <w:r>
        <w:rPr>
          <w:rFonts w:ascii="Arial" w:hAnsi="Arial" w:eastAsia="宋体" w:cs="Arial"/>
          <w:szCs w:val="21"/>
        </w:rPr>
        <w:t>辅助生殖激光系统</w:t>
      </w:r>
      <w:bookmarkEnd w:id="1"/>
      <w:r>
        <w:rPr>
          <w:rFonts w:ascii="Arial" w:hAnsi="Arial" w:eastAsia="宋体" w:cs="Arial"/>
          <w:szCs w:val="21"/>
        </w:rPr>
        <w:t>能够成像、定位并控制激光束的功率和脉冲持续时间，用于在胚胎透明带中消融形成小切向孔，或使得胚胎透明带变薄，用于辅助孵化或其他辅助生殖过程。</w:t>
      </w:r>
    </w:p>
    <w:p w14:paraId="2115160A">
      <w:pPr>
        <w:snapToGrid w:val="0"/>
        <w:spacing w:after="240" w:line="300" w:lineRule="auto"/>
        <w:rPr>
          <w:rFonts w:ascii="Arial" w:hAnsi="Arial" w:eastAsia="宋体" w:cs="Arial"/>
          <w:szCs w:val="21"/>
        </w:rPr>
      </w:pPr>
      <w:r>
        <w:rPr>
          <w:rFonts w:ascii="Arial" w:hAnsi="Arial" w:eastAsia="宋体" w:cs="Arial"/>
          <w:szCs w:val="21"/>
        </w:rPr>
        <w:t>回到顶部</w:t>
      </w:r>
    </w:p>
    <w:p w14:paraId="772B22A9">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器械描述</w:t>
      </w:r>
    </w:p>
    <w:p w14:paraId="3DCD19EA">
      <w:pPr>
        <w:snapToGrid w:val="0"/>
        <w:spacing w:after="240" w:line="300" w:lineRule="auto"/>
        <w:rPr>
          <w:rFonts w:ascii="Arial" w:hAnsi="Arial" w:eastAsia="宋体" w:cs="Arial"/>
          <w:szCs w:val="21"/>
        </w:rPr>
      </w:pPr>
      <w:r>
        <w:rPr>
          <w:rFonts w:ascii="Arial" w:hAnsi="Arial" w:eastAsia="宋体" w:cs="Arial"/>
          <w:szCs w:val="21"/>
        </w:rPr>
        <w:t>我们建议贵公司使用</w:t>
      </w:r>
      <w:r>
        <w:rPr>
          <w:rFonts w:hint="eastAsia" w:ascii="Arial" w:hAnsi="Arial" w:eastAsia="宋体" w:cs="Arial"/>
          <w:b/>
          <w:szCs w:val="21"/>
        </w:rPr>
        <w:t>第</w:t>
      </w:r>
      <w:r>
        <w:rPr>
          <w:rFonts w:ascii="Arial" w:hAnsi="Arial" w:eastAsia="宋体" w:cs="Arial"/>
          <w:b/>
          <w:szCs w:val="21"/>
        </w:rPr>
        <w:t>4</w:t>
      </w:r>
      <w:r>
        <w:rPr>
          <w:rFonts w:hint="eastAsia" w:ascii="Arial" w:hAnsi="Arial" w:eastAsia="宋体" w:cs="Arial"/>
          <w:b/>
          <w:szCs w:val="21"/>
        </w:rPr>
        <w:t>章</w:t>
      </w:r>
      <w:r>
        <w:rPr>
          <w:rFonts w:ascii="Arial" w:hAnsi="Arial" w:eastAsia="宋体" w:cs="Arial"/>
          <w:szCs w:val="21"/>
        </w:rPr>
        <w:t>.</w:t>
      </w:r>
      <w:r>
        <w:rPr>
          <w:rFonts w:hint="eastAsia" w:ascii="Arial" w:hAnsi="Arial" w:eastAsia="宋体" w:cs="Arial"/>
          <w:b/>
          <w:szCs w:val="21"/>
        </w:rPr>
        <w:t>范围</w:t>
      </w:r>
      <w:r>
        <w:rPr>
          <w:rFonts w:ascii="Arial" w:hAnsi="Arial" w:eastAsia="宋体" w:cs="Arial"/>
          <w:szCs w:val="21"/>
        </w:rPr>
        <w:t>所述的法规和产品代码来确定贵公司器械，包括：</w:t>
      </w:r>
    </w:p>
    <w:p w14:paraId="37543553">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激光特性（激光类型，波长，激光等级</w:t>
      </w:r>
      <w:r>
        <w:rPr>
          <w:rFonts w:ascii="Arial" w:hAnsi="Arial" w:eastAsia="宋体" w:cs="Arial"/>
          <w:szCs w:val="21"/>
          <w:vertAlign w:val="superscript"/>
        </w:rPr>
        <w:t>4</w:t>
      </w:r>
      <w:r>
        <w:rPr>
          <w:rFonts w:ascii="Arial" w:hAnsi="Arial" w:eastAsia="宋体" w:cs="Arial"/>
          <w:szCs w:val="21"/>
        </w:rPr>
        <w:t>，功率规格，脉冲持续时间长度，脉冲重复率）</w:t>
      </w:r>
    </w:p>
    <w:p w14:paraId="6D6CD320">
      <w:pPr>
        <w:pStyle w:val="8"/>
        <w:numPr>
          <w:ilvl w:val="0"/>
          <w:numId w:val="5"/>
        </w:numPr>
        <w:snapToGrid w:val="0"/>
        <w:spacing w:after="240" w:line="300" w:lineRule="auto"/>
        <w:ind w:left="824" w:leftChars="185" w:hanging="436" w:hangingChars="208"/>
        <w:rPr>
          <w:rFonts w:ascii="Arial" w:hAnsi="Arial" w:eastAsia="宋体" w:cs="Arial"/>
          <w:szCs w:val="21"/>
        </w:rPr>
      </w:pPr>
      <w:r>
        <w:rPr>
          <w:rFonts w:ascii="Arial" w:hAnsi="Arial" w:eastAsia="宋体" w:cs="Arial"/>
          <w:szCs w:val="21"/>
        </w:rPr>
        <w:t>设计特性（电路图，光学设计，滤光片，透镜，物镜，激光束准直，测量焦斑直径，激光束控制，对准设置，激光束热特性，脉冲重复限制，保护等）</w:t>
      </w:r>
    </w:p>
    <w:p w14:paraId="23789D68">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光束靶位指示系统及其确认</w:t>
      </w:r>
    </w:p>
    <w:p w14:paraId="5E73AC05">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控制系统，包括软件算法设计（描述和图）</w:t>
      </w:r>
    </w:p>
    <w:p w14:paraId="7ED5A4BA">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激光束功率和脉冲持续时间/重复率控制的描述，以及这些参数的重复性</w:t>
      </w:r>
    </w:p>
    <w:p w14:paraId="737F24B7">
      <w:pPr>
        <w:pStyle w:val="8"/>
        <w:widowControl/>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与可见图像的激光对准和共焦调整的出厂设置的测试和确认程序的描述。</w:t>
      </w:r>
    </w:p>
    <w:p w14:paraId="227D11A0">
      <w:pPr>
        <w:pStyle w:val="8"/>
        <w:snapToGrid w:val="0"/>
        <w:spacing w:after="240" w:line="300" w:lineRule="auto"/>
        <w:ind w:left="420" w:firstLine="0" w:firstLineChars="0"/>
        <w:rPr>
          <w:rFonts w:ascii="Arial" w:hAnsi="Arial" w:eastAsia="宋体" w:cs="Arial"/>
          <w:szCs w:val="21"/>
        </w:rPr>
      </w:pPr>
      <w:r>
        <w:rPr>
          <w:rFonts w:ascii="Arial" w:hAnsi="Arial" w:eastAsia="宋体" w:cs="Arial"/>
          <w:szCs w:val="21"/>
        </w:rPr>
        <w:t>回到顶部</w:t>
      </w:r>
    </w:p>
    <w:p w14:paraId="740EA456">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健康风险</w:t>
      </w:r>
    </w:p>
    <w:p w14:paraId="3D577A1B">
      <w:pPr>
        <w:snapToGrid w:val="0"/>
        <w:spacing w:after="240" w:line="300" w:lineRule="auto"/>
        <w:rPr>
          <w:rFonts w:ascii="Arial" w:hAnsi="Arial" w:eastAsia="宋体" w:cs="Arial"/>
          <w:szCs w:val="21"/>
        </w:rPr>
      </w:pPr>
      <w:r>
        <w:rPr>
          <w:rFonts w:ascii="Arial" w:hAnsi="Arial" w:eastAsia="宋体" w:cs="Arial"/>
          <w:szCs w:val="21"/>
        </w:rPr>
        <w:t>在下表中，FDA已经确定了本文档已解决辅助生殖激光系统使用的健康风险。本指导性文件给出了缓解这些已确定风险的建议措施，如下表所示。贵公司还应该在提交上市前通告前进行风险分析，以确定贵公司器械所特有的任何其他风险。上市前通告应描述风险分析方法。如果贵公司选择使用替代方法来解决本指导性文件中确定的特定风险，或者确定了本指南外的其它风险，则应提供足够的细节来支持贵公司用于解决风险的方法。</w:t>
      </w:r>
    </w:p>
    <w:p w14:paraId="2EDC1587">
      <w: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5980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9CC2E5" w:themeFill="accent1" w:themeFillTint="99"/>
            <w:vAlign w:val="center"/>
          </w:tcPr>
          <w:p w14:paraId="799CD0E0">
            <w:pPr>
              <w:snapToGrid w:val="0"/>
              <w:spacing w:before="31" w:beforeLines="10" w:after="31" w:afterLines="10" w:line="240" w:lineRule="exact"/>
              <w:rPr>
                <w:rFonts w:ascii="Arial" w:hAnsi="Arial" w:eastAsia="宋体" w:cs="Arial"/>
                <w:szCs w:val="21"/>
              </w:rPr>
            </w:pPr>
            <w:r>
              <w:rPr>
                <w:rFonts w:ascii="Arial" w:hAnsi="Arial" w:eastAsia="宋体" w:cs="Arial"/>
                <w:szCs w:val="21"/>
              </w:rPr>
              <w:t>确定的风险</w:t>
            </w:r>
          </w:p>
        </w:tc>
        <w:tc>
          <w:tcPr>
            <w:tcW w:w="2500" w:type="pct"/>
            <w:shd w:val="clear" w:color="auto" w:fill="9CC2E5" w:themeFill="accent1" w:themeFillTint="99"/>
            <w:vAlign w:val="center"/>
          </w:tcPr>
          <w:p w14:paraId="70BA3F20">
            <w:pPr>
              <w:snapToGrid w:val="0"/>
              <w:spacing w:before="31" w:beforeLines="10" w:after="31" w:afterLines="10" w:line="240" w:lineRule="exact"/>
              <w:rPr>
                <w:rFonts w:ascii="Arial" w:hAnsi="Arial" w:eastAsia="宋体" w:cs="Arial"/>
                <w:szCs w:val="21"/>
              </w:rPr>
            </w:pPr>
            <w:r>
              <w:rPr>
                <w:rFonts w:ascii="Arial" w:hAnsi="Arial" w:eastAsia="宋体" w:cs="Arial"/>
                <w:szCs w:val="21"/>
              </w:rPr>
              <w:t>建议缓解措施</w:t>
            </w:r>
          </w:p>
        </w:tc>
      </w:tr>
      <w:tr w14:paraId="5D91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2E32F73D">
            <w:pPr>
              <w:snapToGrid w:val="0"/>
              <w:spacing w:before="31" w:beforeLines="10" w:after="31" w:afterLines="10" w:line="240" w:lineRule="exact"/>
              <w:rPr>
                <w:rFonts w:ascii="Arial" w:hAnsi="Arial" w:eastAsia="宋体" w:cs="Arial"/>
                <w:szCs w:val="21"/>
              </w:rPr>
            </w:pPr>
            <w:r>
              <w:rPr>
                <w:rFonts w:ascii="Arial" w:hAnsi="Arial" w:eastAsia="宋体" w:cs="Arial"/>
                <w:szCs w:val="21"/>
              </w:rPr>
              <w:t>对胚胎的损伤</w:t>
            </w:r>
          </w:p>
        </w:tc>
        <w:tc>
          <w:tcPr>
            <w:tcW w:w="2500" w:type="pct"/>
            <w:vAlign w:val="center"/>
          </w:tcPr>
          <w:p w14:paraId="384F2645">
            <w:pPr>
              <w:snapToGrid w:val="0"/>
              <w:spacing w:before="31" w:beforeLines="10" w:after="31" w:afterLines="10" w:line="240" w:lineRule="exact"/>
              <w:rPr>
                <w:rFonts w:ascii="Arial" w:hAnsi="Arial" w:eastAsia="宋体" w:cs="Arial"/>
                <w:szCs w:val="21"/>
              </w:rPr>
            </w:pPr>
            <w:r>
              <w:rPr>
                <w:rFonts w:hint="eastAsia" w:ascii="Arial" w:hAnsi="Arial" w:eastAsia="宋体" w:cs="Arial"/>
                <w:color w:val="0070C0"/>
                <w:szCs w:val="21"/>
              </w:rPr>
              <w:t>第</w:t>
            </w:r>
            <w:r>
              <w:rPr>
                <w:rFonts w:ascii="Arial" w:hAnsi="Arial" w:eastAsia="宋体" w:cs="Arial"/>
                <w:color w:val="0070C0"/>
                <w:szCs w:val="21"/>
              </w:rPr>
              <w:t>7</w:t>
            </w:r>
            <w:r>
              <w:rPr>
                <w:rFonts w:hint="eastAsia" w:ascii="Arial" w:hAnsi="Arial" w:eastAsia="宋体" w:cs="Arial"/>
                <w:color w:val="0070C0"/>
                <w:szCs w:val="21"/>
              </w:rPr>
              <w:t>章</w:t>
            </w:r>
            <w:r>
              <w:rPr>
                <w:rFonts w:ascii="Arial" w:hAnsi="Arial" w:eastAsia="宋体" w:cs="Arial"/>
                <w:szCs w:val="21"/>
              </w:rPr>
              <w:t>.非临床分析和测试</w:t>
            </w:r>
          </w:p>
          <w:p w14:paraId="212DD49F">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第10章.</w:t>
            </w:r>
            <w:r>
              <w:rPr>
                <w:rFonts w:ascii="Arial" w:hAnsi="Arial" w:eastAsia="宋体" w:cs="Arial"/>
                <w:szCs w:val="21"/>
              </w:rPr>
              <w:t>软件生命周期和风险管理</w:t>
            </w:r>
          </w:p>
          <w:p w14:paraId="1567EA5C">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第11章.</w:t>
            </w:r>
            <w:r>
              <w:rPr>
                <w:rFonts w:ascii="Arial" w:hAnsi="Arial" w:eastAsia="宋体" w:cs="Arial"/>
                <w:szCs w:val="21"/>
              </w:rPr>
              <w:t>动物实验</w:t>
            </w:r>
          </w:p>
          <w:p w14:paraId="36F5BE4D">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第12章.</w:t>
            </w:r>
            <w:r>
              <w:rPr>
                <w:rFonts w:ascii="Arial" w:hAnsi="Arial" w:eastAsia="宋体" w:cs="Arial"/>
                <w:szCs w:val="21"/>
              </w:rPr>
              <w:t>临床实验</w:t>
            </w:r>
          </w:p>
          <w:p w14:paraId="39913350">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第13章.</w:t>
            </w:r>
            <w:r>
              <w:rPr>
                <w:rFonts w:ascii="Arial" w:hAnsi="Arial" w:eastAsia="宋体" w:cs="Arial"/>
                <w:szCs w:val="21"/>
              </w:rPr>
              <w:t>标签</w:t>
            </w:r>
          </w:p>
          <w:p w14:paraId="423CC3CD">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第7章.</w:t>
            </w:r>
            <w:r>
              <w:rPr>
                <w:rFonts w:ascii="Arial" w:hAnsi="Arial" w:eastAsia="宋体" w:cs="Arial"/>
                <w:szCs w:val="21"/>
              </w:rPr>
              <w:t>非临床分析和测试</w:t>
            </w:r>
          </w:p>
        </w:tc>
      </w:tr>
      <w:tr w14:paraId="0047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30C3DA2">
            <w:pPr>
              <w:snapToGrid w:val="0"/>
              <w:spacing w:before="31" w:beforeLines="10" w:after="31" w:afterLines="10" w:line="240" w:lineRule="exact"/>
              <w:rPr>
                <w:rFonts w:ascii="Arial" w:hAnsi="Arial" w:eastAsia="宋体" w:cs="Arial"/>
                <w:szCs w:val="21"/>
              </w:rPr>
            </w:pPr>
            <w:r>
              <w:rPr>
                <w:rFonts w:ascii="Arial" w:hAnsi="Arial" w:eastAsia="宋体" w:cs="Arial"/>
                <w:szCs w:val="21"/>
              </w:rPr>
              <w:t>治疗无效</w:t>
            </w:r>
          </w:p>
        </w:tc>
        <w:tc>
          <w:tcPr>
            <w:tcW w:w="2500" w:type="pct"/>
            <w:vAlign w:val="center"/>
          </w:tcPr>
          <w:p w14:paraId="4866C71A">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第10章.</w:t>
            </w:r>
            <w:r>
              <w:rPr>
                <w:rFonts w:ascii="Arial" w:hAnsi="Arial" w:eastAsia="宋体" w:cs="Arial"/>
                <w:szCs w:val="21"/>
              </w:rPr>
              <w:t>软件生命周期和风险管理</w:t>
            </w:r>
          </w:p>
          <w:p w14:paraId="5E208212">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第11章.</w:t>
            </w:r>
            <w:r>
              <w:rPr>
                <w:rFonts w:ascii="Arial" w:hAnsi="Arial" w:eastAsia="宋体" w:cs="Arial"/>
                <w:szCs w:val="21"/>
              </w:rPr>
              <w:t>动物实验</w:t>
            </w:r>
          </w:p>
          <w:p w14:paraId="6CC1FD08">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第12章.</w:t>
            </w:r>
            <w:r>
              <w:rPr>
                <w:rFonts w:ascii="Arial" w:hAnsi="Arial" w:eastAsia="宋体" w:cs="Arial"/>
                <w:szCs w:val="21"/>
              </w:rPr>
              <w:t>临床实验</w:t>
            </w:r>
          </w:p>
          <w:p w14:paraId="3BB6558A">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第13章.</w:t>
            </w:r>
            <w:r>
              <w:rPr>
                <w:rFonts w:ascii="Arial" w:hAnsi="Arial" w:eastAsia="宋体" w:cs="Arial"/>
                <w:szCs w:val="21"/>
              </w:rPr>
              <w:t>标签</w:t>
            </w:r>
          </w:p>
        </w:tc>
      </w:tr>
      <w:tr w14:paraId="46F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40511BC">
            <w:pPr>
              <w:snapToGrid w:val="0"/>
              <w:spacing w:before="31" w:beforeLines="10" w:after="31" w:afterLines="10" w:line="240" w:lineRule="exact"/>
              <w:rPr>
                <w:rFonts w:ascii="Arial" w:hAnsi="Arial" w:eastAsia="宋体" w:cs="Arial"/>
                <w:szCs w:val="21"/>
              </w:rPr>
            </w:pPr>
            <w:r>
              <w:rPr>
                <w:rFonts w:ascii="Arial" w:hAnsi="Arial" w:eastAsia="宋体" w:cs="Arial"/>
                <w:szCs w:val="21"/>
              </w:rPr>
              <w:t>与电气设备相关的危害</w:t>
            </w:r>
          </w:p>
        </w:tc>
        <w:tc>
          <w:tcPr>
            <w:tcW w:w="2500" w:type="pct"/>
            <w:vAlign w:val="center"/>
          </w:tcPr>
          <w:p w14:paraId="44124555">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第8章.</w:t>
            </w:r>
            <w:r>
              <w:rPr>
                <w:rFonts w:ascii="Arial" w:hAnsi="Arial" w:eastAsia="宋体" w:cs="Arial"/>
                <w:szCs w:val="21"/>
              </w:rPr>
              <w:t>电气设备安全性</w:t>
            </w:r>
          </w:p>
        </w:tc>
      </w:tr>
      <w:tr w14:paraId="612D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E855939">
            <w:pPr>
              <w:snapToGrid w:val="0"/>
              <w:spacing w:before="31" w:beforeLines="10" w:after="31" w:afterLines="10" w:line="240" w:lineRule="exact"/>
              <w:rPr>
                <w:rFonts w:ascii="Arial" w:hAnsi="Arial" w:eastAsia="宋体" w:cs="Arial"/>
                <w:szCs w:val="21"/>
              </w:rPr>
            </w:pPr>
            <w:r>
              <w:rPr>
                <w:rFonts w:ascii="Arial" w:hAnsi="Arial" w:eastAsia="宋体" w:cs="Arial"/>
                <w:szCs w:val="21"/>
              </w:rPr>
              <w:t>电磁干扰和静电放电危害</w:t>
            </w:r>
          </w:p>
        </w:tc>
        <w:tc>
          <w:tcPr>
            <w:tcW w:w="2500" w:type="pct"/>
            <w:vAlign w:val="center"/>
          </w:tcPr>
          <w:p w14:paraId="1F1D7843">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第9章.</w:t>
            </w:r>
            <w:r>
              <w:rPr>
                <w:rFonts w:ascii="Arial" w:hAnsi="Arial" w:eastAsia="宋体" w:cs="Arial"/>
                <w:szCs w:val="21"/>
              </w:rPr>
              <w:t>电磁兼容性</w:t>
            </w:r>
          </w:p>
        </w:tc>
      </w:tr>
      <w:tr w14:paraId="442A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left w:val="nil"/>
              <w:bottom w:val="nil"/>
              <w:right w:val="nil"/>
            </w:tcBorders>
            <w:vAlign w:val="center"/>
          </w:tcPr>
          <w:p w14:paraId="163AC77F">
            <w:pPr>
              <w:snapToGrid w:val="0"/>
              <w:spacing w:before="31" w:beforeLines="10" w:after="31" w:afterLines="10" w:line="240" w:lineRule="exact"/>
              <w:rPr>
                <w:rFonts w:ascii="Arial" w:hAnsi="Arial" w:eastAsia="宋体" w:cs="Arial"/>
                <w:szCs w:val="21"/>
              </w:rPr>
            </w:pPr>
          </w:p>
          <w:p w14:paraId="1AE080EA">
            <w:pPr>
              <w:pStyle w:val="8"/>
              <w:snapToGrid w:val="0"/>
              <w:spacing w:before="31" w:beforeLines="10" w:after="31" w:afterLines="10" w:line="240" w:lineRule="exact"/>
              <w:ind w:firstLine="0" w:firstLineChars="0"/>
              <w:rPr>
                <w:rFonts w:ascii="Arial" w:hAnsi="Arial" w:eastAsia="宋体" w:cs="Arial"/>
                <w:color w:val="0070C0"/>
                <w:szCs w:val="21"/>
              </w:rPr>
            </w:pPr>
            <w:r>
              <w:rPr>
                <w:rFonts w:ascii="Arial" w:hAnsi="Arial" w:eastAsia="宋体" w:cs="Arial"/>
                <w:color w:val="0070C0"/>
                <w:szCs w:val="21"/>
              </w:rPr>
              <w:t>回到顶部</w:t>
            </w:r>
          </w:p>
          <w:p w14:paraId="36A32F82">
            <w:pPr>
              <w:pStyle w:val="8"/>
              <w:snapToGrid w:val="0"/>
              <w:spacing w:before="31" w:beforeLines="10" w:after="31" w:afterLines="10" w:line="240" w:lineRule="exact"/>
              <w:ind w:firstLine="0" w:firstLineChars="0"/>
              <w:rPr>
                <w:rFonts w:ascii="Arial" w:hAnsi="Arial" w:eastAsia="宋体" w:cs="Arial"/>
                <w:color w:val="0070C0"/>
                <w:szCs w:val="21"/>
              </w:rPr>
            </w:pPr>
          </w:p>
          <w:p w14:paraId="2EEAA089">
            <w:pPr>
              <w:pStyle w:val="8"/>
              <w:snapToGrid w:val="0"/>
              <w:spacing w:before="31" w:beforeLines="10" w:after="31" w:afterLines="10" w:line="240" w:lineRule="exact"/>
              <w:ind w:firstLine="0" w:firstLineChars="0"/>
              <w:rPr>
                <w:rFonts w:ascii="Arial" w:hAnsi="Arial" w:eastAsia="宋体" w:cs="Arial"/>
                <w:color w:val="0070C0"/>
                <w:szCs w:val="21"/>
              </w:rPr>
            </w:pPr>
            <w:r>
              <w:rPr>
                <w:rFonts w:ascii="Helvetica" w:hAnsi="Helvetica" w:eastAsia="宋体" w:cs="Helvetica"/>
                <w:color w:val="333333"/>
                <w:kern w:val="0"/>
                <w:sz w:val="24"/>
                <w:szCs w:val="24"/>
                <w:lang w:val="en"/>
              </w:rPr>
              <w:pict>
                <v:rect id="_x0000_i1026" o:spt="1" style="height:0pt;width:0pt;" fillcolor="#A0A0A0" filled="t" stroked="f" coordsize="21600,21600" o:hr="t" o:hrstd="t" o:hralign="center">
                  <v:path/>
                  <v:fill on="t" focussize="0,0"/>
                  <v:stroke on="f"/>
                  <v:imagedata o:title=""/>
                  <o:lock v:ext="edit"/>
                  <w10:wrap type="none"/>
                  <w10:anchorlock/>
                </v:rect>
              </w:pict>
            </w:r>
          </w:p>
          <w:p w14:paraId="1BB8C5A1">
            <w:pPr>
              <w:pStyle w:val="8"/>
              <w:snapToGrid w:val="0"/>
              <w:spacing w:before="31" w:beforeLines="10" w:after="31" w:afterLines="10" w:line="240" w:lineRule="exact"/>
              <w:ind w:firstLine="0" w:firstLineChars="0"/>
              <w:rPr>
                <w:rFonts w:ascii="Arial" w:hAnsi="Arial" w:eastAsia="宋体" w:cs="Arial"/>
                <w:szCs w:val="21"/>
              </w:rPr>
            </w:pPr>
          </w:p>
        </w:tc>
      </w:tr>
    </w:tbl>
    <w:p w14:paraId="3CC96CEA">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非临床分析与测试</w:t>
      </w:r>
    </w:p>
    <w:p w14:paraId="0DDC0358">
      <w:pPr>
        <w:snapToGrid w:val="0"/>
        <w:spacing w:after="240" w:line="300" w:lineRule="auto"/>
        <w:rPr>
          <w:rFonts w:ascii="Arial" w:hAnsi="Arial" w:eastAsia="宋体" w:cs="Arial"/>
          <w:szCs w:val="21"/>
        </w:rPr>
      </w:pPr>
      <w:r>
        <w:rPr>
          <w:rFonts w:ascii="Arial" w:hAnsi="Arial" w:eastAsia="宋体" w:cs="Arial"/>
          <w:szCs w:val="21"/>
        </w:rPr>
        <w:t>我们建议贵公司提供辅助生殖激光系统的下述信息：</w:t>
      </w:r>
    </w:p>
    <w:p w14:paraId="3B9E1694">
      <w:pPr>
        <w:snapToGrid w:val="0"/>
        <w:spacing w:after="240" w:line="300" w:lineRule="auto"/>
        <w:rPr>
          <w:rFonts w:ascii="Arial" w:hAnsi="Arial" w:eastAsia="宋体" w:cs="Arial"/>
          <w:szCs w:val="21"/>
        </w:rPr>
      </w:pPr>
      <w:r>
        <w:rPr>
          <w:rFonts w:ascii="Arial" w:hAnsi="Arial" w:eastAsia="宋体" w:cs="Arial"/>
          <w:szCs w:val="21"/>
        </w:rPr>
        <w:t>激光与靶子相互作用</w:t>
      </w:r>
    </w:p>
    <w:p w14:paraId="0F684814">
      <w:pPr>
        <w:snapToGrid w:val="0"/>
        <w:spacing w:after="240" w:line="300" w:lineRule="auto"/>
        <w:rPr>
          <w:rFonts w:ascii="Arial" w:hAnsi="Arial" w:eastAsia="宋体" w:cs="Arial"/>
          <w:b/>
          <w:szCs w:val="21"/>
        </w:rPr>
      </w:pPr>
      <w:r>
        <w:rPr>
          <w:rFonts w:ascii="Arial" w:hAnsi="Arial" w:eastAsia="宋体" w:cs="Arial"/>
          <w:b/>
          <w:szCs w:val="21"/>
        </w:rPr>
        <w:t>我们建议贵公司提供以下分析：</w:t>
      </w:r>
    </w:p>
    <w:p w14:paraId="22948C00">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根据不同脉冲和功率设置下与激光束距离的介质和胚胎加热</w:t>
      </w:r>
    </w:p>
    <w:p w14:paraId="65771EDD">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直接辐射胚胎的可能性</w:t>
      </w:r>
    </w:p>
    <w:p w14:paraId="4B7FCD96">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在与激光治疗相关的靶子处形成等离子体或电离分子的可能性</w:t>
      </w:r>
    </w:p>
    <w:p w14:paraId="2E0488CA">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对胚胎产生诱变作用的可能性</w:t>
      </w:r>
    </w:p>
    <w:p w14:paraId="433E0256">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热晕对胚胎的影响</w:t>
      </w:r>
    </w:p>
    <w:p w14:paraId="3A6A796D">
      <w:pPr>
        <w:pStyle w:val="8"/>
        <w:numPr>
          <w:ilvl w:val="0"/>
          <w:numId w:val="6"/>
        </w:numPr>
        <w:snapToGrid w:val="0"/>
        <w:spacing w:after="240" w:line="300" w:lineRule="auto"/>
        <w:ind w:firstLine="0" w:firstLineChars="0"/>
        <w:rPr>
          <w:rFonts w:ascii="Arial" w:hAnsi="Arial" w:eastAsia="宋体" w:cs="Arial"/>
          <w:szCs w:val="21"/>
        </w:rPr>
      </w:pPr>
      <w:r>
        <w:rPr>
          <w:rFonts w:ascii="Arial" w:hAnsi="Arial" w:eastAsia="宋体" w:cs="Arial"/>
          <w:szCs w:val="21"/>
        </w:rPr>
        <w:t>靶子处的激光束能量累积。</w:t>
      </w:r>
    </w:p>
    <w:p w14:paraId="20A0CED5">
      <w:pPr>
        <w:snapToGrid w:val="0"/>
        <w:spacing w:after="240" w:line="300" w:lineRule="auto"/>
        <w:rPr>
          <w:rFonts w:ascii="Arial" w:hAnsi="Arial" w:eastAsia="宋体" w:cs="Arial"/>
          <w:b/>
          <w:szCs w:val="21"/>
        </w:rPr>
      </w:pPr>
      <w:r>
        <w:rPr>
          <w:rFonts w:ascii="Arial" w:hAnsi="Arial" w:eastAsia="宋体" w:cs="Arial"/>
          <w:b/>
          <w:szCs w:val="21"/>
        </w:rPr>
        <w:t>我们还建议贵公司确定下列问题：</w:t>
      </w:r>
    </w:p>
    <w:p w14:paraId="4FF9ACB1">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能够实现治疗效果的激光束功率和脉冲持续时间</w:t>
      </w:r>
    </w:p>
    <w:p w14:paraId="1E013D6F">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根据光束功率和脉冲持续时间的透明带消融区域大小</w:t>
      </w:r>
    </w:p>
    <w:p w14:paraId="5FD61E8C">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激光治疗的准确性和可重复性</w:t>
      </w:r>
    </w:p>
    <w:p w14:paraId="20515D33">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能量不足或未聚焦的激光束对靶子的影响</w:t>
      </w:r>
    </w:p>
    <w:p w14:paraId="4218A454">
      <w:pPr>
        <w:pStyle w:val="8"/>
        <w:numPr>
          <w:ilvl w:val="0"/>
          <w:numId w:val="7"/>
        </w:numPr>
        <w:snapToGrid w:val="0"/>
        <w:spacing w:after="240" w:line="300" w:lineRule="auto"/>
        <w:ind w:firstLine="0" w:firstLineChars="0"/>
        <w:rPr>
          <w:rFonts w:ascii="Arial" w:hAnsi="Arial" w:eastAsia="宋体" w:cs="Arial"/>
          <w:szCs w:val="21"/>
        </w:rPr>
      </w:pPr>
      <w:r>
        <w:rPr>
          <w:rFonts w:ascii="Arial" w:hAnsi="Arial" w:eastAsia="宋体" w:cs="Arial"/>
          <w:szCs w:val="21"/>
        </w:rPr>
        <w:t>安全限制和安全性确认。</w:t>
      </w:r>
    </w:p>
    <w:p w14:paraId="45EF4DA9">
      <w:pPr>
        <w:widowControl/>
        <w:jc w:val="left"/>
        <w:rPr>
          <w:rFonts w:ascii="Arial" w:hAnsi="Arial" w:eastAsia="宋体" w:cs="Arial"/>
          <w:szCs w:val="21"/>
        </w:rPr>
      </w:pPr>
      <w:r>
        <w:rPr>
          <w:rFonts w:ascii="Arial" w:hAnsi="Arial" w:eastAsia="宋体" w:cs="Arial"/>
          <w:szCs w:val="21"/>
        </w:rPr>
        <w:br w:type="page"/>
      </w:r>
    </w:p>
    <w:p w14:paraId="67B5B3CD">
      <w:pPr>
        <w:snapToGrid w:val="0"/>
        <w:spacing w:after="240" w:line="300" w:lineRule="auto"/>
        <w:rPr>
          <w:rFonts w:ascii="Arial" w:hAnsi="Arial" w:eastAsia="宋体" w:cs="Arial"/>
          <w:b/>
          <w:szCs w:val="21"/>
        </w:rPr>
      </w:pPr>
      <w:r>
        <w:rPr>
          <w:rFonts w:ascii="Arial" w:hAnsi="Arial" w:eastAsia="宋体" w:cs="Arial"/>
          <w:b/>
          <w:szCs w:val="21"/>
        </w:rPr>
        <w:t>激光束特性</w:t>
      </w:r>
    </w:p>
    <w:p w14:paraId="0C2BDF5A">
      <w:pPr>
        <w:snapToGrid w:val="0"/>
        <w:spacing w:after="240" w:line="300" w:lineRule="auto"/>
        <w:rPr>
          <w:rFonts w:ascii="Arial" w:hAnsi="Arial" w:eastAsia="宋体" w:cs="Arial"/>
          <w:szCs w:val="21"/>
        </w:rPr>
      </w:pPr>
      <w:r>
        <w:rPr>
          <w:rFonts w:ascii="Arial" w:hAnsi="Arial" w:eastAsia="宋体" w:cs="Arial"/>
          <w:szCs w:val="21"/>
        </w:rPr>
        <w:t>我们建议贵公司提供以下分析：</w:t>
      </w:r>
    </w:p>
    <w:p w14:paraId="00C6EE81">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焦斑尺寸</w:t>
      </w:r>
    </w:p>
    <w:p w14:paraId="46DFF865">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出现热点或激光束飞溅的可能性</w:t>
      </w:r>
    </w:p>
    <w:p w14:paraId="2C5B892C">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传播效应，包括热透镜效应</w:t>
      </w:r>
    </w:p>
    <w:p w14:paraId="487F8985">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激光束质量和用于测量激光束质量的方法</w:t>
      </w:r>
    </w:p>
    <w:p w14:paraId="554CC420">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激光束剖面</w:t>
      </w:r>
    </w:p>
    <w:p w14:paraId="19FD84BC">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最大安全激光束功率</w:t>
      </w:r>
    </w:p>
    <w:p w14:paraId="4B853B4B">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激光脉冲最长持续时间</w:t>
      </w:r>
    </w:p>
    <w:p w14:paraId="481B3359">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最大安全激光脉冲重复率</w:t>
      </w:r>
    </w:p>
    <w:p w14:paraId="74CF428E">
      <w:pPr>
        <w:pStyle w:val="8"/>
        <w:numPr>
          <w:ilvl w:val="0"/>
          <w:numId w:val="8"/>
        </w:numPr>
        <w:snapToGrid w:val="0"/>
        <w:spacing w:after="240" w:line="300" w:lineRule="auto"/>
        <w:ind w:left="808" w:leftChars="192" w:hanging="405" w:hangingChars="193"/>
        <w:rPr>
          <w:rFonts w:ascii="Arial" w:hAnsi="Arial" w:eastAsia="宋体" w:cs="Arial"/>
          <w:szCs w:val="21"/>
        </w:rPr>
      </w:pPr>
      <w:r>
        <w:rPr>
          <w:rFonts w:ascii="Arial" w:hAnsi="Arial" w:eastAsia="宋体" w:cs="Arial"/>
          <w:szCs w:val="21"/>
        </w:rPr>
        <w:t>在光束功率和光束脉冲持续时间范围内，空气中目标焦点处的激光束能量输出，用于显示光束能量测量的可重复性。</w:t>
      </w:r>
    </w:p>
    <w:p w14:paraId="63260AC3">
      <w:pPr>
        <w:snapToGrid w:val="0"/>
        <w:spacing w:after="240" w:line="300" w:lineRule="auto"/>
        <w:rPr>
          <w:rFonts w:ascii="Arial" w:hAnsi="Arial" w:eastAsia="宋体" w:cs="Arial"/>
          <w:b/>
          <w:szCs w:val="21"/>
        </w:rPr>
      </w:pPr>
      <w:r>
        <w:rPr>
          <w:rFonts w:ascii="Arial" w:hAnsi="Arial" w:eastAsia="宋体" w:cs="Arial"/>
          <w:b/>
          <w:szCs w:val="21"/>
        </w:rPr>
        <w:t>激光瞄准稳定性</w:t>
      </w:r>
    </w:p>
    <w:p w14:paraId="6EC890AD">
      <w:pPr>
        <w:snapToGrid w:val="0"/>
        <w:spacing w:after="240" w:line="300" w:lineRule="auto"/>
        <w:rPr>
          <w:rFonts w:ascii="Arial" w:hAnsi="Arial" w:eastAsia="宋体" w:cs="Arial"/>
          <w:szCs w:val="21"/>
        </w:rPr>
      </w:pPr>
      <w:r>
        <w:rPr>
          <w:rFonts w:ascii="Arial" w:hAnsi="Arial" w:eastAsia="宋体" w:cs="Arial"/>
          <w:szCs w:val="21"/>
        </w:rPr>
        <w:t>我们建议贵公司评估器械的瞄准稳定性，并描述：</w:t>
      </w:r>
    </w:p>
    <w:p w14:paraId="4FA445E9">
      <w:pPr>
        <w:pStyle w:val="8"/>
        <w:numPr>
          <w:ilvl w:val="0"/>
          <w:numId w:val="9"/>
        </w:numPr>
        <w:snapToGrid w:val="0"/>
        <w:spacing w:line="300" w:lineRule="auto"/>
        <w:ind w:firstLine="0" w:firstLineChars="0"/>
        <w:rPr>
          <w:rFonts w:ascii="Arial" w:hAnsi="Arial" w:eastAsia="宋体" w:cs="Arial"/>
          <w:szCs w:val="21"/>
        </w:rPr>
      </w:pPr>
      <w:r>
        <w:rPr>
          <w:rFonts w:ascii="Arial" w:hAnsi="Arial" w:eastAsia="宋体" w:cs="Arial"/>
          <w:szCs w:val="21"/>
        </w:rPr>
        <w:t>目标指定流程</w:t>
      </w:r>
    </w:p>
    <w:p w14:paraId="083562AD">
      <w:pPr>
        <w:pStyle w:val="8"/>
        <w:numPr>
          <w:ilvl w:val="0"/>
          <w:numId w:val="9"/>
        </w:numPr>
        <w:snapToGrid w:val="0"/>
        <w:spacing w:line="300" w:lineRule="auto"/>
        <w:ind w:firstLine="0" w:firstLineChars="0"/>
        <w:rPr>
          <w:rFonts w:ascii="Arial" w:hAnsi="Arial" w:eastAsia="宋体" w:cs="Arial"/>
          <w:szCs w:val="21"/>
        </w:rPr>
      </w:pPr>
      <w:r>
        <w:rPr>
          <w:rFonts w:ascii="Arial" w:hAnsi="Arial" w:eastAsia="宋体" w:cs="Arial"/>
          <w:szCs w:val="21"/>
        </w:rPr>
        <w:t>校准方法（确定和维持瞄准的稳定性）</w:t>
      </w:r>
    </w:p>
    <w:p w14:paraId="5974B34B">
      <w:pPr>
        <w:pStyle w:val="8"/>
        <w:numPr>
          <w:ilvl w:val="0"/>
          <w:numId w:val="9"/>
        </w:numPr>
        <w:snapToGrid w:val="0"/>
        <w:spacing w:after="240" w:line="300" w:lineRule="auto"/>
        <w:ind w:firstLine="0" w:firstLineChars="0"/>
        <w:rPr>
          <w:rFonts w:ascii="Arial" w:hAnsi="Arial" w:eastAsia="宋体" w:cs="Arial"/>
          <w:szCs w:val="21"/>
        </w:rPr>
      </w:pPr>
      <w:r>
        <w:rPr>
          <w:rFonts w:ascii="Arial" w:hAnsi="Arial" w:eastAsia="宋体" w:cs="Arial"/>
          <w:szCs w:val="21"/>
        </w:rPr>
        <w:t>操作人员的测试方法和确定瞄准稳定性的方法。</w:t>
      </w:r>
    </w:p>
    <w:p w14:paraId="5AB3D1FD">
      <w:pPr>
        <w:snapToGrid w:val="0"/>
        <w:spacing w:after="240" w:line="300" w:lineRule="auto"/>
        <w:rPr>
          <w:rFonts w:ascii="Arial" w:hAnsi="Arial" w:eastAsia="宋体" w:cs="Arial"/>
          <w:szCs w:val="21"/>
        </w:rPr>
      </w:pPr>
      <w:r>
        <w:rPr>
          <w:rFonts w:ascii="Arial" w:hAnsi="Arial" w:eastAsia="宋体" w:cs="Arial"/>
          <w:szCs w:val="21"/>
        </w:rPr>
        <w:t>我们还建议贵公司评估可能导致激光功率输出降低的情况/条件。例如光纤弯曲，或光学部件上存在灰尘。</w:t>
      </w:r>
    </w:p>
    <w:p w14:paraId="34643541">
      <w:pPr>
        <w:snapToGrid w:val="0"/>
        <w:spacing w:after="240" w:line="300" w:lineRule="auto"/>
        <w:rPr>
          <w:rFonts w:ascii="Arial" w:hAnsi="Arial" w:eastAsia="宋体" w:cs="Arial"/>
          <w:szCs w:val="21"/>
        </w:rPr>
      </w:pPr>
      <w:r>
        <w:rPr>
          <w:rFonts w:ascii="Arial" w:hAnsi="Arial" w:eastAsia="宋体" w:cs="Arial"/>
          <w:szCs w:val="21"/>
        </w:rPr>
        <w:t>对于使用中间光学元件（即通过光纤进行光束能量传输）的器械，我们建议贵公司确定目标处光束功率反馈控制的方法。</w:t>
      </w:r>
    </w:p>
    <w:p w14:paraId="6BCB0A10">
      <w:pPr>
        <w:snapToGrid w:val="0"/>
        <w:spacing w:after="240" w:line="300" w:lineRule="auto"/>
        <w:rPr>
          <w:rFonts w:ascii="Arial" w:hAnsi="Arial" w:eastAsia="宋体" w:cs="Arial"/>
          <w:szCs w:val="21"/>
        </w:rPr>
      </w:pPr>
      <w:r>
        <w:rPr>
          <w:rFonts w:ascii="Arial" w:hAnsi="Arial" w:eastAsia="宋体" w:cs="Arial"/>
          <w:szCs w:val="21"/>
        </w:rPr>
        <w:t>对于所有的辅助生殖激光系统，我们建议贵公司提供激光和任何相关的中间光学部件多次断开和重新连接后的激光功率可重复性的分析。</w:t>
      </w:r>
    </w:p>
    <w:p w14:paraId="695EDD6A">
      <w:pPr>
        <w:snapToGrid w:val="0"/>
        <w:spacing w:after="240" w:line="300" w:lineRule="auto"/>
        <w:rPr>
          <w:rFonts w:ascii="Arial" w:hAnsi="Arial" w:eastAsia="宋体" w:cs="Arial"/>
          <w:szCs w:val="21"/>
        </w:rPr>
      </w:pPr>
      <w:r>
        <w:rPr>
          <w:rFonts w:ascii="Arial" w:hAnsi="Arial" w:eastAsia="宋体" w:cs="Arial"/>
          <w:szCs w:val="21"/>
        </w:rPr>
        <w:t>我们还建议贵公司确认贵公司的辅助生殖激光系统与标签中列出的所有倒置显微镜的兼容性。</w:t>
      </w:r>
    </w:p>
    <w:p w14:paraId="06CF9AA3">
      <w:pPr>
        <w:snapToGrid w:val="0"/>
        <w:spacing w:after="240" w:line="300" w:lineRule="auto"/>
        <w:rPr>
          <w:rFonts w:ascii="Arial" w:hAnsi="Arial" w:eastAsia="宋体" w:cs="Arial"/>
          <w:szCs w:val="21"/>
        </w:rPr>
      </w:pPr>
      <w:r>
        <w:rPr>
          <w:rFonts w:ascii="Arial" w:hAnsi="Arial" w:eastAsia="宋体" w:cs="Arial"/>
          <w:szCs w:val="21"/>
        </w:rPr>
        <w:t>回到顶部</w:t>
      </w:r>
    </w:p>
    <w:p w14:paraId="5EC2E9A6">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电气设备安全性</w:t>
      </w:r>
    </w:p>
    <w:p w14:paraId="09ABE209">
      <w:pPr>
        <w:snapToGrid w:val="0"/>
        <w:spacing w:after="240" w:line="300" w:lineRule="auto"/>
        <w:rPr>
          <w:rFonts w:ascii="Arial" w:hAnsi="Arial" w:eastAsia="宋体" w:cs="Arial"/>
          <w:szCs w:val="21"/>
        </w:rPr>
      </w:pPr>
      <w:r>
        <w:rPr>
          <w:rFonts w:ascii="Arial" w:hAnsi="Arial" w:eastAsia="宋体" w:cs="Arial"/>
          <w:szCs w:val="21"/>
        </w:rPr>
        <w:t>我们建议贵公司通过遵循</w:t>
      </w:r>
      <w:r>
        <w:rPr>
          <w:rFonts w:hint="eastAsia" w:ascii="Arial" w:hAnsi="Arial" w:eastAsia="宋体" w:cs="Arial"/>
          <w:b/>
          <w:szCs w:val="21"/>
        </w:rPr>
        <w:t>一个或多个</w:t>
      </w:r>
      <w:r>
        <w:rPr>
          <w:rFonts w:ascii="Arial" w:hAnsi="Arial" w:eastAsia="宋体" w:cs="Arial"/>
          <w:szCs w:val="21"/>
        </w:rPr>
        <w:t>下列标准或等效方法来解决器械的电气设备安全性问题，例如电子和机械安全：</w:t>
      </w:r>
    </w:p>
    <w:p w14:paraId="10FC7136">
      <w:pPr>
        <w:widowControl/>
        <w:jc w:val="left"/>
        <w:rPr>
          <w:rFonts w:ascii="Arial" w:hAnsi="Arial" w:eastAsia="宋体" w:cs="Arial"/>
          <w:szCs w:val="21"/>
        </w:rPr>
      </w:pPr>
      <w:r>
        <w:rPr>
          <w:rFonts w:ascii="Arial" w:hAnsi="Arial" w:eastAsia="宋体" w:cs="Arial"/>
          <w:szCs w:val="21"/>
        </w:rPr>
        <w:br w:type="page"/>
      </w:r>
    </w:p>
    <w:p w14:paraId="6FA43A41">
      <w:pPr>
        <w:pStyle w:val="8"/>
        <w:numPr>
          <w:ilvl w:val="0"/>
          <w:numId w:val="10"/>
        </w:numPr>
        <w:snapToGrid w:val="0"/>
        <w:spacing w:line="300" w:lineRule="auto"/>
        <w:ind w:firstLine="0" w:firstLineChars="0"/>
        <w:rPr>
          <w:rFonts w:ascii="Arial" w:hAnsi="Arial" w:eastAsia="宋体" w:cs="Arial"/>
          <w:szCs w:val="21"/>
        </w:rPr>
      </w:pPr>
      <w:r>
        <w:rPr>
          <w:rFonts w:ascii="Arial" w:hAnsi="Arial" w:eastAsia="宋体" w:cs="Arial"/>
          <w:szCs w:val="21"/>
        </w:rPr>
        <w:t>国际电工委员会（IEC）60601-1医疗电气</w:t>
      </w:r>
      <w:bookmarkStart w:id="2" w:name="OLE_LINK8"/>
      <w:r>
        <w:rPr>
          <w:rFonts w:ascii="Arial" w:hAnsi="Arial" w:eastAsia="宋体" w:cs="Arial"/>
          <w:szCs w:val="21"/>
        </w:rPr>
        <w:t>设备</w:t>
      </w:r>
      <w:bookmarkEnd w:id="2"/>
      <w:r>
        <w:rPr>
          <w:rFonts w:ascii="Arial" w:hAnsi="Arial" w:eastAsia="宋体" w:cs="Arial"/>
          <w:szCs w:val="21"/>
        </w:rPr>
        <w:t>—第1部分：安全通用要求</w:t>
      </w:r>
    </w:p>
    <w:p w14:paraId="4427B6A8">
      <w:pPr>
        <w:pStyle w:val="8"/>
        <w:numPr>
          <w:ilvl w:val="0"/>
          <w:numId w:val="10"/>
        </w:numPr>
        <w:snapToGrid w:val="0"/>
        <w:spacing w:line="300" w:lineRule="auto"/>
        <w:ind w:firstLine="0" w:firstLineChars="0"/>
        <w:rPr>
          <w:rFonts w:ascii="Arial" w:hAnsi="Arial" w:eastAsia="宋体" w:cs="Arial"/>
          <w:szCs w:val="21"/>
        </w:rPr>
      </w:pPr>
      <w:r>
        <w:rPr>
          <w:rFonts w:ascii="Arial" w:hAnsi="Arial" w:eastAsia="宋体" w:cs="Arial"/>
          <w:szCs w:val="21"/>
        </w:rPr>
        <w:t>IEC 61010-1测量、控制和实验室用电气设备的安全要求—第1部分：通用要求</w:t>
      </w:r>
    </w:p>
    <w:p w14:paraId="7FE96DFB">
      <w:pPr>
        <w:pStyle w:val="8"/>
        <w:numPr>
          <w:ilvl w:val="0"/>
          <w:numId w:val="10"/>
        </w:numPr>
        <w:snapToGrid w:val="0"/>
        <w:spacing w:line="300" w:lineRule="auto"/>
        <w:ind w:firstLine="0" w:firstLineChars="0"/>
        <w:rPr>
          <w:rFonts w:ascii="Arial" w:hAnsi="Arial" w:eastAsia="宋体" w:cs="Arial"/>
          <w:szCs w:val="21"/>
        </w:rPr>
      </w:pPr>
      <w:r>
        <w:rPr>
          <w:rFonts w:ascii="Arial" w:hAnsi="Arial" w:eastAsia="宋体" w:cs="Arial"/>
          <w:szCs w:val="21"/>
        </w:rPr>
        <w:t>保险商实验室（UL）60601-1医疗电气设备，第1部分：安全通用要求</w:t>
      </w:r>
    </w:p>
    <w:p w14:paraId="761BE809">
      <w:pPr>
        <w:pStyle w:val="8"/>
        <w:numPr>
          <w:ilvl w:val="0"/>
          <w:numId w:val="8"/>
        </w:numPr>
        <w:snapToGrid w:val="0"/>
        <w:spacing w:after="240" w:line="300" w:lineRule="auto"/>
        <w:ind w:left="808" w:leftChars="192" w:hanging="405" w:hangingChars="193"/>
        <w:rPr>
          <w:rFonts w:ascii="Arial" w:hAnsi="Arial" w:eastAsia="宋体" w:cs="Arial"/>
          <w:szCs w:val="21"/>
        </w:rPr>
      </w:pPr>
      <w:r>
        <w:rPr>
          <w:rFonts w:ascii="Arial" w:hAnsi="Arial" w:eastAsia="宋体" w:cs="Arial"/>
          <w:szCs w:val="21"/>
        </w:rPr>
        <w:t>美国国家标准学会（ANSI）/医疗器械促进协会（AAMI）ES-1电子医疗器械的安全电流限制（仅限电气安全）。</w:t>
      </w:r>
    </w:p>
    <w:p w14:paraId="2C8212DD">
      <w:pPr>
        <w:snapToGrid w:val="0"/>
        <w:spacing w:after="240" w:line="300" w:lineRule="auto"/>
        <w:rPr>
          <w:rFonts w:ascii="Arial" w:hAnsi="Arial" w:eastAsia="宋体" w:cs="Arial"/>
          <w:szCs w:val="21"/>
        </w:rPr>
      </w:pPr>
      <w:r>
        <w:rPr>
          <w:rFonts w:ascii="Arial" w:hAnsi="Arial" w:eastAsia="宋体" w:cs="Arial"/>
          <w:szCs w:val="21"/>
        </w:rPr>
        <w:t>贵公司器械的功能和设计将决定贵公司应该使用的上述标准，以及其他标准或方法能否用于补充或替代这些标准。妇产科器械分部可以回答任何有关适用于贵公司器械功能和设计的标准的问题。</w:t>
      </w:r>
    </w:p>
    <w:p w14:paraId="75B9BE55">
      <w:pPr>
        <w:pStyle w:val="8"/>
        <w:snapToGrid w:val="0"/>
        <w:spacing w:before="31" w:beforeLines="10" w:after="31" w:afterLines="10" w:line="240" w:lineRule="exact"/>
        <w:ind w:firstLine="0" w:firstLineChars="0"/>
        <w:rPr>
          <w:rFonts w:ascii="Arial" w:hAnsi="Arial" w:eastAsia="宋体" w:cs="Arial"/>
          <w:color w:val="0070C0"/>
          <w:szCs w:val="21"/>
        </w:rPr>
      </w:pPr>
      <w:r>
        <w:rPr>
          <w:rFonts w:ascii="Arial" w:hAnsi="Arial" w:eastAsia="宋体" w:cs="Arial"/>
          <w:color w:val="0070C0"/>
          <w:szCs w:val="21"/>
        </w:rPr>
        <w:t>回到顶部</w:t>
      </w:r>
    </w:p>
    <w:p w14:paraId="16D0A5B8">
      <w:pPr>
        <w:snapToGrid w:val="0"/>
        <w:spacing w:after="240" w:line="300" w:lineRule="auto"/>
        <w:rPr>
          <w:rFonts w:ascii="Arial" w:hAnsi="Arial" w:eastAsia="宋体" w:cs="Arial"/>
          <w:szCs w:val="21"/>
        </w:rPr>
      </w:pPr>
      <w:r>
        <w:rPr>
          <w:rFonts w:ascii="Helvetica" w:hAnsi="Helvetica" w:eastAsia="宋体" w:cs="Helvetica"/>
          <w:color w:val="333333"/>
          <w:kern w:val="0"/>
          <w:sz w:val="24"/>
          <w:szCs w:val="24"/>
          <w:lang w:val="en"/>
        </w:rPr>
        <w:pict>
          <v:rect id="_x0000_i1027" o:spt="1" style="height:0pt;width:0pt;" fillcolor="#A0A0A0" filled="t" stroked="f" coordsize="21600,21600" o:hr="t" o:hrstd="t" o:hralign="center">
            <v:path/>
            <v:fill on="t" focussize="0,0"/>
            <v:stroke on="f"/>
            <v:imagedata o:title=""/>
            <o:lock v:ext="edit"/>
            <w10:wrap type="none"/>
            <w10:anchorlock/>
          </v:rect>
        </w:pict>
      </w:r>
    </w:p>
    <w:p w14:paraId="48C59D33">
      <w:pPr>
        <w:pStyle w:val="8"/>
        <w:numPr>
          <w:ilvl w:val="0"/>
          <w:numId w:val="3"/>
        </w:numPr>
        <w:snapToGrid w:val="0"/>
        <w:spacing w:after="240" w:line="300" w:lineRule="auto"/>
        <w:ind w:left="0" w:firstLine="0" w:firstLineChars="0"/>
        <w:rPr>
          <w:rFonts w:ascii="Arial" w:hAnsi="Arial" w:eastAsia="宋体" w:cs="Arial"/>
          <w:b/>
          <w:sz w:val="32"/>
          <w:szCs w:val="32"/>
        </w:rPr>
      </w:pPr>
      <w:bookmarkStart w:id="3" w:name="OLE_LINK9"/>
      <w:r>
        <w:rPr>
          <w:rFonts w:ascii="Arial" w:hAnsi="Arial" w:eastAsia="宋体" w:cs="Arial"/>
          <w:b/>
          <w:sz w:val="32"/>
          <w:szCs w:val="32"/>
        </w:rPr>
        <w:t>电磁兼容性</w:t>
      </w:r>
    </w:p>
    <w:bookmarkEnd w:id="3"/>
    <w:p w14:paraId="53A24C54">
      <w:pPr>
        <w:snapToGrid w:val="0"/>
        <w:spacing w:after="240" w:line="300" w:lineRule="auto"/>
        <w:rPr>
          <w:rFonts w:ascii="Arial" w:hAnsi="Arial" w:eastAsia="宋体" w:cs="Arial"/>
          <w:szCs w:val="21"/>
        </w:rPr>
      </w:pPr>
      <w:r>
        <w:rPr>
          <w:rFonts w:ascii="Arial" w:hAnsi="Arial" w:eastAsia="宋体" w:cs="Arial"/>
          <w:szCs w:val="21"/>
        </w:rPr>
        <w:t>电磁兼容性（EMC）包括辐射（对其他电子设备的干扰）和抗扰性（由其他电子设备的辐射造成的器械性能干扰）。我们建议贵公司根据下述内容评估器械的EMC。</w:t>
      </w:r>
    </w:p>
    <w:p w14:paraId="59C13372">
      <w:pPr>
        <w:snapToGrid w:val="0"/>
        <w:spacing w:after="240" w:line="300" w:lineRule="auto"/>
        <w:rPr>
          <w:rFonts w:ascii="Arial" w:hAnsi="Arial" w:eastAsia="宋体" w:cs="Arial"/>
          <w:b/>
          <w:szCs w:val="21"/>
        </w:rPr>
      </w:pPr>
      <w:r>
        <w:rPr>
          <w:rFonts w:ascii="Arial" w:hAnsi="Arial" w:eastAsia="宋体" w:cs="Arial"/>
          <w:b/>
          <w:szCs w:val="21"/>
        </w:rPr>
        <w:t>辐射</w:t>
      </w:r>
    </w:p>
    <w:p w14:paraId="310CD31E">
      <w:pPr>
        <w:snapToGrid w:val="0"/>
        <w:spacing w:after="240" w:line="300" w:lineRule="auto"/>
        <w:rPr>
          <w:rFonts w:ascii="Arial" w:hAnsi="Arial" w:eastAsia="宋体" w:cs="Arial"/>
          <w:szCs w:val="21"/>
        </w:rPr>
      </w:pPr>
      <w:r>
        <w:rPr>
          <w:rFonts w:ascii="Arial" w:hAnsi="Arial" w:eastAsia="宋体" w:cs="Arial"/>
          <w:szCs w:val="21"/>
        </w:rPr>
        <w:t>EMC测试应证明该器械不会对其他电子设备的性能产生不利影响，包括紧急无线电服务，诊断器械和有源植入性器械，例如起搏器和除颤器。测试应包括射频（RF）电磁和传导辐射。</w:t>
      </w:r>
    </w:p>
    <w:p w14:paraId="2E7952A1">
      <w:pPr>
        <w:snapToGrid w:val="0"/>
        <w:spacing w:after="240" w:line="300" w:lineRule="auto"/>
        <w:rPr>
          <w:rFonts w:ascii="Arial" w:hAnsi="Arial" w:eastAsia="宋体" w:cs="Arial"/>
          <w:b/>
          <w:szCs w:val="21"/>
        </w:rPr>
      </w:pPr>
      <w:r>
        <w:rPr>
          <w:rFonts w:ascii="Arial" w:hAnsi="Arial" w:eastAsia="宋体" w:cs="Arial"/>
          <w:b/>
          <w:szCs w:val="21"/>
        </w:rPr>
        <w:t>抗扰性</w:t>
      </w:r>
    </w:p>
    <w:p w14:paraId="40C2F598">
      <w:pPr>
        <w:snapToGrid w:val="0"/>
        <w:spacing w:after="240" w:line="300" w:lineRule="auto"/>
        <w:rPr>
          <w:rFonts w:ascii="Arial" w:hAnsi="Arial" w:eastAsia="宋体" w:cs="Arial"/>
          <w:szCs w:val="21"/>
        </w:rPr>
      </w:pPr>
      <w:r>
        <w:rPr>
          <w:rFonts w:ascii="Arial" w:hAnsi="Arial" w:eastAsia="宋体" w:cs="Arial"/>
          <w:szCs w:val="21"/>
        </w:rPr>
        <w:t>EMC测试还应证明，在预期的使用环境（抗扰性）环境中，其他电气和电子设备或其他电磁干扰源（EMD）存在的情况下，器械能够按照预期运行。在暴露于各种形式的电磁干扰期间和之后，该器械应以可接受的方式运行（少数EMC标准要求在规格范围内运行）。测试应包括：</w:t>
      </w:r>
    </w:p>
    <w:p w14:paraId="757EC5BD">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静电放电（ESD）</w:t>
      </w:r>
    </w:p>
    <w:p w14:paraId="4949969E">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辐射射频电磁场</w:t>
      </w:r>
    </w:p>
    <w:p w14:paraId="36EBDA86">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电快速瞬变脉冲群和脉冲串</w:t>
      </w:r>
    </w:p>
    <w:p w14:paraId="1E29FC7B">
      <w:pPr>
        <w:widowControl/>
        <w:jc w:val="left"/>
        <w:rPr>
          <w:rFonts w:ascii="Arial" w:hAnsi="Arial" w:eastAsia="宋体" w:cs="Arial"/>
          <w:szCs w:val="21"/>
        </w:rPr>
      </w:pPr>
      <w:r>
        <w:rPr>
          <w:rFonts w:ascii="Arial" w:hAnsi="Arial" w:eastAsia="宋体" w:cs="Arial"/>
          <w:szCs w:val="21"/>
        </w:rPr>
        <w:br w:type="page"/>
      </w:r>
    </w:p>
    <w:p w14:paraId="1FB0E3CB">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激增</w:t>
      </w:r>
    </w:p>
    <w:p w14:paraId="66BC1890">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传导射频电磁能量</w:t>
      </w:r>
    </w:p>
    <w:p w14:paraId="52E6B7CB">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电源输入线的电压骤降、短暂中断和电压变化</w:t>
      </w:r>
    </w:p>
    <w:p w14:paraId="70D377DB">
      <w:pPr>
        <w:pStyle w:val="8"/>
        <w:numPr>
          <w:ilvl w:val="0"/>
          <w:numId w:val="11"/>
        </w:numPr>
        <w:snapToGrid w:val="0"/>
        <w:spacing w:after="240" w:line="300" w:lineRule="auto"/>
        <w:ind w:firstLine="0" w:firstLineChars="0"/>
        <w:rPr>
          <w:rFonts w:ascii="Arial" w:hAnsi="Arial" w:eastAsia="宋体" w:cs="Arial"/>
          <w:szCs w:val="21"/>
        </w:rPr>
      </w:pPr>
      <w:r>
        <w:rPr>
          <w:rFonts w:ascii="Arial" w:hAnsi="Arial" w:eastAsia="宋体" w:cs="Arial"/>
          <w:szCs w:val="21"/>
        </w:rPr>
        <w:t>低频磁场。</w:t>
      </w:r>
    </w:p>
    <w:p w14:paraId="003E1F0B">
      <w:pPr>
        <w:snapToGrid w:val="0"/>
        <w:spacing w:after="240" w:line="300" w:lineRule="auto"/>
        <w:rPr>
          <w:rFonts w:ascii="Arial" w:hAnsi="Arial" w:eastAsia="宋体" w:cs="Arial"/>
          <w:szCs w:val="21"/>
        </w:rPr>
      </w:pPr>
      <w:r>
        <w:rPr>
          <w:rFonts w:ascii="Arial" w:hAnsi="Arial" w:eastAsia="宋体" w:cs="Arial"/>
          <w:szCs w:val="21"/>
        </w:rPr>
        <w:t>我们建议贵公司通过遵循以下</w:t>
      </w:r>
      <w:r>
        <w:rPr>
          <w:rFonts w:hint="eastAsia" w:ascii="Arial" w:hAnsi="Arial" w:eastAsia="宋体" w:cs="Arial"/>
          <w:b/>
          <w:szCs w:val="21"/>
        </w:rPr>
        <w:t>一项或多项</w:t>
      </w:r>
      <w:r>
        <w:rPr>
          <w:rFonts w:ascii="Arial" w:hAnsi="Arial" w:eastAsia="宋体" w:cs="Arial"/>
          <w:szCs w:val="21"/>
        </w:rPr>
        <w:t>标准或等效方法的方式来解决器械的EMC问题：</w:t>
      </w:r>
    </w:p>
    <w:p w14:paraId="5F7913D8">
      <w:pPr>
        <w:pStyle w:val="8"/>
        <w:numPr>
          <w:ilvl w:val="0"/>
          <w:numId w:val="12"/>
        </w:numPr>
        <w:snapToGrid w:val="0"/>
        <w:spacing w:line="300" w:lineRule="auto"/>
        <w:ind w:firstLine="0" w:firstLineChars="0"/>
        <w:rPr>
          <w:rFonts w:ascii="Arial" w:hAnsi="Arial" w:eastAsia="宋体" w:cs="Arial"/>
          <w:szCs w:val="21"/>
        </w:rPr>
      </w:pPr>
      <w:r>
        <w:rPr>
          <w:rFonts w:ascii="Arial" w:hAnsi="Arial" w:eastAsia="宋体" w:cs="Arial"/>
          <w:szCs w:val="21"/>
        </w:rPr>
        <w:t>IEC 60601-1-2医疗电气设备——第1部分：安全通用要求；电磁兼容性—要求和测试</w:t>
      </w:r>
    </w:p>
    <w:p w14:paraId="367E8DBD">
      <w:pPr>
        <w:pStyle w:val="8"/>
        <w:numPr>
          <w:ilvl w:val="0"/>
          <w:numId w:val="12"/>
        </w:numPr>
        <w:snapToGrid w:val="0"/>
        <w:spacing w:after="240" w:line="300" w:lineRule="auto"/>
        <w:ind w:firstLine="0" w:firstLineChars="0"/>
        <w:rPr>
          <w:rFonts w:ascii="Arial" w:hAnsi="Arial" w:eastAsia="宋体" w:cs="Arial"/>
          <w:szCs w:val="21"/>
        </w:rPr>
      </w:pPr>
      <w:r>
        <w:rPr>
          <w:rFonts w:ascii="Arial" w:hAnsi="Arial" w:eastAsia="宋体" w:cs="Arial"/>
          <w:szCs w:val="21"/>
        </w:rPr>
        <w:t>IEC 61326用于测量，控制和实验室使用的电气设备—EMC要求。</w:t>
      </w:r>
    </w:p>
    <w:p w14:paraId="56EDA324">
      <w:pPr>
        <w:snapToGrid w:val="0"/>
        <w:spacing w:after="240" w:line="300" w:lineRule="auto"/>
        <w:rPr>
          <w:rFonts w:ascii="Arial" w:hAnsi="Arial" w:eastAsia="宋体" w:cs="Arial"/>
          <w:color w:val="0070C0"/>
          <w:szCs w:val="21"/>
        </w:rPr>
      </w:pPr>
      <w:r>
        <w:rPr>
          <w:rFonts w:hint="eastAsia" w:ascii="Arial" w:hAnsi="Arial" w:eastAsia="宋体" w:cs="Arial"/>
          <w:color w:val="0070C0"/>
          <w:szCs w:val="21"/>
        </w:rPr>
        <w:t>回到顶部</w:t>
      </w:r>
    </w:p>
    <w:p w14:paraId="2494259A">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28" o:spt="1" style="height:0pt;width:0pt;" fillcolor="#A0A0A0" filled="t" stroked="f" coordsize="21600,21600" o:hr="t" o:hrstd="t" o:hralign="center">
            <v:path/>
            <v:fill on="t" focussize="0,0"/>
            <v:stroke on="f"/>
            <v:imagedata o:title=""/>
            <o:lock v:ext="edit"/>
            <w10:wrap type="none"/>
            <w10:anchorlock/>
          </v:rect>
        </w:pict>
      </w:r>
    </w:p>
    <w:p w14:paraId="7C28B15A">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软件生命周期和风险管理</w:t>
      </w:r>
    </w:p>
    <w:p w14:paraId="4E511D2E">
      <w:pPr>
        <w:snapToGrid w:val="0"/>
        <w:spacing w:after="240" w:line="300" w:lineRule="auto"/>
        <w:rPr>
          <w:rFonts w:ascii="Arial" w:hAnsi="Arial" w:eastAsia="宋体" w:cs="Arial"/>
          <w:szCs w:val="21"/>
        </w:rPr>
      </w:pPr>
      <w:r>
        <w:rPr>
          <w:rFonts w:ascii="Arial" w:hAnsi="Arial" w:eastAsia="宋体" w:cs="Arial"/>
          <w:szCs w:val="21"/>
        </w:rPr>
        <w:t>FDA建议贵公司提交文档，为与器械相关的所有软件程序，包括任何固件（嵌入式软件）提供适当的软件生命周期和风险管理的证据。FDA指南《</w:t>
      </w:r>
      <w:r>
        <w:rPr>
          <w:rFonts w:ascii="Arial" w:hAnsi="Arial" w:eastAsia="宋体" w:cs="Arial"/>
          <w:color w:val="0070C0"/>
          <w:szCs w:val="21"/>
        </w:rPr>
        <w:t>医疗器械所含软件的上市前提交资料内容指南</w:t>
      </w:r>
      <w:r>
        <w:rPr>
          <w:rFonts w:ascii="Arial" w:hAnsi="Arial" w:eastAsia="宋体" w:cs="Arial"/>
          <w:szCs w:val="21"/>
        </w:rPr>
        <w:t>》和《</w:t>
      </w:r>
      <w:r>
        <w:rPr>
          <w:rFonts w:ascii="Arial" w:hAnsi="Arial" w:eastAsia="宋体" w:cs="Arial"/>
          <w:color w:val="0070C0"/>
          <w:szCs w:val="21"/>
        </w:rPr>
        <w:t>医疗器械现成软件使用的指南</w:t>
      </w:r>
      <w:r>
        <w:rPr>
          <w:rFonts w:ascii="Arial" w:hAnsi="Arial" w:eastAsia="宋体" w:cs="Arial"/>
          <w:szCs w:val="21"/>
        </w:rPr>
        <w:t>》包含了建议的文档信息。此外，</w:t>
      </w:r>
      <w:r>
        <w:rPr>
          <w:rFonts w:ascii="Arial" w:hAnsi="Arial" w:eastAsia="宋体" w:cs="Arial"/>
          <w:b/>
          <w:color w:val="0070C0"/>
          <w:szCs w:val="21"/>
        </w:rPr>
        <w:t>软件确认</w:t>
      </w:r>
      <w:r>
        <w:rPr>
          <w:rFonts w:hint="eastAsia" w:ascii="Arial" w:hAnsi="Arial" w:eastAsia="宋体" w:cs="Arial"/>
          <w:b/>
          <w:color w:val="0070C0"/>
          <w:szCs w:val="21"/>
        </w:rPr>
        <w:t>的一般原则</w:t>
      </w:r>
      <w:r>
        <w:rPr>
          <w:rFonts w:ascii="Arial" w:hAnsi="Arial" w:eastAsia="宋体" w:cs="Arial"/>
          <w:szCs w:val="21"/>
        </w:rPr>
        <w:t>也包含有关软件生命周期和风险管理的有用信息。</w:t>
      </w:r>
    </w:p>
    <w:p w14:paraId="165E5F2F">
      <w:pPr>
        <w:snapToGrid w:val="0"/>
        <w:spacing w:after="240" w:line="300" w:lineRule="auto"/>
        <w:rPr>
          <w:rFonts w:ascii="Arial" w:hAnsi="Arial" w:eastAsia="宋体" w:cs="Arial"/>
          <w:szCs w:val="21"/>
        </w:rPr>
      </w:pPr>
      <w:r>
        <w:rPr>
          <w:rFonts w:ascii="Arial" w:hAnsi="Arial" w:eastAsia="宋体" w:cs="Arial"/>
          <w:szCs w:val="21"/>
        </w:rPr>
        <w:t>FDA认为，II类辅助生殖激光系统中使用的软件符合这些指南中给出的</w:t>
      </w:r>
      <w:r>
        <w:rPr>
          <w:rFonts w:ascii="宋体" w:hAnsi="宋体" w:eastAsia="宋体" w:cs="Arial"/>
          <w:szCs w:val="21"/>
        </w:rPr>
        <w:t>“</w:t>
      </w:r>
      <w:r>
        <w:rPr>
          <w:rFonts w:ascii="Arial" w:hAnsi="Arial" w:eastAsia="宋体" w:cs="Arial"/>
          <w:szCs w:val="21"/>
        </w:rPr>
        <w:t>中等关切程度</w:t>
      </w:r>
      <w:r>
        <w:rPr>
          <w:rFonts w:ascii="宋体" w:hAnsi="宋体" w:eastAsia="宋体" w:cs="Arial"/>
          <w:szCs w:val="21"/>
        </w:rPr>
        <w:t>”</w:t>
      </w:r>
      <w:r>
        <w:rPr>
          <w:rFonts w:ascii="Arial" w:hAnsi="Arial" w:eastAsia="宋体" w:cs="Arial"/>
          <w:szCs w:val="21"/>
        </w:rPr>
        <w:t>的定义。这是因为如果未能获得转移到子宫的适合胚胎，可能会导致更多的卵子刺激和卵母细胞恢复过程。因此，贵公司应该为软件提供</w:t>
      </w:r>
      <w:r>
        <w:rPr>
          <w:rFonts w:ascii="宋体" w:hAnsi="宋体" w:eastAsia="宋体" w:cs="Arial"/>
          <w:szCs w:val="21"/>
        </w:rPr>
        <w:t>“</w:t>
      </w:r>
      <w:r>
        <w:rPr>
          <w:rFonts w:ascii="Arial" w:hAnsi="Arial" w:eastAsia="宋体" w:cs="Arial"/>
          <w:szCs w:val="21"/>
        </w:rPr>
        <w:t>中等关切程度</w:t>
      </w:r>
      <w:r>
        <w:rPr>
          <w:rFonts w:ascii="宋体" w:hAnsi="宋体" w:eastAsia="宋体" w:cs="Arial"/>
          <w:szCs w:val="21"/>
        </w:rPr>
        <w:t>”</w:t>
      </w:r>
      <w:r>
        <w:rPr>
          <w:rFonts w:ascii="Arial" w:hAnsi="Arial" w:eastAsia="宋体" w:cs="Arial"/>
          <w:szCs w:val="21"/>
        </w:rPr>
        <w:t>建议的文档。</w:t>
      </w:r>
    </w:p>
    <w:p w14:paraId="6F8B5D44">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6795258B">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29" o:spt="1" style="height:0pt;width:0pt;" fillcolor="#A0A0A0" filled="t" stroked="f" coordsize="21600,21600" o:hr="t" o:hrstd="t" o:hralign="center">
            <v:path/>
            <v:fill on="t" focussize="0,0"/>
            <v:stroke on="f"/>
            <v:imagedata o:title=""/>
            <o:lock v:ext="edit"/>
            <w10:wrap type="none"/>
            <w10:anchorlock/>
          </v:rect>
        </w:pict>
      </w:r>
    </w:p>
    <w:p w14:paraId="4624E25D">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动物实验</w:t>
      </w:r>
    </w:p>
    <w:p w14:paraId="4E60AAC1">
      <w:pPr>
        <w:snapToGrid w:val="0"/>
        <w:spacing w:after="240" w:line="300" w:lineRule="auto"/>
        <w:rPr>
          <w:rFonts w:ascii="Arial" w:hAnsi="Arial" w:eastAsia="宋体" w:cs="Arial"/>
          <w:szCs w:val="21"/>
        </w:rPr>
      </w:pPr>
      <w:r>
        <w:rPr>
          <w:rFonts w:ascii="Arial" w:hAnsi="Arial" w:eastAsia="宋体" w:cs="Arial"/>
          <w:szCs w:val="21"/>
        </w:rPr>
        <w:t>根据贵公司的激光系统与其他合法上市的器械的相似和差异情况，FDA可能会建议将动物实验作为设计验证的一部分。</w:t>
      </w:r>
      <w:r>
        <w:fldChar w:fldCharType="begin"/>
      </w:r>
      <w:r>
        <w:instrText xml:space="preserve"> HYPERLINK "https://www.fda.gov/MedicalDevices/DeviceRegulationandGuidance/GuidanceDocuments/ucm072067.htm" \l "f5" </w:instrText>
      </w:r>
      <w:r>
        <w:fldChar w:fldCharType="separate"/>
      </w:r>
      <w:r>
        <w:rPr>
          <w:rFonts w:ascii="Arial" w:hAnsi="Arial" w:eastAsia="宋体" w:cs="Arial"/>
          <w:color w:val="005F9F"/>
          <w:kern w:val="0"/>
          <w:szCs w:val="21"/>
          <w:vertAlign w:val="superscript"/>
          <w:lang w:val="en"/>
        </w:rPr>
        <w:t>5</w:t>
      </w:r>
      <w:r>
        <w:rPr>
          <w:rFonts w:ascii="Arial" w:hAnsi="Arial" w:eastAsia="宋体" w:cs="Arial"/>
          <w:color w:val="005F9F"/>
          <w:kern w:val="0"/>
          <w:szCs w:val="21"/>
          <w:vertAlign w:val="superscript"/>
          <w:lang w:val="en"/>
        </w:rPr>
        <w:fldChar w:fldCharType="end"/>
      </w:r>
      <w:r>
        <w:rPr>
          <w:rFonts w:ascii="Arial" w:hAnsi="Arial" w:eastAsia="宋体" w:cs="Arial"/>
          <w:szCs w:val="21"/>
        </w:rPr>
        <w:t>如果是这样，我们建议贵公司在动物胚胎模型（例如牛，鼠或仓鼠）中测试激光系统，以证明激光具有在透明带中产生已知直径消融区域的能力。我们还建议通过该模型证明，贵公司的激光系统不会引起热损伤或致突变性损伤，或导致植入失败率增加。</w:t>
      </w:r>
    </w:p>
    <w:p w14:paraId="75EC4795">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405CB0B4">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30" o:spt="1" style="height:0pt;width:0pt;" fillcolor="#A0A0A0" filled="t" stroked="f" coordsize="21600,21600" o:hr="t" o:hrstd="t" o:hralign="center">
            <v:path/>
            <v:fill on="t" focussize="0,0"/>
            <v:stroke on="f"/>
            <v:imagedata o:title=""/>
            <o:lock v:ext="edit"/>
            <w10:wrap type="none"/>
            <w10:anchorlock/>
          </v:rect>
        </w:pict>
      </w:r>
    </w:p>
    <w:p w14:paraId="2E6E6CA9">
      <w:pPr>
        <w:widowControl/>
        <w:jc w:val="left"/>
        <w:rPr>
          <w:rFonts w:ascii="Arial" w:hAnsi="Arial" w:eastAsia="宋体" w:cs="Arial"/>
          <w:b/>
          <w:sz w:val="32"/>
          <w:szCs w:val="32"/>
        </w:rPr>
      </w:pPr>
      <w:r>
        <w:rPr>
          <w:rFonts w:ascii="Arial" w:hAnsi="Arial" w:eastAsia="宋体" w:cs="Arial"/>
          <w:b/>
          <w:sz w:val="32"/>
          <w:szCs w:val="32"/>
        </w:rPr>
        <w:br w:type="page"/>
      </w:r>
    </w:p>
    <w:p w14:paraId="5CD29976">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临床信息</w:t>
      </w:r>
    </w:p>
    <w:p w14:paraId="3B60F063">
      <w:pPr>
        <w:snapToGrid w:val="0"/>
        <w:spacing w:after="240" w:line="300" w:lineRule="auto"/>
        <w:rPr>
          <w:rFonts w:ascii="Arial" w:hAnsi="Arial" w:eastAsia="宋体" w:cs="Arial"/>
          <w:szCs w:val="21"/>
        </w:rPr>
      </w:pPr>
      <w:r>
        <w:rPr>
          <w:rFonts w:ascii="Arial" w:hAnsi="Arial" w:eastAsia="宋体" w:cs="Arial"/>
          <w:szCs w:val="21"/>
        </w:rPr>
        <w:t>根据法案的最小负担规定，若无特定的理由要求临床信息支持确定实质等同性测定，则机构会根据精心设计的台架和/或动物测试进行判断，而不要求对新器械进行临床研究。虽然一般来说，大多数辅助生殖激光系统不需要临床研究，但是如属于下列情况中的一种情况，FDA可能建议贵公司收集辅助生殖激光系统的临床信息：</w:t>
      </w:r>
    </w:p>
    <w:p w14:paraId="59EC35D6">
      <w:pPr>
        <w:pStyle w:val="8"/>
        <w:numPr>
          <w:ilvl w:val="0"/>
          <w:numId w:val="13"/>
        </w:numPr>
        <w:snapToGrid w:val="0"/>
        <w:spacing w:line="300" w:lineRule="auto"/>
        <w:ind w:firstLine="0" w:firstLineChars="0"/>
        <w:rPr>
          <w:rFonts w:ascii="Arial" w:hAnsi="Arial" w:eastAsia="宋体" w:cs="Arial"/>
          <w:szCs w:val="21"/>
        </w:rPr>
      </w:pPr>
      <w:r>
        <w:rPr>
          <w:rFonts w:ascii="Arial" w:hAnsi="Arial" w:eastAsia="宋体" w:cs="Arial"/>
          <w:szCs w:val="21"/>
        </w:rPr>
        <w:t>设计，不同于已批准的上市前通告中的设计</w:t>
      </w:r>
    </w:p>
    <w:p w14:paraId="2326847E">
      <w:pPr>
        <w:pStyle w:val="8"/>
        <w:numPr>
          <w:ilvl w:val="0"/>
          <w:numId w:val="13"/>
        </w:numPr>
        <w:snapToGrid w:val="0"/>
        <w:spacing w:line="300" w:lineRule="auto"/>
        <w:ind w:firstLine="0" w:firstLineChars="0"/>
        <w:rPr>
          <w:rFonts w:ascii="Arial" w:hAnsi="Arial" w:eastAsia="宋体" w:cs="Arial"/>
          <w:szCs w:val="21"/>
        </w:rPr>
      </w:pPr>
      <w:r>
        <w:rPr>
          <w:rFonts w:ascii="Arial" w:hAnsi="Arial" w:eastAsia="宋体" w:cs="Arial"/>
          <w:szCs w:val="21"/>
        </w:rPr>
        <w:t>新技术，即与合法上市的辅助生殖激光系统中使用的技术不同的技术</w:t>
      </w:r>
    </w:p>
    <w:p w14:paraId="0643BBBC">
      <w:pPr>
        <w:pStyle w:val="8"/>
        <w:numPr>
          <w:ilvl w:val="0"/>
          <w:numId w:val="13"/>
        </w:numPr>
        <w:snapToGrid w:val="0"/>
        <w:spacing w:after="240" w:line="300" w:lineRule="auto"/>
        <w:ind w:firstLine="0" w:firstLineChars="0"/>
        <w:rPr>
          <w:rFonts w:ascii="Arial" w:hAnsi="Arial" w:eastAsia="宋体" w:cs="Arial"/>
          <w:szCs w:val="21"/>
        </w:rPr>
      </w:pPr>
      <w:r>
        <w:rPr>
          <w:rFonts w:ascii="Arial" w:hAnsi="Arial" w:eastAsia="宋体" w:cs="Arial"/>
          <w:szCs w:val="21"/>
        </w:rPr>
        <w:t>与相同类型辅助生殖激光系统存在不同的适应症。</w:t>
      </w:r>
    </w:p>
    <w:p w14:paraId="1E1F9CEE">
      <w:pPr>
        <w:snapToGrid w:val="0"/>
        <w:spacing w:after="240" w:line="300" w:lineRule="auto"/>
        <w:rPr>
          <w:rFonts w:ascii="Arial" w:hAnsi="Arial" w:eastAsia="宋体" w:cs="Arial"/>
          <w:szCs w:val="21"/>
        </w:rPr>
      </w:pPr>
      <w:r>
        <w:rPr>
          <w:rFonts w:ascii="Arial" w:hAnsi="Arial" w:eastAsia="宋体" w:cs="Arial"/>
          <w:szCs w:val="21"/>
        </w:rPr>
        <w:t>拟定替代方案得到充分的科学依据支持时，FDA将始终考虑临床测试的替代方法。</w:t>
      </w:r>
    </w:p>
    <w:p w14:paraId="7712F1D0">
      <w:pPr>
        <w:snapToGrid w:val="0"/>
        <w:spacing w:after="240" w:line="300" w:lineRule="auto"/>
        <w:rPr>
          <w:rFonts w:ascii="Arial" w:hAnsi="Arial" w:eastAsia="宋体" w:cs="Arial"/>
          <w:szCs w:val="21"/>
        </w:rPr>
      </w:pPr>
      <w:r>
        <w:rPr>
          <w:rFonts w:ascii="Arial" w:hAnsi="Arial" w:eastAsia="宋体" w:cs="Arial"/>
          <w:szCs w:val="21"/>
        </w:rPr>
        <w:t>如果我们建议进行临床研究来证明实质等同性，如器械在获得510（k）许可之前进行的研究，则必须根据《试验用器械豁免（IDE）法规》、21 CFR第812部分的要求进行研究。根据21 CFR 812.3（m）（4）</w:t>
      </w:r>
      <w:r>
        <w:fldChar w:fldCharType="begin"/>
      </w:r>
      <w:r>
        <w:instrText xml:space="preserve"> HYPERLINK "https://www.fda.gov/MedicalDevices/DeviceRegulationandGuidance/GuidanceDocuments/ucm072067.htm" \l "f6" </w:instrText>
      </w:r>
      <w:r>
        <w:fldChar w:fldCharType="separate"/>
      </w:r>
      <w:r>
        <w:rPr>
          <w:rFonts w:ascii="Arial" w:hAnsi="Arial" w:eastAsia="宋体" w:cs="Arial"/>
          <w:color w:val="005F9F"/>
          <w:kern w:val="0"/>
          <w:szCs w:val="21"/>
          <w:vertAlign w:val="superscript"/>
          <w:lang w:val="en"/>
        </w:rPr>
        <w:t>6</w:t>
      </w:r>
      <w:r>
        <w:rPr>
          <w:rFonts w:ascii="Arial" w:hAnsi="Arial" w:eastAsia="宋体" w:cs="Arial"/>
          <w:color w:val="005F9F"/>
          <w:kern w:val="0"/>
          <w:szCs w:val="21"/>
          <w:vertAlign w:val="superscript"/>
          <w:lang w:val="en"/>
        </w:rPr>
        <w:fldChar w:fldCharType="end"/>
      </w:r>
      <w:r>
        <w:rPr>
          <w:rFonts w:ascii="Arial" w:hAnsi="Arial" w:eastAsia="宋体" w:cs="Arial"/>
          <w:szCs w:val="21"/>
        </w:rPr>
        <w:t>中的定义，FDA一般认为支持上市前通告而进行的激光辅助孵化研究是重大风险器械。除了要求获得FDA批准的IDE之外，这些实验的申办方必须遵守有关机构审查委员会（21 CFR第56部分）和知情同意书（21 CFR第 50部分）的规定。</w:t>
      </w:r>
    </w:p>
    <w:p w14:paraId="252C4069">
      <w:pPr>
        <w:snapToGrid w:val="0"/>
        <w:spacing w:after="240" w:line="300" w:lineRule="auto"/>
        <w:rPr>
          <w:rFonts w:ascii="Arial" w:hAnsi="Arial" w:eastAsia="宋体" w:cs="Arial"/>
          <w:szCs w:val="21"/>
        </w:rPr>
      </w:pPr>
      <w:r>
        <w:rPr>
          <w:rFonts w:ascii="Arial" w:hAnsi="Arial" w:eastAsia="宋体" w:cs="Arial"/>
          <w:szCs w:val="21"/>
        </w:rPr>
        <w:t>如果我们建议进行临床研究，则贵公司应该设计贵公司的研究，以便在适应症声明中进行描述时证明器械的实质等同性。在得到充分科学依据的支持下，依从文献或使用元分析的方法都是可以的。我们在下面列出了我们针对每种方法的建议。</w:t>
      </w:r>
    </w:p>
    <w:p w14:paraId="158058EF">
      <w:pPr>
        <w:snapToGrid w:val="0"/>
        <w:spacing w:after="240" w:line="300" w:lineRule="auto"/>
        <w:rPr>
          <w:rFonts w:ascii="Arial" w:hAnsi="Arial" w:eastAsia="宋体" w:cs="Arial"/>
          <w:szCs w:val="21"/>
        </w:rPr>
      </w:pPr>
      <w:r>
        <w:rPr>
          <w:rFonts w:ascii="Arial" w:hAnsi="Arial" w:eastAsia="宋体" w:cs="Arial"/>
          <w:szCs w:val="21"/>
        </w:rPr>
        <w:t>为了统计的目的，研究假设应该将关于等同性，非劣效性或优效性的研究问题适合于此类已合法上市器械的性能。我们还建议贵公司咨询熟悉医疗器械研究的统计学家。</w:t>
      </w:r>
    </w:p>
    <w:p w14:paraId="099AD182">
      <w:pPr>
        <w:snapToGrid w:val="0"/>
        <w:spacing w:after="240" w:line="300" w:lineRule="auto"/>
        <w:rPr>
          <w:rFonts w:ascii="Arial" w:hAnsi="Arial" w:eastAsia="宋体" w:cs="Arial"/>
          <w:b/>
          <w:szCs w:val="21"/>
        </w:rPr>
      </w:pPr>
      <w:r>
        <w:rPr>
          <w:rFonts w:ascii="Arial" w:hAnsi="Arial" w:eastAsia="宋体" w:cs="Arial"/>
          <w:b/>
          <w:szCs w:val="21"/>
        </w:rPr>
        <w:t>贵公司临床研究结果的上市前通告中的统计报告</w:t>
      </w:r>
    </w:p>
    <w:p w14:paraId="5E715791">
      <w:pPr>
        <w:widowControl/>
        <w:jc w:val="left"/>
        <w:rPr>
          <w:rFonts w:ascii="Arial" w:hAnsi="Arial" w:eastAsia="宋体" w:cs="Arial"/>
          <w:szCs w:val="21"/>
        </w:rPr>
      </w:pPr>
      <w:r>
        <w:rPr>
          <w:rFonts w:ascii="Arial" w:hAnsi="Arial" w:eastAsia="宋体" w:cs="Arial"/>
          <w:szCs w:val="21"/>
        </w:rPr>
        <w:br w:type="page"/>
      </w:r>
    </w:p>
    <w:p w14:paraId="64C8B68C">
      <w:pPr>
        <w:snapToGrid w:val="0"/>
        <w:spacing w:after="240" w:line="300" w:lineRule="auto"/>
        <w:rPr>
          <w:rFonts w:ascii="Arial" w:hAnsi="Arial" w:eastAsia="宋体" w:cs="Arial"/>
          <w:szCs w:val="21"/>
        </w:rPr>
      </w:pPr>
      <w:r>
        <w:rPr>
          <w:rFonts w:ascii="Arial" w:hAnsi="Arial" w:eastAsia="宋体" w:cs="Arial"/>
          <w:szCs w:val="21"/>
        </w:rPr>
        <w:t>我们建议贵公司确定：</w:t>
      </w:r>
    </w:p>
    <w:p w14:paraId="3D1EBA22">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主要临床有效性终点（如植入率，临床妊娠率，活产率）</w:t>
      </w:r>
    </w:p>
    <w:p w14:paraId="7B4C89B0">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安全终点（例如，先天性异常，非整倍体，流产率，转移前胚胎明显的激光损伤）</w:t>
      </w:r>
    </w:p>
    <w:p w14:paraId="38A2198E">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确定临床有效性的标准</w:t>
      </w:r>
    </w:p>
    <w:p w14:paraId="2A4D2A72">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零假设和备择假设（以文字和数学公式形式）</w:t>
      </w:r>
    </w:p>
    <w:p w14:paraId="1F92A030">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等同性界值</w:t>
      </w:r>
    </w:p>
    <w:p w14:paraId="71E9EA8B">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I类和II类错误率</w:t>
      </w:r>
    </w:p>
    <w:p w14:paraId="728AF1E8">
      <w:pPr>
        <w:pStyle w:val="8"/>
        <w:numPr>
          <w:ilvl w:val="0"/>
          <w:numId w:val="14"/>
        </w:numPr>
        <w:snapToGrid w:val="0"/>
        <w:spacing w:after="240" w:line="300" w:lineRule="auto"/>
        <w:ind w:firstLine="0" w:firstLineChars="0"/>
        <w:rPr>
          <w:rFonts w:ascii="Arial" w:hAnsi="Arial" w:eastAsia="宋体" w:cs="Arial"/>
          <w:szCs w:val="21"/>
        </w:rPr>
      </w:pPr>
      <w:r>
        <w:rPr>
          <w:rFonts w:ascii="Arial" w:hAnsi="Arial" w:eastAsia="宋体" w:cs="Arial"/>
          <w:szCs w:val="21"/>
        </w:rPr>
        <w:t>每个器械组和对照组的样本量。</w:t>
      </w:r>
    </w:p>
    <w:p w14:paraId="7CCA3E31">
      <w:pPr>
        <w:snapToGrid w:val="0"/>
        <w:spacing w:after="240" w:line="300" w:lineRule="auto"/>
        <w:rPr>
          <w:rFonts w:ascii="Arial" w:hAnsi="Arial" w:eastAsia="宋体" w:cs="Arial"/>
          <w:szCs w:val="21"/>
        </w:rPr>
      </w:pPr>
      <w:r>
        <w:rPr>
          <w:rFonts w:ascii="Arial" w:hAnsi="Arial" w:eastAsia="宋体" w:cs="Arial"/>
          <w:szCs w:val="21"/>
        </w:rPr>
        <w:t>我们还建议贵公司描述：</w:t>
      </w:r>
    </w:p>
    <w:p w14:paraId="5360B022">
      <w:pPr>
        <w:pStyle w:val="8"/>
        <w:numPr>
          <w:ilvl w:val="0"/>
          <w:numId w:val="15"/>
        </w:numPr>
        <w:snapToGrid w:val="0"/>
        <w:spacing w:line="300" w:lineRule="auto"/>
        <w:ind w:firstLine="0" w:firstLineChars="0"/>
        <w:rPr>
          <w:rFonts w:ascii="Arial" w:hAnsi="Arial" w:eastAsia="宋体" w:cs="Arial"/>
          <w:szCs w:val="21"/>
        </w:rPr>
      </w:pPr>
      <w:r>
        <w:rPr>
          <w:rFonts w:ascii="Arial" w:hAnsi="Arial" w:eastAsia="宋体" w:cs="Arial"/>
          <w:szCs w:val="21"/>
        </w:rPr>
        <w:t>随访时间长短</w:t>
      </w:r>
    </w:p>
    <w:p w14:paraId="48D85FB3">
      <w:pPr>
        <w:pStyle w:val="8"/>
        <w:numPr>
          <w:ilvl w:val="0"/>
          <w:numId w:val="15"/>
        </w:numPr>
        <w:snapToGrid w:val="0"/>
        <w:spacing w:line="300" w:lineRule="auto"/>
        <w:ind w:firstLine="0" w:firstLineChars="0"/>
        <w:rPr>
          <w:rFonts w:ascii="Arial" w:hAnsi="Arial" w:eastAsia="宋体" w:cs="Arial"/>
          <w:szCs w:val="21"/>
        </w:rPr>
      </w:pPr>
      <w:r>
        <w:rPr>
          <w:rFonts w:ascii="Arial" w:hAnsi="Arial" w:eastAsia="宋体" w:cs="Arial"/>
          <w:szCs w:val="21"/>
        </w:rPr>
        <w:t>研究设计类型（前瞻性，回顾性，代表性）</w:t>
      </w:r>
    </w:p>
    <w:p w14:paraId="51C5CEA5">
      <w:pPr>
        <w:pStyle w:val="8"/>
        <w:numPr>
          <w:ilvl w:val="0"/>
          <w:numId w:val="15"/>
        </w:numPr>
        <w:snapToGrid w:val="0"/>
        <w:spacing w:line="300" w:lineRule="auto"/>
        <w:ind w:firstLine="0" w:firstLineChars="0"/>
        <w:rPr>
          <w:rFonts w:ascii="Arial" w:hAnsi="Arial" w:eastAsia="宋体" w:cs="Arial"/>
          <w:szCs w:val="21"/>
        </w:rPr>
      </w:pPr>
      <w:r>
        <w:rPr>
          <w:rFonts w:ascii="Arial" w:hAnsi="Arial" w:eastAsia="宋体" w:cs="Arial"/>
          <w:szCs w:val="21"/>
        </w:rPr>
        <w:t>盲法和随机化程序</w:t>
      </w:r>
    </w:p>
    <w:p w14:paraId="68B34EA2">
      <w:pPr>
        <w:pStyle w:val="8"/>
        <w:numPr>
          <w:ilvl w:val="0"/>
          <w:numId w:val="15"/>
        </w:numPr>
        <w:snapToGrid w:val="0"/>
        <w:spacing w:after="240" w:line="300" w:lineRule="auto"/>
        <w:ind w:firstLine="0" w:firstLineChars="0"/>
        <w:rPr>
          <w:rFonts w:ascii="Arial" w:hAnsi="Arial" w:eastAsia="宋体" w:cs="Arial"/>
          <w:szCs w:val="21"/>
        </w:rPr>
      </w:pPr>
      <w:r>
        <w:rPr>
          <w:rFonts w:ascii="Arial" w:hAnsi="Arial" w:eastAsia="宋体" w:cs="Arial"/>
          <w:szCs w:val="21"/>
        </w:rPr>
        <w:t>用于分析临床信息的统计学方法。</w:t>
      </w:r>
    </w:p>
    <w:p w14:paraId="41D08E55">
      <w:pPr>
        <w:snapToGrid w:val="0"/>
        <w:spacing w:after="240" w:line="300" w:lineRule="auto"/>
        <w:rPr>
          <w:rFonts w:ascii="Arial" w:hAnsi="Arial" w:eastAsia="宋体" w:cs="Arial"/>
          <w:szCs w:val="21"/>
        </w:rPr>
      </w:pPr>
      <w:r>
        <w:rPr>
          <w:rFonts w:ascii="Arial" w:hAnsi="Arial" w:eastAsia="宋体" w:cs="Arial"/>
          <w:szCs w:val="21"/>
        </w:rPr>
        <w:t>如果采用多中心研究，我们建议贵公司讨论主要汇总数据，例如两个比例差异（PD）；风险比（RR）；和优势比（OR），以及用于汇总多中心研究的统计方法。</w:t>
      </w:r>
    </w:p>
    <w:p w14:paraId="481D4CC3">
      <w:pPr>
        <w:snapToGrid w:val="0"/>
        <w:spacing w:after="240" w:line="300" w:lineRule="auto"/>
        <w:rPr>
          <w:rFonts w:ascii="Arial" w:hAnsi="Arial" w:eastAsia="宋体" w:cs="Arial"/>
          <w:b/>
          <w:szCs w:val="21"/>
        </w:rPr>
      </w:pPr>
      <w:r>
        <w:rPr>
          <w:rFonts w:ascii="Arial" w:hAnsi="Arial" w:eastAsia="宋体" w:cs="Arial"/>
          <w:b/>
          <w:szCs w:val="21"/>
        </w:rPr>
        <w:t>期刊文章的报告结果</w:t>
      </w:r>
    </w:p>
    <w:p w14:paraId="4C76BA0E">
      <w:pPr>
        <w:snapToGrid w:val="0"/>
        <w:spacing w:after="240" w:line="300" w:lineRule="auto"/>
        <w:rPr>
          <w:rFonts w:ascii="Arial" w:hAnsi="Arial" w:eastAsia="宋体" w:cs="Arial"/>
          <w:szCs w:val="21"/>
        </w:rPr>
      </w:pPr>
      <w:r>
        <w:rPr>
          <w:rFonts w:ascii="Arial" w:hAnsi="Arial" w:eastAsia="宋体" w:cs="Arial"/>
          <w:szCs w:val="21"/>
        </w:rPr>
        <w:t>我们建议贵公司评估各种研究中研究设计的一致性，如：</w:t>
      </w:r>
    </w:p>
    <w:p w14:paraId="62BF3D77">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随机化程序</w:t>
      </w:r>
    </w:p>
    <w:p w14:paraId="66EB03BC">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成功/失败标准</w:t>
      </w:r>
    </w:p>
    <w:p w14:paraId="7078207D">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盲法</w:t>
      </w:r>
    </w:p>
    <w:p w14:paraId="68E96E57">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研究设计类型（前瞻性，回顾性或代表性）</w:t>
      </w:r>
    </w:p>
    <w:p w14:paraId="43F96BD8">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患者随访时间长度</w:t>
      </w:r>
    </w:p>
    <w:p w14:paraId="07A0674B">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患者人口学数据和具有​​重要临床意义的患者协变量（如果已知）</w:t>
      </w:r>
    </w:p>
    <w:p w14:paraId="60408399">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患者责任</w:t>
      </w:r>
    </w:p>
    <w:p w14:paraId="03AC59A1">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数据质量</w:t>
      </w:r>
    </w:p>
    <w:p w14:paraId="3C387E2E">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临床中心类型</w:t>
      </w:r>
    </w:p>
    <w:p w14:paraId="22F5DBCD">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患者纳入/排除标准</w:t>
      </w:r>
    </w:p>
    <w:p w14:paraId="79E073D5">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医师经验</w:t>
      </w:r>
    </w:p>
    <w:p w14:paraId="2BC93188">
      <w:pPr>
        <w:pStyle w:val="8"/>
        <w:numPr>
          <w:ilvl w:val="0"/>
          <w:numId w:val="16"/>
        </w:numPr>
        <w:snapToGrid w:val="0"/>
        <w:spacing w:after="240" w:line="300" w:lineRule="auto"/>
        <w:ind w:firstLine="0" w:firstLineChars="0"/>
        <w:rPr>
          <w:rFonts w:ascii="Arial" w:hAnsi="Arial" w:eastAsia="宋体" w:cs="Arial"/>
          <w:szCs w:val="21"/>
        </w:rPr>
      </w:pPr>
      <w:r>
        <w:rPr>
          <w:rFonts w:ascii="Arial" w:hAnsi="Arial" w:eastAsia="宋体" w:cs="Arial"/>
          <w:szCs w:val="21"/>
        </w:rPr>
        <w:t>任何相关的其他因素。</w:t>
      </w:r>
    </w:p>
    <w:p w14:paraId="59D712A9">
      <w:pPr>
        <w:snapToGrid w:val="0"/>
        <w:spacing w:after="240" w:line="300" w:lineRule="auto"/>
        <w:rPr>
          <w:rFonts w:ascii="Arial" w:hAnsi="Arial" w:eastAsia="宋体" w:cs="Arial"/>
          <w:szCs w:val="21"/>
        </w:rPr>
      </w:pPr>
      <w:r>
        <w:rPr>
          <w:rFonts w:ascii="Arial" w:hAnsi="Arial" w:eastAsia="宋体" w:cs="Arial"/>
          <w:szCs w:val="21"/>
        </w:rPr>
        <w:t>我们还建议贵公司评估任何潜在的出版偏倚。</w:t>
      </w:r>
    </w:p>
    <w:p w14:paraId="3379916C">
      <w:pPr>
        <w:snapToGrid w:val="0"/>
        <w:spacing w:after="240" w:line="300" w:lineRule="auto"/>
        <w:rPr>
          <w:rFonts w:ascii="Arial" w:hAnsi="Arial" w:eastAsia="宋体" w:cs="Arial"/>
          <w:szCs w:val="21"/>
        </w:rPr>
      </w:pPr>
      <w:r>
        <w:rPr>
          <w:rFonts w:ascii="Arial" w:hAnsi="Arial" w:eastAsia="宋体" w:cs="Arial"/>
          <w:szCs w:val="21"/>
        </w:rPr>
        <w:t>我们建议贵公司在汇总统计（PD，RR，OR）中进行同质性测试，并提供汇总多中心研究，即元分析的统计理由。</w:t>
      </w:r>
    </w:p>
    <w:p w14:paraId="50599C30">
      <w:pPr>
        <w:snapToGrid w:val="0"/>
        <w:spacing w:after="240" w:line="300" w:lineRule="auto"/>
        <w:rPr>
          <w:rFonts w:ascii="Arial" w:hAnsi="Arial" w:eastAsia="宋体" w:cs="Arial"/>
          <w:b/>
          <w:szCs w:val="21"/>
        </w:rPr>
      </w:pPr>
      <w:r>
        <w:rPr>
          <w:rFonts w:ascii="Arial" w:hAnsi="Arial" w:eastAsia="宋体" w:cs="Arial"/>
          <w:b/>
          <w:szCs w:val="21"/>
        </w:rPr>
        <w:t>报告元分析（原创临床研究和期刊文章）</w:t>
      </w:r>
    </w:p>
    <w:p w14:paraId="5F6A823A">
      <w:pPr>
        <w:widowControl/>
        <w:jc w:val="left"/>
        <w:rPr>
          <w:rFonts w:ascii="Arial" w:hAnsi="Arial" w:eastAsia="宋体" w:cs="Arial"/>
          <w:szCs w:val="21"/>
        </w:rPr>
      </w:pPr>
      <w:r>
        <w:rPr>
          <w:rFonts w:ascii="Arial" w:hAnsi="Arial" w:eastAsia="宋体" w:cs="Arial"/>
          <w:szCs w:val="21"/>
        </w:rPr>
        <w:br w:type="page"/>
      </w:r>
    </w:p>
    <w:p w14:paraId="53815BB1">
      <w:pPr>
        <w:snapToGrid w:val="0"/>
        <w:spacing w:after="240" w:line="300" w:lineRule="auto"/>
        <w:rPr>
          <w:rFonts w:ascii="Arial" w:hAnsi="Arial" w:eastAsia="宋体" w:cs="Arial"/>
          <w:szCs w:val="21"/>
        </w:rPr>
      </w:pPr>
      <w:r>
        <w:rPr>
          <w:rFonts w:ascii="Arial" w:hAnsi="Arial" w:eastAsia="宋体" w:cs="Arial"/>
          <w:szCs w:val="21"/>
        </w:rPr>
        <w:t>如果可以获取每个研究的汇总数据，我们建议贵公司为每个中心或每项研究以及所选择的汇总统计（RD，RR，OR或其他，如手段）以图形方式显示下列内容：</w:t>
      </w:r>
    </w:p>
    <w:p w14:paraId="2354A51C">
      <w:pPr>
        <w:pStyle w:val="8"/>
        <w:numPr>
          <w:ilvl w:val="0"/>
          <w:numId w:val="17"/>
        </w:numPr>
        <w:snapToGrid w:val="0"/>
        <w:spacing w:line="300" w:lineRule="auto"/>
        <w:ind w:firstLine="0" w:firstLineChars="0"/>
        <w:rPr>
          <w:rFonts w:ascii="Arial" w:hAnsi="Arial" w:eastAsia="宋体" w:cs="Arial"/>
          <w:szCs w:val="21"/>
        </w:rPr>
      </w:pPr>
      <w:r>
        <w:rPr>
          <w:rFonts w:ascii="Arial" w:hAnsi="Arial" w:eastAsia="宋体" w:cs="Arial"/>
          <w:szCs w:val="21"/>
        </w:rPr>
        <w:t>点估计</w:t>
      </w:r>
    </w:p>
    <w:p w14:paraId="72E62027">
      <w:pPr>
        <w:pStyle w:val="8"/>
        <w:numPr>
          <w:ilvl w:val="0"/>
          <w:numId w:val="17"/>
        </w:numPr>
        <w:snapToGrid w:val="0"/>
        <w:spacing w:line="300" w:lineRule="auto"/>
        <w:ind w:firstLine="0" w:firstLineChars="0"/>
        <w:rPr>
          <w:rFonts w:ascii="Arial" w:hAnsi="Arial" w:eastAsia="宋体" w:cs="Arial"/>
          <w:szCs w:val="21"/>
        </w:rPr>
      </w:pPr>
      <w:r>
        <w:rPr>
          <w:rFonts w:ascii="Arial" w:hAnsi="Arial" w:eastAsia="宋体" w:cs="Arial"/>
          <w:szCs w:val="21"/>
        </w:rPr>
        <w:t>95％置信区间</w:t>
      </w:r>
    </w:p>
    <w:p w14:paraId="502C7AD0">
      <w:pPr>
        <w:pStyle w:val="8"/>
        <w:numPr>
          <w:ilvl w:val="0"/>
          <w:numId w:val="17"/>
        </w:numPr>
        <w:snapToGrid w:val="0"/>
        <w:spacing w:line="300" w:lineRule="auto"/>
        <w:ind w:firstLine="0" w:firstLineChars="0"/>
        <w:rPr>
          <w:rFonts w:ascii="Arial" w:hAnsi="Arial" w:eastAsia="宋体" w:cs="Arial"/>
          <w:szCs w:val="21"/>
        </w:rPr>
      </w:pPr>
      <w:r>
        <w:rPr>
          <w:rFonts w:ascii="Arial" w:hAnsi="Arial" w:eastAsia="宋体" w:cs="Arial"/>
          <w:szCs w:val="21"/>
        </w:rPr>
        <w:t>器械和对照组的样本比例</w:t>
      </w:r>
    </w:p>
    <w:p w14:paraId="79254167">
      <w:pPr>
        <w:pStyle w:val="8"/>
        <w:numPr>
          <w:ilvl w:val="0"/>
          <w:numId w:val="17"/>
        </w:numPr>
        <w:snapToGrid w:val="0"/>
        <w:spacing w:after="240" w:line="300" w:lineRule="auto"/>
        <w:ind w:firstLine="0" w:firstLineChars="0"/>
        <w:rPr>
          <w:rFonts w:ascii="Arial" w:hAnsi="Arial" w:eastAsia="宋体" w:cs="Arial"/>
          <w:szCs w:val="21"/>
        </w:rPr>
      </w:pPr>
      <w:r>
        <w:rPr>
          <w:rFonts w:ascii="Arial" w:hAnsi="Arial" w:eastAsia="宋体" w:cs="Arial"/>
          <w:szCs w:val="21"/>
        </w:rPr>
        <w:t>95％置信区间的宽度。</w:t>
      </w:r>
    </w:p>
    <w:p w14:paraId="11F9DDCF">
      <w:pPr>
        <w:snapToGrid w:val="0"/>
        <w:spacing w:after="240" w:line="300" w:lineRule="auto"/>
        <w:rPr>
          <w:rFonts w:ascii="Arial" w:hAnsi="Arial" w:eastAsia="宋体" w:cs="Arial"/>
          <w:szCs w:val="21"/>
        </w:rPr>
      </w:pPr>
      <w:r>
        <w:rPr>
          <w:rFonts w:ascii="Arial" w:hAnsi="Arial" w:eastAsia="宋体" w:cs="Arial"/>
          <w:szCs w:val="21"/>
        </w:rPr>
        <w:t>我们还建议贵公司计算汇总数据的适当汇总平均估计值和多个所选研究的相关95％置信区间。</w:t>
      </w:r>
    </w:p>
    <w:p w14:paraId="6CEC8E7A">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75705F67">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31" o:spt="1" style="height:0pt;width:0pt;" fillcolor="#A0A0A0" filled="t" stroked="f" coordsize="21600,21600" o:hr="t" o:hrstd="t" o:hralign="center">
            <v:path/>
            <v:fill on="t" focussize="0,0"/>
            <v:stroke on="f"/>
            <v:imagedata o:title=""/>
            <o:lock v:ext="edit"/>
            <w10:wrap type="none"/>
            <w10:anchorlock/>
          </v:rect>
        </w:pict>
      </w:r>
    </w:p>
    <w:p w14:paraId="7312969E">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标签</w:t>
      </w:r>
    </w:p>
    <w:p w14:paraId="46521214">
      <w:pPr>
        <w:snapToGrid w:val="0"/>
        <w:spacing w:after="240" w:line="300" w:lineRule="auto"/>
        <w:rPr>
          <w:rFonts w:ascii="Arial" w:hAnsi="Arial" w:eastAsia="宋体" w:cs="Arial"/>
          <w:szCs w:val="21"/>
        </w:rPr>
      </w:pPr>
      <w:r>
        <w:rPr>
          <w:rFonts w:ascii="Arial" w:hAnsi="Arial" w:eastAsia="宋体" w:cs="Arial"/>
          <w:szCs w:val="21"/>
        </w:rPr>
        <w:t>上市前通告应包括足够详细的标签，以满足21 CFR 807.87（e）的要求。下面的建议旨在帮助贵公司准备符合21 CFR第801部分要求的标签。</w:t>
      </w:r>
    </w:p>
    <w:p w14:paraId="61987B30">
      <w:pPr>
        <w:snapToGrid w:val="0"/>
        <w:spacing w:after="240" w:line="300" w:lineRule="auto"/>
        <w:rPr>
          <w:rFonts w:ascii="Arial" w:hAnsi="Arial" w:eastAsia="宋体" w:cs="Arial"/>
          <w:b/>
          <w:szCs w:val="21"/>
        </w:rPr>
      </w:pPr>
      <w:r>
        <w:rPr>
          <w:rFonts w:ascii="Arial" w:hAnsi="Arial" w:eastAsia="宋体" w:cs="Arial"/>
          <w:b/>
          <w:szCs w:val="21"/>
        </w:rPr>
        <w:t>使用说明</w:t>
      </w:r>
    </w:p>
    <w:p w14:paraId="3E7161C2">
      <w:pPr>
        <w:snapToGrid w:val="0"/>
        <w:spacing w:after="240" w:line="300" w:lineRule="auto"/>
        <w:rPr>
          <w:rFonts w:ascii="Arial" w:hAnsi="Arial" w:eastAsia="宋体" w:cs="Arial"/>
          <w:szCs w:val="21"/>
        </w:rPr>
      </w:pPr>
      <w:r>
        <w:rPr>
          <w:rFonts w:ascii="Arial" w:hAnsi="Arial" w:eastAsia="宋体" w:cs="Arial"/>
          <w:szCs w:val="21"/>
        </w:rPr>
        <w:t>根据21 CFR 801.109的规定，作为处方用医疗器械，该器械可以免于提供外行人员使用说明。根据21 CFR 807.87（e），我们建议提交清晰简短的说明，描述特定器械的技术特征以及器械的使用方法。说明应鼓励旨在使用户熟悉器械功能以及安全有效的使用方式的本地/机构培训计划。</w:t>
      </w:r>
    </w:p>
    <w:p w14:paraId="488622EB">
      <w:pPr>
        <w:snapToGrid w:val="0"/>
        <w:spacing w:after="240" w:line="300" w:lineRule="auto"/>
        <w:rPr>
          <w:rFonts w:ascii="Arial" w:hAnsi="Arial" w:eastAsia="宋体" w:cs="Arial"/>
          <w:szCs w:val="21"/>
        </w:rPr>
      </w:pPr>
      <w:r>
        <w:rPr>
          <w:rFonts w:ascii="Arial" w:hAnsi="Arial" w:eastAsia="宋体" w:cs="Arial"/>
          <w:szCs w:val="21"/>
        </w:rPr>
        <w:t>我们建议贵公司的使用说明可以告知用户治疗方法，以尽量减少治疗区域附近的卵裂球潜在的热和致突变效应，例如</w:t>
      </w:r>
      <w:r>
        <w:rPr>
          <w:rFonts w:ascii="宋体" w:hAnsi="宋体" w:eastAsia="宋体" w:cs="Arial"/>
          <w:szCs w:val="21"/>
        </w:rPr>
        <w:t>“</w:t>
      </w:r>
      <w:r>
        <w:rPr>
          <w:rFonts w:ascii="Arial" w:hAnsi="Arial" w:eastAsia="宋体" w:cs="Arial"/>
          <w:szCs w:val="21"/>
        </w:rPr>
        <w:t>使用能够达到规定的透明带钻孔或变薄效果的</w:t>
      </w:r>
      <w:r>
        <w:rPr>
          <w:rFonts w:ascii="Arial" w:hAnsi="Arial" w:eastAsia="宋体" w:cs="Arial"/>
          <w:kern w:val="0"/>
          <w:szCs w:val="21"/>
        </w:rPr>
        <w:t>尽可能少的激光脉冲和尽可能低的能量水平</w:t>
      </w:r>
      <w:r>
        <w:rPr>
          <w:rFonts w:ascii="宋体" w:hAnsi="宋体" w:eastAsia="宋体" w:cs="Arial"/>
          <w:szCs w:val="21"/>
        </w:rPr>
        <w:t>”</w:t>
      </w:r>
      <w:r>
        <w:rPr>
          <w:rFonts w:ascii="Arial" w:hAnsi="Arial" w:eastAsia="宋体" w:cs="Arial"/>
          <w:szCs w:val="21"/>
        </w:rPr>
        <w:t>或</w:t>
      </w:r>
      <w:r>
        <w:rPr>
          <w:rFonts w:ascii="宋体" w:hAnsi="宋体" w:eastAsia="宋体" w:cs="Arial"/>
          <w:szCs w:val="21"/>
        </w:rPr>
        <w:t>“</w:t>
      </w:r>
      <w:r>
        <w:rPr>
          <w:rFonts w:ascii="Arial" w:hAnsi="Arial" w:eastAsia="宋体" w:cs="Arial"/>
          <w:szCs w:val="21"/>
        </w:rPr>
        <w:t>将激光束引导到透明带的相邻周围空间最宽或毗邻碎片区域的部分</w:t>
      </w:r>
      <w:r>
        <w:rPr>
          <w:rFonts w:ascii="宋体" w:hAnsi="宋体" w:eastAsia="宋体" w:cs="Arial"/>
          <w:szCs w:val="21"/>
        </w:rPr>
        <w:t>”</w:t>
      </w:r>
      <w:r>
        <w:rPr>
          <w:rFonts w:ascii="Arial" w:hAnsi="Arial" w:eastAsia="宋体" w:cs="Arial"/>
          <w:szCs w:val="21"/>
        </w:rPr>
        <w:t>。</w:t>
      </w:r>
    </w:p>
    <w:p w14:paraId="0374DEF2">
      <w:pPr>
        <w:snapToGrid w:val="0"/>
        <w:spacing w:after="240" w:line="300" w:lineRule="auto"/>
        <w:rPr>
          <w:rFonts w:ascii="Arial" w:hAnsi="Arial" w:eastAsia="宋体" w:cs="Arial"/>
          <w:szCs w:val="21"/>
        </w:rPr>
      </w:pPr>
      <w:r>
        <w:rPr>
          <w:rFonts w:ascii="Arial" w:hAnsi="Arial" w:eastAsia="宋体" w:cs="Arial"/>
          <w:szCs w:val="21"/>
        </w:rPr>
        <w:t>我们还建议贵公司的使用说明能够告知用户在激光治疗期间建议使用固定针，以尽量减少胚胎移动的风险。</w:t>
      </w:r>
    </w:p>
    <w:p w14:paraId="6E3EDCE8">
      <w:pPr>
        <w:snapToGrid w:val="0"/>
        <w:spacing w:after="240" w:line="300" w:lineRule="auto"/>
        <w:rPr>
          <w:rFonts w:ascii="Arial" w:hAnsi="Arial" w:eastAsia="宋体" w:cs="Arial"/>
          <w:b/>
          <w:szCs w:val="21"/>
        </w:rPr>
      </w:pPr>
      <w:r>
        <w:rPr>
          <w:rFonts w:hint="eastAsia" w:ascii="Arial" w:hAnsi="Arial" w:eastAsia="宋体" w:cs="Arial"/>
          <w:b/>
          <w:szCs w:val="21"/>
        </w:rPr>
        <w:t>用户培训</w:t>
      </w:r>
    </w:p>
    <w:p w14:paraId="2BF910A6">
      <w:pPr>
        <w:widowControl/>
        <w:jc w:val="left"/>
        <w:rPr>
          <w:rFonts w:ascii="Arial" w:hAnsi="Arial" w:eastAsia="宋体" w:cs="Arial"/>
          <w:szCs w:val="21"/>
        </w:rPr>
      </w:pPr>
      <w:r>
        <w:rPr>
          <w:rFonts w:ascii="Arial" w:hAnsi="Arial" w:eastAsia="宋体" w:cs="Arial"/>
          <w:szCs w:val="21"/>
        </w:rPr>
        <w:br w:type="page"/>
      </w:r>
    </w:p>
    <w:p w14:paraId="1069F644">
      <w:pPr>
        <w:snapToGrid w:val="0"/>
        <w:spacing w:after="240" w:line="300" w:lineRule="auto"/>
        <w:rPr>
          <w:rFonts w:ascii="Arial" w:hAnsi="Arial" w:eastAsia="宋体" w:cs="Arial"/>
          <w:szCs w:val="21"/>
        </w:rPr>
      </w:pPr>
      <w:r>
        <w:rPr>
          <w:rFonts w:ascii="Arial" w:hAnsi="Arial" w:eastAsia="宋体" w:cs="Arial"/>
          <w:szCs w:val="21"/>
        </w:rPr>
        <w:t>我们建议贵公司制定一个操作员培训方案，其中包括一些受监督的辅助孵化流程（例如利用动物胚胎）。我们还建议贵公司的培训方案包括培训期间要涵盖的主题清单。培训应确保操作员有能力，有统一的最佳的治疗技术来安全有效地使用该器械进行使用说明中描述的操作。</w:t>
      </w:r>
    </w:p>
    <w:p w14:paraId="78D73FE0">
      <w:pPr>
        <w:snapToGrid w:val="0"/>
        <w:spacing w:after="240" w:line="300" w:lineRule="auto"/>
        <w:rPr>
          <w:rFonts w:ascii="Arial" w:hAnsi="Arial" w:eastAsia="宋体" w:cs="Arial"/>
          <w:b/>
          <w:szCs w:val="21"/>
        </w:rPr>
      </w:pPr>
      <w:r>
        <w:rPr>
          <w:rFonts w:ascii="Arial" w:hAnsi="Arial" w:eastAsia="宋体" w:cs="Arial"/>
          <w:b/>
          <w:szCs w:val="21"/>
        </w:rPr>
        <w:t>警告</w:t>
      </w:r>
    </w:p>
    <w:p w14:paraId="19FB23CE">
      <w:pPr>
        <w:snapToGrid w:val="0"/>
        <w:spacing w:after="240" w:line="300" w:lineRule="auto"/>
        <w:rPr>
          <w:rFonts w:ascii="Arial" w:hAnsi="Arial" w:eastAsia="宋体" w:cs="Arial"/>
          <w:szCs w:val="21"/>
        </w:rPr>
      </w:pPr>
      <w:r>
        <w:rPr>
          <w:rFonts w:ascii="Arial" w:hAnsi="Arial" w:eastAsia="宋体" w:cs="Arial"/>
          <w:szCs w:val="21"/>
        </w:rPr>
        <w:t>我们建议贵公司操作员手册的警告部分解决下述问题。</w:t>
      </w:r>
    </w:p>
    <w:p w14:paraId="4D80AD53">
      <w:pPr>
        <w:snapToGrid w:val="0"/>
        <w:spacing w:after="240" w:line="300" w:lineRule="auto"/>
        <w:rPr>
          <w:rFonts w:ascii="Arial" w:hAnsi="Arial" w:eastAsia="宋体" w:cs="Arial"/>
          <w:b/>
          <w:szCs w:val="21"/>
        </w:rPr>
      </w:pPr>
      <w:r>
        <w:rPr>
          <w:rFonts w:ascii="Arial" w:hAnsi="Arial" w:eastAsia="宋体" w:cs="Arial"/>
          <w:b/>
          <w:szCs w:val="21"/>
        </w:rPr>
        <w:t>多个开口或小开口</w:t>
      </w:r>
    </w:p>
    <w:p w14:paraId="7ABCDB31">
      <w:pPr>
        <w:snapToGrid w:val="0"/>
        <w:spacing w:after="240" w:line="300" w:lineRule="auto"/>
        <w:rPr>
          <w:rFonts w:ascii="Arial" w:hAnsi="Arial" w:eastAsia="宋体" w:cs="Arial"/>
          <w:szCs w:val="21"/>
        </w:rPr>
      </w:pPr>
      <w:r>
        <w:rPr>
          <w:rFonts w:ascii="Arial" w:hAnsi="Arial" w:eastAsia="宋体" w:cs="Arial"/>
          <w:szCs w:val="21"/>
        </w:rPr>
        <w:t>透明带只能开一个开口。多个开口或太小的开口可能会阻止胚胎孵化或导致异常发育。</w:t>
      </w:r>
    </w:p>
    <w:p w14:paraId="3E857E0B">
      <w:pPr>
        <w:snapToGrid w:val="0"/>
        <w:spacing w:after="240" w:line="300" w:lineRule="auto"/>
        <w:rPr>
          <w:rFonts w:ascii="Arial" w:hAnsi="Arial" w:eastAsia="宋体" w:cs="Arial"/>
          <w:b/>
          <w:szCs w:val="21"/>
        </w:rPr>
      </w:pPr>
      <w:r>
        <w:rPr>
          <w:rFonts w:ascii="Arial" w:hAnsi="Arial" w:eastAsia="宋体" w:cs="Arial"/>
          <w:b/>
          <w:szCs w:val="21"/>
        </w:rPr>
        <w:t>热透镜效应</w:t>
      </w:r>
    </w:p>
    <w:p w14:paraId="52BC60D9">
      <w:pPr>
        <w:snapToGrid w:val="0"/>
        <w:spacing w:after="240" w:line="300" w:lineRule="auto"/>
        <w:rPr>
          <w:rFonts w:ascii="Arial" w:hAnsi="Arial" w:eastAsia="宋体" w:cs="Arial"/>
          <w:szCs w:val="21"/>
        </w:rPr>
      </w:pPr>
      <w:r>
        <w:rPr>
          <w:rFonts w:ascii="Arial" w:hAnsi="Arial" w:eastAsia="宋体" w:cs="Arial"/>
          <w:szCs w:val="21"/>
        </w:rPr>
        <w:t>热透镜效应是激光束通过并加热介质时发生的散焦。热透镜效应可以导致目标区域外的部分接受激光治疗，从而增加对胚胎的热或诱变负面作用的风险。（此警告应包括最大脉冲持续时间和脉冲能量设置的信息，以最大限度地减少热透镜的发生。）</w:t>
      </w:r>
    </w:p>
    <w:p w14:paraId="586912D0">
      <w:pPr>
        <w:snapToGrid w:val="0"/>
        <w:spacing w:after="240" w:line="300" w:lineRule="auto"/>
        <w:rPr>
          <w:rFonts w:ascii="Arial" w:hAnsi="Arial" w:eastAsia="宋体" w:cs="Arial"/>
          <w:b/>
          <w:szCs w:val="21"/>
        </w:rPr>
      </w:pPr>
      <w:r>
        <w:rPr>
          <w:rFonts w:ascii="Arial" w:hAnsi="Arial" w:eastAsia="宋体" w:cs="Arial"/>
          <w:b/>
          <w:szCs w:val="21"/>
        </w:rPr>
        <w:t>注意事项</w:t>
      </w:r>
    </w:p>
    <w:p w14:paraId="2ABFC8FB">
      <w:pPr>
        <w:snapToGrid w:val="0"/>
        <w:spacing w:after="240" w:line="300" w:lineRule="auto"/>
        <w:rPr>
          <w:rFonts w:ascii="Arial" w:hAnsi="Arial" w:eastAsia="宋体" w:cs="Arial"/>
          <w:szCs w:val="21"/>
        </w:rPr>
      </w:pPr>
      <w:r>
        <w:rPr>
          <w:rFonts w:ascii="Arial" w:hAnsi="Arial" w:eastAsia="宋体" w:cs="Arial"/>
          <w:szCs w:val="21"/>
        </w:rPr>
        <w:t>我们建议贵公司操作员手册的注意事项部分解决以下主题。</w:t>
      </w:r>
    </w:p>
    <w:p w14:paraId="59BA27B8">
      <w:pPr>
        <w:snapToGrid w:val="0"/>
        <w:spacing w:after="240" w:line="300" w:lineRule="auto"/>
        <w:rPr>
          <w:rFonts w:ascii="Arial" w:hAnsi="Arial" w:eastAsia="宋体" w:cs="Arial"/>
          <w:b/>
          <w:szCs w:val="21"/>
        </w:rPr>
      </w:pPr>
      <w:r>
        <w:rPr>
          <w:rFonts w:ascii="Arial" w:hAnsi="Arial" w:eastAsia="宋体" w:cs="Arial"/>
          <w:b/>
          <w:szCs w:val="21"/>
        </w:rPr>
        <w:t>发育阶段</w:t>
      </w:r>
    </w:p>
    <w:p w14:paraId="254E79AF">
      <w:pPr>
        <w:snapToGrid w:val="0"/>
        <w:spacing w:after="240" w:line="300" w:lineRule="auto"/>
        <w:rPr>
          <w:rFonts w:ascii="Arial" w:hAnsi="Arial" w:eastAsia="宋体" w:cs="Arial"/>
          <w:szCs w:val="21"/>
        </w:rPr>
      </w:pPr>
      <w:r>
        <w:rPr>
          <w:rFonts w:ascii="Arial" w:hAnsi="Arial" w:eastAsia="宋体" w:cs="Arial"/>
          <w:szCs w:val="21"/>
        </w:rPr>
        <w:t>我们建议标签能够明确已经证明能够使用贵公司器械进行安全有效治疗的胚胎发育阶段（例如，4-8细胞期）。我们还建议贵公司的标签指出器械对该发育阶段之外的胚胎的影响，这种影响尚未得到评估。</w:t>
      </w:r>
    </w:p>
    <w:p w14:paraId="4E7299EF">
      <w:pPr>
        <w:snapToGrid w:val="0"/>
        <w:spacing w:after="240" w:line="300" w:lineRule="auto"/>
        <w:rPr>
          <w:rFonts w:ascii="Arial" w:hAnsi="Arial" w:eastAsia="宋体" w:cs="Arial"/>
          <w:b/>
          <w:szCs w:val="21"/>
        </w:rPr>
      </w:pPr>
      <w:r>
        <w:rPr>
          <w:rFonts w:ascii="Arial" w:hAnsi="Arial" w:eastAsia="宋体" w:cs="Arial"/>
          <w:b/>
          <w:szCs w:val="21"/>
        </w:rPr>
        <w:t>长期随访</w:t>
      </w:r>
    </w:p>
    <w:p w14:paraId="38E38E1A">
      <w:pPr>
        <w:snapToGrid w:val="0"/>
        <w:spacing w:after="240" w:line="300" w:lineRule="auto"/>
        <w:rPr>
          <w:rFonts w:ascii="Arial" w:hAnsi="Arial" w:eastAsia="宋体" w:cs="Arial"/>
          <w:szCs w:val="21"/>
        </w:rPr>
      </w:pPr>
      <w:r>
        <w:rPr>
          <w:rFonts w:ascii="Arial" w:hAnsi="Arial" w:eastAsia="宋体" w:cs="Arial"/>
          <w:szCs w:val="21"/>
        </w:rPr>
        <w:t>我们建议标签提供有关激光孵化胚胎的儿童出现出生缺陷的信息。我们建议贵公司指出关于使用此技术出生儿童的长期随访数据的当前信息。</w:t>
      </w:r>
    </w:p>
    <w:p w14:paraId="4341C042">
      <w:pPr>
        <w:snapToGrid w:val="0"/>
        <w:spacing w:after="240" w:line="300" w:lineRule="auto"/>
        <w:rPr>
          <w:rFonts w:ascii="Arial" w:hAnsi="Arial" w:eastAsia="宋体" w:cs="Arial"/>
          <w:b/>
          <w:szCs w:val="21"/>
        </w:rPr>
      </w:pPr>
      <w:r>
        <w:rPr>
          <w:rFonts w:ascii="Arial" w:hAnsi="Arial" w:eastAsia="宋体" w:cs="Arial"/>
          <w:b/>
          <w:szCs w:val="21"/>
        </w:rPr>
        <w:t>患者手册</w:t>
      </w:r>
    </w:p>
    <w:p w14:paraId="29878DF5">
      <w:pPr>
        <w:snapToGrid w:val="0"/>
        <w:spacing w:after="240" w:line="300" w:lineRule="auto"/>
        <w:rPr>
          <w:rFonts w:ascii="Arial" w:hAnsi="Arial" w:eastAsia="宋体" w:cs="Arial"/>
          <w:szCs w:val="21"/>
        </w:rPr>
      </w:pPr>
      <w:r>
        <w:rPr>
          <w:rFonts w:ascii="Arial" w:hAnsi="Arial" w:eastAsia="宋体" w:cs="Arial"/>
          <w:szCs w:val="21"/>
        </w:rPr>
        <w:t>我们建议贵公司准备解决以下问题的患者信息手册或情况说明书：</w:t>
      </w:r>
    </w:p>
    <w:p w14:paraId="28C20C64">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什么是辅助孵化？</w:t>
      </w:r>
    </w:p>
    <w:p w14:paraId="27B04389">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辅助孵化有哪些不同的方法？</w:t>
      </w:r>
    </w:p>
    <w:p w14:paraId="4153FB69">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什么样的人群需要胚胎辅助孵化？</w:t>
      </w:r>
    </w:p>
    <w:p w14:paraId="4C98225D">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使用激光辅助孵化的风险是什么？</w:t>
      </w:r>
    </w:p>
    <w:p w14:paraId="5198CB55">
      <w:pPr>
        <w:widowControl/>
        <w:jc w:val="left"/>
        <w:rPr>
          <w:rFonts w:ascii="Arial" w:hAnsi="Arial" w:eastAsia="宋体" w:cs="Arial"/>
          <w:szCs w:val="21"/>
        </w:rPr>
      </w:pPr>
      <w:r>
        <w:rPr>
          <w:rFonts w:ascii="Arial" w:hAnsi="Arial" w:eastAsia="宋体" w:cs="Arial"/>
          <w:szCs w:val="21"/>
        </w:rPr>
        <w:br w:type="page"/>
      </w:r>
    </w:p>
    <w:p w14:paraId="75D2625A">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使用激光辅助孵化的好处是什么？</w:t>
      </w:r>
    </w:p>
    <w:p w14:paraId="3F020B60">
      <w:pPr>
        <w:pStyle w:val="8"/>
        <w:numPr>
          <w:ilvl w:val="0"/>
          <w:numId w:val="18"/>
        </w:numPr>
        <w:snapToGrid w:val="0"/>
        <w:spacing w:after="240" w:line="300" w:lineRule="auto"/>
        <w:ind w:firstLine="0" w:firstLineChars="0"/>
        <w:rPr>
          <w:rFonts w:ascii="Arial" w:hAnsi="Arial" w:eastAsia="宋体" w:cs="Arial"/>
          <w:szCs w:val="21"/>
        </w:rPr>
      </w:pPr>
      <w:r>
        <w:rPr>
          <w:rFonts w:ascii="Arial" w:hAnsi="Arial" w:eastAsia="宋体" w:cs="Arial"/>
          <w:szCs w:val="21"/>
        </w:rPr>
        <w:t>我们对激光辅助孵化后出生的婴儿的健康有什么认识？</w:t>
      </w:r>
    </w:p>
    <w:p w14:paraId="2DE1E8A1">
      <w:pPr>
        <w:snapToGrid w:val="0"/>
        <w:spacing w:after="240" w:line="300" w:lineRule="auto"/>
        <w:rPr>
          <w:rFonts w:ascii="Arial" w:hAnsi="Arial" w:eastAsia="宋体" w:cs="Arial"/>
          <w:szCs w:val="21"/>
        </w:rPr>
      </w:pPr>
      <w:r>
        <w:rPr>
          <w:rFonts w:ascii="Arial" w:hAnsi="Arial" w:eastAsia="宋体" w:cs="Arial"/>
          <w:szCs w:val="21"/>
        </w:rPr>
        <w:t>有关使用问答格式和其他有用技术的信息，请参阅《</w:t>
      </w:r>
      <w:r>
        <w:rPr>
          <w:rFonts w:ascii="Arial" w:hAnsi="Arial" w:eastAsia="宋体" w:cs="Arial"/>
          <w:color w:val="0070C0"/>
          <w:szCs w:val="21"/>
        </w:rPr>
        <w:t>医疗器械患者标签指南</w:t>
      </w:r>
      <w:r>
        <w:rPr>
          <w:rFonts w:ascii="Arial" w:hAnsi="Arial" w:eastAsia="宋体" w:cs="Arial"/>
          <w:szCs w:val="21"/>
        </w:rPr>
        <w:t>》。</w:t>
      </w:r>
    </w:p>
    <w:p w14:paraId="7B9F432B">
      <w:pPr>
        <w:snapToGrid w:val="0"/>
        <w:spacing w:after="240" w:line="300" w:lineRule="auto"/>
        <w:rPr>
          <w:rFonts w:ascii="Arial" w:hAnsi="Arial" w:eastAsia="宋体" w:cs="Arial"/>
          <w:b/>
          <w:szCs w:val="21"/>
        </w:rPr>
      </w:pPr>
      <w:r>
        <w:rPr>
          <w:rFonts w:ascii="Arial" w:hAnsi="Arial" w:eastAsia="宋体" w:cs="Arial"/>
          <w:b/>
          <w:szCs w:val="21"/>
        </w:rPr>
        <w:t>显微镜兼容性</w:t>
      </w:r>
    </w:p>
    <w:p w14:paraId="33178C3E">
      <w:pPr>
        <w:snapToGrid w:val="0"/>
        <w:spacing w:after="240" w:line="300" w:lineRule="auto"/>
        <w:rPr>
          <w:rFonts w:ascii="Arial" w:hAnsi="Arial" w:eastAsia="宋体" w:cs="Arial"/>
          <w:szCs w:val="21"/>
        </w:rPr>
      </w:pPr>
      <w:r>
        <w:rPr>
          <w:rFonts w:ascii="Arial" w:hAnsi="Arial" w:eastAsia="宋体" w:cs="Arial"/>
          <w:szCs w:val="21"/>
        </w:rPr>
        <w:t>我们建议贵公司在操作员手册中提供与贵公司的辅助生殖激光系统兼容的倒置显微镜列表。</w:t>
      </w:r>
    </w:p>
    <w:p w14:paraId="0E8679D6">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5612C999">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32" o:spt="1" style="height:0pt;width:0pt;" fillcolor="#A0A0A0" filled="t" stroked="f" coordsize="21600,21600" o:hr="t" o:hrstd="t" o:hralign="center">
            <v:path/>
            <v:fill on="t" focussize="0,0"/>
            <v:stroke on="f"/>
            <v:imagedata o:title=""/>
            <o:lock v:ext="edit"/>
            <w10:wrap type="none"/>
            <w10:anchorlock/>
          </v:rect>
        </w:pict>
      </w:r>
    </w:p>
    <w:p w14:paraId="0AB83DF2">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建议的格式请参考使用说明表（PDF文件大小：1.03MB）。</w:t>
      </w:r>
    </w:p>
    <w:p w14:paraId="65C2B6EF">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如果FDA基于验收标准进行实质等同性的测定，则主题器械应当经过测试并证明符合这些验收标准后才可以引进州际贸易。如果成品器械不符合验收标准，即与已许可的510（k）中描述的器械不同，FDA建议提交者使用与用于评估合法上市器械（21 CFR 807.81（a）（3））的修订标准相同的标准，以确定成品器械的销售批准是否需要新的510（k）许可。</w:t>
      </w:r>
    </w:p>
    <w:p w14:paraId="71016067">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参见</w:t>
      </w:r>
      <w:r>
        <w:rPr>
          <w:rFonts w:ascii="宋体" w:hAnsi="宋体" w:eastAsia="宋体" w:cs="Arial"/>
          <w:szCs w:val="21"/>
        </w:rPr>
        <w:t>“</w:t>
      </w:r>
      <w:r>
        <w:rPr>
          <w:rFonts w:hint="eastAsia" w:ascii="Arial" w:hAnsi="Arial" w:eastAsia="宋体" w:cs="Arial"/>
          <w:color w:val="0070C0"/>
          <w:szCs w:val="21"/>
        </w:rPr>
        <w:t>符合认可标准声明的必要要素</w:t>
      </w:r>
      <w:r>
        <w:rPr>
          <w:rFonts w:ascii="宋体" w:hAnsi="宋体" w:eastAsia="宋体" w:cs="Arial"/>
          <w:szCs w:val="21"/>
        </w:rPr>
        <w:t>”</w:t>
      </w:r>
      <w:r>
        <w:rPr>
          <w:rFonts w:ascii="Arial" w:hAnsi="Arial" w:eastAsia="宋体" w:cs="Arial"/>
          <w:szCs w:val="21"/>
        </w:rPr>
        <w:t>（所有上市前通告【510（K）】提交资料的筛查清单）。</w:t>
      </w:r>
    </w:p>
    <w:p w14:paraId="5DF22D13">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符合法案第531章</w:t>
      </w:r>
      <w:r>
        <w:rPr>
          <w:rFonts w:ascii="宋体" w:hAnsi="宋体" w:eastAsia="宋体" w:cs="Arial"/>
          <w:szCs w:val="21"/>
        </w:rPr>
        <w:t>“</w:t>
      </w:r>
      <w:r>
        <w:rPr>
          <w:rFonts w:ascii="Arial" w:hAnsi="Arial" w:eastAsia="宋体" w:cs="Arial"/>
          <w:szCs w:val="21"/>
        </w:rPr>
        <w:t>电子产品辐射</w:t>
      </w:r>
      <w:r>
        <w:rPr>
          <w:rFonts w:ascii="宋体" w:hAnsi="宋体" w:eastAsia="宋体" w:cs="Arial"/>
          <w:szCs w:val="21"/>
        </w:rPr>
        <w:t>”</w:t>
      </w:r>
      <w:r>
        <w:rPr>
          <w:rFonts w:ascii="Arial" w:hAnsi="Arial" w:eastAsia="宋体" w:cs="Arial"/>
          <w:szCs w:val="21"/>
        </w:rPr>
        <w:t xml:space="preserve">定义的产品制造商和经销商可能受法案某些规定的约束，包括保留记录和向CDRH提交产品报告。这些产品的要求列于21 CFR 1040.10和1040.11。也可以参见CDRH </w:t>
      </w:r>
      <w:r>
        <w:rPr>
          <w:rFonts w:hint="eastAsia" w:ascii="Arial" w:hAnsi="Arial" w:eastAsia="宋体" w:cs="Arial"/>
          <w:b/>
          <w:color w:val="0070C0"/>
          <w:szCs w:val="21"/>
        </w:rPr>
        <w:t>器械建议</w:t>
      </w:r>
      <w:r>
        <w:rPr>
          <w:rFonts w:ascii="Arial" w:hAnsi="Arial" w:eastAsia="宋体" w:cs="Arial"/>
          <w:szCs w:val="21"/>
        </w:rPr>
        <w:t>。</w:t>
      </w:r>
    </w:p>
    <w:p w14:paraId="6441AF6B">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根据21 CFR 820.30（g），贵公司需要在实际使用或模拟使用的条件下对初始生产单元进行工作条件下的设计确认研究。根据21 CFR 820.30（j），该测试的结果必须保留在设计历史文件中。</w:t>
      </w:r>
    </w:p>
    <w:p w14:paraId="17808986">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参考</w:t>
      </w:r>
      <w:r>
        <w:rPr>
          <w:rFonts w:hint="eastAsia" w:ascii="Arial" w:hAnsi="Arial" w:eastAsia="宋体" w:cs="Arial"/>
          <w:b/>
          <w:color w:val="0070C0"/>
          <w:szCs w:val="21"/>
        </w:rPr>
        <w:t>机构审查委员会和临床</w:t>
      </w:r>
      <w:r>
        <w:rPr>
          <w:rFonts w:ascii="Arial" w:hAnsi="Arial" w:eastAsia="宋体" w:cs="Arial"/>
          <w:b/>
          <w:color w:val="0070C0"/>
          <w:szCs w:val="21"/>
        </w:rPr>
        <w:t>研究者指南</w:t>
      </w:r>
      <w:r>
        <w:rPr>
          <w:rFonts w:ascii="Arial" w:hAnsi="Arial" w:eastAsia="宋体" w:cs="Arial"/>
          <w:szCs w:val="21"/>
        </w:rPr>
        <w:t>中的重大风险和不重要风险医疗器械研究。</w:t>
      </w:r>
    </w:p>
    <w:p w14:paraId="16FAF602">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虽然510（k）许可不要求最终标签，但在医疗器械引进州际贸易之前，最终标签必须符合21 CFR 801的要求。此外，处方用医疗器械的最终标签必须符合21 CFR 801.109的规定。本指南中的标签建议与第801部分的要求一致。</w:t>
      </w:r>
    </w:p>
    <w:p w14:paraId="7D71DE34">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72E29F83">
      <w:pPr>
        <w:snapToGrid w:val="0"/>
        <w:spacing w:line="300" w:lineRule="auto"/>
        <w:rPr>
          <w:rFonts w:ascii="Arial" w:hAnsi="Arial" w:eastAsia="宋体" w:cs="Arial"/>
          <w:szCs w:val="21"/>
        </w:rPr>
      </w:pPr>
      <w:r>
        <w:rPr>
          <w:rFonts w:ascii="Arial" w:hAnsi="Arial" w:eastAsia="宋体" w:cs="Arial"/>
          <w:szCs w:val="21"/>
        </w:rPr>
        <w:t>https://www.fda.gov/MedicalDevices/DeviceRegulationandGuidance/GuidanceDocuments/ucm072067.htm</w:t>
      </w:r>
    </w:p>
    <w:p w14:paraId="3F706A11">
      <w:pPr>
        <w:snapToGrid w:val="0"/>
        <w:spacing w:after="240" w:line="300" w:lineRule="auto"/>
        <w:rPr>
          <w:rFonts w:ascii="Arial" w:hAnsi="Arial" w:eastAsia="宋体" w:cs="Arial"/>
          <w:szCs w:val="21"/>
        </w:rPr>
      </w:pPr>
    </w:p>
    <w:p w14:paraId="19CCFEAE">
      <w:pPr>
        <w:snapToGrid w:val="0"/>
        <w:spacing w:after="240" w:line="300" w:lineRule="auto"/>
        <w:rPr>
          <w:rFonts w:hint="eastAsia" w:eastAsia="等线"/>
          <w:lang w:eastAsia="zh-CN"/>
        </w:rPr>
      </w:pPr>
    </w:p>
    <w:p w14:paraId="47902CF8">
      <w:pPr>
        <w:snapToGrid w:val="0"/>
        <w:spacing w:after="240" w:line="300" w:lineRule="auto"/>
        <w:jc w:val="center"/>
        <w:rPr>
          <w:rFonts w:hint="eastAsia" w:eastAsia="等线"/>
          <w:lang w:eastAsia="zh-CN"/>
        </w:rPr>
      </w:pPr>
    </w:p>
    <w:p w14:paraId="4A2EE62E">
      <w:pPr>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73A03"/>
    <w:multiLevelType w:val="multilevel"/>
    <w:tmpl w:val="0A673A0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D511692"/>
    <w:multiLevelType w:val="multilevel"/>
    <w:tmpl w:val="0D5116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301334E"/>
    <w:multiLevelType w:val="multilevel"/>
    <w:tmpl w:val="1301334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717968"/>
    <w:multiLevelType w:val="multilevel"/>
    <w:tmpl w:val="1471796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83A300E"/>
    <w:multiLevelType w:val="multilevel"/>
    <w:tmpl w:val="183A300E"/>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173AEB"/>
    <w:multiLevelType w:val="multilevel"/>
    <w:tmpl w:val="28173AE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A44E2E"/>
    <w:multiLevelType w:val="multilevel"/>
    <w:tmpl w:val="37A44E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FB41967"/>
    <w:multiLevelType w:val="multilevel"/>
    <w:tmpl w:val="3FB419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25F7AC3"/>
    <w:multiLevelType w:val="multilevel"/>
    <w:tmpl w:val="425F7AC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5C84B6C"/>
    <w:multiLevelType w:val="multilevel"/>
    <w:tmpl w:val="45C84B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6CF33F9"/>
    <w:multiLevelType w:val="multilevel"/>
    <w:tmpl w:val="46CF33F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D521042"/>
    <w:multiLevelType w:val="multilevel"/>
    <w:tmpl w:val="4D52104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EC75DA7"/>
    <w:multiLevelType w:val="multilevel"/>
    <w:tmpl w:val="4EC75DA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0913A8"/>
    <w:multiLevelType w:val="multilevel"/>
    <w:tmpl w:val="510913A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BBD2062"/>
    <w:multiLevelType w:val="multilevel"/>
    <w:tmpl w:val="5BBD2062"/>
    <w:lvl w:ilvl="0" w:tentative="0">
      <w:start w:val="1"/>
      <w:numFmt w:val="decimal"/>
      <w:lvlText w:val="%1."/>
      <w:lvlJc w:val="left"/>
      <w:pPr>
        <w:ind w:left="420" w:hanging="420"/>
      </w:pPr>
      <w:rPr>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C707373"/>
    <w:multiLevelType w:val="multilevel"/>
    <w:tmpl w:val="5C70737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73941B7"/>
    <w:multiLevelType w:val="multilevel"/>
    <w:tmpl w:val="673941B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AE455CC"/>
    <w:multiLevelType w:val="multilevel"/>
    <w:tmpl w:val="7AE455C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C0358E8"/>
    <w:multiLevelType w:val="multilevel"/>
    <w:tmpl w:val="7C0358E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4"/>
  </w:num>
  <w:num w:numId="3">
    <w:abstractNumId w:val="9"/>
  </w:num>
  <w:num w:numId="4">
    <w:abstractNumId w:val="5"/>
  </w:num>
  <w:num w:numId="5">
    <w:abstractNumId w:val="0"/>
  </w:num>
  <w:num w:numId="6">
    <w:abstractNumId w:val="18"/>
  </w:num>
  <w:num w:numId="7">
    <w:abstractNumId w:val="2"/>
  </w:num>
  <w:num w:numId="8">
    <w:abstractNumId w:val="7"/>
  </w:num>
  <w:num w:numId="9">
    <w:abstractNumId w:val="3"/>
  </w:num>
  <w:num w:numId="10">
    <w:abstractNumId w:val="12"/>
  </w:num>
  <w:num w:numId="11">
    <w:abstractNumId w:val="11"/>
  </w:num>
  <w:num w:numId="12">
    <w:abstractNumId w:val="8"/>
  </w:num>
  <w:num w:numId="13">
    <w:abstractNumId w:val="16"/>
  </w:num>
  <w:num w:numId="14">
    <w:abstractNumId w:val="17"/>
  </w:num>
  <w:num w:numId="15">
    <w:abstractNumId w:val="13"/>
  </w:num>
  <w:num w:numId="16">
    <w:abstractNumId w:val="1"/>
  </w:num>
  <w:num w:numId="17">
    <w:abstractNumId w:val="1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C9"/>
    <w:rsid w:val="00036F1F"/>
    <w:rsid w:val="00044F70"/>
    <w:rsid w:val="000548E2"/>
    <w:rsid w:val="000571AC"/>
    <w:rsid w:val="000F6782"/>
    <w:rsid w:val="00147AAA"/>
    <w:rsid w:val="001B6A78"/>
    <w:rsid w:val="002558BD"/>
    <w:rsid w:val="003361AC"/>
    <w:rsid w:val="00340D09"/>
    <w:rsid w:val="003601F1"/>
    <w:rsid w:val="003916B3"/>
    <w:rsid w:val="003A6AE9"/>
    <w:rsid w:val="003B57CF"/>
    <w:rsid w:val="003C26AC"/>
    <w:rsid w:val="003C45C6"/>
    <w:rsid w:val="004263D5"/>
    <w:rsid w:val="00461D3A"/>
    <w:rsid w:val="004764F3"/>
    <w:rsid w:val="00491F8B"/>
    <w:rsid w:val="004A3839"/>
    <w:rsid w:val="004A423C"/>
    <w:rsid w:val="004B4D9F"/>
    <w:rsid w:val="0054321F"/>
    <w:rsid w:val="0054496B"/>
    <w:rsid w:val="0055650F"/>
    <w:rsid w:val="005806E4"/>
    <w:rsid w:val="005F265C"/>
    <w:rsid w:val="006045D8"/>
    <w:rsid w:val="006111F7"/>
    <w:rsid w:val="00612865"/>
    <w:rsid w:val="00612CC9"/>
    <w:rsid w:val="006171F6"/>
    <w:rsid w:val="0064169A"/>
    <w:rsid w:val="00670B70"/>
    <w:rsid w:val="00697745"/>
    <w:rsid w:val="006B6933"/>
    <w:rsid w:val="00770FFA"/>
    <w:rsid w:val="00800E8B"/>
    <w:rsid w:val="00806F34"/>
    <w:rsid w:val="00817C07"/>
    <w:rsid w:val="00836D79"/>
    <w:rsid w:val="00844A78"/>
    <w:rsid w:val="00872030"/>
    <w:rsid w:val="008855B5"/>
    <w:rsid w:val="00886F4C"/>
    <w:rsid w:val="00907315"/>
    <w:rsid w:val="009148D5"/>
    <w:rsid w:val="00944246"/>
    <w:rsid w:val="009452E3"/>
    <w:rsid w:val="00947030"/>
    <w:rsid w:val="0095679E"/>
    <w:rsid w:val="00957110"/>
    <w:rsid w:val="0098608A"/>
    <w:rsid w:val="0099167B"/>
    <w:rsid w:val="009B1752"/>
    <w:rsid w:val="009B2D2E"/>
    <w:rsid w:val="009B3126"/>
    <w:rsid w:val="009D360C"/>
    <w:rsid w:val="00A02524"/>
    <w:rsid w:val="00A26735"/>
    <w:rsid w:val="00A55FB1"/>
    <w:rsid w:val="00A60059"/>
    <w:rsid w:val="00A74E88"/>
    <w:rsid w:val="00A77BC9"/>
    <w:rsid w:val="00A947B9"/>
    <w:rsid w:val="00AC5FDE"/>
    <w:rsid w:val="00AF7A2F"/>
    <w:rsid w:val="00B77E67"/>
    <w:rsid w:val="00B92555"/>
    <w:rsid w:val="00B932E2"/>
    <w:rsid w:val="00BB3087"/>
    <w:rsid w:val="00BC2642"/>
    <w:rsid w:val="00BD7CCD"/>
    <w:rsid w:val="00C30D3F"/>
    <w:rsid w:val="00C348B8"/>
    <w:rsid w:val="00C40F04"/>
    <w:rsid w:val="00C41D7F"/>
    <w:rsid w:val="00C55373"/>
    <w:rsid w:val="00C63603"/>
    <w:rsid w:val="00CA26D8"/>
    <w:rsid w:val="00CA285D"/>
    <w:rsid w:val="00D075DA"/>
    <w:rsid w:val="00D346A0"/>
    <w:rsid w:val="00D36C44"/>
    <w:rsid w:val="00D47ACA"/>
    <w:rsid w:val="00D65AED"/>
    <w:rsid w:val="00D70852"/>
    <w:rsid w:val="00D9567C"/>
    <w:rsid w:val="00D95CA7"/>
    <w:rsid w:val="00DF5619"/>
    <w:rsid w:val="00E6399A"/>
    <w:rsid w:val="00E828A7"/>
    <w:rsid w:val="00EA05E8"/>
    <w:rsid w:val="00ED3EAE"/>
    <w:rsid w:val="00EF73DD"/>
    <w:rsid w:val="00F209F4"/>
    <w:rsid w:val="00F41418"/>
    <w:rsid w:val="00F53A16"/>
    <w:rsid w:val="00F6151C"/>
    <w:rsid w:val="00F934C5"/>
    <w:rsid w:val="00FD4FF0"/>
    <w:rsid w:val="2D4C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8427</Words>
  <Characters>9279</Characters>
  <Lines>75</Lines>
  <Paragraphs>21</Paragraphs>
  <TotalTime>0</TotalTime>
  <ScaleCrop>false</ScaleCrop>
  <LinksUpToDate>false</LinksUpToDate>
  <CharactersWithSpaces>9340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2017-06-08T08:55:00Z</dcterms:created>
  <dc:creator>Guozhen Liu</dc:creator>
  <cp:lastModifiedBy>太极箫客</cp:lastModifiedBy>
  <dcterms:modified xsi:type="dcterms:W3CDTF">2025-08-14T06:17:17Z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D0C88EE12A0C47EA9116647B7609CE73_12</vt:lpwstr>
  </property>
</Properties>
</file>