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CB610">
      <w:pPr>
        <w:snapToGrid w:val="0"/>
        <w:spacing w:after="312" w:afterLines="100" w:line="360" w:lineRule="auto"/>
        <w:rPr>
          <w:rFonts w:hint="eastAsia" w:ascii="Arial" w:hAnsi="Arial" w:eastAsia="宋体" w:cs="Arial"/>
          <w:b/>
          <w:sz w:val="52"/>
          <w:szCs w:val="52"/>
        </w:rPr>
      </w:pPr>
      <w:bookmarkStart w:id="1" w:name="_GoBack"/>
      <w:bookmarkEnd w:id="1"/>
    </w:p>
    <w:p w14:paraId="7EFE1FA4">
      <w:pPr>
        <w:snapToGrid w:val="0"/>
        <w:spacing w:after="312" w:afterLines="100" w:line="360" w:lineRule="auto"/>
        <w:rPr>
          <w:rFonts w:ascii="Arial" w:hAnsi="Arial" w:eastAsia="宋体" w:cs="Arial"/>
          <w:b/>
          <w:sz w:val="52"/>
          <w:szCs w:val="52"/>
        </w:rPr>
      </w:pPr>
      <w:r>
        <w:rPr>
          <w:rFonts w:ascii="Arial" w:hAnsi="Arial" w:eastAsia="宋体" w:cs="Arial"/>
          <w:b/>
          <w:sz w:val="52"/>
          <w:szCs w:val="52"/>
        </w:rPr>
        <w:t>IDE拒绝接受程序编号D94-1（蓝皮书备忘录）（</w:t>
      </w:r>
      <w:r>
        <w:rPr>
          <w:rFonts w:hint="eastAsia" w:ascii="Arial" w:hAnsi="Arial" w:eastAsia="宋体" w:cs="Arial"/>
          <w:b/>
          <w:sz w:val="52"/>
          <w:szCs w:val="52"/>
        </w:rPr>
        <w:t>仅文本</w:t>
      </w:r>
      <w:r>
        <w:rPr>
          <w:rFonts w:ascii="Arial" w:hAnsi="Arial" w:eastAsia="宋体" w:cs="Arial"/>
          <w:b/>
          <w:sz w:val="52"/>
          <w:szCs w:val="52"/>
        </w:rPr>
        <w:t>）</w:t>
      </w:r>
    </w:p>
    <w:p w14:paraId="7610D3C8">
      <w:pPr>
        <w:snapToGrid w:val="0"/>
        <w:spacing w:after="312" w:afterLines="100" w:line="360" w:lineRule="auto"/>
        <w:rPr>
          <w:rFonts w:ascii="Arial" w:hAnsi="Arial" w:eastAsia="宋体" w:cs="Arial"/>
          <w:sz w:val="24"/>
          <w:szCs w:val="24"/>
        </w:rPr>
      </w:pPr>
      <w:r>
        <w:rPr>
          <w:rFonts w:ascii="Arial" w:hAnsi="Arial" w:eastAsia="宋体" w:cs="Arial"/>
          <w:sz w:val="24"/>
          <w:szCs w:val="24"/>
        </w:rPr>
        <w:t>本</w:t>
      </w:r>
      <w:r>
        <w:rPr>
          <w:rFonts w:hint="eastAsia" w:ascii="Arial" w:hAnsi="Arial" w:eastAsia="宋体" w:cs="Arial"/>
          <w:sz w:val="24"/>
          <w:szCs w:val="24"/>
        </w:rPr>
        <w:t>指南</w:t>
      </w:r>
      <w:r>
        <w:rPr>
          <w:rFonts w:ascii="Arial" w:hAnsi="Arial" w:eastAsia="宋体" w:cs="Arial"/>
          <w:sz w:val="24"/>
          <w:szCs w:val="24"/>
        </w:rPr>
        <w:t>编写于1997年2月27日FDA良好指南规范GGP实施前。其不会为任何人创造或赋予任何权利，也不对FDA或公众具有约束力。如果替代方法满足适用的法律、法规或其两者的要求，可以使用替代方法。本</w:t>
      </w:r>
      <w:r>
        <w:rPr>
          <w:rFonts w:hint="eastAsia" w:ascii="Arial" w:hAnsi="Arial" w:eastAsia="宋体" w:cs="Arial"/>
          <w:sz w:val="24"/>
          <w:szCs w:val="24"/>
        </w:rPr>
        <w:t>指南</w:t>
      </w:r>
      <w:r>
        <w:rPr>
          <w:rFonts w:ascii="Arial" w:hAnsi="Arial" w:eastAsia="宋体" w:cs="Arial"/>
          <w:sz w:val="24"/>
          <w:szCs w:val="24"/>
        </w:rPr>
        <w:t>将在下个版本的更新中纳入GGP的标准要素。</w:t>
      </w:r>
    </w:p>
    <w:p w14:paraId="7E998D93">
      <w:pPr>
        <w:snapToGrid w:val="0"/>
        <w:spacing w:after="312" w:afterLines="100" w:line="360" w:lineRule="auto"/>
        <w:rPr>
          <w:rFonts w:ascii="Arial" w:hAnsi="Arial" w:eastAsia="宋体" w:cs="Arial"/>
          <w:b/>
          <w:sz w:val="32"/>
          <w:szCs w:val="32"/>
        </w:rPr>
      </w:pPr>
      <w:r>
        <w:rPr>
          <w:rFonts w:ascii="Arial" w:hAnsi="Arial" w:eastAsia="宋体" w:cs="Arial"/>
          <w:b/>
          <w:sz w:val="32"/>
          <w:szCs w:val="32"/>
        </w:rPr>
        <w:t>IDE备忘录编号D94-1</w:t>
      </w:r>
    </w:p>
    <w:p w14:paraId="63D92C39">
      <w:pPr>
        <w:widowControl/>
        <w:snapToGrid w:val="0"/>
        <w:spacing w:after="312" w:afterLines="100" w:line="360" w:lineRule="auto"/>
        <w:rPr>
          <w:rFonts w:ascii="Arial" w:hAnsi="Arial" w:eastAsia="宋体" w:cs="Arial"/>
          <w:sz w:val="24"/>
          <w:szCs w:val="24"/>
        </w:rPr>
      </w:pPr>
      <w:r>
        <w:rPr>
          <w:rFonts w:ascii="Arial" w:hAnsi="Arial" w:eastAsia="宋体" w:cs="Arial"/>
          <w:sz w:val="24"/>
          <w:szCs w:val="24"/>
        </w:rPr>
        <w:br w:type="page"/>
      </w:r>
    </w:p>
    <w:p w14:paraId="6C9FC92C">
      <w:pPr>
        <w:snapToGrid w:val="0"/>
        <w:spacing w:after="312" w:afterLines="100" w:line="432" w:lineRule="auto"/>
        <w:rPr>
          <w:rFonts w:ascii="Arial" w:hAnsi="Arial" w:eastAsia="宋体" w:cs="Arial"/>
          <w:sz w:val="24"/>
          <w:szCs w:val="24"/>
        </w:rPr>
      </w:pPr>
    </w:p>
    <w:p w14:paraId="1D826F3C">
      <w:pPr>
        <w:snapToGrid w:val="0"/>
        <w:spacing w:after="312" w:afterLines="100" w:line="432" w:lineRule="auto"/>
        <w:rPr>
          <w:rFonts w:ascii="Arial" w:hAnsi="Arial" w:eastAsia="宋体" w:cs="Arial"/>
          <w:sz w:val="24"/>
          <w:szCs w:val="24"/>
        </w:rPr>
      </w:pPr>
      <w:r>
        <w:rPr>
          <w:rFonts w:ascii="Arial" w:hAnsi="Arial" w:eastAsia="宋体" w:cs="Arial"/>
          <w:sz w:val="24"/>
          <w:szCs w:val="24"/>
        </w:rPr>
        <w:t>医疗器械评价办公室副主任（HFZ-400）</w:t>
      </w:r>
    </w:p>
    <w:p w14:paraId="2FF2132F">
      <w:pPr>
        <w:snapToGrid w:val="0"/>
        <w:spacing w:after="312" w:afterLines="100" w:line="432" w:lineRule="auto"/>
        <w:rPr>
          <w:rFonts w:ascii="Arial" w:hAnsi="Arial" w:eastAsia="宋体" w:cs="Arial"/>
          <w:sz w:val="24"/>
          <w:szCs w:val="24"/>
        </w:rPr>
      </w:pPr>
      <w:r>
        <w:rPr>
          <w:rFonts w:ascii="Arial" w:hAnsi="Arial" w:eastAsia="宋体" w:cs="Arial"/>
          <w:sz w:val="24"/>
          <w:szCs w:val="24"/>
        </w:rPr>
        <w:t>IDE拒绝接受程序</w:t>
      </w:r>
    </w:p>
    <w:p w14:paraId="74D6C95D">
      <w:pPr>
        <w:snapToGrid w:val="0"/>
        <w:spacing w:after="312" w:afterLines="100" w:line="432" w:lineRule="auto"/>
        <w:rPr>
          <w:rFonts w:ascii="Arial" w:hAnsi="Arial" w:eastAsia="宋体" w:cs="Arial"/>
          <w:sz w:val="24"/>
          <w:szCs w:val="24"/>
        </w:rPr>
      </w:pPr>
      <w:r>
        <w:rPr>
          <w:rFonts w:ascii="Arial" w:hAnsi="Arial" w:eastAsia="宋体" w:cs="Arial"/>
          <w:sz w:val="24"/>
          <w:szCs w:val="24"/>
        </w:rPr>
        <w:t>ODE审查工作人员</w:t>
      </w:r>
    </w:p>
    <w:p w14:paraId="2503438F">
      <w:pPr>
        <w:snapToGrid w:val="0"/>
        <w:spacing w:after="312" w:afterLines="100" w:line="432" w:lineRule="auto"/>
        <w:rPr>
          <w:rFonts w:ascii="Arial" w:hAnsi="Arial" w:eastAsia="宋体" w:cs="Arial"/>
          <w:sz w:val="24"/>
          <w:szCs w:val="24"/>
        </w:rPr>
      </w:pPr>
    </w:p>
    <w:p w14:paraId="6EF7E613">
      <w:pPr>
        <w:snapToGrid w:val="0"/>
        <w:spacing w:after="312" w:afterLines="100" w:line="432" w:lineRule="auto"/>
        <w:rPr>
          <w:rFonts w:ascii="Arial" w:hAnsi="Arial" w:eastAsia="宋体" w:cs="Arial"/>
          <w:sz w:val="24"/>
          <w:szCs w:val="24"/>
        </w:rPr>
      </w:pPr>
      <w:r>
        <w:rPr>
          <w:rFonts w:ascii="Arial" w:hAnsi="Arial" w:eastAsia="宋体" w:cs="Arial"/>
          <w:sz w:val="24"/>
          <w:szCs w:val="24"/>
        </w:rPr>
        <w:t>目的</w:t>
      </w:r>
    </w:p>
    <w:p w14:paraId="37425952">
      <w:pPr>
        <w:snapToGrid w:val="0"/>
        <w:spacing w:after="312" w:afterLines="100" w:line="432" w:lineRule="auto"/>
        <w:rPr>
          <w:rFonts w:ascii="Arial" w:hAnsi="Arial" w:eastAsia="宋体" w:cs="Arial"/>
          <w:sz w:val="24"/>
          <w:szCs w:val="24"/>
        </w:rPr>
      </w:pPr>
      <w:r>
        <w:rPr>
          <w:rFonts w:ascii="Arial" w:hAnsi="Arial" w:eastAsia="宋体" w:cs="Arial"/>
          <w:sz w:val="24"/>
          <w:szCs w:val="24"/>
        </w:rPr>
        <w:t>本备忘录的目的是确立当IDE不符合最低可接受性</w:t>
      </w:r>
      <w:r>
        <w:rPr>
          <w:rFonts w:hint="eastAsia" w:ascii="Arial" w:hAnsi="Arial" w:eastAsia="宋体" w:cs="Arial"/>
          <w:sz w:val="24"/>
          <w:szCs w:val="24"/>
        </w:rPr>
        <w:t>阈值</w:t>
      </w:r>
      <w:r>
        <w:rPr>
          <w:rFonts w:ascii="Arial" w:hAnsi="Arial" w:eastAsia="宋体" w:cs="Arial"/>
          <w:sz w:val="24"/>
          <w:szCs w:val="24"/>
        </w:rPr>
        <w:t>时拒绝对其进行实质性审查和批准的</w:t>
      </w:r>
      <w:r>
        <w:rPr>
          <w:rFonts w:hint="eastAsia" w:ascii="Arial" w:hAnsi="Arial" w:eastAsia="宋体" w:cs="Arial"/>
          <w:sz w:val="24"/>
          <w:szCs w:val="24"/>
        </w:rPr>
        <w:t>程序</w:t>
      </w:r>
      <w:r>
        <w:rPr>
          <w:rFonts w:ascii="Arial" w:hAnsi="Arial" w:eastAsia="宋体" w:cs="Arial"/>
          <w:sz w:val="24"/>
          <w:szCs w:val="24"/>
        </w:rPr>
        <w:t>。</w:t>
      </w:r>
    </w:p>
    <w:p w14:paraId="0769605B">
      <w:pPr>
        <w:snapToGrid w:val="0"/>
        <w:spacing w:after="312" w:afterLines="100" w:line="432" w:lineRule="auto"/>
        <w:rPr>
          <w:rFonts w:ascii="Arial" w:hAnsi="Arial" w:eastAsia="宋体" w:cs="Arial"/>
          <w:sz w:val="24"/>
          <w:szCs w:val="24"/>
        </w:rPr>
      </w:pPr>
      <w:r>
        <w:rPr>
          <w:rFonts w:ascii="Arial" w:hAnsi="Arial" w:eastAsia="宋体" w:cs="Arial"/>
          <w:sz w:val="24"/>
          <w:szCs w:val="24"/>
        </w:rPr>
        <w:t>背景</w:t>
      </w:r>
    </w:p>
    <w:p w14:paraId="70A2340F">
      <w:pPr>
        <w:snapToGrid w:val="0"/>
        <w:spacing w:after="312" w:afterLines="100" w:line="432" w:lineRule="auto"/>
        <w:rPr>
          <w:rFonts w:ascii="Arial" w:hAnsi="Arial" w:eastAsia="宋体" w:cs="Arial"/>
          <w:sz w:val="24"/>
          <w:szCs w:val="24"/>
        </w:rPr>
      </w:pPr>
      <w:r>
        <w:rPr>
          <w:rFonts w:ascii="Arial" w:hAnsi="Arial" w:eastAsia="宋体" w:cs="Arial"/>
          <w:sz w:val="24"/>
          <w:szCs w:val="24"/>
        </w:rPr>
        <w:t>医疗器械评价办公室（ODE）每年会收到约225份研究性器械豁免（IDE）提交</w:t>
      </w:r>
      <w:r>
        <w:rPr>
          <w:rFonts w:hint="eastAsia" w:ascii="Arial" w:hAnsi="Arial" w:eastAsia="宋体" w:cs="Arial"/>
          <w:sz w:val="24"/>
          <w:szCs w:val="24"/>
        </w:rPr>
        <w:t>原件</w:t>
      </w:r>
      <w:r>
        <w:rPr>
          <w:rFonts w:ascii="Arial" w:hAnsi="Arial" w:eastAsia="宋体" w:cs="Arial"/>
          <w:sz w:val="24"/>
          <w:szCs w:val="24"/>
        </w:rPr>
        <w:t>。这些申请中有许多不完整或非常不适当，即这些申请未包含法规明确要求的信息，并且未包含进行实质性审查所必要的部分。缺少21 CFR 812.20中任何要素的IDE申请会根据法规严格确定为不完整申请，因此也不适用于30天的审查周期。作为保证ODE资源有效性的方式，实施</w:t>
      </w:r>
      <w:r>
        <w:rPr>
          <w:rFonts w:hint="eastAsia" w:ascii="Arial" w:hAnsi="Arial" w:eastAsia="宋体" w:cs="Arial"/>
          <w:sz w:val="24"/>
          <w:szCs w:val="24"/>
        </w:rPr>
        <w:t>此类程序</w:t>
      </w:r>
      <w:r>
        <w:rPr>
          <w:rFonts w:ascii="Arial" w:hAnsi="Arial" w:eastAsia="宋体" w:cs="Arial"/>
          <w:sz w:val="24"/>
          <w:szCs w:val="24"/>
        </w:rPr>
        <w:t>来确保IDE满足最低可接受性</w:t>
      </w:r>
      <w:r>
        <w:rPr>
          <w:rFonts w:hint="eastAsia" w:ascii="Arial" w:hAnsi="Arial" w:eastAsia="宋体" w:cs="Arial"/>
          <w:sz w:val="24"/>
          <w:szCs w:val="24"/>
        </w:rPr>
        <w:t>阈值</w:t>
      </w:r>
      <w:r>
        <w:rPr>
          <w:rFonts w:ascii="Arial" w:hAnsi="Arial" w:eastAsia="宋体" w:cs="Arial"/>
          <w:sz w:val="24"/>
          <w:szCs w:val="24"/>
        </w:rPr>
        <w:t>；否则，ODE会拒绝接受申请。</w:t>
      </w:r>
      <w:r>
        <w:rPr>
          <w:rFonts w:hint="eastAsia" w:ascii="Arial" w:hAnsi="Arial" w:eastAsia="宋体" w:cs="Arial"/>
          <w:sz w:val="24"/>
          <w:szCs w:val="24"/>
        </w:rPr>
        <w:t>此类程序</w:t>
      </w:r>
      <w:r>
        <w:rPr>
          <w:rFonts w:ascii="Arial" w:hAnsi="Arial" w:eastAsia="宋体" w:cs="Arial"/>
          <w:sz w:val="24"/>
          <w:szCs w:val="24"/>
        </w:rPr>
        <w:t>对于FDA和IDE</w:t>
      </w:r>
      <w:r>
        <w:rPr>
          <w:rFonts w:hint="eastAsia" w:ascii="Arial" w:hAnsi="Arial" w:eastAsia="宋体" w:cs="Arial"/>
          <w:sz w:val="24"/>
          <w:szCs w:val="24"/>
        </w:rPr>
        <w:t>申办方</w:t>
      </w:r>
      <w:r>
        <w:rPr>
          <w:rFonts w:ascii="Arial" w:hAnsi="Arial" w:eastAsia="宋体" w:cs="Arial"/>
          <w:sz w:val="24"/>
          <w:szCs w:val="24"/>
        </w:rPr>
        <w:t>都有益处。</w:t>
      </w:r>
    </w:p>
    <w:p w14:paraId="19B41BB6">
      <w:pPr>
        <w:snapToGrid w:val="0"/>
        <w:spacing w:after="312" w:afterLines="100" w:line="432" w:lineRule="auto"/>
        <w:rPr>
          <w:rFonts w:ascii="Arial" w:hAnsi="Arial" w:eastAsia="宋体" w:cs="Arial"/>
          <w:sz w:val="24"/>
          <w:szCs w:val="24"/>
        </w:rPr>
      </w:pPr>
      <w:r>
        <w:rPr>
          <w:rFonts w:ascii="Arial" w:hAnsi="Arial" w:eastAsia="宋体" w:cs="Arial"/>
          <w:sz w:val="24"/>
          <w:szCs w:val="24"/>
        </w:rPr>
        <w:t>确定IDE</w:t>
      </w:r>
      <w:r>
        <w:rPr>
          <w:rFonts w:ascii="宋体" w:hAnsi="宋体" w:eastAsia="宋体" w:cs="Arial"/>
          <w:sz w:val="24"/>
          <w:szCs w:val="24"/>
        </w:rPr>
        <w:t>“</w:t>
      </w:r>
      <w:r>
        <w:rPr>
          <w:rFonts w:ascii="Arial" w:hAnsi="Arial" w:eastAsia="宋体" w:cs="Arial"/>
          <w:sz w:val="24"/>
          <w:szCs w:val="24"/>
        </w:rPr>
        <w:t>拒绝接受</w:t>
      </w:r>
      <w:r>
        <w:rPr>
          <w:rFonts w:hint="eastAsia" w:ascii="Arial" w:hAnsi="Arial" w:eastAsia="宋体" w:cs="Arial"/>
          <w:sz w:val="24"/>
          <w:szCs w:val="24"/>
        </w:rPr>
        <w:t>程序</w:t>
      </w:r>
      <w:r>
        <w:rPr>
          <w:rFonts w:ascii="宋体" w:hAnsi="宋体" w:eastAsia="宋体" w:cs="Arial"/>
          <w:sz w:val="24"/>
          <w:szCs w:val="24"/>
        </w:rPr>
        <w:t>”</w:t>
      </w:r>
      <w:r>
        <w:rPr>
          <w:rFonts w:ascii="Arial" w:hAnsi="Arial" w:eastAsia="宋体" w:cs="Arial"/>
          <w:sz w:val="24"/>
          <w:szCs w:val="24"/>
        </w:rPr>
        <w:t>的主要目的是通过确保审查资源集中分配于合理完整且充分支持的申请的审查工作中，从而提高审查资源的利用率。通常，在初步实质性审查中，ODE会发现用于确定批准或</w:t>
      </w:r>
      <w:r>
        <w:rPr>
          <w:rFonts w:hint="eastAsia" w:ascii="Arial" w:hAnsi="Arial" w:eastAsia="宋体" w:cs="Arial"/>
          <w:sz w:val="24"/>
          <w:szCs w:val="24"/>
        </w:rPr>
        <w:t>驳回</w:t>
      </w:r>
      <w:r>
        <w:rPr>
          <w:rFonts w:ascii="Arial" w:hAnsi="Arial" w:eastAsia="宋体" w:cs="Arial"/>
          <w:sz w:val="24"/>
          <w:szCs w:val="24"/>
        </w:rPr>
        <w:t>IDE的必要关键信息存在</w:t>
      </w:r>
      <w:r>
        <w:rPr>
          <w:rFonts w:hint="eastAsia" w:ascii="Arial" w:hAnsi="Arial" w:eastAsia="宋体" w:cs="Arial"/>
          <w:sz w:val="24"/>
          <w:szCs w:val="24"/>
        </w:rPr>
        <w:t>遗漏</w:t>
      </w:r>
      <w:r>
        <w:rPr>
          <w:rFonts w:ascii="Arial" w:hAnsi="Arial" w:eastAsia="宋体" w:cs="Arial"/>
          <w:sz w:val="24"/>
          <w:szCs w:val="24"/>
        </w:rPr>
        <w:t>情况。在进行</w:t>
      </w:r>
      <w:r>
        <w:rPr>
          <w:rFonts w:hint="eastAsia" w:ascii="Arial" w:hAnsi="Arial" w:eastAsia="宋体" w:cs="Arial"/>
          <w:sz w:val="24"/>
          <w:szCs w:val="24"/>
        </w:rPr>
        <w:t>接受</w:t>
      </w:r>
      <w:r>
        <w:rPr>
          <w:rFonts w:ascii="Arial" w:hAnsi="Arial" w:eastAsia="宋体" w:cs="Arial"/>
          <w:sz w:val="24"/>
          <w:szCs w:val="24"/>
        </w:rPr>
        <w:t>或拒绝申请的决策过程中，ODE会确定</w:t>
      </w:r>
      <w:r>
        <w:rPr>
          <w:rFonts w:hint="eastAsia" w:ascii="Arial" w:hAnsi="Arial" w:eastAsia="宋体" w:cs="Arial"/>
          <w:sz w:val="24"/>
          <w:szCs w:val="24"/>
        </w:rPr>
        <w:t>这些</w:t>
      </w:r>
      <w:r>
        <w:rPr>
          <w:rFonts w:ascii="Arial" w:hAnsi="Arial" w:eastAsia="宋体" w:cs="Arial"/>
          <w:sz w:val="24"/>
          <w:szCs w:val="24"/>
        </w:rPr>
        <w:t>申请是否</w:t>
      </w:r>
      <w:r>
        <w:rPr>
          <w:rFonts w:hint="eastAsia" w:ascii="Arial" w:hAnsi="Arial" w:eastAsia="宋体" w:cs="Arial"/>
          <w:sz w:val="24"/>
          <w:szCs w:val="24"/>
        </w:rPr>
        <w:t>提交</w:t>
      </w:r>
      <w:r>
        <w:rPr>
          <w:rFonts w:ascii="Arial" w:hAnsi="Arial" w:eastAsia="宋体" w:cs="Arial"/>
          <w:sz w:val="24"/>
          <w:szCs w:val="24"/>
        </w:rPr>
        <w:t>了用于决定该申请是否可以批准的</w:t>
      </w:r>
      <w:r>
        <w:rPr>
          <w:rFonts w:hint="eastAsia" w:ascii="Arial" w:hAnsi="Arial" w:eastAsia="宋体" w:cs="Arial"/>
          <w:sz w:val="24"/>
          <w:szCs w:val="24"/>
        </w:rPr>
        <w:t>充分</w:t>
      </w:r>
      <w:r>
        <w:rPr>
          <w:rFonts w:ascii="Arial" w:hAnsi="Arial" w:eastAsia="宋体" w:cs="Arial"/>
          <w:sz w:val="24"/>
          <w:szCs w:val="24"/>
        </w:rPr>
        <w:t>信息（即该申请表面上是否完整）。通过建立清晰、一致、</w:t>
      </w:r>
      <w:r>
        <w:rPr>
          <w:rFonts w:hint="eastAsia" w:ascii="Arial" w:hAnsi="Arial" w:eastAsia="宋体" w:cs="Arial"/>
          <w:sz w:val="24"/>
          <w:szCs w:val="24"/>
        </w:rPr>
        <w:t>申办方可用</w:t>
      </w:r>
      <w:r>
        <w:rPr>
          <w:rFonts w:ascii="Arial" w:hAnsi="Arial" w:eastAsia="宋体" w:cs="Arial"/>
          <w:sz w:val="24"/>
          <w:szCs w:val="24"/>
        </w:rPr>
        <w:t>的申请完整性标准</w:t>
      </w:r>
      <w:r>
        <w:rPr>
          <w:rFonts w:hint="eastAsia" w:ascii="Arial" w:hAnsi="Arial" w:eastAsia="宋体" w:cs="Arial"/>
          <w:sz w:val="24"/>
          <w:szCs w:val="24"/>
        </w:rPr>
        <w:t>程序</w:t>
      </w:r>
      <w:r>
        <w:rPr>
          <w:rFonts w:ascii="Arial" w:hAnsi="Arial" w:eastAsia="宋体" w:cs="Arial"/>
          <w:sz w:val="24"/>
          <w:szCs w:val="24"/>
        </w:rPr>
        <w:t>，</w:t>
      </w:r>
      <w:r>
        <w:rPr>
          <w:rFonts w:hint="eastAsia" w:ascii="Arial" w:hAnsi="Arial" w:eastAsia="宋体" w:cs="Arial"/>
          <w:sz w:val="24"/>
          <w:szCs w:val="24"/>
        </w:rPr>
        <w:t>申办方</w:t>
      </w:r>
      <w:r>
        <w:rPr>
          <w:rFonts w:ascii="Arial" w:hAnsi="Arial" w:eastAsia="宋体" w:cs="Arial"/>
          <w:sz w:val="24"/>
          <w:szCs w:val="24"/>
        </w:rPr>
        <w:t>可以获知在申请和用于研究的器械中</w:t>
      </w:r>
      <w:r>
        <w:rPr>
          <w:rFonts w:hint="eastAsia" w:ascii="Arial" w:hAnsi="Arial" w:eastAsia="宋体" w:cs="Arial"/>
          <w:sz w:val="24"/>
          <w:szCs w:val="24"/>
        </w:rPr>
        <w:t>的具体</w:t>
      </w:r>
      <w:r>
        <w:rPr>
          <w:rFonts w:ascii="Arial" w:hAnsi="Arial" w:eastAsia="宋体" w:cs="Arial"/>
          <w:sz w:val="24"/>
          <w:szCs w:val="24"/>
        </w:rPr>
        <w:t>要求。</w:t>
      </w:r>
      <w:r>
        <w:rPr>
          <w:rFonts w:hint="eastAsia" w:ascii="Arial" w:hAnsi="Arial" w:eastAsia="宋体" w:cs="Arial"/>
          <w:sz w:val="24"/>
          <w:szCs w:val="24"/>
        </w:rPr>
        <w:t>申办方</w:t>
      </w:r>
      <w:r>
        <w:rPr>
          <w:rFonts w:ascii="Arial" w:hAnsi="Arial" w:eastAsia="宋体" w:cs="Arial"/>
          <w:sz w:val="24"/>
          <w:szCs w:val="24"/>
        </w:rPr>
        <w:t>可以遵守已有的标准，加速器申请的实质性审查和最终决定过程。</w:t>
      </w:r>
    </w:p>
    <w:p w14:paraId="0D90BB11">
      <w:pPr>
        <w:snapToGrid w:val="0"/>
        <w:spacing w:after="312" w:afterLines="100" w:line="432" w:lineRule="auto"/>
        <w:rPr>
          <w:rFonts w:ascii="Arial" w:hAnsi="Arial" w:eastAsia="宋体" w:cs="Arial"/>
          <w:sz w:val="24"/>
          <w:szCs w:val="24"/>
        </w:rPr>
      </w:pPr>
      <w:r>
        <w:rPr>
          <w:rFonts w:ascii="Arial" w:hAnsi="Arial" w:eastAsia="宋体" w:cs="Arial"/>
          <w:sz w:val="24"/>
          <w:szCs w:val="24"/>
        </w:rPr>
        <w:t>这些</w:t>
      </w:r>
      <w:r>
        <w:rPr>
          <w:rFonts w:hint="eastAsia" w:ascii="Arial" w:hAnsi="Arial" w:eastAsia="宋体" w:cs="Arial"/>
          <w:sz w:val="24"/>
          <w:szCs w:val="24"/>
        </w:rPr>
        <w:t>程序</w:t>
      </w:r>
      <w:r>
        <w:rPr>
          <w:rFonts w:ascii="Arial" w:hAnsi="Arial" w:eastAsia="宋体" w:cs="Arial"/>
          <w:sz w:val="24"/>
          <w:szCs w:val="24"/>
        </w:rPr>
        <w:t>根据的是</w:t>
      </w:r>
      <w:r>
        <w:rPr>
          <w:rFonts w:ascii="宋体" w:hAnsi="宋体" w:eastAsia="宋体" w:cs="Arial"/>
          <w:sz w:val="24"/>
          <w:szCs w:val="24"/>
        </w:rPr>
        <w:t>“</w:t>
      </w:r>
      <w:r>
        <w:rPr>
          <w:rFonts w:ascii="Arial" w:hAnsi="Arial" w:eastAsia="宋体" w:cs="Arial"/>
          <w:sz w:val="24"/>
          <w:szCs w:val="24"/>
        </w:rPr>
        <w:t>器械和放射卫生中心关于研究性器械豁免（IDE）拒绝接受政策</w:t>
      </w:r>
      <w:r>
        <w:rPr>
          <w:rFonts w:ascii="宋体" w:hAnsi="宋体" w:eastAsia="宋体" w:cs="Arial"/>
          <w:sz w:val="24"/>
          <w:szCs w:val="24"/>
        </w:rPr>
        <w:t>”</w:t>
      </w:r>
      <w:r>
        <w:rPr>
          <w:rFonts w:ascii="Arial" w:hAnsi="Arial" w:eastAsia="宋体" w:cs="Arial"/>
          <w:sz w:val="24"/>
          <w:szCs w:val="24"/>
        </w:rPr>
        <w:t>中的管理行动计划（MAP）倡议问题纪要。本蓝皮书备忘录体现了上述问题纪要中的指导性</w:t>
      </w:r>
      <w:r>
        <w:rPr>
          <w:rFonts w:hint="eastAsia" w:ascii="Arial" w:hAnsi="Arial" w:eastAsia="宋体" w:cs="Arial"/>
          <w:sz w:val="24"/>
          <w:szCs w:val="24"/>
        </w:rPr>
        <w:t>程序</w:t>
      </w:r>
      <w:r>
        <w:rPr>
          <w:rFonts w:ascii="Arial" w:hAnsi="Arial" w:eastAsia="宋体" w:cs="Arial"/>
          <w:sz w:val="24"/>
          <w:szCs w:val="24"/>
        </w:rPr>
        <w:t>，因此取代上述文件作为ODE的政策。附于MAP问题纪要的文件包括题为</w:t>
      </w:r>
      <w:r>
        <w:rPr>
          <w:rFonts w:ascii="宋体" w:hAnsi="宋体" w:eastAsia="宋体" w:cs="Arial"/>
          <w:sz w:val="24"/>
          <w:szCs w:val="24"/>
        </w:rPr>
        <w:t>“</w:t>
      </w:r>
      <w:r>
        <w:rPr>
          <w:rFonts w:ascii="Arial" w:hAnsi="Arial" w:eastAsia="宋体" w:cs="Arial"/>
          <w:sz w:val="24"/>
          <w:szCs w:val="24"/>
        </w:rPr>
        <w:t>IDE拒绝接受标准</w:t>
      </w:r>
      <w:r>
        <w:rPr>
          <w:rFonts w:ascii="宋体" w:hAnsi="宋体" w:eastAsia="宋体" w:cs="Arial"/>
          <w:sz w:val="24"/>
          <w:szCs w:val="24"/>
        </w:rPr>
        <w:t>”</w:t>
      </w:r>
      <w:r>
        <w:rPr>
          <w:rFonts w:ascii="Arial" w:hAnsi="Arial" w:eastAsia="宋体" w:cs="Arial"/>
          <w:sz w:val="24"/>
          <w:szCs w:val="24"/>
        </w:rPr>
        <w:t>的文件和</w:t>
      </w:r>
      <w:r>
        <w:rPr>
          <w:rFonts w:hint="eastAsia" w:ascii="Arial" w:hAnsi="Arial" w:eastAsia="宋体" w:cs="Arial"/>
          <w:sz w:val="24"/>
          <w:szCs w:val="24"/>
        </w:rPr>
        <w:t>随附</w:t>
      </w:r>
      <w:r>
        <w:rPr>
          <w:rFonts w:ascii="Arial" w:hAnsi="Arial" w:eastAsia="宋体" w:cs="Arial"/>
          <w:sz w:val="24"/>
          <w:szCs w:val="24"/>
        </w:rPr>
        <w:t>检查清单。如下文所述，这些标准和检查清单会用于ODE审查员针对未来的IDE进行审查实施</w:t>
      </w:r>
      <w:r>
        <w:rPr>
          <w:rFonts w:hint="eastAsia" w:ascii="Arial" w:hAnsi="Arial" w:eastAsia="宋体" w:cs="Arial"/>
          <w:sz w:val="24"/>
          <w:szCs w:val="24"/>
        </w:rPr>
        <w:t>此类指导程序</w:t>
      </w:r>
      <w:r>
        <w:rPr>
          <w:rFonts w:ascii="Arial" w:hAnsi="Arial" w:eastAsia="宋体" w:cs="Arial"/>
          <w:sz w:val="24"/>
          <w:szCs w:val="24"/>
        </w:rPr>
        <w:t>。</w:t>
      </w:r>
    </w:p>
    <w:p w14:paraId="548E8ECF">
      <w:pPr>
        <w:snapToGrid w:val="0"/>
        <w:spacing w:after="312" w:afterLines="100" w:line="432" w:lineRule="auto"/>
        <w:rPr>
          <w:rFonts w:ascii="Arial" w:hAnsi="Arial" w:eastAsia="宋体" w:cs="Arial"/>
          <w:sz w:val="24"/>
          <w:szCs w:val="24"/>
        </w:rPr>
      </w:pPr>
      <w:r>
        <w:rPr>
          <w:rFonts w:ascii="Arial" w:hAnsi="Arial" w:eastAsia="宋体" w:cs="Arial"/>
          <w:sz w:val="24"/>
          <w:szCs w:val="24"/>
        </w:rPr>
        <w:t>一般来说，拒绝接受IDE可以基于三种原因：</w:t>
      </w:r>
    </w:p>
    <w:p w14:paraId="145885BF">
      <w:pPr>
        <w:pStyle w:val="11"/>
        <w:numPr>
          <w:ilvl w:val="0"/>
          <w:numId w:val="1"/>
        </w:numPr>
        <w:snapToGrid w:val="0"/>
        <w:spacing w:after="312" w:afterLines="100" w:line="432" w:lineRule="auto"/>
        <w:ind w:left="777" w:leftChars="200" w:hanging="357" w:firstLineChars="0"/>
        <w:rPr>
          <w:rFonts w:ascii="Arial" w:hAnsi="Arial" w:eastAsia="宋体" w:cs="Arial"/>
          <w:sz w:val="24"/>
          <w:szCs w:val="24"/>
        </w:rPr>
      </w:pPr>
      <w:r>
        <w:rPr>
          <w:rFonts w:ascii="Arial" w:hAnsi="Arial" w:eastAsia="宋体" w:cs="Arial"/>
          <w:sz w:val="24"/>
          <w:szCs w:val="24"/>
        </w:rPr>
        <w:t>该研究不需要IDE批准。</w:t>
      </w:r>
    </w:p>
    <w:p w14:paraId="1833575D">
      <w:pPr>
        <w:pStyle w:val="11"/>
        <w:numPr>
          <w:ilvl w:val="0"/>
          <w:numId w:val="1"/>
        </w:numPr>
        <w:snapToGrid w:val="0"/>
        <w:spacing w:after="312" w:afterLines="100" w:line="432" w:lineRule="auto"/>
        <w:ind w:left="777" w:leftChars="200" w:hanging="357" w:firstLineChars="0"/>
        <w:rPr>
          <w:rFonts w:ascii="Arial" w:hAnsi="Arial" w:eastAsia="宋体" w:cs="Arial"/>
          <w:sz w:val="24"/>
          <w:szCs w:val="24"/>
        </w:rPr>
      </w:pPr>
      <w:r>
        <w:rPr>
          <w:rFonts w:ascii="Arial" w:hAnsi="Arial" w:eastAsia="宋体" w:cs="Arial"/>
          <w:sz w:val="24"/>
          <w:szCs w:val="24"/>
        </w:rPr>
        <w:t>该申请遗漏了IDE法规21 CFR第812部分规定的章节。</w:t>
      </w:r>
    </w:p>
    <w:p w14:paraId="2459BA4F">
      <w:pPr>
        <w:pStyle w:val="11"/>
        <w:numPr>
          <w:ilvl w:val="0"/>
          <w:numId w:val="1"/>
        </w:numPr>
        <w:snapToGrid w:val="0"/>
        <w:spacing w:after="312" w:afterLines="100" w:line="432" w:lineRule="auto"/>
        <w:ind w:left="777" w:leftChars="200" w:hanging="357" w:firstLineChars="0"/>
        <w:rPr>
          <w:rFonts w:ascii="Arial" w:hAnsi="Arial" w:eastAsia="宋体" w:cs="Arial"/>
          <w:sz w:val="24"/>
          <w:szCs w:val="24"/>
        </w:rPr>
      </w:pPr>
      <w:r>
        <w:rPr>
          <w:rFonts w:ascii="Arial" w:hAnsi="Arial" w:eastAsia="宋体" w:cs="Arial"/>
          <w:sz w:val="24"/>
          <w:szCs w:val="24"/>
        </w:rPr>
        <w:t>该申请未能解决开展临床试验中</w:t>
      </w:r>
      <w:r>
        <w:rPr>
          <w:rFonts w:hint="eastAsia" w:ascii="Arial" w:hAnsi="Arial" w:eastAsia="宋体" w:cs="Arial"/>
          <w:sz w:val="24"/>
          <w:szCs w:val="24"/>
        </w:rPr>
        <w:t>可</w:t>
      </w:r>
      <w:r>
        <w:rPr>
          <w:rFonts w:ascii="Arial" w:hAnsi="Arial" w:eastAsia="宋体" w:cs="Arial"/>
          <w:sz w:val="24"/>
          <w:szCs w:val="24"/>
        </w:rPr>
        <w:t>普遍接受的科学或专业问题，或未能解决FDA公开发表的一般性、特定器械和交叉性指导性文件中明确描述的科学／技术问题。</w:t>
      </w:r>
    </w:p>
    <w:p w14:paraId="07F46DF1">
      <w:pPr>
        <w:snapToGrid w:val="0"/>
        <w:spacing w:after="312" w:afterLines="100" w:line="432" w:lineRule="auto"/>
        <w:rPr>
          <w:rFonts w:ascii="Arial" w:hAnsi="Arial" w:eastAsia="宋体" w:cs="Arial"/>
          <w:sz w:val="24"/>
          <w:szCs w:val="24"/>
        </w:rPr>
      </w:pPr>
      <w:r>
        <w:rPr>
          <w:rFonts w:hint="eastAsia" w:ascii="Arial" w:hAnsi="Arial" w:eastAsia="宋体" w:cs="Arial"/>
          <w:sz w:val="24"/>
          <w:szCs w:val="24"/>
        </w:rPr>
        <w:t>随附</w:t>
      </w:r>
      <w:r>
        <w:rPr>
          <w:rFonts w:ascii="宋体" w:hAnsi="宋体" w:eastAsia="宋体" w:cs="Arial"/>
          <w:sz w:val="24"/>
          <w:szCs w:val="24"/>
        </w:rPr>
        <w:t>“</w:t>
      </w:r>
      <w:r>
        <w:rPr>
          <w:rFonts w:ascii="Arial" w:hAnsi="Arial" w:eastAsia="宋体" w:cs="Arial"/>
          <w:sz w:val="24"/>
          <w:szCs w:val="24"/>
        </w:rPr>
        <w:t>IDE拒绝接受标准</w:t>
      </w:r>
      <w:r>
        <w:rPr>
          <w:rFonts w:ascii="宋体" w:hAnsi="宋体" w:eastAsia="宋体" w:cs="Arial"/>
          <w:sz w:val="24"/>
          <w:szCs w:val="24"/>
        </w:rPr>
        <w:t>”</w:t>
      </w:r>
      <w:r>
        <w:rPr>
          <w:rFonts w:ascii="Arial" w:hAnsi="Arial" w:eastAsia="宋体" w:cs="Arial"/>
          <w:sz w:val="24"/>
          <w:szCs w:val="24"/>
        </w:rPr>
        <w:t>的检查清单为通用检查清单。各部门可以根据适用于其特定器械领域的指导性文件对通用检查单进行修订和补充。当确实存在需求时应颁布部门的指导性文件。</w:t>
      </w:r>
      <w:r>
        <w:rPr>
          <w:rFonts w:hint="eastAsia" w:ascii="Arial" w:hAnsi="Arial" w:eastAsia="宋体" w:cs="Arial"/>
          <w:sz w:val="24"/>
          <w:szCs w:val="24"/>
        </w:rPr>
        <w:t>指南</w:t>
      </w:r>
      <w:r>
        <w:rPr>
          <w:rFonts w:ascii="Arial" w:hAnsi="Arial" w:eastAsia="宋体" w:cs="Arial"/>
          <w:sz w:val="24"/>
          <w:szCs w:val="24"/>
        </w:rPr>
        <w:t>应提供关于申请中所有部分应</w:t>
      </w:r>
      <w:r>
        <w:rPr>
          <w:rFonts w:hint="eastAsia" w:ascii="Arial" w:hAnsi="Arial" w:eastAsia="宋体" w:cs="Arial"/>
          <w:sz w:val="24"/>
          <w:szCs w:val="24"/>
        </w:rPr>
        <w:t>涵盖</w:t>
      </w:r>
      <w:r>
        <w:rPr>
          <w:rFonts w:ascii="Arial" w:hAnsi="Arial" w:eastAsia="宋体" w:cs="Arial"/>
          <w:sz w:val="24"/>
          <w:szCs w:val="24"/>
        </w:rPr>
        <w:t>和可接受内容的具体信息。</w:t>
      </w:r>
      <w:r>
        <w:rPr>
          <w:rFonts w:hint="eastAsia" w:ascii="Arial" w:hAnsi="Arial" w:eastAsia="宋体" w:cs="Arial"/>
          <w:sz w:val="24"/>
          <w:szCs w:val="24"/>
        </w:rPr>
        <w:t>每个产品的特定指南</w:t>
      </w:r>
      <w:r>
        <w:rPr>
          <w:rFonts w:ascii="Arial" w:hAnsi="Arial" w:eastAsia="宋体" w:cs="Arial"/>
          <w:sz w:val="24"/>
          <w:szCs w:val="24"/>
        </w:rPr>
        <w:t>应当包含一份检查清单，供下列人员使用：a）准备</w:t>
      </w:r>
      <w:bookmarkStart w:id="0" w:name="OLE_LINK13"/>
      <w:r>
        <w:rPr>
          <w:rFonts w:hint="eastAsia" w:ascii="Arial" w:hAnsi="Arial" w:eastAsia="宋体" w:cs="Arial"/>
          <w:sz w:val="24"/>
          <w:szCs w:val="24"/>
        </w:rPr>
        <w:t>提交材料</w:t>
      </w:r>
      <w:bookmarkEnd w:id="0"/>
      <w:r>
        <w:rPr>
          <w:rFonts w:ascii="Arial" w:hAnsi="Arial" w:eastAsia="宋体" w:cs="Arial"/>
          <w:sz w:val="24"/>
          <w:szCs w:val="24"/>
        </w:rPr>
        <w:t>的申请人，和b）在初步评估阶段考虑接受该申请进行完整审查的审查员。也应当为</w:t>
      </w:r>
      <w:r>
        <w:rPr>
          <w:rFonts w:hint="eastAsia" w:ascii="Arial" w:hAnsi="Arial" w:eastAsia="宋体" w:cs="Arial"/>
          <w:sz w:val="24"/>
          <w:szCs w:val="24"/>
        </w:rPr>
        <w:t>现有</w:t>
      </w:r>
      <w:r>
        <w:rPr>
          <w:rFonts w:ascii="Arial" w:hAnsi="Arial" w:eastAsia="宋体" w:cs="Arial"/>
          <w:sz w:val="24"/>
          <w:szCs w:val="24"/>
        </w:rPr>
        <w:t>指南准备检查清单。该工作可以节省时间，并且保证不同</w:t>
      </w:r>
      <w:r>
        <w:rPr>
          <w:rFonts w:hint="eastAsia" w:ascii="Arial" w:hAnsi="Arial" w:eastAsia="宋体" w:cs="Arial"/>
          <w:sz w:val="24"/>
          <w:szCs w:val="24"/>
        </w:rPr>
        <w:t>提交材料</w:t>
      </w:r>
      <w:r>
        <w:rPr>
          <w:rFonts w:ascii="Arial" w:hAnsi="Arial" w:eastAsia="宋体" w:cs="Arial"/>
          <w:sz w:val="24"/>
          <w:szCs w:val="24"/>
        </w:rPr>
        <w:t>间的一致性。同时，还应当注意提高与行业的沟通。</w:t>
      </w:r>
    </w:p>
    <w:p w14:paraId="121EFB27">
      <w:pPr>
        <w:widowControl/>
        <w:spacing w:line="432" w:lineRule="auto"/>
        <w:jc w:val="left"/>
        <w:rPr>
          <w:rFonts w:ascii="Arial" w:hAnsi="Arial" w:eastAsia="宋体" w:cs="Arial"/>
          <w:sz w:val="24"/>
          <w:szCs w:val="24"/>
        </w:rPr>
      </w:pPr>
      <w:r>
        <w:rPr>
          <w:rFonts w:ascii="Arial" w:hAnsi="Arial" w:eastAsia="宋体" w:cs="Arial"/>
          <w:sz w:val="24"/>
          <w:szCs w:val="24"/>
        </w:rPr>
        <w:br w:type="page"/>
      </w:r>
    </w:p>
    <w:p w14:paraId="595BBD36">
      <w:pPr>
        <w:snapToGrid w:val="0"/>
        <w:spacing w:after="312" w:afterLines="100" w:line="432" w:lineRule="auto"/>
        <w:rPr>
          <w:rFonts w:ascii="Arial" w:hAnsi="Arial" w:eastAsia="宋体" w:cs="Arial"/>
          <w:sz w:val="24"/>
          <w:szCs w:val="24"/>
        </w:rPr>
      </w:pPr>
      <w:r>
        <w:rPr>
          <w:rFonts w:ascii="Arial" w:hAnsi="Arial" w:eastAsia="宋体" w:cs="Arial"/>
          <w:sz w:val="24"/>
          <w:szCs w:val="24"/>
        </w:rPr>
        <w:t>除了将副本提供给ODE审查员外，文件</w:t>
      </w:r>
      <w:r>
        <w:rPr>
          <w:rFonts w:ascii="宋体" w:hAnsi="宋体" w:eastAsia="宋体" w:cs="Arial"/>
          <w:sz w:val="24"/>
          <w:szCs w:val="24"/>
        </w:rPr>
        <w:t>“</w:t>
      </w:r>
      <w:r>
        <w:rPr>
          <w:rFonts w:ascii="Arial" w:hAnsi="Arial" w:eastAsia="宋体" w:cs="Arial"/>
          <w:sz w:val="24"/>
          <w:szCs w:val="24"/>
        </w:rPr>
        <w:t>IDE拒绝接受标准</w:t>
      </w:r>
      <w:r>
        <w:rPr>
          <w:rFonts w:ascii="宋体" w:hAnsi="宋体" w:eastAsia="宋体" w:cs="Arial"/>
          <w:sz w:val="24"/>
          <w:szCs w:val="24"/>
        </w:rPr>
        <w:t>”</w:t>
      </w:r>
      <w:r>
        <w:rPr>
          <w:rFonts w:ascii="Arial" w:hAnsi="Arial" w:eastAsia="宋体" w:cs="Arial"/>
          <w:sz w:val="24"/>
          <w:szCs w:val="24"/>
        </w:rPr>
        <w:t>以及部门开发的所有特定器械指导性文件和检查清单均应由小型制造商援助司提供给制造商和其他公众成员。</w:t>
      </w:r>
    </w:p>
    <w:p w14:paraId="6F3A7490">
      <w:pPr>
        <w:snapToGrid w:val="0"/>
        <w:spacing w:after="312" w:afterLines="100" w:line="432" w:lineRule="auto"/>
        <w:rPr>
          <w:rFonts w:ascii="Arial" w:hAnsi="Arial" w:eastAsia="宋体" w:cs="Arial"/>
          <w:sz w:val="24"/>
          <w:szCs w:val="24"/>
        </w:rPr>
      </w:pPr>
      <w:r>
        <w:rPr>
          <w:rFonts w:hint="eastAsia" w:ascii="Arial" w:hAnsi="Arial" w:eastAsia="宋体" w:cs="Arial"/>
          <w:sz w:val="24"/>
          <w:szCs w:val="24"/>
        </w:rPr>
        <w:t>程序</w:t>
      </w:r>
    </w:p>
    <w:p w14:paraId="79BFA3C2">
      <w:pPr>
        <w:snapToGrid w:val="0"/>
        <w:spacing w:after="312" w:afterLines="100" w:line="432" w:lineRule="auto"/>
        <w:rPr>
          <w:rFonts w:ascii="Arial" w:hAnsi="Arial" w:eastAsia="宋体" w:cs="Arial"/>
          <w:sz w:val="24"/>
          <w:szCs w:val="24"/>
        </w:rPr>
      </w:pPr>
      <w:r>
        <w:rPr>
          <w:rFonts w:ascii="Arial" w:hAnsi="Arial" w:eastAsia="宋体" w:cs="Arial"/>
          <w:sz w:val="24"/>
          <w:szCs w:val="24"/>
        </w:rPr>
        <w:t>本指南备忘录将由医疗器械评价办公室的审查部门使用以下</w:t>
      </w:r>
      <w:r>
        <w:rPr>
          <w:rFonts w:hint="eastAsia" w:ascii="Arial" w:hAnsi="Arial" w:eastAsia="宋体" w:cs="Arial"/>
          <w:sz w:val="24"/>
          <w:szCs w:val="24"/>
        </w:rPr>
        <w:t>程序</w:t>
      </w:r>
      <w:r>
        <w:rPr>
          <w:rFonts w:ascii="Arial" w:hAnsi="Arial" w:eastAsia="宋体" w:cs="Arial"/>
          <w:sz w:val="24"/>
          <w:szCs w:val="24"/>
        </w:rPr>
        <w:t>实施。具体的时间框架为实施目标，具体满足情况将根据可用资源确定。</w:t>
      </w:r>
    </w:p>
    <w:p w14:paraId="405A067E">
      <w:pPr>
        <w:pStyle w:val="11"/>
        <w:numPr>
          <w:ilvl w:val="0"/>
          <w:numId w:val="2"/>
        </w:numPr>
        <w:snapToGrid w:val="0"/>
        <w:spacing w:after="312" w:afterLines="100" w:line="432" w:lineRule="auto"/>
        <w:ind w:firstLineChars="0"/>
        <w:rPr>
          <w:rFonts w:ascii="Arial" w:hAnsi="Arial" w:eastAsia="宋体" w:cs="Arial"/>
          <w:sz w:val="24"/>
          <w:szCs w:val="24"/>
        </w:rPr>
      </w:pPr>
      <w:r>
        <w:rPr>
          <w:rFonts w:ascii="Arial" w:hAnsi="Arial" w:eastAsia="宋体" w:cs="Arial"/>
          <w:sz w:val="24"/>
          <w:szCs w:val="24"/>
        </w:rPr>
        <w:t>处理</w:t>
      </w:r>
    </w:p>
    <w:p w14:paraId="359224B3">
      <w:pPr>
        <w:pStyle w:val="11"/>
        <w:numPr>
          <w:ilvl w:val="1"/>
          <w:numId w:val="2"/>
        </w:numPr>
        <w:snapToGrid w:val="0"/>
        <w:spacing w:after="312" w:afterLines="100" w:line="432" w:lineRule="auto"/>
        <w:ind w:firstLineChars="0"/>
        <w:rPr>
          <w:rFonts w:ascii="Arial" w:hAnsi="Arial" w:eastAsia="宋体" w:cs="Arial"/>
          <w:sz w:val="24"/>
          <w:szCs w:val="24"/>
        </w:rPr>
      </w:pPr>
      <w:r>
        <w:rPr>
          <w:rFonts w:ascii="Arial" w:hAnsi="Arial" w:eastAsia="宋体" w:cs="Arial"/>
          <w:sz w:val="24"/>
          <w:szCs w:val="24"/>
        </w:rPr>
        <w:t>ODE文件邮件中心（DMC）会登录，并将IDE打包发送给IDE工作人员。IDE工作人员会执行初步审查，确定该</w:t>
      </w:r>
      <w:r>
        <w:rPr>
          <w:rFonts w:hint="eastAsia" w:ascii="Arial" w:hAnsi="Arial" w:eastAsia="宋体" w:cs="Arial"/>
          <w:sz w:val="24"/>
          <w:szCs w:val="24"/>
        </w:rPr>
        <w:t>提交材料</w:t>
      </w:r>
      <w:r>
        <w:rPr>
          <w:rFonts w:ascii="Arial" w:hAnsi="Arial" w:eastAsia="宋体" w:cs="Arial"/>
          <w:sz w:val="24"/>
          <w:szCs w:val="24"/>
        </w:rPr>
        <w:t>为IDE，且保证其流程完整。如果非常不完整，则IDE工作人员会</w:t>
      </w:r>
      <w:r>
        <w:rPr>
          <w:rFonts w:hint="eastAsia" w:ascii="Arial" w:hAnsi="Arial" w:eastAsia="宋体" w:cs="Arial"/>
          <w:sz w:val="24"/>
          <w:szCs w:val="24"/>
        </w:rPr>
        <w:t>出具</w:t>
      </w:r>
      <w:r>
        <w:rPr>
          <w:rFonts w:ascii="Arial" w:hAnsi="Arial" w:eastAsia="宋体" w:cs="Arial"/>
          <w:sz w:val="24"/>
          <w:szCs w:val="24"/>
        </w:rPr>
        <w:t>不完整信件。如果</w:t>
      </w:r>
      <w:r>
        <w:rPr>
          <w:rFonts w:hint="eastAsia" w:ascii="Arial" w:hAnsi="Arial" w:eastAsia="宋体" w:cs="Arial"/>
          <w:sz w:val="24"/>
          <w:szCs w:val="24"/>
        </w:rPr>
        <w:t>提交材料</w:t>
      </w:r>
      <w:r>
        <w:rPr>
          <w:rFonts w:ascii="Arial" w:hAnsi="Arial" w:eastAsia="宋体" w:cs="Arial"/>
          <w:sz w:val="24"/>
          <w:szCs w:val="24"/>
        </w:rPr>
        <w:t>完整，则在DMC接受申请的2天内，或根据当前可用资源在尽可能快的时间内，该申请会被发送至合适的审查</w:t>
      </w:r>
      <w:r>
        <w:rPr>
          <w:rFonts w:hint="eastAsia" w:ascii="Arial" w:hAnsi="Arial" w:eastAsia="宋体" w:cs="Arial"/>
          <w:sz w:val="24"/>
          <w:szCs w:val="24"/>
        </w:rPr>
        <w:t>部门</w:t>
      </w:r>
      <w:r>
        <w:rPr>
          <w:rFonts w:ascii="Arial" w:hAnsi="Arial" w:eastAsia="宋体" w:cs="Arial"/>
          <w:sz w:val="24"/>
          <w:szCs w:val="24"/>
        </w:rPr>
        <w:t>。</w:t>
      </w:r>
    </w:p>
    <w:p w14:paraId="793E80D6">
      <w:pPr>
        <w:pStyle w:val="11"/>
        <w:numPr>
          <w:ilvl w:val="1"/>
          <w:numId w:val="2"/>
        </w:numPr>
        <w:snapToGrid w:val="0"/>
        <w:spacing w:after="312" w:afterLines="100" w:line="432" w:lineRule="auto"/>
        <w:ind w:firstLineChars="0"/>
        <w:rPr>
          <w:rFonts w:ascii="Arial" w:hAnsi="Arial" w:eastAsia="宋体" w:cs="Arial"/>
          <w:sz w:val="24"/>
          <w:szCs w:val="24"/>
        </w:rPr>
      </w:pPr>
      <w:r>
        <w:rPr>
          <w:rFonts w:ascii="Arial" w:hAnsi="Arial" w:eastAsia="宋体" w:cs="Arial"/>
          <w:sz w:val="24"/>
          <w:szCs w:val="24"/>
        </w:rPr>
        <w:t>指定的审查员（部门主管、审查员、CSO、CST）会使用IDE拒绝接受标准和检查清单，以及其他适用的器械特定的检查清单来确定该IDE是否足够完整，可以进行实质性审查。对于具有特殊困难或存在争议的决定时，部门应当咨询项目运营工作人员（POS）。</w:t>
      </w:r>
    </w:p>
    <w:p w14:paraId="1D5F8C63">
      <w:pPr>
        <w:pStyle w:val="11"/>
        <w:numPr>
          <w:ilvl w:val="1"/>
          <w:numId w:val="2"/>
        </w:numPr>
        <w:snapToGrid w:val="0"/>
        <w:spacing w:after="312" w:afterLines="100" w:line="432" w:lineRule="auto"/>
        <w:ind w:firstLineChars="0"/>
        <w:rPr>
          <w:rFonts w:ascii="Arial" w:hAnsi="Arial" w:eastAsia="宋体" w:cs="Arial"/>
          <w:sz w:val="24"/>
          <w:szCs w:val="24"/>
        </w:rPr>
      </w:pPr>
      <w:r>
        <w:rPr>
          <w:rFonts w:ascii="Arial" w:hAnsi="Arial" w:eastAsia="宋体" w:cs="Arial"/>
          <w:sz w:val="24"/>
          <w:szCs w:val="24"/>
        </w:rPr>
        <w:t>在DMC接收后的10天内，拒绝接受的建议书会提交至适当的监督人员处进行复查。</w:t>
      </w:r>
    </w:p>
    <w:p w14:paraId="129301AF">
      <w:pPr>
        <w:widowControl/>
        <w:spacing w:line="432" w:lineRule="auto"/>
        <w:jc w:val="left"/>
        <w:rPr>
          <w:rFonts w:ascii="Arial" w:hAnsi="Arial" w:eastAsia="宋体" w:cs="Arial"/>
          <w:sz w:val="24"/>
          <w:szCs w:val="24"/>
        </w:rPr>
      </w:pPr>
      <w:r>
        <w:rPr>
          <w:rFonts w:ascii="Arial" w:hAnsi="Arial" w:eastAsia="宋体" w:cs="Arial"/>
          <w:sz w:val="24"/>
          <w:szCs w:val="24"/>
        </w:rPr>
        <w:br w:type="page"/>
      </w:r>
    </w:p>
    <w:p w14:paraId="5FE2392A">
      <w:pPr>
        <w:pStyle w:val="11"/>
        <w:numPr>
          <w:ilvl w:val="1"/>
          <w:numId w:val="2"/>
        </w:numPr>
        <w:snapToGrid w:val="0"/>
        <w:spacing w:after="312" w:afterLines="100" w:line="432" w:lineRule="auto"/>
        <w:ind w:firstLineChars="0"/>
        <w:rPr>
          <w:rFonts w:ascii="Arial" w:hAnsi="Arial" w:eastAsia="宋体" w:cs="Arial"/>
          <w:sz w:val="24"/>
          <w:szCs w:val="24"/>
        </w:rPr>
      </w:pPr>
      <w:r>
        <w:rPr>
          <w:rFonts w:ascii="Arial" w:hAnsi="Arial" w:eastAsia="宋体" w:cs="Arial"/>
          <w:sz w:val="24"/>
          <w:szCs w:val="24"/>
        </w:rPr>
        <w:t>如果某项申请足够完整，可以进行实质性审查，则IDE会进入实质性审查的队列中。</w:t>
      </w:r>
    </w:p>
    <w:p w14:paraId="0C63D4C1">
      <w:pPr>
        <w:pStyle w:val="11"/>
        <w:numPr>
          <w:ilvl w:val="1"/>
          <w:numId w:val="2"/>
        </w:numPr>
        <w:snapToGrid w:val="0"/>
        <w:spacing w:after="312" w:afterLines="100" w:line="432" w:lineRule="auto"/>
        <w:ind w:firstLineChars="0"/>
        <w:rPr>
          <w:rFonts w:ascii="Arial" w:hAnsi="Arial" w:eastAsia="宋体" w:cs="Arial"/>
          <w:sz w:val="24"/>
          <w:szCs w:val="24"/>
        </w:rPr>
      </w:pPr>
      <w:r>
        <w:rPr>
          <w:rFonts w:ascii="Arial" w:hAnsi="Arial" w:eastAsia="宋体" w:cs="Arial"/>
          <w:sz w:val="24"/>
          <w:szCs w:val="24"/>
        </w:rPr>
        <w:t>如果某项申请不够完整，无法进行实质性审查，则会与POS工作人员共同准备一份拒绝接受信，供部门主任签字。拒绝接受信详细叙述了造成拒绝接受申请决定的遗漏或不完整情况，该信件将在原始IDE接收的15日内发布。信件会详细陈述如果</w:t>
      </w:r>
      <w:r>
        <w:rPr>
          <w:rFonts w:hint="eastAsia" w:ascii="Arial" w:hAnsi="Arial" w:eastAsia="宋体" w:cs="Arial"/>
          <w:sz w:val="24"/>
          <w:szCs w:val="24"/>
        </w:rPr>
        <w:t>申办方</w:t>
      </w:r>
      <w:r>
        <w:rPr>
          <w:rFonts w:ascii="Arial" w:hAnsi="Arial" w:eastAsia="宋体" w:cs="Arial"/>
          <w:sz w:val="24"/>
          <w:szCs w:val="24"/>
        </w:rPr>
        <w:t>希望进行该项研究的话，是否必须提交新的申请，或指出必须提供申请的</w:t>
      </w:r>
      <w:r>
        <w:rPr>
          <w:rFonts w:hint="eastAsia" w:ascii="Arial" w:hAnsi="Arial" w:eastAsia="宋体" w:cs="Arial"/>
          <w:sz w:val="24"/>
          <w:szCs w:val="24"/>
        </w:rPr>
        <w:t>具体</w:t>
      </w:r>
      <w:r>
        <w:rPr>
          <w:rFonts w:ascii="Arial" w:hAnsi="Arial" w:eastAsia="宋体" w:cs="Arial"/>
          <w:sz w:val="24"/>
          <w:szCs w:val="24"/>
        </w:rPr>
        <w:t>部分。</w:t>
      </w:r>
    </w:p>
    <w:p w14:paraId="504A1072">
      <w:pPr>
        <w:pStyle w:val="11"/>
        <w:numPr>
          <w:ilvl w:val="0"/>
          <w:numId w:val="2"/>
        </w:numPr>
        <w:snapToGrid w:val="0"/>
        <w:spacing w:after="312" w:afterLines="100" w:line="432" w:lineRule="auto"/>
        <w:ind w:firstLineChars="0"/>
        <w:rPr>
          <w:rFonts w:ascii="Arial" w:hAnsi="Arial" w:eastAsia="宋体" w:cs="Arial"/>
          <w:sz w:val="24"/>
          <w:szCs w:val="24"/>
        </w:rPr>
      </w:pPr>
      <w:r>
        <w:rPr>
          <w:rFonts w:ascii="Arial" w:hAnsi="Arial" w:eastAsia="宋体" w:cs="Arial"/>
          <w:sz w:val="24"/>
          <w:szCs w:val="24"/>
        </w:rPr>
        <w:t>行业咨询</w:t>
      </w:r>
    </w:p>
    <w:p w14:paraId="3F0C4214">
      <w:pPr>
        <w:snapToGrid w:val="0"/>
        <w:spacing w:after="312" w:afterLines="100" w:line="432" w:lineRule="auto"/>
        <w:rPr>
          <w:rFonts w:ascii="Arial" w:hAnsi="Arial" w:eastAsia="宋体" w:cs="Arial"/>
          <w:sz w:val="24"/>
          <w:szCs w:val="24"/>
        </w:rPr>
      </w:pPr>
      <w:r>
        <w:rPr>
          <w:rFonts w:ascii="Arial" w:hAnsi="Arial" w:eastAsia="宋体" w:cs="Arial"/>
          <w:sz w:val="24"/>
          <w:szCs w:val="24"/>
        </w:rPr>
        <w:t>如果</w:t>
      </w:r>
      <w:r>
        <w:rPr>
          <w:rFonts w:hint="eastAsia" w:ascii="Arial" w:hAnsi="Arial" w:eastAsia="宋体" w:cs="Arial"/>
          <w:sz w:val="24"/>
          <w:szCs w:val="24"/>
        </w:rPr>
        <w:t>申办方</w:t>
      </w:r>
      <w:r>
        <w:rPr>
          <w:rFonts w:ascii="Arial" w:hAnsi="Arial" w:eastAsia="宋体" w:cs="Arial"/>
          <w:sz w:val="24"/>
          <w:szCs w:val="24"/>
        </w:rPr>
        <w:t>对拒绝申请信件存在疑问，则申请可通过信件、电话、或电报的方式就该决定与适当的部分主管取得联系。</w:t>
      </w:r>
    </w:p>
    <w:p w14:paraId="16CB7AE4">
      <w:pPr>
        <w:pStyle w:val="11"/>
        <w:numPr>
          <w:ilvl w:val="0"/>
          <w:numId w:val="2"/>
        </w:numPr>
        <w:snapToGrid w:val="0"/>
        <w:spacing w:after="312" w:afterLines="100" w:line="432" w:lineRule="auto"/>
        <w:ind w:firstLineChars="0"/>
        <w:rPr>
          <w:rFonts w:ascii="Arial" w:hAnsi="Arial" w:eastAsia="宋体" w:cs="Arial"/>
          <w:sz w:val="24"/>
          <w:szCs w:val="24"/>
        </w:rPr>
      </w:pPr>
      <w:r>
        <w:rPr>
          <w:rFonts w:ascii="Arial" w:hAnsi="Arial" w:eastAsia="宋体" w:cs="Arial"/>
          <w:sz w:val="24"/>
          <w:szCs w:val="24"/>
        </w:rPr>
        <w:t>监测</w:t>
      </w:r>
    </w:p>
    <w:p w14:paraId="318B634C">
      <w:pPr>
        <w:snapToGrid w:val="0"/>
        <w:spacing w:after="312" w:afterLines="100" w:line="432" w:lineRule="auto"/>
        <w:rPr>
          <w:rFonts w:ascii="Arial" w:hAnsi="Arial" w:eastAsia="宋体" w:cs="Arial"/>
          <w:sz w:val="24"/>
          <w:szCs w:val="24"/>
        </w:rPr>
      </w:pPr>
      <w:r>
        <w:rPr>
          <w:rFonts w:ascii="Arial" w:hAnsi="Arial" w:eastAsia="宋体" w:cs="Arial"/>
          <w:sz w:val="24"/>
          <w:szCs w:val="24"/>
        </w:rPr>
        <w:t>IDE拒绝接受</w:t>
      </w:r>
      <w:r>
        <w:rPr>
          <w:rFonts w:hint="eastAsia" w:ascii="Arial" w:hAnsi="Arial" w:eastAsia="宋体" w:cs="Arial"/>
          <w:sz w:val="24"/>
          <w:szCs w:val="24"/>
        </w:rPr>
        <w:t>程序</w:t>
      </w:r>
      <w:r>
        <w:rPr>
          <w:rFonts w:ascii="Arial" w:hAnsi="Arial" w:eastAsia="宋体" w:cs="Arial"/>
          <w:sz w:val="24"/>
          <w:szCs w:val="24"/>
        </w:rPr>
        <w:t>的实施会由ODE主任办公室进行审查，审查周期约为90天，以确定未接受的不完整和／或不完善申请的数量，部门内实施标准的一致性，该</w:t>
      </w:r>
      <w:r>
        <w:rPr>
          <w:rFonts w:hint="eastAsia" w:ascii="Arial" w:hAnsi="Arial" w:eastAsia="宋体" w:cs="Arial"/>
          <w:sz w:val="24"/>
          <w:szCs w:val="24"/>
        </w:rPr>
        <w:t>程序</w:t>
      </w:r>
      <w:r>
        <w:rPr>
          <w:rFonts w:ascii="Arial" w:hAnsi="Arial" w:eastAsia="宋体" w:cs="Arial"/>
          <w:sz w:val="24"/>
          <w:szCs w:val="24"/>
        </w:rPr>
        <w:t>需要进一步完善的部分，以及对IDE项目的整体影响。</w:t>
      </w:r>
    </w:p>
    <w:p w14:paraId="4D8A57F3">
      <w:pPr>
        <w:snapToGrid w:val="0"/>
        <w:spacing w:after="312" w:afterLines="100" w:line="432" w:lineRule="auto"/>
        <w:rPr>
          <w:rFonts w:ascii="Arial" w:hAnsi="Arial" w:eastAsia="宋体" w:cs="Arial"/>
          <w:sz w:val="24"/>
          <w:szCs w:val="24"/>
        </w:rPr>
      </w:pPr>
      <w:r>
        <w:rPr>
          <w:rFonts w:ascii="Arial" w:hAnsi="Arial" w:eastAsia="宋体" w:cs="Arial"/>
          <w:sz w:val="24"/>
          <w:szCs w:val="24"/>
        </w:rPr>
        <w:t>生效日期</w:t>
      </w:r>
    </w:p>
    <w:p w14:paraId="272F212D">
      <w:pPr>
        <w:snapToGrid w:val="0"/>
        <w:spacing w:after="312" w:afterLines="100" w:line="432" w:lineRule="auto"/>
        <w:rPr>
          <w:rFonts w:ascii="Arial" w:hAnsi="Arial" w:eastAsia="宋体" w:cs="Arial"/>
          <w:sz w:val="24"/>
          <w:szCs w:val="24"/>
        </w:rPr>
      </w:pPr>
      <w:r>
        <w:rPr>
          <w:rFonts w:ascii="Arial" w:hAnsi="Arial" w:eastAsia="宋体" w:cs="Arial"/>
          <w:sz w:val="24"/>
          <w:szCs w:val="24"/>
        </w:rPr>
        <w:t>本备忘录立即生效。</w:t>
      </w:r>
    </w:p>
    <w:p w14:paraId="3F87D97E">
      <w:pPr>
        <w:snapToGrid w:val="0"/>
        <w:spacing w:after="312" w:afterLines="100" w:line="432" w:lineRule="auto"/>
        <w:ind w:right="1774" w:rightChars="845"/>
        <w:jc w:val="right"/>
        <w:rPr>
          <w:rFonts w:ascii="Arial" w:hAnsi="Arial" w:eastAsia="宋体" w:cs="Arial"/>
          <w:sz w:val="24"/>
          <w:szCs w:val="24"/>
        </w:rPr>
      </w:pPr>
    </w:p>
    <w:p w14:paraId="4FEFA2C1">
      <w:pPr>
        <w:snapToGrid w:val="0"/>
        <w:spacing w:after="312" w:afterLines="100" w:line="432" w:lineRule="auto"/>
        <w:ind w:right="1774" w:rightChars="845"/>
        <w:jc w:val="right"/>
        <w:rPr>
          <w:rFonts w:ascii="Arial" w:hAnsi="Arial" w:eastAsia="宋体" w:cs="Arial"/>
          <w:sz w:val="24"/>
          <w:szCs w:val="24"/>
        </w:rPr>
      </w:pPr>
      <w:r>
        <w:rPr>
          <w:rFonts w:ascii="Arial" w:hAnsi="Arial" w:eastAsia="宋体" w:cs="Arial"/>
          <w:sz w:val="24"/>
          <w:szCs w:val="24"/>
        </w:rPr>
        <w:t>Susan Alpert，Ph.D.，M.D.</w:t>
      </w:r>
    </w:p>
    <w:p w14:paraId="786531D5">
      <w:pPr>
        <w:widowControl/>
        <w:jc w:val="left"/>
        <w:rPr>
          <w:rFonts w:ascii="Arial" w:hAnsi="Arial" w:eastAsia="宋体" w:cs="Arial"/>
          <w:sz w:val="24"/>
          <w:szCs w:val="24"/>
        </w:rPr>
      </w:pPr>
      <w:r>
        <w:rPr>
          <w:rFonts w:ascii="Arial" w:hAnsi="Arial" w:eastAsia="宋体" w:cs="Arial"/>
          <w:sz w:val="24"/>
          <w:szCs w:val="24"/>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4049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2E75B5" w:themeColor="accent1" w:themeShade="BF" w:sz="12" w:space="0"/>
              <w:left w:val="single" w:color="2E75B5" w:themeColor="accent1" w:themeShade="BF" w:sz="12" w:space="0"/>
              <w:bottom w:val="single" w:color="7F7F7F" w:themeColor="background1" w:themeShade="80" w:sz="4" w:space="0"/>
              <w:right w:val="single" w:color="2E75B5" w:themeColor="accent1" w:themeShade="BF" w:sz="12" w:space="0"/>
            </w:tcBorders>
          </w:tcPr>
          <w:p w14:paraId="71ED8666">
            <w:pPr>
              <w:widowControl/>
              <w:snapToGrid w:val="0"/>
              <w:spacing w:before="156" w:beforeLines="50" w:after="156" w:afterLines="50" w:line="276" w:lineRule="auto"/>
              <w:rPr>
                <w:rFonts w:ascii="Arial" w:hAnsi="Arial" w:eastAsia="宋体" w:cs="Arial"/>
                <w:b/>
                <w:szCs w:val="21"/>
                <w:u w:val="single"/>
              </w:rPr>
            </w:pPr>
            <w:r>
              <w:rPr>
                <w:rFonts w:hint="eastAsia" w:ascii="Arial" w:hAnsi="Arial" w:eastAsia="宋体" w:cs="Arial"/>
                <w:b/>
                <w:szCs w:val="21"/>
                <w:u w:val="single"/>
              </w:rPr>
              <w:t>更多信息见指导性文件（医疗器械和辐射产品）</w:t>
            </w:r>
            <w:r>
              <w:rPr>
                <w:rFonts w:ascii="Arial" w:hAnsi="Arial" w:eastAsia="宋体" w:cs="Arial"/>
                <w:b/>
                <w:szCs w:val="21"/>
                <w:u w:val="single"/>
              </w:rPr>
              <w:br w:type="textWrapping"/>
            </w:r>
            <w:r>
              <w:rPr>
                <w:rFonts w:hint="eastAsia" w:ascii="Arial" w:hAnsi="Arial" w:eastAsia="宋体" w:cs="Arial"/>
                <w:b/>
                <w:szCs w:val="21"/>
                <w:u w:val="single"/>
              </w:rPr>
              <w:t>（</w:t>
            </w:r>
            <w:r>
              <w:rPr>
                <w:rFonts w:ascii="Arial" w:hAnsi="Arial" w:eastAsia="宋体" w:cs="Arial"/>
                <w:b/>
                <w:szCs w:val="21"/>
                <w:u w:val="single"/>
              </w:rPr>
              <w:t>/MedicalDevices/DeviceRegulationandGuidance/GuidanceDocuments/default.htm</w:t>
            </w:r>
            <w:r>
              <w:rPr>
                <w:rFonts w:hint="eastAsia" w:ascii="Arial" w:hAnsi="Arial" w:eastAsia="宋体" w:cs="Arial"/>
                <w:b/>
                <w:szCs w:val="21"/>
                <w:u w:val="single"/>
              </w:rPr>
              <w:t>）</w:t>
            </w:r>
          </w:p>
        </w:tc>
      </w:tr>
      <w:tr w14:paraId="4A83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14:paraId="75153AF6">
            <w:pPr>
              <w:widowControl/>
              <w:snapToGrid w:val="0"/>
              <w:spacing w:before="156" w:beforeLines="50" w:after="156" w:afterLines="50" w:line="276" w:lineRule="auto"/>
              <w:rPr>
                <w:rFonts w:ascii="Arial" w:hAnsi="Arial" w:eastAsia="宋体" w:cs="Arial"/>
                <w:b/>
                <w:sz w:val="24"/>
                <w:szCs w:val="24"/>
              </w:rPr>
            </w:pPr>
            <w:r>
              <w:rPr>
                <w:rFonts w:hint="eastAsia" w:ascii="Arial" w:hAnsi="Arial" w:eastAsia="宋体" w:cs="Arial"/>
                <w:b/>
                <w:szCs w:val="21"/>
                <w:u w:val="single"/>
              </w:rPr>
              <w:t>跨</w:t>
            </w:r>
            <w:r>
              <w:rPr>
                <w:rFonts w:ascii="Arial" w:hAnsi="Arial" w:eastAsia="宋体" w:cs="Arial"/>
                <w:b/>
                <w:szCs w:val="21"/>
                <w:u w:val="single"/>
              </w:rPr>
              <w:t>中心最终指南</w:t>
            </w:r>
            <w:r>
              <w:rPr>
                <w:rFonts w:hint="eastAsia" w:ascii="Arial" w:hAnsi="Arial" w:eastAsia="宋体" w:cs="Arial"/>
                <w:b/>
                <w:szCs w:val="21"/>
                <w:u w:val="single"/>
              </w:rPr>
              <w:br w:type="textWrapping"/>
            </w:r>
            <w:r>
              <w:rPr>
                <w:rFonts w:ascii="Arial" w:hAnsi="Arial" w:eastAsia="宋体" w:cs="Arial"/>
                <w:b/>
                <w:szCs w:val="21"/>
                <w:u w:val="single"/>
              </w:rPr>
              <w:t>（/MedicalDevices/DeviceRegulationandGuidance/GuidanceDocuments/ucm081752.htm）</w:t>
            </w:r>
          </w:p>
        </w:tc>
      </w:tr>
      <w:tr w14:paraId="39BB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14:paraId="4251085F">
            <w:pPr>
              <w:widowControl/>
              <w:snapToGrid w:val="0"/>
              <w:spacing w:before="156" w:beforeLines="50" w:after="156" w:afterLines="50" w:line="276" w:lineRule="auto"/>
              <w:rPr>
                <w:rFonts w:ascii="Arial" w:hAnsi="Arial" w:eastAsia="宋体" w:cs="Arial"/>
                <w:b/>
                <w:sz w:val="24"/>
                <w:szCs w:val="24"/>
              </w:rPr>
            </w:pPr>
            <w:r>
              <w:rPr>
                <w:rFonts w:ascii="Arial" w:hAnsi="Arial" w:eastAsia="宋体" w:cs="Arial"/>
                <w:b/>
                <w:szCs w:val="21"/>
                <w:u w:val="single"/>
              </w:rPr>
              <w:t>合规办公室最终指南</w:t>
            </w:r>
            <w:r>
              <w:rPr>
                <w:rFonts w:hint="eastAsia" w:ascii="Arial" w:hAnsi="Arial" w:eastAsia="宋体" w:cs="Arial"/>
                <w:b/>
                <w:szCs w:val="21"/>
                <w:u w:val="single"/>
              </w:rPr>
              <w:br w:type="textWrapping"/>
            </w:r>
            <w:r>
              <w:rPr>
                <w:rFonts w:ascii="Arial" w:hAnsi="Arial" w:eastAsia="宋体" w:cs="Arial"/>
                <w:b/>
                <w:szCs w:val="21"/>
                <w:u w:val="single"/>
              </w:rPr>
              <w:t>（/MedicalDevices/DeviceRegulationandGuidance/GuidanceDocuments/ucm070269.htm）</w:t>
            </w:r>
          </w:p>
        </w:tc>
      </w:tr>
      <w:tr w14:paraId="756A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14:paraId="57911F49">
            <w:pPr>
              <w:widowControl/>
              <w:snapToGrid w:val="0"/>
              <w:spacing w:before="156" w:beforeLines="50" w:after="156" w:afterLines="50" w:line="276" w:lineRule="auto"/>
              <w:rPr>
                <w:rFonts w:ascii="Arial" w:hAnsi="Arial" w:eastAsia="宋体" w:cs="Arial"/>
                <w:b/>
                <w:sz w:val="24"/>
                <w:szCs w:val="24"/>
              </w:rPr>
            </w:pPr>
            <w:r>
              <w:rPr>
                <w:rFonts w:ascii="Arial" w:hAnsi="Arial" w:eastAsia="宋体" w:cs="Arial"/>
                <w:b/>
                <w:szCs w:val="21"/>
                <w:u w:val="single"/>
              </w:rPr>
              <w:t>中心主任办公室最终指南</w:t>
            </w:r>
            <w:r>
              <w:rPr>
                <w:rFonts w:hint="eastAsia" w:ascii="Arial" w:hAnsi="Arial" w:eastAsia="宋体" w:cs="Arial"/>
                <w:b/>
                <w:szCs w:val="21"/>
                <w:u w:val="single"/>
              </w:rPr>
              <w:br w:type="textWrapping"/>
            </w:r>
            <w:r>
              <w:rPr>
                <w:rFonts w:ascii="Arial" w:hAnsi="Arial" w:eastAsia="宋体" w:cs="Arial"/>
                <w:b/>
                <w:szCs w:val="21"/>
                <w:u w:val="single"/>
              </w:rPr>
              <w:t>（/MedicalDevices/DeviceRegulationandGuidance/GuidanceDocuments/ucm110228.htm）</w:t>
            </w:r>
          </w:p>
        </w:tc>
      </w:tr>
      <w:tr w14:paraId="1EFD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14:paraId="034F946A">
            <w:pPr>
              <w:widowControl/>
              <w:snapToGrid w:val="0"/>
              <w:spacing w:before="156" w:beforeLines="50" w:after="156" w:afterLines="50" w:line="276" w:lineRule="auto"/>
              <w:rPr>
                <w:rFonts w:ascii="Arial" w:hAnsi="Arial" w:eastAsia="宋体" w:cs="Arial"/>
                <w:b/>
                <w:sz w:val="24"/>
                <w:szCs w:val="24"/>
              </w:rPr>
            </w:pPr>
            <w:r>
              <w:rPr>
                <w:rFonts w:ascii="Arial" w:hAnsi="Arial" w:eastAsia="宋体" w:cs="Arial"/>
                <w:b/>
                <w:szCs w:val="21"/>
                <w:u w:val="single"/>
              </w:rPr>
              <w:t>沟通与教育办公室最终指南</w:t>
            </w:r>
            <w:r>
              <w:rPr>
                <w:rFonts w:hint="eastAsia" w:ascii="Arial" w:hAnsi="Arial" w:eastAsia="宋体" w:cs="Arial"/>
                <w:b/>
                <w:szCs w:val="21"/>
                <w:u w:val="single"/>
              </w:rPr>
              <w:br w:type="textWrapping"/>
            </w:r>
            <w:r>
              <w:rPr>
                <w:rFonts w:ascii="Arial" w:hAnsi="Arial" w:eastAsia="宋体" w:cs="Arial"/>
                <w:b/>
                <w:szCs w:val="21"/>
                <w:u w:val="single"/>
              </w:rPr>
              <w:t>（/MedicalDevices/DeviceRegulationandGuidance/GuidanceDocuments/ucm070271.htm）</w:t>
            </w:r>
          </w:p>
        </w:tc>
      </w:tr>
      <w:tr w14:paraId="66FD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14:paraId="768EFFF2">
            <w:pPr>
              <w:widowControl/>
              <w:snapToGrid w:val="0"/>
              <w:spacing w:before="156" w:beforeLines="50" w:after="156" w:afterLines="50" w:line="276" w:lineRule="auto"/>
              <w:rPr>
                <w:rFonts w:ascii="Arial" w:hAnsi="Arial" w:eastAsia="宋体" w:cs="Arial"/>
                <w:b/>
                <w:sz w:val="24"/>
                <w:szCs w:val="24"/>
              </w:rPr>
            </w:pPr>
            <w:r>
              <w:rPr>
                <w:rFonts w:ascii="Arial" w:hAnsi="Arial" w:eastAsia="宋体" w:cs="Arial"/>
                <w:b/>
                <w:szCs w:val="21"/>
                <w:u w:val="single"/>
              </w:rPr>
              <w:t>器械评价办公室最终指南2010-2016</w:t>
            </w:r>
            <w:r>
              <w:rPr>
                <w:rFonts w:hint="eastAsia" w:ascii="Arial" w:hAnsi="Arial" w:eastAsia="宋体" w:cs="Arial"/>
                <w:b/>
                <w:szCs w:val="21"/>
                <w:u w:val="single"/>
              </w:rPr>
              <w:br w:type="textWrapping"/>
            </w:r>
            <w:r>
              <w:rPr>
                <w:rFonts w:ascii="Arial" w:hAnsi="Arial" w:eastAsia="宋体" w:cs="Arial"/>
                <w:b/>
                <w:szCs w:val="21"/>
                <w:u w:val="single"/>
              </w:rPr>
              <w:t>（/MedicalDevices/DeviceRegulationandGuidance/GuidanceDocuments/ucm198577.htm）</w:t>
            </w:r>
          </w:p>
        </w:tc>
      </w:tr>
      <w:tr w14:paraId="1EC2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14:paraId="337EB3C1">
            <w:pPr>
              <w:widowControl/>
              <w:snapToGrid w:val="0"/>
              <w:spacing w:before="156" w:beforeLines="50" w:after="156" w:afterLines="50" w:line="276" w:lineRule="auto"/>
              <w:rPr>
                <w:rFonts w:ascii="Arial" w:hAnsi="Arial" w:eastAsia="宋体" w:cs="Arial"/>
                <w:b/>
                <w:sz w:val="24"/>
                <w:szCs w:val="24"/>
              </w:rPr>
            </w:pPr>
            <w:r>
              <w:rPr>
                <w:rFonts w:ascii="Arial" w:hAnsi="Arial" w:eastAsia="宋体" w:cs="Arial"/>
                <w:b/>
                <w:szCs w:val="21"/>
                <w:u w:val="single"/>
              </w:rPr>
              <w:t>器械评价办公室最终指南1998-2009</w:t>
            </w:r>
            <w:r>
              <w:rPr>
                <w:rFonts w:hint="eastAsia" w:ascii="Arial" w:hAnsi="Arial" w:eastAsia="宋体" w:cs="Arial"/>
                <w:b/>
                <w:szCs w:val="21"/>
                <w:u w:val="single"/>
              </w:rPr>
              <w:br w:type="textWrapping"/>
            </w:r>
            <w:r>
              <w:rPr>
                <w:rFonts w:ascii="Arial" w:hAnsi="Arial" w:eastAsia="宋体" w:cs="Arial"/>
                <w:b/>
                <w:szCs w:val="21"/>
                <w:u w:val="single"/>
              </w:rPr>
              <w:t>（/MedicalDevices/DeviceRegulationandGuidance/GuidanceDocuments/ucm070272.htm）</w:t>
            </w:r>
          </w:p>
        </w:tc>
      </w:tr>
      <w:tr w14:paraId="48DD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14:paraId="32AD9945">
            <w:pPr>
              <w:widowControl/>
              <w:snapToGrid w:val="0"/>
              <w:spacing w:before="156" w:beforeLines="50" w:after="156" w:afterLines="50" w:line="276" w:lineRule="auto"/>
              <w:rPr>
                <w:rFonts w:ascii="Arial" w:hAnsi="Arial" w:eastAsia="宋体" w:cs="Arial"/>
                <w:b/>
                <w:sz w:val="24"/>
                <w:szCs w:val="24"/>
              </w:rPr>
            </w:pPr>
            <w:r>
              <w:rPr>
                <w:rFonts w:ascii="Arial" w:hAnsi="Arial" w:eastAsia="宋体" w:cs="Arial"/>
                <w:b/>
                <w:szCs w:val="21"/>
                <w:u w:val="single"/>
              </w:rPr>
              <w:t>器械评价办公室最终指南1976-1997</w:t>
            </w:r>
            <w:r>
              <w:rPr>
                <w:rFonts w:hint="eastAsia" w:ascii="Arial" w:hAnsi="Arial" w:eastAsia="宋体" w:cs="Arial"/>
                <w:b/>
                <w:szCs w:val="21"/>
                <w:u w:val="single"/>
              </w:rPr>
              <w:br w:type="textWrapping"/>
            </w:r>
            <w:r>
              <w:rPr>
                <w:rFonts w:ascii="Arial" w:hAnsi="Arial" w:eastAsia="宋体" w:cs="Arial"/>
                <w:b/>
                <w:szCs w:val="21"/>
                <w:u w:val="single"/>
              </w:rPr>
              <w:t>（/MedicalDevices/DeviceRegulationandGuidance/GuidanceDocuments/ucm080283.htm）</w:t>
            </w:r>
          </w:p>
        </w:tc>
      </w:tr>
      <w:tr w14:paraId="18D4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14:paraId="7DD61445">
            <w:pPr>
              <w:widowControl/>
              <w:snapToGrid w:val="0"/>
              <w:spacing w:before="156" w:beforeLines="50" w:after="156" w:afterLines="50" w:line="276" w:lineRule="auto"/>
              <w:rPr>
                <w:rFonts w:ascii="Arial" w:hAnsi="Arial" w:eastAsia="宋体" w:cs="Arial"/>
                <w:b/>
                <w:sz w:val="24"/>
                <w:szCs w:val="24"/>
              </w:rPr>
            </w:pPr>
            <w:r>
              <w:rPr>
                <w:rFonts w:ascii="Arial" w:hAnsi="Arial" w:eastAsia="宋体" w:cs="Arial"/>
                <w:b/>
                <w:szCs w:val="21"/>
                <w:u w:val="single"/>
              </w:rPr>
              <w:t>体外诊断与放射卫生办公室最终指南</w:t>
            </w:r>
            <w:r>
              <w:rPr>
                <w:rFonts w:hint="eastAsia" w:ascii="Arial" w:hAnsi="Arial" w:eastAsia="宋体" w:cs="Arial"/>
                <w:b/>
                <w:szCs w:val="21"/>
                <w:u w:val="single"/>
              </w:rPr>
              <w:br w:type="textWrapping"/>
            </w:r>
            <w:r>
              <w:rPr>
                <w:rFonts w:ascii="Arial" w:hAnsi="Arial" w:eastAsia="宋体" w:cs="Arial"/>
                <w:b/>
                <w:szCs w:val="21"/>
                <w:u w:val="single"/>
              </w:rPr>
              <w:t>（/MedicalDevices/DeviceRegulationandGuidance/GuidanceDocuments/ucm070274.htm）</w:t>
            </w:r>
          </w:p>
        </w:tc>
      </w:tr>
      <w:tr w14:paraId="1E4C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14:paraId="2FA3143F">
            <w:pPr>
              <w:widowControl/>
              <w:snapToGrid w:val="0"/>
              <w:spacing w:before="156" w:beforeLines="50" w:after="156" w:afterLines="50" w:line="276" w:lineRule="auto"/>
              <w:rPr>
                <w:rFonts w:ascii="Arial" w:hAnsi="Arial" w:eastAsia="宋体" w:cs="Arial"/>
                <w:b/>
                <w:sz w:val="24"/>
                <w:szCs w:val="24"/>
              </w:rPr>
            </w:pPr>
            <w:r>
              <w:rPr>
                <w:rFonts w:ascii="Arial" w:hAnsi="Arial" w:eastAsia="宋体" w:cs="Arial"/>
                <w:b/>
                <w:szCs w:val="21"/>
                <w:u w:val="single"/>
              </w:rPr>
              <w:t>监测与生物统计学办公室最终指南</w:t>
            </w:r>
            <w:r>
              <w:rPr>
                <w:rFonts w:hint="eastAsia" w:ascii="Arial" w:hAnsi="Arial" w:eastAsia="宋体" w:cs="Arial"/>
                <w:b/>
                <w:szCs w:val="21"/>
                <w:u w:val="single"/>
              </w:rPr>
              <w:br w:type="textWrapping"/>
            </w:r>
            <w:r>
              <w:rPr>
                <w:rFonts w:ascii="Arial" w:hAnsi="Arial" w:eastAsia="宋体" w:cs="Arial"/>
                <w:b/>
                <w:szCs w:val="21"/>
                <w:u w:val="single"/>
              </w:rPr>
              <w:t>（/MedicalDevices/DeviceRegulationandGuidance/GuidanceDocuments/ucm070275.htm）</w:t>
            </w:r>
          </w:p>
        </w:tc>
      </w:tr>
      <w:tr w14:paraId="2676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14:paraId="7A8DA16B">
            <w:pPr>
              <w:widowControl/>
              <w:snapToGrid w:val="0"/>
              <w:spacing w:before="156" w:beforeLines="50" w:after="156" w:afterLines="50" w:line="276" w:lineRule="auto"/>
              <w:rPr>
                <w:rFonts w:ascii="Arial" w:hAnsi="Arial" w:eastAsia="宋体" w:cs="Arial"/>
                <w:b/>
                <w:sz w:val="24"/>
                <w:szCs w:val="24"/>
              </w:rPr>
            </w:pPr>
            <w:r>
              <w:rPr>
                <w:rFonts w:ascii="Arial" w:hAnsi="Arial" w:eastAsia="宋体" w:cs="Arial"/>
                <w:b/>
                <w:szCs w:val="21"/>
                <w:u w:val="single"/>
              </w:rPr>
              <w:t>科学与工程实验室办公室最终指南</w:t>
            </w:r>
            <w:r>
              <w:rPr>
                <w:rFonts w:hint="eastAsia" w:ascii="Arial" w:hAnsi="Arial" w:eastAsia="宋体" w:cs="Arial"/>
                <w:b/>
                <w:szCs w:val="21"/>
                <w:u w:val="single"/>
              </w:rPr>
              <w:br w:type="textWrapping"/>
            </w:r>
            <w:r>
              <w:rPr>
                <w:rFonts w:ascii="Arial" w:hAnsi="Arial" w:eastAsia="宋体" w:cs="Arial"/>
                <w:b/>
                <w:szCs w:val="21"/>
                <w:u w:val="single"/>
              </w:rPr>
              <w:t>（/MedicalDevices/DeviceRegulationandGuidance/GuidanceDocuments/ucm070277.htm）</w:t>
            </w:r>
          </w:p>
        </w:tc>
      </w:tr>
      <w:tr w14:paraId="78C7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14:paraId="2CE56E5C">
            <w:pPr>
              <w:widowControl/>
              <w:snapToGrid w:val="0"/>
              <w:spacing w:before="156" w:beforeLines="50" w:after="156" w:afterLines="50" w:line="276" w:lineRule="auto"/>
              <w:rPr>
                <w:rFonts w:ascii="Arial" w:hAnsi="Arial" w:eastAsia="宋体" w:cs="Arial"/>
                <w:b/>
                <w:sz w:val="24"/>
                <w:szCs w:val="24"/>
              </w:rPr>
            </w:pPr>
            <w:r>
              <w:rPr>
                <w:rFonts w:ascii="Arial" w:hAnsi="Arial" w:eastAsia="宋体" w:cs="Arial"/>
                <w:b/>
                <w:szCs w:val="21"/>
                <w:u w:val="single"/>
              </w:rPr>
              <w:t>指南草案</w:t>
            </w:r>
            <w:r>
              <w:rPr>
                <w:rFonts w:hint="eastAsia" w:ascii="Arial" w:hAnsi="Arial" w:eastAsia="宋体" w:cs="Arial"/>
                <w:b/>
                <w:szCs w:val="21"/>
                <w:u w:val="single"/>
              </w:rPr>
              <w:br w:type="textWrapping"/>
            </w:r>
            <w:r>
              <w:rPr>
                <w:rFonts w:ascii="Arial" w:hAnsi="Arial" w:eastAsia="宋体" w:cs="Arial"/>
                <w:b/>
                <w:szCs w:val="21"/>
                <w:u w:val="single"/>
              </w:rPr>
              <w:t>（/MedicalDevices/DeviceRegulationandGuidance/GuidanceDocuments/ucm407274.htm）</w:t>
            </w:r>
          </w:p>
        </w:tc>
      </w:tr>
      <w:tr w14:paraId="568B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14:paraId="197271FE">
            <w:pPr>
              <w:widowControl/>
              <w:snapToGrid w:val="0"/>
              <w:spacing w:before="156" w:beforeLines="50" w:after="156" w:afterLines="50" w:line="276" w:lineRule="auto"/>
              <w:rPr>
                <w:rFonts w:ascii="Arial" w:hAnsi="Arial" w:eastAsia="宋体" w:cs="Arial"/>
                <w:b/>
                <w:sz w:val="24"/>
                <w:szCs w:val="24"/>
              </w:rPr>
            </w:pPr>
            <w:r>
              <w:rPr>
                <w:rFonts w:hint="eastAsia" w:ascii="Arial" w:hAnsi="Arial" w:eastAsia="宋体" w:cs="Arial"/>
                <w:b/>
                <w:szCs w:val="21"/>
                <w:u w:val="single"/>
              </w:rPr>
              <w:t>辐射</w:t>
            </w:r>
            <w:r>
              <w:rPr>
                <w:rFonts w:ascii="Arial" w:hAnsi="Arial" w:eastAsia="宋体" w:cs="Arial"/>
                <w:b/>
                <w:szCs w:val="21"/>
                <w:u w:val="single"/>
              </w:rPr>
              <w:t>产品指南</w:t>
            </w:r>
            <w:r>
              <w:rPr>
                <w:rFonts w:hint="eastAsia" w:ascii="Arial" w:hAnsi="Arial" w:eastAsia="宋体" w:cs="Arial"/>
                <w:b/>
                <w:szCs w:val="21"/>
                <w:u w:val="single"/>
              </w:rPr>
              <w:br w:type="textWrapping"/>
            </w:r>
            <w:r>
              <w:rPr>
                <w:rFonts w:ascii="Arial" w:hAnsi="Arial" w:eastAsia="宋体" w:cs="Arial"/>
                <w:b/>
                <w:szCs w:val="21"/>
                <w:u w:val="single"/>
              </w:rPr>
              <w:t>（/MedicalDevices/DeviceRegulationandGuidance/GuidanceDocuments/ucm283507.htm）</w:t>
            </w:r>
          </w:p>
        </w:tc>
      </w:tr>
      <w:tr w14:paraId="6FE2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14:paraId="4F078E13">
            <w:pPr>
              <w:widowControl/>
              <w:snapToGrid w:val="0"/>
              <w:spacing w:before="156" w:beforeLines="50" w:after="156" w:afterLines="50" w:line="276" w:lineRule="auto"/>
              <w:rPr>
                <w:rFonts w:ascii="Arial" w:hAnsi="Arial" w:eastAsia="宋体" w:cs="Arial"/>
                <w:b/>
                <w:sz w:val="24"/>
                <w:szCs w:val="24"/>
              </w:rPr>
            </w:pPr>
            <w:r>
              <w:rPr>
                <w:rFonts w:ascii="Arial" w:hAnsi="Arial" w:eastAsia="宋体" w:cs="Arial"/>
                <w:b/>
                <w:szCs w:val="21"/>
                <w:u w:val="single"/>
              </w:rPr>
              <w:t>退出指南</w:t>
            </w:r>
            <w:r>
              <w:rPr>
                <w:rFonts w:hint="eastAsia" w:ascii="Arial" w:hAnsi="Arial" w:eastAsia="宋体" w:cs="Arial"/>
                <w:b/>
                <w:szCs w:val="21"/>
                <w:u w:val="single"/>
              </w:rPr>
              <w:br w:type="textWrapping"/>
            </w:r>
            <w:r>
              <w:rPr>
                <w:rFonts w:ascii="Arial" w:hAnsi="Arial" w:eastAsia="宋体" w:cs="Arial"/>
                <w:b/>
                <w:szCs w:val="21"/>
                <w:u w:val="single"/>
              </w:rPr>
              <w:t>（/MedicalDevices/DeviceRegulationandGuidance/GuidanceDocuments/ucm425025.htm）</w:t>
            </w:r>
          </w:p>
        </w:tc>
      </w:tr>
    </w:tbl>
    <w:p w14:paraId="66EA8F86">
      <w:pPr>
        <w:widowControl/>
        <w:snapToGrid w:val="0"/>
        <w:spacing w:after="312" w:afterLines="100" w:line="360" w:lineRule="auto"/>
        <w:rPr>
          <w:rFonts w:ascii="Arial" w:hAnsi="Arial" w:eastAsia="宋体" w:cs="Arial"/>
          <w:szCs w:val="21"/>
          <w:u w:val="single"/>
        </w:rPr>
      </w:pPr>
    </w:p>
    <w:p w14:paraId="58BDC963">
      <w:pPr>
        <w:snapToGrid w:val="0"/>
        <w:spacing w:after="312" w:afterLines="100" w:line="360" w:lineRule="auto"/>
        <w:rPr>
          <w:rFonts w:hint="eastAsia" w:eastAsia="等线"/>
          <w:lang w:eastAsia="zh-CN"/>
        </w:rPr>
      </w:pPr>
    </w:p>
    <w:p w14:paraId="5DEC9FE6">
      <w:pPr>
        <w:snapToGrid w:val="0"/>
        <w:spacing w:after="312" w:afterLines="100" w:line="360" w:lineRule="auto"/>
        <w:jc w:val="center"/>
        <w:rPr>
          <w:rFonts w:hint="eastAsia" w:eastAsia="等线"/>
          <w:lang w:eastAsia="zh-CN"/>
        </w:rPr>
      </w:pPr>
    </w:p>
    <w:p w14:paraId="007D0237">
      <w:pPr>
        <w:snapToGrid w:val="0"/>
        <w:spacing w:after="312" w:afterLines="100"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134" w:right="1440" w:bottom="1134" w:left="1440" w:header="28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0F52E">
    <w:pPr>
      <w:pStyle w:val="3"/>
      <w:tabs>
        <w:tab w:val="right" w:pos="9029"/>
        <w:tab w:val="clear" w:pos="8306"/>
      </w:tabs>
      <w:rPr>
        <w:rFonts w:ascii="Arial" w:hAnsi="Arial" w:cs="Arial"/>
        <w:sz w:val="16"/>
        <w:szCs w:val="16"/>
      </w:rPr>
    </w:pPr>
    <w:r>
      <w:rPr>
        <w:rFonts w:ascii="Arial" w:hAnsi="Arial" w:cs="Arial"/>
        <w:sz w:val="16"/>
        <w:szCs w:val="16"/>
      </w:rPr>
      <w:t>https://www.fda.gov/MedicalDevices/DeviceRegulationandGuidance/GuidanceDocuments/ucm081027.htm</w:t>
    </w:r>
    <w:r>
      <w:rPr>
        <w:rFonts w:hint="eastAsia"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PAGE   \* MERGEFORMAT</w:instrText>
    </w:r>
    <w:r>
      <w:rPr>
        <w:rFonts w:ascii="Arial" w:hAnsi="Arial" w:cs="Arial"/>
        <w:sz w:val="16"/>
        <w:szCs w:val="16"/>
      </w:rPr>
      <w:fldChar w:fldCharType="separate"/>
    </w:r>
    <w:r>
      <w:rPr>
        <w:rFonts w:ascii="Arial" w:hAnsi="Arial" w:cs="Arial"/>
        <w:sz w:val="16"/>
        <w:szCs w:val="16"/>
        <w:lang w:val="zh-CN"/>
      </w:rPr>
      <w:t>6</w:t>
    </w:r>
    <w:r>
      <w:rPr>
        <w:rFonts w:ascii="Arial" w:hAnsi="Arial" w:cs="Arial"/>
        <w:sz w:val="16"/>
        <w:szCs w:val="16"/>
      </w:rPr>
      <w:fldChar w:fldCharType="end"/>
    </w:r>
    <w:r>
      <w:rPr>
        <w:rFonts w:ascii="Arial" w:hAnsi="Arial" w:cs="Arial"/>
        <w:sz w:val="16"/>
        <w:szCs w:val="16"/>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ABA8">
    <w:pPr>
      <w:pStyle w:val="4"/>
      <w:pBdr>
        <w:bottom w:val="none" w:color="auto" w:sz="0" w:space="0"/>
      </w:pBdr>
      <w:spacing w:line="300" w:lineRule="auto"/>
      <w:jc w:val="left"/>
      <w:rPr>
        <w:rFonts w:ascii="Arial" w:hAnsi="Arial" w:eastAsia="宋体" w:cs="Arial"/>
        <w:sz w:val="16"/>
        <w:szCs w:val="16"/>
      </w:rPr>
    </w:pPr>
    <w:r>
      <w:rPr>
        <w:rFonts w:ascii="Arial" w:hAnsi="Arial" w:eastAsia="宋体" w:cs="Arial"/>
        <w:sz w:val="16"/>
        <w:szCs w:val="16"/>
      </w:rPr>
      <w:t xml:space="preserve">2017/8/10    </w:t>
    </w:r>
    <w:r>
      <w:rPr>
        <w:rFonts w:hint="eastAsia" w:ascii="Arial" w:hAnsi="Arial" w:eastAsia="宋体" w:cs="Arial"/>
        <w:sz w:val="16"/>
        <w:szCs w:val="16"/>
      </w:rPr>
      <w:t>指导性文件（医疗器械和辐射产品）</w:t>
    </w:r>
    <w:r>
      <w:rPr>
        <w:rFonts w:ascii="Arial" w:hAnsi="Arial" w:eastAsia="宋体" w:cs="Arial"/>
        <w:sz w:val="16"/>
        <w:szCs w:val="16"/>
      </w:rPr>
      <w:t>&gt; IDE</w:t>
    </w:r>
    <w:r>
      <w:rPr>
        <w:rFonts w:hint="eastAsia" w:ascii="Arial" w:hAnsi="Arial" w:eastAsia="宋体" w:cs="Arial"/>
        <w:sz w:val="16"/>
        <w:szCs w:val="16"/>
      </w:rPr>
      <w:t>拒绝接受程序编号</w:t>
    </w:r>
    <w:r>
      <w:rPr>
        <w:rFonts w:ascii="Arial" w:hAnsi="Arial" w:eastAsia="宋体" w:cs="Arial"/>
        <w:sz w:val="16"/>
        <w:szCs w:val="16"/>
      </w:rPr>
      <w:t>D94-1</w:t>
    </w:r>
    <w:r>
      <w:rPr>
        <w:rFonts w:hint="eastAsia" w:ascii="Arial" w:hAnsi="Arial" w:eastAsia="宋体" w:cs="Arial"/>
        <w:sz w:val="16"/>
        <w:szCs w:val="16"/>
      </w:rPr>
      <w:t>（蓝皮书备忘录）（仅文本）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603CE"/>
    <w:multiLevelType w:val="multilevel"/>
    <w:tmpl w:val="0EB603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DD67D1"/>
    <w:multiLevelType w:val="multilevel"/>
    <w:tmpl w:val="37DD67D1"/>
    <w:lvl w:ilvl="0" w:tentative="0">
      <w:start w:val="1"/>
      <w:numFmt w:val="decimal"/>
      <w:lvlText w:val="%1."/>
      <w:lvlJc w:val="left"/>
      <w:pPr>
        <w:ind w:left="360" w:hanging="360"/>
      </w:pPr>
      <w:rPr>
        <w:rFonts w:hint="default"/>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11"/>
    <w:rsid w:val="00072573"/>
    <w:rsid w:val="00094B0C"/>
    <w:rsid w:val="000F19B1"/>
    <w:rsid w:val="00120C39"/>
    <w:rsid w:val="001A6598"/>
    <w:rsid w:val="001E5EA7"/>
    <w:rsid w:val="00241211"/>
    <w:rsid w:val="002864D8"/>
    <w:rsid w:val="00287A2A"/>
    <w:rsid w:val="0029017D"/>
    <w:rsid w:val="002B790B"/>
    <w:rsid w:val="002F7696"/>
    <w:rsid w:val="00306447"/>
    <w:rsid w:val="00383174"/>
    <w:rsid w:val="003C4654"/>
    <w:rsid w:val="003F459C"/>
    <w:rsid w:val="00406199"/>
    <w:rsid w:val="0042028F"/>
    <w:rsid w:val="00426A97"/>
    <w:rsid w:val="0046370A"/>
    <w:rsid w:val="004A33BB"/>
    <w:rsid w:val="005B02DC"/>
    <w:rsid w:val="00635D60"/>
    <w:rsid w:val="00650E90"/>
    <w:rsid w:val="00675E68"/>
    <w:rsid w:val="006B07EC"/>
    <w:rsid w:val="006C28AE"/>
    <w:rsid w:val="0079333F"/>
    <w:rsid w:val="007E3497"/>
    <w:rsid w:val="007E364A"/>
    <w:rsid w:val="007E5075"/>
    <w:rsid w:val="007F65D5"/>
    <w:rsid w:val="008035DB"/>
    <w:rsid w:val="008056C1"/>
    <w:rsid w:val="008242FA"/>
    <w:rsid w:val="008418AD"/>
    <w:rsid w:val="0089138E"/>
    <w:rsid w:val="009232D7"/>
    <w:rsid w:val="00924136"/>
    <w:rsid w:val="00941238"/>
    <w:rsid w:val="009444A8"/>
    <w:rsid w:val="00956443"/>
    <w:rsid w:val="0098008F"/>
    <w:rsid w:val="009B618C"/>
    <w:rsid w:val="009D44FE"/>
    <w:rsid w:val="009E43E1"/>
    <w:rsid w:val="009F0EF9"/>
    <w:rsid w:val="00A07A2E"/>
    <w:rsid w:val="00A32E1F"/>
    <w:rsid w:val="00AB0A9A"/>
    <w:rsid w:val="00AD0D86"/>
    <w:rsid w:val="00AF383B"/>
    <w:rsid w:val="00B37409"/>
    <w:rsid w:val="00B87D4F"/>
    <w:rsid w:val="00BC1A8F"/>
    <w:rsid w:val="00BE54F9"/>
    <w:rsid w:val="00C43565"/>
    <w:rsid w:val="00C91C54"/>
    <w:rsid w:val="00CA7AEA"/>
    <w:rsid w:val="00D06271"/>
    <w:rsid w:val="00D439C3"/>
    <w:rsid w:val="00D47DD0"/>
    <w:rsid w:val="00E10C16"/>
    <w:rsid w:val="00E500A7"/>
    <w:rsid w:val="00F50136"/>
    <w:rsid w:val="00F87D63"/>
    <w:rsid w:val="14D90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2156</Words>
  <Characters>3399</Characters>
  <Lines>24</Lines>
  <Paragraphs>6</Paragraphs>
  <TotalTime>0</TotalTime>
  <ScaleCrop>false</ScaleCrop>
  <LinksUpToDate>false</LinksUpToDate>
  <CharactersWithSpaces>3403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2017-12-18T14:59:00Z</dcterms:created>
  <dc:creator>Guozhen Liu</dc:creator>
  <cp:lastModifiedBy>太极箫客</cp:lastModifiedBy>
  <dcterms:modified xsi:type="dcterms:W3CDTF">2025-08-14T06:17:10Z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79084DFF86144C3E9ECE453862F91E99_12</vt:lpwstr>
  </property>
</Properties>
</file>