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994E">
      <w:pPr>
        <w:pBdr>
          <w:top w:val="single" w:color="000000" w:themeColor="text1" w:sz="18" w:space="1"/>
        </w:pBdr>
        <w:spacing w:before="156" w:beforeLines="50" w:after="156" w:afterLines="50"/>
        <w:jc w:val="center"/>
        <w:rPr>
          <w:rFonts w:ascii="Times New Roman" w:hAnsi="Times New Roman" w:cs="Times New Roman"/>
          <w:b/>
          <w:sz w:val="52"/>
          <w:szCs w:val="52"/>
        </w:rPr>
      </w:pPr>
      <w:commentRangeStart w:id="0"/>
      <w:bookmarkStart w:id="20" w:name="_GoBack"/>
      <w:bookmarkEnd w:id="20"/>
      <w:r>
        <w:rPr>
          <w:rFonts w:ascii="Times New Roman" w:hAnsi="Times New Roman" w:cs="Times New Roman"/>
          <w:b/>
          <w:sz w:val="52"/>
          <w:szCs w:val="52"/>
        </w:rPr>
        <w:t>ICH Q12：FDA监管产品的实施</w:t>
      </w:r>
      <w:r>
        <w:rPr>
          <w:rFonts w:hint="eastAsia" w:ascii="Times New Roman" w:hAnsi="Times New Roman" w:cs="Times New Roman"/>
          <w:b/>
          <w:sz w:val="52"/>
          <w:szCs w:val="52"/>
        </w:rPr>
        <w:t>注意事项</w:t>
      </w:r>
    </w:p>
    <w:p w14:paraId="6A720818">
      <w:pPr>
        <w:pBdr>
          <w:top w:val="single" w:color="000000" w:themeColor="text1" w:sz="18"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sz w:val="52"/>
          <w:szCs w:val="52"/>
        </w:rPr>
        <w:t>行业指南</w:t>
      </w:r>
      <w:commentRangeEnd w:id="0"/>
      <w:r>
        <w:rPr>
          <w:rStyle w:val="16"/>
        </w:rPr>
        <w:commentReference w:id="0"/>
      </w:r>
    </w:p>
    <w:p w14:paraId="33AD7ADA">
      <w:pPr>
        <w:spacing w:before="156" w:beforeLines="50" w:after="156" w:afterLines="50"/>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214ED9E2">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本指南文件仅供征求意见使用。</w:t>
      </w:r>
    </w:p>
    <w:p w14:paraId="6909810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应在《联邦公报》发布指南草案有效性通知后60天内提交关于本文件草案的意见和建议。</w:t>
      </w:r>
      <w:r>
        <w:rPr>
          <w:sz w:val="24"/>
          <w:szCs w:val="24"/>
        </w:rPr>
        <w:t>电子版意见和建议可随时提交至</w:t>
      </w:r>
      <w:r>
        <w:fldChar w:fldCharType="begin"/>
      </w:r>
      <w:r>
        <w:instrText xml:space="preserve"> HYPERLINK "http://www.regulations.gov/" </w:instrText>
      </w:r>
      <w:r>
        <w:fldChar w:fldCharType="separate"/>
      </w:r>
      <w:r>
        <w:rPr>
          <w:rStyle w:val="15"/>
          <w:sz w:val="24"/>
          <w:szCs w:val="24"/>
        </w:rPr>
        <w:t>http://www.regulations.gov</w:t>
      </w:r>
      <w:r>
        <w:rPr>
          <w:rStyle w:val="15"/>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Rockville，MD 20852）。所有意见均应注明</w:t>
      </w:r>
      <w:r>
        <w:rPr>
          <w:rFonts w:ascii="Times New Roman" w:hAnsi="Times New Roman" w:cs="Times New Roman"/>
          <w:sz w:val="24"/>
          <w:szCs w:val="24"/>
        </w:rPr>
        <w:t>《联邦公报》发布通知中所列的</w:t>
      </w:r>
      <w:r>
        <w:rPr>
          <w:sz w:val="24"/>
          <w:szCs w:val="24"/>
        </w:rPr>
        <w:t>备案文件编号</w:t>
      </w:r>
      <w:r>
        <w:rPr>
          <w:rFonts w:ascii="Times New Roman" w:hAnsi="Times New Roman" w:cs="Times New Roman"/>
          <w:sz w:val="24"/>
          <w:szCs w:val="24"/>
        </w:rPr>
        <w:t>。</w:t>
      </w:r>
    </w:p>
    <w:p w14:paraId="3A755E7B">
      <w:pPr>
        <w:spacing w:before="156" w:beforeLines="50" w:after="156" w:afterLines="50"/>
        <w:jc w:val="left"/>
        <w:rPr>
          <w:rFonts w:ascii="Times New Roman" w:hAnsi="Times New Roman" w:cs="Times New Roman"/>
          <w:sz w:val="24"/>
          <w:szCs w:val="24"/>
        </w:rPr>
      </w:pPr>
      <w:r>
        <w:rPr>
          <w:sz w:val="24"/>
          <w:szCs w:val="24"/>
        </w:rPr>
        <w:t>如对本文件有任何疑问，</w:t>
      </w:r>
      <w:r>
        <w:rPr>
          <w:rFonts w:ascii="Times New Roman" w:hAnsi="Times New Roman" w:cs="Times New Roman"/>
          <w:sz w:val="24"/>
          <w:szCs w:val="24"/>
        </w:rPr>
        <w:t>请联系药品审评和研究中心（CDER）Ashley Boam 301-796-6341，生物制品评价和研究中心（CBER）通信、拓展和发展办公室800-835-4709或240-402-8010，或医疗器械和放射健康中心（CDRH）CDRH产品</w:t>
      </w:r>
      <w:r>
        <w:rPr>
          <w:rFonts w:hint="eastAsia" w:ascii="Times New Roman" w:hAnsi="Times New Roman" w:cs="Times New Roman"/>
          <w:sz w:val="24"/>
          <w:szCs w:val="24"/>
        </w:rPr>
        <w:t>司法官</w:t>
      </w:r>
      <w:r>
        <w:fldChar w:fldCharType="begin"/>
      </w:r>
      <w:r>
        <w:instrText xml:space="preserve"> HYPERLINK "mailto:CDRHProductJurisdiction@fda.hhs.gov" </w:instrText>
      </w:r>
      <w:r>
        <w:fldChar w:fldCharType="separate"/>
      </w:r>
      <w:r>
        <w:rPr>
          <w:rStyle w:val="15"/>
          <w:rFonts w:ascii="Times New Roman" w:hAnsi="Times New Roman" w:cs="Times New Roman"/>
          <w:sz w:val="24"/>
          <w:szCs w:val="24"/>
        </w:rPr>
        <w:t>CDRHProductJurisdiction@fda.hhs.gov</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43B67411">
      <w:pPr>
        <w:jc w:val="center"/>
        <w:rPr>
          <w:rFonts w:ascii="Times New Roman" w:hAnsi="Times New Roman" w:cs="Times New Roman"/>
          <w:b/>
          <w:bCs/>
          <w:szCs w:val="15"/>
        </w:rPr>
      </w:pPr>
    </w:p>
    <w:p w14:paraId="498F92C8">
      <w:pPr>
        <w:jc w:val="center"/>
        <w:rPr>
          <w:rFonts w:ascii="Times New Roman" w:hAnsi="Times New Roman" w:cs="Times New Roman"/>
          <w:b/>
          <w:bCs/>
          <w:szCs w:val="15"/>
        </w:rPr>
      </w:pPr>
    </w:p>
    <w:p w14:paraId="23FEDDFF">
      <w:pPr>
        <w:jc w:val="center"/>
        <w:rPr>
          <w:rFonts w:ascii="Times New Roman" w:hAnsi="Times New Roman" w:cs="Times New Roman"/>
          <w:b/>
          <w:bCs/>
          <w:szCs w:val="15"/>
        </w:rPr>
      </w:pPr>
    </w:p>
    <w:p w14:paraId="0397433A">
      <w:pPr>
        <w:jc w:val="center"/>
        <w:rPr>
          <w:rFonts w:ascii="Times New Roman" w:hAnsi="Times New Roman" w:cs="Times New Roman"/>
          <w:b/>
          <w:bCs/>
          <w:szCs w:val="15"/>
        </w:rPr>
      </w:pPr>
    </w:p>
    <w:p w14:paraId="5CFAB567">
      <w:pPr>
        <w:jc w:val="center"/>
        <w:rPr>
          <w:rFonts w:ascii="Times New Roman" w:hAnsi="Times New Roman" w:cs="Times New Roman"/>
          <w:b/>
          <w:bCs/>
          <w:szCs w:val="15"/>
        </w:rPr>
      </w:pPr>
    </w:p>
    <w:p w14:paraId="190E0623">
      <w:pPr>
        <w:jc w:val="center"/>
        <w:rPr>
          <w:rFonts w:ascii="Times New Roman" w:hAnsi="Times New Roman" w:cs="Times New Roman"/>
          <w:b/>
          <w:bCs/>
          <w:szCs w:val="15"/>
        </w:rPr>
      </w:pPr>
    </w:p>
    <w:p w14:paraId="4A0E3EC3">
      <w:pPr>
        <w:jc w:val="center"/>
        <w:rPr>
          <w:rFonts w:ascii="Times New Roman" w:hAnsi="Times New Roman" w:cs="Times New Roman"/>
          <w:b/>
          <w:bCs/>
          <w:szCs w:val="15"/>
        </w:rPr>
      </w:pPr>
    </w:p>
    <w:p w14:paraId="1F8A94B6">
      <w:pPr>
        <w:jc w:val="center"/>
        <w:rPr>
          <w:rFonts w:ascii="Times New Roman" w:hAnsi="Times New Roman" w:cs="Times New Roman"/>
          <w:b/>
          <w:bCs/>
          <w:szCs w:val="15"/>
        </w:rPr>
      </w:pPr>
    </w:p>
    <w:p w14:paraId="2277C3BD">
      <w:pPr>
        <w:jc w:val="center"/>
        <w:rPr>
          <w:rFonts w:ascii="Times New Roman" w:hAnsi="Times New Roman" w:cs="Times New Roman"/>
          <w:b/>
          <w:bCs/>
          <w:szCs w:val="15"/>
        </w:rPr>
      </w:pPr>
    </w:p>
    <w:p w14:paraId="679CF749">
      <w:pPr>
        <w:jc w:val="center"/>
        <w:rPr>
          <w:rFonts w:ascii="Times New Roman" w:hAnsi="Times New Roman" w:cs="Times New Roman"/>
          <w:b/>
          <w:bCs/>
          <w:szCs w:val="15"/>
        </w:rPr>
      </w:pPr>
    </w:p>
    <w:p w14:paraId="0BC78C41">
      <w:pPr>
        <w:jc w:val="center"/>
        <w:rPr>
          <w:rFonts w:ascii="Times New Roman" w:hAnsi="Times New Roman" w:cs="Times New Roman"/>
          <w:b/>
          <w:bCs/>
          <w:szCs w:val="15"/>
        </w:rPr>
      </w:pPr>
    </w:p>
    <w:p w14:paraId="015C6033">
      <w:pPr>
        <w:jc w:val="center"/>
        <w:rPr>
          <w:rFonts w:ascii="Times New Roman" w:hAnsi="Times New Roman" w:cs="Times New Roman"/>
          <w:b/>
          <w:szCs w:val="15"/>
        </w:rPr>
      </w:pPr>
      <w:r>
        <w:rPr>
          <w:rFonts w:ascii="Times New Roman" w:hAnsi="Times New Roman" w:cs="Times New Roman"/>
          <w:b/>
          <w:bCs/>
          <w:szCs w:val="15"/>
        </w:rPr>
        <w:t>美国卫生与公众服务部</w:t>
      </w:r>
    </w:p>
    <w:p w14:paraId="4FE33C0C">
      <w:pPr>
        <w:jc w:val="center"/>
        <w:rPr>
          <w:rFonts w:ascii="Times New Roman" w:hAnsi="Times New Roman" w:cs="Times New Roman"/>
          <w:b/>
          <w:szCs w:val="15"/>
        </w:rPr>
      </w:pPr>
      <w:r>
        <w:rPr>
          <w:rFonts w:ascii="Times New Roman" w:hAnsi="Times New Roman" w:cs="Times New Roman"/>
          <w:b/>
          <w:bCs/>
          <w:szCs w:val="15"/>
        </w:rPr>
        <w:t>美国食品药品监督管理局</w:t>
      </w:r>
    </w:p>
    <w:p w14:paraId="5B83890D">
      <w:pPr>
        <w:jc w:val="center"/>
        <w:rPr>
          <w:rFonts w:ascii="Times New Roman" w:hAnsi="Times New Roman" w:cs="Times New Roman"/>
          <w:b/>
          <w:szCs w:val="15"/>
        </w:rPr>
      </w:pPr>
      <w:r>
        <w:rPr>
          <w:rFonts w:ascii="Times New Roman" w:hAnsi="Times New Roman" w:cs="Times New Roman"/>
          <w:b/>
          <w:bCs/>
          <w:szCs w:val="15"/>
        </w:rPr>
        <w:t>药品审评和研究中心（CEDR）</w:t>
      </w:r>
    </w:p>
    <w:p w14:paraId="602DA438">
      <w:pPr>
        <w:jc w:val="center"/>
        <w:rPr>
          <w:rFonts w:ascii="Times New Roman" w:hAnsi="Times New Roman" w:cs="Times New Roman"/>
          <w:b/>
          <w:szCs w:val="15"/>
        </w:rPr>
      </w:pPr>
      <w:r>
        <w:rPr>
          <w:rFonts w:ascii="Times New Roman" w:hAnsi="Times New Roman" w:cs="Times New Roman"/>
          <w:b/>
          <w:bCs/>
          <w:szCs w:val="15"/>
        </w:rPr>
        <w:t>生物制品评价和研究中心（CBER）</w:t>
      </w:r>
    </w:p>
    <w:p w14:paraId="5201D2C8">
      <w:pPr>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2B0025B7">
      <w:pPr>
        <w:spacing w:after="156" w:afterLines="50"/>
        <w:jc w:val="center"/>
        <w:rPr>
          <w:rFonts w:ascii="Times New Roman" w:hAnsi="Times New Roman" w:cs="Times New Roman"/>
          <w:b/>
          <w:szCs w:val="15"/>
        </w:rPr>
      </w:pPr>
      <w:r>
        <w:rPr>
          <w:rFonts w:ascii="Times New Roman" w:hAnsi="Times New Roman" w:cs="Times New Roman"/>
          <w:b/>
          <w:bCs/>
          <w:szCs w:val="15"/>
        </w:rPr>
        <w:t>组合产品办公室（OCP）</w:t>
      </w:r>
    </w:p>
    <w:p w14:paraId="3FB395E7">
      <w:pPr>
        <w:jc w:val="center"/>
        <w:rPr>
          <w:rFonts w:ascii="Times New Roman" w:hAnsi="Times New Roman" w:cs="Times New Roman"/>
          <w:b/>
          <w:szCs w:val="15"/>
        </w:rPr>
      </w:pPr>
      <w:r>
        <w:rPr>
          <w:rFonts w:ascii="Times New Roman" w:hAnsi="Times New Roman" w:cs="Times New Roman"/>
          <w:b/>
          <w:bCs/>
          <w:szCs w:val="15"/>
        </w:rPr>
        <w:t>2021年5月</w:t>
      </w:r>
    </w:p>
    <w:p w14:paraId="678A9023">
      <w:pPr>
        <w:pBdr>
          <w:bottom w:val="single" w:color="000000" w:themeColor="text1" w:sz="24" w:space="1"/>
        </w:pBdr>
        <w:jc w:val="center"/>
        <w:rPr>
          <w:rFonts w:ascii="Times New Roman" w:hAnsi="Times New Roman" w:cs="Times New Roman"/>
          <w:b/>
          <w:szCs w:val="15"/>
        </w:rPr>
      </w:pPr>
      <w:r>
        <w:rPr>
          <w:rFonts w:ascii="Times New Roman" w:hAnsi="Times New Roman" w:cs="Times New Roman"/>
          <w:b/>
          <w:bCs/>
          <w:szCs w:val="15"/>
        </w:rPr>
        <w:t>药品质量/CMC</w:t>
      </w:r>
    </w:p>
    <w:p w14:paraId="49C88B05">
      <w:pPr>
        <w:widowControl/>
        <w:jc w:val="left"/>
        <w:rPr>
          <w:rFonts w:ascii="Times New Roman" w:hAnsi="Times New Roman" w:cs="Times New Roman"/>
          <w:szCs w:val="15"/>
        </w:rPr>
      </w:pPr>
      <w:r>
        <w:rPr>
          <w:rFonts w:ascii="Times New Roman" w:hAnsi="Times New Roman" w:cs="Times New Roman"/>
          <w:szCs w:val="15"/>
        </w:rPr>
        <w:br w:type="page"/>
      </w:r>
    </w:p>
    <w:p w14:paraId="2D8A25C5">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ICH Q12：FDA监管产品的实施</w:t>
      </w:r>
      <w:r>
        <w:rPr>
          <w:rFonts w:hint="eastAsia" w:ascii="Times New Roman" w:hAnsi="Times New Roman" w:cs="Times New Roman"/>
          <w:b/>
          <w:bCs/>
          <w:sz w:val="52"/>
          <w:szCs w:val="52"/>
        </w:rPr>
        <w:t>注意事项</w:t>
      </w:r>
    </w:p>
    <w:p w14:paraId="27D7C013">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行业指南</w:t>
      </w:r>
    </w:p>
    <w:p w14:paraId="1AF053A6">
      <w:pPr>
        <w:widowControl/>
        <w:jc w:val="center"/>
        <w:rPr>
          <w:rFonts w:ascii="Times New Roman" w:hAnsi="Times New Roman" w:cs="Times New Roman"/>
          <w:i/>
          <w:szCs w:val="15"/>
        </w:rPr>
      </w:pPr>
      <w:r>
        <w:rPr>
          <w:rFonts w:hint="eastAsia" w:ascii="Times New Roman" w:hAnsi="Times New Roman" w:cs="Times New Roman"/>
          <w:i/>
          <w:iCs/>
          <w:szCs w:val="15"/>
        </w:rPr>
        <w:t>更多</w:t>
      </w:r>
      <w:r>
        <w:rPr>
          <w:rFonts w:ascii="Times New Roman" w:hAnsi="Times New Roman" w:cs="Times New Roman"/>
          <w:i/>
          <w:iCs/>
          <w:szCs w:val="15"/>
        </w:rPr>
        <w:t>副本可从以下获取：</w:t>
      </w:r>
    </w:p>
    <w:p w14:paraId="10C5CA5E">
      <w:pPr>
        <w:widowControl/>
        <w:jc w:val="center"/>
        <w:rPr>
          <w:rFonts w:ascii="Times New Roman" w:hAnsi="Times New Roman" w:cs="Times New Roman"/>
          <w:i/>
          <w:szCs w:val="15"/>
        </w:rPr>
      </w:pPr>
      <w:r>
        <w:rPr>
          <w:rFonts w:ascii="Times New Roman" w:hAnsi="Times New Roman" w:cs="Times New Roman"/>
          <w:i/>
          <w:iCs/>
          <w:szCs w:val="15"/>
        </w:rPr>
        <w:t>对外信息办公室，药品信息处</w:t>
      </w:r>
    </w:p>
    <w:p w14:paraId="0EF1416E">
      <w:pPr>
        <w:widowControl/>
        <w:jc w:val="center"/>
        <w:rPr>
          <w:rFonts w:ascii="Times New Roman" w:hAnsi="Times New Roman" w:cs="Times New Roman"/>
          <w:i/>
          <w:szCs w:val="15"/>
        </w:rPr>
      </w:pPr>
      <w:r>
        <w:rPr>
          <w:rFonts w:ascii="Times New Roman" w:hAnsi="Times New Roman" w:cs="Times New Roman"/>
          <w:i/>
          <w:iCs/>
          <w:szCs w:val="15"/>
        </w:rPr>
        <w:t>药品审评和研究中心</w:t>
      </w:r>
    </w:p>
    <w:p w14:paraId="5867E529">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24CF4BAF">
      <w:pPr>
        <w:widowControl/>
        <w:jc w:val="center"/>
        <w:rPr>
          <w:rFonts w:ascii="Times New Roman" w:hAnsi="Times New Roman" w:cs="Times New Roman"/>
          <w:i/>
          <w:szCs w:val="15"/>
        </w:rPr>
      </w:pPr>
      <w:r>
        <w:rPr>
          <w:rFonts w:ascii="Times New Roman" w:hAnsi="Times New Roman" w:cs="Times New Roman"/>
          <w:i/>
          <w:iCs/>
          <w:szCs w:val="15"/>
        </w:rPr>
        <w:t>10001 New Hampshire Ave., Hillandale Bldg., 4</w:t>
      </w:r>
      <w:r>
        <w:rPr>
          <w:rFonts w:ascii="Times New Roman" w:hAnsi="Times New Roman" w:cs="Times New Roman"/>
          <w:i/>
          <w:iCs/>
          <w:szCs w:val="15"/>
          <w:vertAlign w:val="superscript"/>
        </w:rPr>
        <w:t>th</w:t>
      </w:r>
      <w:r>
        <w:rPr>
          <w:rFonts w:ascii="Times New Roman" w:hAnsi="Times New Roman" w:cs="Times New Roman"/>
          <w:i/>
          <w:iCs/>
          <w:szCs w:val="15"/>
        </w:rPr>
        <w:t xml:space="preserve"> Floor</w:t>
      </w:r>
    </w:p>
    <w:p w14:paraId="3F9740BB">
      <w:pPr>
        <w:widowControl/>
        <w:jc w:val="center"/>
        <w:rPr>
          <w:rFonts w:ascii="Times New Roman" w:hAnsi="Times New Roman" w:cs="Times New Roman"/>
          <w:i/>
          <w:szCs w:val="15"/>
          <w:lang w:val="de-DE"/>
        </w:rPr>
      </w:pPr>
      <w:r>
        <w:rPr>
          <w:rFonts w:ascii="Times New Roman" w:hAnsi="Times New Roman" w:cs="Times New Roman"/>
          <w:i/>
          <w:iCs/>
          <w:szCs w:val="15"/>
          <w:lang w:val="de-DE"/>
        </w:rPr>
        <w:t>Silver Spring, MD 20993-0002</w:t>
      </w:r>
    </w:p>
    <w:p w14:paraId="289B1CB4">
      <w:pPr>
        <w:widowControl/>
        <w:jc w:val="center"/>
        <w:rPr>
          <w:rFonts w:ascii="Times New Roman" w:hAnsi="Times New Roman" w:cs="Times New Roman"/>
          <w:i/>
          <w:szCs w:val="15"/>
          <w:lang w:val="de-DE"/>
        </w:rPr>
      </w:pPr>
      <w:r>
        <w:rPr>
          <w:rFonts w:ascii="Times New Roman" w:hAnsi="Times New Roman" w:cs="Times New Roman"/>
          <w:i/>
          <w:iCs/>
          <w:szCs w:val="15"/>
        </w:rPr>
        <w:t>电话</w:t>
      </w:r>
      <w:r>
        <w:rPr>
          <w:rFonts w:ascii="Times New Roman" w:hAnsi="Times New Roman" w:cs="Times New Roman"/>
          <w:i/>
          <w:iCs/>
          <w:szCs w:val="15"/>
          <w:lang w:val="de-DE"/>
        </w:rPr>
        <w:t>：855-543-3784</w:t>
      </w:r>
      <w:r>
        <w:rPr>
          <w:rFonts w:ascii="Times New Roman" w:hAnsi="Times New Roman" w:cs="Times New Roman"/>
          <w:i/>
          <w:iCs/>
          <w:szCs w:val="15"/>
        </w:rPr>
        <w:t>或</w:t>
      </w:r>
      <w:r>
        <w:rPr>
          <w:rFonts w:ascii="Times New Roman" w:hAnsi="Times New Roman" w:cs="Times New Roman"/>
          <w:i/>
          <w:iCs/>
          <w:szCs w:val="15"/>
          <w:lang w:val="de-DE"/>
        </w:rPr>
        <w:t>301-796-3400；</w:t>
      </w:r>
      <w:r>
        <w:rPr>
          <w:rFonts w:ascii="Times New Roman" w:hAnsi="Times New Roman" w:cs="Times New Roman"/>
          <w:i/>
          <w:iCs/>
          <w:szCs w:val="15"/>
        </w:rPr>
        <w:t>传真</w:t>
      </w:r>
      <w:r>
        <w:rPr>
          <w:rFonts w:ascii="Times New Roman" w:hAnsi="Times New Roman" w:cs="Times New Roman"/>
          <w:i/>
          <w:iCs/>
          <w:szCs w:val="15"/>
          <w:lang w:val="de-DE"/>
        </w:rPr>
        <w:t>：301-431-6353</w:t>
      </w:r>
    </w:p>
    <w:p w14:paraId="61A8E5E7">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Pr>
          <w:rFonts w:ascii="Times New Roman" w:hAnsi="Times New Roman" w:cs="Times New Roman"/>
          <w:i/>
          <w:iCs/>
          <w:szCs w:val="15"/>
          <w:lang w:val="de-DE"/>
        </w:rPr>
        <w:t>：druginfo@fda.hhs.gov</w:t>
      </w:r>
    </w:p>
    <w:p w14:paraId="2788B7D2">
      <w:pPr>
        <w:widowControl/>
        <w:jc w:val="center"/>
        <w:rPr>
          <w:rFonts w:ascii="Times New Roman" w:hAnsi="Times New Roman" w:cs="Times New Roman"/>
          <w:i/>
          <w:szCs w:val="15"/>
          <w:lang w:val="de-DE"/>
        </w:rPr>
      </w:pPr>
      <w:r>
        <w:fldChar w:fldCharType="begin"/>
      </w:r>
      <w:r>
        <w:instrText xml:space="preserve"> HYPERLINK "https://www.fda.gov/drugs/guidance-compliance-regulatory-information/guidances-drugs" </w:instrText>
      </w:r>
      <w:r>
        <w:fldChar w:fldCharType="separate"/>
      </w:r>
      <w:r>
        <w:rPr>
          <w:rStyle w:val="15"/>
          <w:rFonts w:ascii="Times New Roman" w:hAnsi="Times New Roman" w:cs="Times New Roman"/>
          <w:i/>
          <w:iCs/>
          <w:szCs w:val="15"/>
          <w:lang w:val="de-DE"/>
        </w:rPr>
        <w:t>https://www.fda.gov/drugs/guidance-compliance-regulatory-information/guidances-drugs</w:t>
      </w:r>
      <w:r>
        <w:rPr>
          <w:rStyle w:val="15"/>
          <w:rFonts w:ascii="Times New Roman" w:hAnsi="Times New Roman" w:cs="Times New Roman"/>
          <w:i/>
          <w:iCs/>
          <w:szCs w:val="15"/>
          <w:lang w:val="de-DE"/>
        </w:rPr>
        <w:fldChar w:fldCharType="end"/>
      </w:r>
    </w:p>
    <w:p w14:paraId="4300B227">
      <w:pPr>
        <w:widowControl/>
        <w:jc w:val="center"/>
        <w:rPr>
          <w:rFonts w:ascii="Times New Roman" w:hAnsi="Times New Roman" w:cs="Times New Roman"/>
          <w:i/>
          <w:szCs w:val="15"/>
        </w:rPr>
      </w:pPr>
      <w:r>
        <w:rPr>
          <w:rFonts w:ascii="Times New Roman" w:hAnsi="Times New Roman" w:cs="Times New Roman"/>
          <w:i/>
          <w:iCs/>
          <w:szCs w:val="15"/>
        </w:rPr>
        <w:t>和/或</w:t>
      </w:r>
    </w:p>
    <w:p w14:paraId="0CBF6B39">
      <w:pPr>
        <w:widowControl/>
        <w:jc w:val="center"/>
        <w:rPr>
          <w:rFonts w:ascii="Times New Roman" w:hAnsi="Times New Roman" w:cs="Times New Roman"/>
          <w:i/>
          <w:szCs w:val="15"/>
        </w:rPr>
      </w:pPr>
      <w:r>
        <w:rPr>
          <w:rFonts w:ascii="Times New Roman" w:hAnsi="Times New Roman" w:cs="Times New Roman"/>
          <w:i/>
          <w:iCs/>
          <w:szCs w:val="15"/>
        </w:rPr>
        <w:t>对外信息、外联与发展办公室</w:t>
      </w:r>
    </w:p>
    <w:p w14:paraId="26811026">
      <w:pPr>
        <w:widowControl/>
        <w:jc w:val="center"/>
        <w:rPr>
          <w:rFonts w:ascii="Times New Roman" w:hAnsi="Times New Roman" w:cs="Times New Roman"/>
          <w:i/>
          <w:szCs w:val="15"/>
        </w:rPr>
      </w:pPr>
      <w:r>
        <w:rPr>
          <w:rFonts w:ascii="Times New Roman" w:hAnsi="Times New Roman" w:cs="Times New Roman"/>
          <w:i/>
          <w:iCs/>
          <w:szCs w:val="15"/>
        </w:rPr>
        <w:t>生物制品评价和研究中心</w:t>
      </w:r>
    </w:p>
    <w:p w14:paraId="40553C40">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20F530CE">
      <w:pPr>
        <w:widowControl/>
        <w:jc w:val="center"/>
        <w:rPr>
          <w:rFonts w:ascii="Times New Roman" w:hAnsi="Times New Roman" w:cs="Times New Roman"/>
          <w:i/>
          <w:szCs w:val="15"/>
        </w:rPr>
      </w:pPr>
      <w:r>
        <w:rPr>
          <w:rFonts w:ascii="Times New Roman" w:hAnsi="Times New Roman" w:cs="Times New Roman"/>
          <w:i/>
          <w:iCs/>
          <w:szCs w:val="15"/>
        </w:rPr>
        <w:t>10903 New Hampshire Ave., Bldg. 71, Room 3128</w:t>
      </w:r>
    </w:p>
    <w:p w14:paraId="795E023C">
      <w:pPr>
        <w:widowControl/>
        <w:jc w:val="center"/>
        <w:rPr>
          <w:rFonts w:ascii="Times New Roman" w:hAnsi="Times New Roman" w:cs="Times New Roman"/>
          <w:i/>
          <w:szCs w:val="15"/>
          <w:lang w:val="de-DE"/>
        </w:rPr>
      </w:pPr>
      <w:r>
        <w:rPr>
          <w:rFonts w:ascii="Times New Roman" w:hAnsi="Times New Roman" w:cs="Times New Roman"/>
          <w:i/>
          <w:iCs/>
          <w:szCs w:val="15"/>
          <w:lang w:val="de-DE"/>
        </w:rPr>
        <w:t>Silver Spring, MD 20993-0002</w:t>
      </w:r>
    </w:p>
    <w:p w14:paraId="2688A8DE">
      <w:pPr>
        <w:widowControl/>
        <w:jc w:val="center"/>
        <w:rPr>
          <w:rFonts w:ascii="Times New Roman" w:hAnsi="Times New Roman" w:cs="Times New Roman"/>
          <w:i/>
          <w:szCs w:val="15"/>
          <w:lang w:val="de-DE"/>
        </w:rPr>
      </w:pPr>
      <w:r>
        <w:rPr>
          <w:rFonts w:ascii="Times New Roman" w:hAnsi="Times New Roman" w:cs="Times New Roman"/>
          <w:i/>
          <w:iCs/>
          <w:szCs w:val="15"/>
        </w:rPr>
        <w:t>电话</w:t>
      </w:r>
      <w:r>
        <w:rPr>
          <w:rFonts w:ascii="Times New Roman" w:hAnsi="Times New Roman" w:cs="Times New Roman"/>
          <w:i/>
          <w:iCs/>
          <w:szCs w:val="15"/>
          <w:lang w:val="de-DE"/>
        </w:rPr>
        <w:t>：800-835-4709</w:t>
      </w:r>
      <w:r>
        <w:rPr>
          <w:rFonts w:ascii="Times New Roman" w:hAnsi="Times New Roman" w:cs="Times New Roman"/>
          <w:i/>
          <w:iCs/>
          <w:szCs w:val="15"/>
        </w:rPr>
        <w:t>或</w:t>
      </w:r>
      <w:r>
        <w:rPr>
          <w:rFonts w:ascii="Times New Roman" w:hAnsi="Times New Roman" w:cs="Times New Roman"/>
          <w:i/>
          <w:iCs/>
          <w:szCs w:val="15"/>
          <w:lang w:val="de-DE"/>
        </w:rPr>
        <w:t>240-402-8010</w:t>
      </w:r>
    </w:p>
    <w:p w14:paraId="63C303DE">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Pr>
          <w:rFonts w:ascii="Times New Roman" w:hAnsi="Times New Roman" w:cs="Times New Roman"/>
          <w:i/>
          <w:iCs/>
          <w:szCs w:val="15"/>
          <w:lang w:val="de-DE"/>
        </w:rPr>
        <w:t>：ocod@fda.hhs.gov</w:t>
      </w:r>
    </w:p>
    <w:p w14:paraId="4B7856D5">
      <w:pPr>
        <w:widowControl/>
        <w:jc w:val="center"/>
        <w:rPr>
          <w:rFonts w:ascii="Times New Roman" w:hAnsi="Times New Roman" w:cs="Times New Roman"/>
          <w:i/>
          <w:szCs w:val="15"/>
          <w:lang w:val="de-DE"/>
        </w:rPr>
      </w:pPr>
      <w:r>
        <w:fldChar w:fldCharType="begin"/>
      </w:r>
      <w:r>
        <w:instrText xml:space="preserve"> HYPERLINK "https://www.fda.gov/vaccines-blood-biologics/guidance-compliance-regulatory-information-biologics/biologics-guidances" </w:instrText>
      </w:r>
      <w:r>
        <w:fldChar w:fldCharType="separate"/>
      </w:r>
      <w:r>
        <w:rPr>
          <w:rStyle w:val="15"/>
          <w:rFonts w:ascii="Times New Roman" w:hAnsi="Times New Roman" w:cs="Times New Roman"/>
          <w:i/>
          <w:iCs/>
          <w:szCs w:val="15"/>
          <w:lang w:val="de-DE"/>
        </w:rPr>
        <w:t>https://www.fda.gov/vaccines-blood-biologics/guidance-compliance-regulatory-information-biologics/biologics-guidances</w:t>
      </w:r>
      <w:r>
        <w:rPr>
          <w:rStyle w:val="15"/>
          <w:rFonts w:ascii="Times New Roman" w:hAnsi="Times New Roman" w:cs="Times New Roman"/>
          <w:i/>
          <w:iCs/>
          <w:szCs w:val="15"/>
          <w:lang w:val="de-DE"/>
        </w:rPr>
        <w:fldChar w:fldCharType="end"/>
      </w:r>
    </w:p>
    <w:p w14:paraId="62A7F488">
      <w:pPr>
        <w:widowControl/>
        <w:jc w:val="center"/>
        <w:rPr>
          <w:rFonts w:ascii="Times New Roman" w:hAnsi="Times New Roman" w:cs="Times New Roman"/>
          <w:i/>
          <w:szCs w:val="15"/>
        </w:rPr>
      </w:pPr>
      <w:r>
        <w:rPr>
          <w:rFonts w:ascii="Times New Roman" w:hAnsi="Times New Roman" w:cs="Times New Roman"/>
          <w:i/>
          <w:iCs/>
          <w:szCs w:val="15"/>
        </w:rPr>
        <w:t>和/或</w:t>
      </w:r>
    </w:p>
    <w:p w14:paraId="605CE65D">
      <w:pPr>
        <w:widowControl/>
        <w:jc w:val="center"/>
        <w:rPr>
          <w:rFonts w:ascii="Times New Roman" w:hAnsi="Times New Roman" w:cs="Times New Roman"/>
          <w:i/>
          <w:szCs w:val="15"/>
        </w:rPr>
      </w:pPr>
      <w:r>
        <w:rPr>
          <w:rFonts w:ascii="Times New Roman" w:hAnsi="Times New Roman" w:cs="Times New Roman"/>
          <w:i/>
          <w:iCs/>
          <w:szCs w:val="15"/>
        </w:rPr>
        <w:t>政策办公室</w:t>
      </w:r>
    </w:p>
    <w:p w14:paraId="66FE5945">
      <w:pPr>
        <w:widowControl/>
        <w:jc w:val="center"/>
        <w:rPr>
          <w:rFonts w:ascii="Times New Roman" w:hAnsi="Times New Roman" w:cs="Times New Roman"/>
          <w:i/>
          <w:szCs w:val="15"/>
        </w:rPr>
      </w:pPr>
      <w:r>
        <w:rPr>
          <w:rFonts w:ascii="Times New Roman" w:hAnsi="Times New Roman" w:cs="Times New Roman"/>
          <w:i/>
          <w:iCs/>
          <w:szCs w:val="15"/>
        </w:rPr>
        <w:t>医疗器械和放射健康中心</w:t>
      </w:r>
    </w:p>
    <w:p w14:paraId="46B3A3F4">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74A59317">
      <w:pPr>
        <w:widowControl/>
        <w:jc w:val="center"/>
        <w:rPr>
          <w:rFonts w:ascii="Times New Roman" w:hAnsi="Times New Roman" w:cs="Times New Roman"/>
          <w:i/>
          <w:szCs w:val="15"/>
        </w:rPr>
      </w:pPr>
      <w:r>
        <w:rPr>
          <w:rFonts w:ascii="Times New Roman" w:hAnsi="Times New Roman" w:cs="Times New Roman"/>
          <w:i/>
          <w:iCs/>
          <w:szCs w:val="15"/>
        </w:rPr>
        <w:t>10903 New Hampshire Ave., Bldg. 66, Room 5431</w:t>
      </w:r>
    </w:p>
    <w:p w14:paraId="0F08D630">
      <w:pPr>
        <w:widowControl/>
        <w:jc w:val="center"/>
        <w:rPr>
          <w:rFonts w:ascii="Times New Roman" w:hAnsi="Times New Roman" w:cs="Times New Roman"/>
          <w:i/>
          <w:szCs w:val="15"/>
          <w:lang w:val="de-DE"/>
        </w:rPr>
      </w:pPr>
      <w:r>
        <w:rPr>
          <w:rFonts w:ascii="Times New Roman" w:hAnsi="Times New Roman" w:cs="Times New Roman"/>
          <w:i/>
          <w:iCs/>
          <w:szCs w:val="15"/>
          <w:lang w:val="de-DE"/>
        </w:rPr>
        <w:t>Silver Spring, MD 20993-0002</w:t>
      </w:r>
    </w:p>
    <w:p w14:paraId="610DBA97">
      <w:pPr>
        <w:widowControl/>
        <w:jc w:val="center"/>
        <w:rPr>
          <w:rFonts w:ascii="Times New Roman" w:hAnsi="Times New Roman" w:cs="Times New Roman"/>
          <w:i/>
          <w:szCs w:val="15"/>
          <w:lang w:val="de-DE"/>
        </w:rPr>
      </w:pPr>
      <w:r>
        <w:rPr>
          <w:rFonts w:ascii="Times New Roman" w:hAnsi="Times New Roman" w:cs="Times New Roman"/>
          <w:i/>
          <w:iCs/>
          <w:szCs w:val="15"/>
        </w:rPr>
        <w:t>电子邮箱</w:t>
      </w:r>
      <w:r>
        <w:rPr>
          <w:rFonts w:ascii="Times New Roman" w:hAnsi="Times New Roman" w:cs="Times New Roman"/>
          <w:i/>
          <w:iCs/>
          <w:szCs w:val="15"/>
          <w:lang w:val="de-DE"/>
        </w:rPr>
        <w:t>：CDRH-Guidance@fda.hhs.gov</w:t>
      </w:r>
    </w:p>
    <w:p w14:paraId="66BC13D0">
      <w:pPr>
        <w:widowControl/>
        <w:spacing w:after="156" w:afterLines="50"/>
        <w:jc w:val="center"/>
        <w:rPr>
          <w:rFonts w:ascii="Times New Roman" w:hAnsi="Times New Roman" w:cs="Times New Roman"/>
          <w:i/>
          <w:szCs w:val="15"/>
          <w:lang w:val="de-DE"/>
        </w:rPr>
      </w:pPr>
      <w:r>
        <w:fldChar w:fldCharType="begin"/>
      </w:r>
      <w:r>
        <w:instrText xml:space="preserve"> HYPERLINK "https://www.fda.gov/medical-devices/device-advice-comprehensive-regulatory-assistance/guidance-documents-medical-devices-and-radiation-emitting-products" </w:instrText>
      </w:r>
      <w:r>
        <w:fldChar w:fldCharType="separate"/>
      </w:r>
      <w:r>
        <w:rPr>
          <w:rStyle w:val="15"/>
          <w:rFonts w:ascii="Times New Roman" w:hAnsi="Times New Roman" w:cs="Times New Roman"/>
          <w:i/>
          <w:iCs/>
          <w:szCs w:val="15"/>
          <w:lang w:val="de-DE"/>
        </w:rPr>
        <w:t>https://www.fda.gov/medical-devices/device-advice-comprehensive-regulatory-assistance/guidance-documents-medical-devices-and-radiation-emitting-products</w:t>
      </w:r>
      <w:r>
        <w:rPr>
          <w:rStyle w:val="15"/>
          <w:rFonts w:ascii="Times New Roman" w:hAnsi="Times New Roman" w:cs="Times New Roman"/>
          <w:i/>
          <w:iCs/>
          <w:szCs w:val="15"/>
          <w:lang w:val="de-DE"/>
        </w:rPr>
        <w:fldChar w:fldCharType="end"/>
      </w:r>
    </w:p>
    <w:p w14:paraId="5850EE0C">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33C93A3F">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49CC4E57">
      <w:pPr>
        <w:widowControl/>
        <w:jc w:val="center"/>
        <w:rPr>
          <w:rFonts w:ascii="Times New Roman" w:hAnsi="Times New Roman" w:cs="Times New Roman"/>
          <w:b/>
          <w:szCs w:val="15"/>
        </w:rPr>
      </w:pPr>
      <w:r>
        <w:rPr>
          <w:rFonts w:ascii="Times New Roman" w:hAnsi="Times New Roman" w:cs="Times New Roman"/>
          <w:b/>
          <w:bCs/>
          <w:szCs w:val="15"/>
        </w:rPr>
        <w:t>药品审评和研究中心（CEDR）</w:t>
      </w:r>
    </w:p>
    <w:p w14:paraId="3DE63613">
      <w:pPr>
        <w:widowControl/>
        <w:jc w:val="center"/>
        <w:rPr>
          <w:rFonts w:ascii="Times New Roman" w:hAnsi="Times New Roman" w:cs="Times New Roman"/>
          <w:b/>
          <w:szCs w:val="15"/>
        </w:rPr>
      </w:pPr>
      <w:r>
        <w:rPr>
          <w:rFonts w:ascii="Times New Roman" w:hAnsi="Times New Roman" w:cs="Times New Roman"/>
          <w:b/>
          <w:bCs/>
          <w:szCs w:val="15"/>
        </w:rPr>
        <w:t>生物制品评价和研究中心（CBER）</w:t>
      </w:r>
    </w:p>
    <w:p w14:paraId="43B541E8">
      <w:pPr>
        <w:widowControl/>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1BAE344E">
      <w:pPr>
        <w:widowControl/>
        <w:spacing w:after="156" w:afterLines="50"/>
        <w:jc w:val="center"/>
        <w:rPr>
          <w:rFonts w:ascii="Times New Roman" w:hAnsi="Times New Roman" w:cs="Times New Roman"/>
          <w:b/>
          <w:szCs w:val="15"/>
        </w:rPr>
      </w:pPr>
      <w:r>
        <w:rPr>
          <w:rFonts w:ascii="Times New Roman" w:hAnsi="Times New Roman" w:cs="Times New Roman"/>
          <w:b/>
          <w:bCs/>
          <w:szCs w:val="15"/>
        </w:rPr>
        <w:t>组合产品办公室（OCP）</w:t>
      </w:r>
    </w:p>
    <w:p w14:paraId="051951B5">
      <w:pPr>
        <w:widowControl/>
        <w:jc w:val="center"/>
        <w:rPr>
          <w:rFonts w:ascii="Times New Roman" w:hAnsi="Times New Roman" w:cs="Times New Roman"/>
          <w:b/>
          <w:szCs w:val="15"/>
        </w:rPr>
      </w:pPr>
      <w:r>
        <w:rPr>
          <w:rFonts w:ascii="Times New Roman" w:hAnsi="Times New Roman" w:cs="Times New Roman"/>
          <w:b/>
          <w:bCs/>
          <w:szCs w:val="15"/>
        </w:rPr>
        <w:t>2021年5月</w:t>
      </w:r>
    </w:p>
    <w:p w14:paraId="3760372A">
      <w:pPr>
        <w:widowControl/>
        <w:jc w:val="center"/>
        <w:rPr>
          <w:rFonts w:ascii="Times New Roman" w:hAnsi="Times New Roman" w:cs="Times New Roman"/>
          <w:b/>
          <w:szCs w:val="15"/>
        </w:rPr>
      </w:pPr>
      <w:r>
        <w:rPr>
          <w:rFonts w:ascii="Times New Roman" w:hAnsi="Times New Roman" w:cs="Times New Roman"/>
          <w:b/>
          <w:bCs/>
          <w:szCs w:val="15"/>
        </w:rPr>
        <w:t>药品质量/CMC</w:t>
      </w:r>
    </w:p>
    <w:p w14:paraId="013118C2">
      <w:pPr>
        <w:spacing w:before="156" w:beforeLines="50" w:after="156" w:afterLines="50"/>
        <w:jc w:val="center"/>
        <w:rPr>
          <w:rFonts w:ascii="Times New Roman" w:hAnsi="Times New Roman" w:cs="Times New Roman"/>
          <w:b/>
          <w:sz w:val="32"/>
          <w:szCs w:val="32"/>
        </w:rPr>
        <w:sectPr>
          <w:headerReference r:id="rId6" w:type="default"/>
          <w:pgSz w:w="11906" w:h="16838"/>
          <w:pgMar w:top="1134" w:right="1134" w:bottom="1134" w:left="1134" w:header="851" w:footer="992" w:gutter="0"/>
          <w:cols w:space="425" w:num="1"/>
          <w:docGrid w:type="lines" w:linePitch="312" w:charSpace="0"/>
        </w:sectPr>
      </w:pPr>
    </w:p>
    <w:p w14:paraId="538F7D6D">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目录</w:t>
      </w:r>
    </w:p>
    <w:p w14:paraId="42CBAC38">
      <w:pPr>
        <w:pStyle w:val="7"/>
        <w:rPr>
          <w:b w:val="0"/>
        </w:rPr>
      </w:pPr>
      <w:r>
        <w:rPr>
          <w:bCs/>
        </w:rPr>
        <w:fldChar w:fldCharType="begin"/>
      </w:r>
      <w:r>
        <w:instrText xml:space="preserve"> TOC \o "1-3" \h \z \u </w:instrText>
      </w:r>
      <w:r>
        <w:fldChar w:fldCharType="separate"/>
      </w:r>
      <w:r>
        <w:fldChar w:fldCharType="begin"/>
      </w:r>
      <w:r>
        <w:instrText xml:space="preserve"> HYPERLINK \l "_Toc97322906" </w:instrText>
      </w:r>
      <w:r>
        <w:fldChar w:fldCharType="separate"/>
      </w:r>
      <w:r>
        <w:rPr>
          <w:rStyle w:val="15"/>
          <w:bCs/>
        </w:rPr>
        <w:t>I.</w:t>
      </w:r>
      <w:r>
        <w:rPr>
          <w:b w:val="0"/>
        </w:rPr>
        <w:tab/>
      </w:r>
      <w:r>
        <w:rPr>
          <w:rStyle w:val="15"/>
          <w:bCs/>
        </w:rPr>
        <w:t>引言</w:t>
      </w:r>
      <w:r>
        <w:tab/>
      </w:r>
      <w:r>
        <w:fldChar w:fldCharType="begin"/>
      </w:r>
      <w:r>
        <w:instrText xml:space="preserve"> PAGEREF _Toc97322906 \h </w:instrText>
      </w:r>
      <w:r>
        <w:fldChar w:fldCharType="separate"/>
      </w:r>
      <w:r>
        <w:t>1</w:t>
      </w:r>
      <w:r>
        <w:fldChar w:fldCharType="end"/>
      </w:r>
      <w:r>
        <w:fldChar w:fldCharType="end"/>
      </w:r>
    </w:p>
    <w:p w14:paraId="1A9ABBAF">
      <w:pPr>
        <w:pStyle w:val="7"/>
        <w:rPr>
          <w:b w:val="0"/>
        </w:rPr>
      </w:pPr>
      <w:r>
        <w:fldChar w:fldCharType="begin"/>
      </w:r>
      <w:r>
        <w:instrText xml:space="preserve"> HYPERLINK \l "_Toc97322907" </w:instrText>
      </w:r>
      <w:r>
        <w:fldChar w:fldCharType="separate"/>
      </w:r>
      <w:r>
        <w:rPr>
          <w:rStyle w:val="15"/>
          <w:bCs/>
        </w:rPr>
        <w:t>II.</w:t>
      </w:r>
      <w:r>
        <w:rPr>
          <w:b w:val="0"/>
        </w:rPr>
        <w:tab/>
      </w:r>
      <w:r>
        <w:rPr>
          <w:rStyle w:val="15"/>
          <w:bCs/>
        </w:rPr>
        <w:t>实施</w:t>
      </w:r>
      <w:r>
        <w:rPr>
          <w:rStyle w:val="15"/>
          <w:rFonts w:hint="eastAsia"/>
          <w:bCs/>
        </w:rPr>
        <w:t>注意事项</w:t>
      </w:r>
      <w:r>
        <w:tab/>
      </w:r>
      <w:r>
        <w:fldChar w:fldCharType="begin"/>
      </w:r>
      <w:r>
        <w:instrText xml:space="preserve"> PAGEREF _Toc97322907 \h </w:instrText>
      </w:r>
      <w:r>
        <w:fldChar w:fldCharType="separate"/>
      </w:r>
      <w:r>
        <w:t>2</w:t>
      </w:r>
      <w:r>
        <w:fldChar w:fldCharType="end"/>
      </w:r>
      <w:r>
        <w:fldChar w:fldCharType="end"/>
      </w:r>
    </w:p>
    <w:p w14:paraId="3D1EEC29">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"_Toc97322908" </w:instrText>
      </w:r>
      <w:r>
        <w:fldChar w:fldCharType="separate"/>
      </w:r>
      <w:r>
        <w:rPr>
          <w:rStyle w:val="15"/>
          <w:rFonts w:ascii="Times New Roman" w:hAnsi="Times New Roman" w:cs="Times New Roman"/>
          <w:b/>
          <w:bCs/>
          <w:sz w:val="24"/>
          <w:szCs w:val="24"/>
        </w:rPr>
        <w:t>A.</w:t>
      </w:r>
      <w:r>
        <w:rPr>
          <w:rFonts w:ascii="Times New Roman" w:hAnsi="Times New Roman" w:cs="Times New Roman"/>
          <w:sz w:val="24"/>
          <w:szCs w:val="24"/>
        </w:rPr>
        <w:tab/>
      </w:r>
      <w:r>
        <w:rPr>
          <w:rStyle w:val="15"/>
          <w:rFonts w:ascii="Times New Roman" w:hAnsi="Times New Roman" w:cs="Times New Roman"/>
          <w:b/>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_Toc97322908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56B496">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"_Toc97322909" </w:instrText>
      </w:r>
      <w:r>
        <w:fldChar w:fldCharType="separate"/>
      </w:r>
      <w:r>
        <w:rPr>
          <w:rStyle w:val="15"/>
          <w:rFonts w:ascii="Times New Roman" w:hAnsi="Times New Roman" w:cs="Times New Roman"/>
          <w:b/>
          <w:bCs/>
          <w:sz w:val="24"/>
          <w:szCs w:val="24"/>
        </w:rPr>
        <w:t>B.</w:t>
      </w:r>
      <w:r>
        <w:rPr>
          <w:rFonts w:ascii="Times New Roman" w:hAnsi="Times New Roman" w:cs="Times New Roman"/>
          <w:sz w:val="24"/>
          <w:szCs w:val="24"/>
        </w:rPr>
        <w:tab/>
      </w:r>
      <w:r>
        <w:rPr>
          <w:rStyle w:val="15"/>
          <w:rFonts w:ascii="Times New Roman" w:hAnsi="Times New Roman" w:cs="Times New Roman"/>
          <w:b/>
          <w:bCs/>
          <w:sz w:val="24"/>
          <w:szCs w:val="24"/>
        </w:rPr>
        <w:t>批准后</w:t>
      </w:r>
      <w:r>
        <w:rPr>
          <w:rStyle w:val="15"/>
          <w:rFonts w:hint="eastAsia" w:ascii="Times New Roman" w:hAnsi="Times New Roman" w:cs="Times New Roman"/>
          <w:b/>
          <w:bCs/>
          <w:sz w:val="24"/>
          <w:szCs w:val="24"/>
        </w:rPr>
        <w:t>C</w:t>
      </w:r>
      <w:r>
        <w:rPr>
          <w:rStyle w:val="15"/>
          <w:rFonts w:ascii="Times New Roman" w:hAnsi="Times New Roman" w:cs="Times New Roman"/>
          <w:b/>
          <w:bCs/>
          <w:sz w:val="24"/>
          <w:szCs w:val="24"/>
        </w:rPr>
        <w:t>MC变更的分类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_Toc97322909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75ADA93">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"_Toc97322910" </w:instrText>
      </w:r>
      <w:r>
        <w:fldChar w:fldCharType="separate"/>
      </w:r>
      <w:r>
        <w:rPr>
          <w:rStyle w:val="15"/>
          <w:rFonts w:ascii="Times New Roman" w:hAnsi="Times New Roman" w:cs="Times New Roman"/>
          <w:b/>
          <w:bCs/>
          <w:sz w:val="24"/>
          <w:szCs w:val="24"/>
        </w:rPr>
        <w:t>C.</w:t>
      </w:r>
      <w:r>
        <w:rPr>
          <w:rFonts w:ascii="Times New Roman" w:hAnsi="Times New Roman" w:cs="Times New Roman"/>
          <w:sz w:val="24"/>
          <w:szCs w:val="24"/>
        </w:rPr>
        <w:tab/>
      </w:r>
      <w:r>
        <w:rPr>
          <w:rStyle w:val="15"/>
          <w:rFonts w:hint="eastAsia" w:ascii="Times New Roman" w:hAnsi="Times New Roman" w:cs="Times New Roman"/>
          <w:b/>
          <w:bCs/>
          <w:sz w:val="24"/>
          <w:szCs w:val="24"/>
        </w:rPr>
        <w:t>既定</w:t>
      </w:r>
      <w:r>
        <w:rPr>
          <w:rStyle w:val="15"/>
          <w:rFonts w:ascii="Times New Roman" w:hAnsi="Times New Roman" w:cs="Times New Roman"/>
          <w:b/>
          <w:bCs/>
          <w:sz w:val="24"/>
          <w:szCs w:val="24"/>
        </w:rPr>
        <w:t>条件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_Toc97322910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800B72">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"_Toc97322911" </w:instrText>
      </w:r>
      <w:r>
        <w:fldChar w:fldCharType="separate"/>
      </w:r>
      <w:r>
        <w:rPr>
          <w:rStyle w:val="15"/>
          <w:rFonts w:ascii="Times New Roman" w:hAnsi="Times New Roman" w:cs="Times New Roman"/>
          <w:i/>
          <w:iCs/>
          <w:sz w:val="24"/>
          <w:szCs w:val="24"/>
        </w:rPr>
        <w:t>1.</w:t>
      </w:r>
      <w:r>
        <w:rPr>
          <w:rFonts w:ascii="Times New Roman" w:hAnsi="Times New Roman" w:cs="Times New Roman"/>
          <w:sz w:val="24"/>
          <w:szCs w:val="24"/>
        </w:rPr>
        <w:tab/>
      </w:r>
      <w:r>
        <w:rPr>
          <w:rStyle w:val="15"/>
          <w:rFonts w:ascii="Times New Roman" w:hAnsi="Times New Roman" w:cs="Times New Roman"/>
          <w:i/>
          <w:iCs/>
          <w:sz w:val="24"/>
          <w:szCs w:val="24"/>
        </w:rPr>
        <w:t>提交</w:t>
      </w:r>
      <w:r>
        <w:rPr>
          <w:rStyle w:val="15"/>
          <w:rFonts w:hint="eastAsia" w:ascii="Times New Roman" w:hAnsi="Times New Roman" w:cs="Times New Roman"/>
          <w:i/>
          <w:iCs/>
          <w:sz w:val="24"/>
          <w:szCs w:val="24"/>
        </w:rPr>
        <w:t>既定</w:t>
      </w:r>
      <w:r>
        <w:rPr>
          <w:rStyle w:val="15"/>
          <w:rFonts w:ascii="Times New Roman" w:hAnsi="Times New Roman" w:cs="Times New Roman"/>
          <w:i/>
          <w:iCs/>
          <w:sz w:val="24"/>
          <w:szCs w:val="24"/>
        </w:rPr>
        <w:t>条件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_Toc97322911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24410A5">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"_Toc97322912" </w:instrText>
      </w:r>
      <w:r>
        <w:fldChar w:fldCharType="separate"/>
      </w:r>
      <w:r>
        <w:rPr>
          <w:rStyle w:val="15"/>
          <w:rFonts w:ascii="Times New Roman" w:hAnsi="Times New Roman" w:cs="Times New Roman"/>
          <w:i/>
          <w:iCs/>
          <w:sz w:val="24"/>
          <w:szCs w:val="24"/>
        </w:rPr>
        <w:t>2.</w:t>
      </w:r>
      <w:r>
        <w:rPr>
          <w:rFonts w:ascii="Times New Roman" w:hAnsi="Times New Roman" w:cs="Times New Roman"/>
          <w:sz w:val="24"/>
          <w:szCs w:val="24"/>
        </w:rPr>
        <w:tab/>
      </w:r>
      <w:r>
        <w:rPr>
          <w:rStyle w:val="15"/>
          <w:rFonts w:hint="eastAsia" w:ascii="Times New Roman" w:hAnsi="Times New Roman" w:cs="Times New Roman"/>
          <w:i/>
          <w:iCs/>
          <w:sz w:val="24"/>
          <w:szCs w:val="24"/>
        </w:rPr>
        <w:t>既定</w:t>
      </w:r>
      <w:r>
        <w:rPr>
          <w:rStyle w:val="15"/>
          <w:rFonts w:ascii="Times New Roman" w:hAnsi="Times New Roman" w:cs="Times New Roman"/>
          <w:i/>
          <w:iCs/>
          <w:sz w:val="24"/>
          <w:szCs w:val="24"/>
        </w:rPr>
        <w:t>条件</w:t>
      </w:r>
      <w:r>
        <w:rPr>
          <w:rStyle w:val="15"/>
          <w:rFonts w:hint="eastAsia" w:ascii="Times New Roman" w:hAnsi="Times New Roman" w:cs="Times New Roman"/>
          <w:i/>
          <w:iCs/>
          <w:sz w:val="24"/>
          <w:szCs w:val="24"/>
        </w:rPr>
        <w:t>确认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3F69ED">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"_Toc97322913" </w:instrText>
      </w:r>
      <w:r>
        <w:fldChar w:fldCharType="separate"/>
      </w:r>
      <w:r>
        <w:rPr>
          <w:rStyle w:val="15"/>
          <w:rFonts w:ascii="Times New Roman" w:hAnsi="Times New Roman" w:cs="Times New Roman"/>
          <w:i/>
          <w:iCs/>
          <w:sz w:val="24"/>
          <w:szCs w:val="24"/>
        </w:rPr>
        <w:t>3.</w:t>
      </w:r>
      <w:r>
        <w:rPr>
          <w:rFonts w:ascii="Times New Roman" w:hAnsi="Times New Roman" w:cs="Times New Roman"/>
          <w:sz w:val="24"/>
          <w:szCs w:val="24"/>
        </w:rPr>
        <w:tab/>
      </w:r>
      <w:r>
        <w:rPr>
          <w:rStyle w:val="15"/>
          <w:rFonts w:ascii="Times New Roman" w:hAnsi="Times New Roman" w:cs="Times New Roman"/>
          <w:i/>
          <w:iCs/>
          <w:sz w:val="24"/>
          <w:szCs w:val="24"/>
        </w:rPr>
        <w:t>药物主文件中</w:t>
      </w:r>
      <w:r>
        <w:rPr>
          <w:rStyle w:val="15"/>
          <w:rFonts w:hint="eastAsia" w:ascii="Times New Roman" w:hAnsi="Times New Roman" w:cs="Times New Roman"/>
          <w:i/>
          <w:iCs/>
          <w:sz w:val="24"/>
          <w:szCs w:val="24"/>
        </w:rPr>
        <w:t>原料药</w:t>
      </w:r>
      <w:r>
        <w:rPr>
          <w:rStyle w:val="15"/>
          <w:rFonts w:ascii="Times New Roman" w:hAnsi="Times New Roman" w:cs="Times New Roman"/>
          <w:i/>
          <w:iCs/>
          <w:sz w:val="24"/>
          <w:szCs w:val="24"/>
        </w:rPr>
        <w:t>或</w:t>
      </w:r>
      <w:r>
        <w:rPr>
          <w:rStyle w:val="15"/>
          <w:rFonts w:hint="eastAsia" w:ascii="Times New Roman" w:hAnsi="Times New Roman" w:cs="Times New Roman"/>
          <w:i/>
          <w:iCs/>
          <w:sz w:val="24"/>
          <w:szCs w:val="24"/>
        </w:rPr>
        <w:t>制剂</w:t>
      </w:r>
      <w:r>
        <w:rPr>
          <w:rStyle w:val="15"/>
          <w:rFonts w:ascii="Times New Roman" w:hAnsi="Times New Roman" w:cs="Times New Roman"/>
          <w:i/>
          <w:iCs/>
          <w:sz w:val="24"/>
          <w:szCs w:val="24"/>
        </w:rPr>
        <w:t>的确定条件</w:t>
      </w:r>
      <w:r>
        <w:rPr>
          <w:rStyle w:val="15"/>
          <w:rFonts w:hint="eastAsia" w:ascii="Times New Roman" w:hAnsi="Times New Roman" w:cs="Times New Roman"/>
          <w:i/>
          <w:iCs/>
          <w:sz w:val="24"/>
          <w:szCs w:val="24"/>
        </w:rPr>
        <w:t>确认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_Toc97322913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CF76B9">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"_Toc97322914" </w:instrText>
      </w:r>
      <w:r>
        <w:fldChar w:fldCharType="separate"/>
      </w:r>
      <w:r>
        <w:rPr>
          <w:rStyle w:val="15"/>
          <w:rFonts w:ascii="Times New Roman" w:hAnsi="Times New Roman" w:cs="Times New Roman"/>
          <w:i/>
          <w:iCs/>
          <w:sz w:val="24"/>
          <w:szCs w:val="24"/>
        </w:rPr>
        <w:t>4.</w:t>
      </w:r>
      <w:r>
        <w:rPr>
          <w:rFonts w:ascii="Times New Roman" w:hAnsi="Times New Roman" w:cs="Times New Roman"/>
          <w:sz w:val="24"/>
          <w:szCs w:val="24"/>
        </w:rPr>
        <w:tab/>
      </w:r>
      <w:r>
        <w:rPr>
          <w:rStyle w:val="15"/>
          <w:rFonts w:ascii="Times New Roman" w:hAnsi="Times New Roman" w:cs="Times New Roman"/>
          <w:i/>
          <w:iCs/>
          <w:sz w:val="24"/>
          <w:szCs w:val="24"/>
        </w:rPr>
        <w:t>组合产品器械组成部分的既定条件</w:t>
      </w:r>
      <w:r>
        <w:rPr>
          <w:rStyle w:val="15"/>
          <w:rFonts w:hint="eastAsia" w:ascii="Times New Roman" w:hAnsi="Times New Roman" w:cs="Times New Roman"/>
          <w:i/>
          <w:iCs/>
          <w:sz w:val="24"/>
          <w:szCs w:val="24"/>
        </w:rPr>
        <w:t>确认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_Toc97322914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0A77F1">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"_Toc97322915" </w:instrText>
      </w:r>
      <w:r>
        <w:fldChar w:fldCharType="separate"/>
      </w:r>
      <w:r>
        <w:rPr>
          <w:rStyle w:val="15"/>
          <w:rFonts w:ascii="Times New Roman" w:hAnsi="Times New Roman" w:cs="Times New Roman"/>
          <w:i/>
          <w:iCs/>
          <w:sz w:val="24"/>
          <w:szCs w:val="24"/>
        </w:rPr>
        <w:t>5.</w:t>
      </w:r>
      <w:r>
        <w:rPr>
          <w:rFonts w:ascii="Times New Roman" w:hAnsi="Times New Roman" w:cs="Times New Roman"/>
          <w:sz w:val="24"/>
          <w:szCs w:val="24"/>
        </w:rPr>
        <w:tab/>
      </w:r>
      <w:r>
        <w:rPr>
          <w:rStyle w:val="15"/>
          <w:rFonts w:ascii="Times New Roman" w:hAnsi="Times New Roman" w:cs="Times New Roman"/>
          <w:i/>
          <w:iCs/>
          <w:sz w:val="24"/>
          <w:szCs w:val="24"/>
        </w:rPr>
        <w:t>经批准的</w:t>
      </w:r>
      <w:r>
        <w:rPr>
          <w:rStyle w:val="15"/>
          <w:rFonts w:hint="eastAsia" w:ascii="Times New Roman" w:hAnsi="Times New Roman" w:cs="Times New Roman"/>
          <w:i/>
          <w:iCs/>
          <w:sz w:val="24"/>
          <w:szCs w:val="24"/>
        </w:rPr>
        <w:t>既定</w:t>
      </w:r>
      <w:r>
        <w:rPr>
          <w:rStyle w:val="15"/>
          <w:rFonts w:ascii="Times New Roman" w:hAnsi="Times New Roman" w:cs="Times New Roman"/>
          <w:i/>
          <w:iCs/>
          <w:sz w:val="24"/>
          <w:szCs w:val="24"/>
        </w:rPr>
        <w:t>条件变更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_Toc97322915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A81F21">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"_Toc97322916" </w:instrText>
      </w:r>
      <w:r>
        <w:fldChar w:fldCharType="separate"/>
      </w:r>
      <w:r>
        <w:rPr>
          <w:rStyle w:val="15"/>
          <w:rFonts w:ascii="Times New Roman" w:hAnsi="Times New Roman" w:cs="Times New Roman"/>
          <w:i/>
          <w:iCs/>
          <w:sz w:val="24"/>
          <w:szCs w:val="24"/>
        </w:rPr>
        <w:t>6.</w:t>
      </w:r>
      <w:r>
        <w:rPr>
          <w:rFonts w:ascii="Times New Roman" w:hAnsi="Times New Roman" w:cs="Times New Roman"/>
          <w:sz w:val="24"/>
          <w:szCs w:val="24"/>
        </w:rPr>
        <w:tab/>
      </w:r>
      <w:r>
        <w:rPr>
          <w:rStyle w:val="15"/>
          <w:rFonts w:ascii="Times New Roman" w:hAnsi="Times New Roman" w:cs="Times New Roman"/>
          <w:i/>
          <w:iCs/>
          <w:sz w:val="24"/>
          <w:szCs w:val="24"/>
        </w:rPr>
        <w:t>根据已批准的</w:t>
      </w:r>
      <w:r>
        <w:rPr>
          <w:rStyle w:val="15"/>
          <w:rFonts w:hint="eastAsia" w:ascii="Times New Roman" w:hAnsi="Times New Roman" w:cs="Times New Roman"/>
          <w:i/>
          <w:iCs/>
          <w:sz w:val="24"/>
          <w:szCs w:val="24"/>
        </w:rPr>
        <w:t>既定</w:t>
      </w:r>
      <w:r>
        <w:rPr>
          <w:rStyle w:val="15"/>
          <w:rFonts w:ascii="Times New Roman" w:hAnsi="Times New Roman" w:cs="Times New Roman"/>
          <w:i/>
          <w:iCs/>
          <w:sz w:val="24"/>
          <w:szCs w:val="24"/>
        </w:rPr>
        <w:t>条件提交的批准后</w:t>
      </w:r>
      <w:r>
        <w:rPr>
          <w:rStyle w:val="15"/>
          <w:rFonts w:hint="eastAsia" w:ascii="Times New Roman" w:hAnsi="Times New Roman" w:cs="Times New Roman"/>
          <w:i/>
          <w:iCs/>
          <w:sz w:val="24"/>
          <w:szCs w:val="24"/>
        </w:rPr>
        <w:t>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_Toc97322916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BF393C">
      <w:pPr>
        <w:pStyle w:val="3"/>
        <w:tabs>
          <w:tab w:val="left" w:pos="1260"/>
          <w:tab w:val="right" w:leader="dot" w:pos="9628"/>
        </w:tabs>
        <w:rPr>
          <w:rFonts w:ascii="Times New Roman" w:hAnsi="Times New Roman" w:cs="Times New Roman"/>
          <w:sz w:val="24"/>
          <w:szCs w:val="24"/>
        </w:rPr>
      </w:pPr>
      <w:r>
        <w:fldChar w:fldCharType="begin"/>
      </w:r>
      <w:r>
        <w:instrText xml:space="preserve"> HYPERLINK \l "_Toc97322917" </w:instrText>
      </w:r>
      <w:r>
        <w:fldChar w:fldCharType="separate"/>
      </w:r>
      <w:r>
        <w:rPr>
          <w:rStyle w:val="15"/>
          <w:rFonts w:ascii="Times New Roman" w:hAnsi="Times New Roman" w:cs="Times New Roman"/>
          <w:i/>
          <w:iCs/>
          <w:sz w:val="24"/>
          <w:szCs w:val="24"/>
        </w:rPr>
        <w:t>7.</w:t>
      </w:r>
      <w:r>
        <w:rPr>
          <w:rFonts w:ascii="Times New Roman" w:hAnsi="Times New Roman" w:cs="Times New Roman"/>
          <w:sz w:val="24"/>
          <w:szCs w:val="24"/>
        </w:rPr>
        <w:tab/>
      </w:r>
      <w:r>
        <w:rPr>
          <w:rStyle w:val="15"/>
          <w:rFonts w:ascii="Times New Roman" w:hAnsi="Times New Roman" w:cs="Times New Roman"/>
          <w:i/>
          <w:iCs/>
          <w:sz w:val="24"/>
          <w:szCs w:val="24"/>
        </w:rPr>
        <w:t>申请</w:t>
      </w:r>
      <w:r>
        <w:rPr>
          <w:rStyle w:val="15"/>
          <w:rFonts w:hint="eastAsia" w:ascii="Times New Roman" w:hAnsi="Times New Roman" w:cs="Times New Roman"/>
          <w:i/>
          <w:iCs/>
          <w:sz w:val="24"/>
          <w:szCs w:val="24"/>
        </w:rPr>
        <w:t>的维护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_Toc97322917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03A391">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"_Toc97322918" </w:instrText>
      </w:r>
      <w:r>
        <w:fldChar w:fldCharType="separate"/>
      </w:r>
      <w:r>
        <w:rPr>
          <w:rStyle w:val="15"/>
          <w:rFonts w:ascii="Times New Roman" w:hAnsi="Times New Roman" w:cs="Times New Roman"/>
          <w:b/>
          <w:bCs/>
          <w:sz w:val="24"/>
          <w:szCs w:val="24"/>
        </w:rPr>
        <w:t>D.</w:t>
      </w:r>
      <w:r>
        <w:rPr>
          <w:rFonts w:ascii="Times New Roman" w:hAnsi="Times New Roman" w:cs="Times New Roman"/>
          <w:sz w:val="24"/>
          <w:szCs w:val="24"/>
        </w:rPr>
        <w:tab/>
      </w:r>
      <w:r>
        <w:rPr>
          <w:rStyle w:val="15"/>
          <w:rFonts w:ascii="Times New Roman" w:hAnsi="Times New Roman" w:cs="Times New Roman"/>
          <w:b/>
          <w:bCs/>
          <w:sz w:val="24"/>
          <w:szCs w:val="24"/>
        </w:rPr>
        <w:t>批准后变更管理方案</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_Toc97322918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A6B350">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"_Toc97322919" </w:instrText>
      </w:r>
      <w:r>
        <w:fldChar w:fldCharType="separate"/>
      </w:r>
      <w:r>
        <w:rPr>
          <w:rStyle w:val="15"/>
          <w:rFonts w:ascii="Times New Roman" w:hAnsi="Times New Roman" w:cs="Times New Roman"/>
          <w:b/>
          <w:bCs/>
          <w:sz w:val="24"/>
          <w:szCs w:val="24"/>
        </w:rPr>
        <w:t>E.</w:t>
      </w:r>
      <w:r>
        <w:rPr>
          <w:rFonts w:ascii="Times New Roman" w:hAnsi="Times New Roman" w:cs="Times New Roman"/>
          <w:sz w:val="24"/>
          <w:szCs w:val="24"/>
        </w:rPr>
        <w:tab/>
      </w:r>
      <w:r>
        <w:rPr>
          <w:rStyle w:val="15"/>
          <w:rFonts w:ascii="Times New Roman" w:hAnsi="Times New Roman" w:cs="Times New Roman"/>
          <w:b/>
          <w:bCs/>
          <w:sz w:val="24"/>
          <w:szCs w:val="24"/>
        </w:rPr>
        <w:t>产品生命周期管理文档</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_Toc97322919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39E266">
      <w:pPr>
        <w:pStyle w:val="9"/>
        <w:tabs>
          <w:tab w:val="left" w:pos="840"/>
          <w:tab w:val="right" w:leader="dot" w:pos="9628"/>
        </w:tabs>
        <w:rPr>
          <w:rFonts w:ascii="Times New Roman" w:hAnsi="Times New Roman" w:cs="Times New Roman"/>
          <w:sz w:val="24"/>
          <w:szCs w:val="24"/>
        </w:rPr>
      </w:pPr>
      <w:r>
        <w:fldChar w:fldCharType="begin"/>
      </w:r>
      <w:r>
        <w:instrText xml:space="preserve"> HYPERLINK \l "_Toc97322920" </w:instrText>
      </w:r>
      <w:r>
        <w:fldChar w:fldCharType="separate"/>
      </w:r>
      <w:r>
        <w:rPr>
          <w:rStyle w:val="15"/>
          <w:rFonts w:ascii="Times New Roman" w:hAnsi="Times New Roman" w:cs="Times New Roman"/>
          <w:b/>
          <w:bCs/>
          <w:sz w:val="24"/>
          <w:szCs w:val="24"/>
        </w:rPr>
        <w:t>F.</w:t>
      </w:r>
      <w:r>
        <w:rPr>
          <w:rFonts w:ascii="Times New Roman" w:hAnsi="Times New Roman" w:cs="Times New Roman"/>
          <w:sz w:val="24"/>
          <w:szCs w:val="24"/>
        </w:rPr>
        <w:tab/>
      </w:r>
      <w:r>
        <w:rPr>
          <w:rStyle w:val="15"/>
          <w:rFonts w:ascii="Times New Roman" w:hAnsi="Times New Roman" w:cs="Times New Roman"/>
          <w:b/>
          <w:bCs/>
          <w:sz w:val="24"/>
          <w:szCs w:val="24"/>
        </w:rPr>
        <w:t>药</w:t>
      </w:r>
      <w:r>
        <w:rPr>
          <w:rStyle w:val="15"/>
          <w:rFonts w:hint="eastAsia" w:ascii="Times New Roman" w:hAnsi="Times New Roman" w:cs="Times New Roman"/>
          <w:b/>
          <w:bCs/>
          <w:sz w:val="24"/>
          <w:szCs w:val="24"/>
        </w:rPr>
        <w:t>品</w:t>
      </w:r>
      <w:r>
        <w:rPr>
          <w:rStyle w:val="15"/>
          <w:rFonts w:ascii="Times New Roman" w:hAnsi="Times New Roman" w:cs="Times New Roman"/>
          <w:b/>
          <w:bCs/>
          <w:sz w:val="24"/>
          <w:szCs w:val="24"/>
        </w:rPr>
        <w:t>质量体系和变更管理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_Toc97322920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3AF30D5">
      <w:pPr>
        <w:pStyle w:val="9"/>
        <w:tabs>
          <w:tab w:val="left" w:pos="1050"/>
          <w:tab w:val="right" w:leader="dot" w:pos="9628"/>
        </w:tabs>
        <w:rPr>
          <w:rFonts w:ascii="Times New Roman" w:hAnsi="Times New Roman" w:cs="Times New Roman"/>
          <w:sz w:val="24"/>
          <w:szCs w:val="24"/>
        </w:rPr>
      </w:pPr>
      <w:r>
        <w:fldChar w:fldCharType="begin"/>
      </w:r>
      <w:r>
        <w:instrText xml:space="preserve"> HYPERLINK \l "_Toc97322921" </w:instrText>
      </w:r>
      <w:r>
        <w:fldChar w:fldCharType="separate"/>
      </w:r>
      <w:r>
        <w:rPr>
          <w:rStyle w:val="15"/>
          <w:rFonts w:ascii="Times New Roman" w:hAnsi="Times New Roman" w:cs="Times New Roman"/>
          <w:b/>
          <w:bCs/>
          <w:sz w:val="24"/>
          <w:szCs w:val="24"/>
        </w:rPr>
        <w:t>G.</w:t>
      </w:r>
      <w:r>
        <w:rPr>
          <w:rFonts w:ascii="Times New Roman" w:hAnsi="Times New Roman" w:cs="Times New Roman"/>
          <w:sz w:val="24"/>
          <w:szCs w:val="24"/>
        </w:rPr>
        <w:tab/>
      </w:r>
      <w:r>
        <w:rPr>
          <w:rStyle w:val="15"/>
          <w:rFonts w:ascii="Times New Roman" w:hAnsi="Times New Roman" w:cs="Times New Roman"/>
          <w:b/>
          <w:bCs/>
          <w:sz w:val="24"/>
          <w:szCs w:val="24"/>
        </w:rPr>
        <w:t>监管</w:t>
      </w:r>
      <w:r>
        <w:rPr>
          <w:rStyle w:val="15"/>
          <w:rFonts w:hint="eastAsia" w:ascii="Times New Roman" w:hAnsi="Times New Roman" w:cs="Times New Roman"/>
          <w:b/>
          <w:bCs/>
          <w:sz w:val="24"/>
          <w:szCs w:val="24"/>
        </w:rPr>
        <w:t>评估</w:t>
      </w:r>
      <w:r>
        <w:rPr>
          <w:rStyle w:val="15"/>
          <w:rFonts w:ascii="Times New Roman" w:hAnsi="Times New Roman" w:cs="Times New Roman"/>
          <w:b/>
          <w:bCs/>
          <w:sz w:val="24"/>
          <w:szCs w:val="24"/>
        </w:rPr>
        <w:t>与检查的关系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_Toc97322921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2F123AF">
      <w:pPr>
        <w:pStyle w:val="9"/>
        <w:tabs>
          <w:tab w:val="left" w:pos="1050"/>
          <w:tab w:val="right" w:leader="dot" w:pos="9628"/>
        </w:tabs>
        <w:rPr>
          <w:rFonts w:ascii="Times New Roman" w:hAnsi="Times New Roman" w:cs="Times New Roman"/>
          <w:sz w:val="24"/>
          <w:szCs w:val="24"/>
        </w:rPr>
      </w:pPr>
      <w:r>
        <w:fldChar w:fldCharType="begin"/>
      </w:r>
      <w:r>
        <w:instrText xml:space="preserve"> HYPERLINK \l "_Toc97322922" </w:instrText>
      </w:r>
      <w:r>
        <w:fldChar w:fldCharType="separate"/>
      </w:r>
      <w:r>
        <w:rPr>
          <w:rStyle w:val="15"/>
          <w:rFonts w:ascii="Times New Roman" w:hAnsi="Times New Roman" w:cs="Times New Roman"/>
          <w:b/>
          <w:bCs/>
          <w:sz w:val="24"/>
          <w:szCs w:val="24"/>
        </w:rPr>
        <w:t>H.</w:t>
      </w:r>
      <w:r>
        <w:rPr>
          <w:rFonts w:ascii="Times New Roman" w:hAnsi="Times New Roman" w:cs="Times New Roman"/>
          <w:sz w:val="24"/>
          <w:szCs w:val="24"/>
        </w:rPr>
        <w:tab/>
      </w:r>
      <w:r>
        <w:rPr>
          <w:rStyle w:val="15"/>
          <w:rFonts w:ascii="Times New Roman" w:hAnsi="Times New Roman" w:cs="Times New Roman"/>
          <w:b/>
          <w:bCs/>
          <w:sz w:val="24"/>
          <w:szCs w:val="24"/>
        </w:rPr>
        <w:t>批准后</w:t>
      </w:r>
      <w:r>
        <w:rPr>
          <w:rStyle w:val="15"/>
          <w:rFonts w:hint="eastAsia" w:ascii="Times New Roman" w:hAnsi="Times New Roman" w:cs="Times New Roman"/>
          <w:b/>
          <w:bCs/>
          <w:sz w:val="24"/>
          <w:szCs w:val="24"/>
        </w:rPr>
        <w:t>C</w:t>
      </w:r>
      <w:r>
        <w:rPr>
          <w:rStyle w:val="15"/>
          <w:rFonts w:ascii="Times New Roman" w:hAnsi="Times New Roman" w:cs="Times New Roman"/>
          <w:b/>
          <w:bCs/>
          <w:sz w:val="24"/>
          <w:szCs w:val="24"/>
        </w:rPr>
        <w:t>MC频繁变更的结构化方法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_Toc97322922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F2D547">
      <w:pPr>
        <w:pStyle w:val="7"/>
        <w:rPr>
          <w:b w:val="0"/>
        </w:rPr>
      </w:pPr>
      <w:r>
        <w:fldChar w:fldCharType="begin"/>
      </w:r>
      <w:r>
        <w:instrText xml:space="preserve"> HYPERLINK \l "_Toc97322923" </w:instrText>
      </w:r>
      <w:r>
        <w:fldChar w:fldCharType="separate"/>
      </w:r>
      <w:r>
        <w:rPr>
          <w:rStyle w:val="15"/>
          <w:bCs/>
        </w:rPr>
        <w:t>附录A .具有器械组成部分的组合产品既定条件</w:t>
      </w:r>
      <w:r>
        <w:tab/>
      </w:r>
      <w:r>
        <w:fldChar w:fldCharType="begin"/>
      </w:r>
      <w:r>
        <w:instrText xml:space="preserve"> PAGEREF _Toc97322923 \h </w:instrText>
      </w:r>
      <w:r>
        <w:fldChar w:fldCharType="separate"/>
      </w:r>
      <w:r>
        <w:t>11</w:t>
      </w:r>
      <w:r>
        <w:fldChar w:fldCharType="end"/>
      </w:r>
      <w:r>
        <w:fldChar w:fldCharType="end"/>
      </w:r>
    </w:p>
    <w:p w14:paraId="79ECE36D">
      <w:pPr>
        <w:pStyle w:val="7"/>
        <w:rPr>
          <w:b w:val="0"/>
        </w:rPr>
      </w:pPr>
      <w:r>
        <w:fldChar w:fldCharType="begin"/>
      </w:r>
      <w:r>
        <w:instrText xml:space="preserve"> HYPERLINK \l "_Toc97322924" </w:instrText>
      </w:r>
      <w:r>
        <w:fldChar w:fldCharType="separate"/>
      </w:r>
      <w:r>
        <w:rPr>
          <w:rStyle w:val="15"/>
          <w:bCs/>
        </w:rPr>
        <w:t>附录B .用于</w:t>
      </w:r>
      <w:r>
        <w:rPr>
          <w:rStyle w:val="15"/>
          <w:rFonts w:hint="eastAsia"/>
          <w:bCs/>
        </w:rPr>
        <w:t>确认</w:t>
      </w:r>
      <w:r>
        <w:rPr>
          <w:rStyle w:val="15"/>
          <w:bCs/>
        </w:rPr>
        <w:t>器械组成部分的既定条件和报告类别的决策树</w:t>
      </w:r>
      <w:r>
        <w:tab/>
      </w:r>
      <w:r>
        <w:fldChar w:fldCharType="begin"/>
      </w:r>
      <w:r>
        <w:instrText xml:space="preserve"> PAGEREF _Toc97322924 \h </w:instrText>
      </w:r>
      <w:r>
        <w:fldChar w:fldCharType="separate"/>
      </w:r>
      <w:r>
        <w:t>12</w:t>
      </w:r>
      <w:r>
        <w:fldChar w:fldCharType="end"/>
      </w:r>
      <w:r>
        <w:fldChar w:fldCharType="end"/>
      </w:r>
    </w:p>
    <w:p w14:paraId="0FDDB640">
      <w:pPr>
        <w:pStyle w:val="7"/>
        <w:rPr>
          <w:b w:val="0"/>
        </w:rPr>
      </w:pPr>
      <w:r>
        <w:fldChar w:fldCharType="begin"/>
      </w:r>
      <w:r>
        <w:instrText xml:space="preserve"> HYPERLINK \l "_Toc97322925" </w:instrText>
      </w:r>
      <w:r>
        <w:fldChar w:fldCharType="separate"/>
      </w:r>
      <w:r>
        <w:rPr>
          <w:rStyle w:val="15"/>
          <w:bCs/>
        </w:rPr>
        <w:t>附录C .产品生命周期管理文档示例</w:t>
      </w:r>
      <w:r>
        <w:tab/>
      </w:r>
      <w:r>
        <w:fldChar w:fldCharType="begin"/>
      </w:r>
      <w:r>
        <w:instrText xml:space="preserve"> PAGEREF _Toc97322925 \h </w:instrText>
      </w:r>
      <w:r>
        <w:fldChar w:fldCharType="separate"/>
      </w:r>
      <w:r>
        <w:t>13</w:t>
      </w:r>
      <w:r>
        <w:fldChar w:fldCharType="end"/>
      </w:r>
      <w:r>
        <w:fldChar w:fldCharType="end"/>
      </w:r>
    </w:p>
    <w:p w14:paraId="47A56D39">
      <w:pPr>
        <w:spacing w:before="156" w:beforeLines="50" w:after="156" w:afterLines="50"/>
        <w:rPr>
          <w:rFonts w:ascii="Times New Roman" w:hAnsi="Times New Roman" w:cs="Times New Roman"/>
          <w:szCs w:val="15"/>
        </w:rPr>
      </w:pPr>
      <w:r>
        <w:rPr>
          <w:rFonts w:ascii="Times New Roman" w:hAnsi="Times New Roman" w:cs="Times New Roman"/>
          <w:b/>
          <w:sz w:val="24"/>
          <w:szCs w:val="24"/>
        </w:rPr>
        <w:fldChar w:fldCharType="end"/>
      </w:r>
    </w:p>
    <w:p w14:paraId="305BF17C">
      <w:pPr>
        <w:spacing w:before="156" w:beforeLines="50" w:after="156" w:afterLines="50"/>
        <w:rPr>
          <w:rFonts w:ascii="Times New Roman" w:hAnsi="Times New Roman" w:cs="Times New Roman"/>
          <w:szCs w:val="15"/>
        </w:rPr>
        <w:sectPr>
          <w:headerReference r:id="rId7" w:type="default"/>
          <w:pgSz w:w="11906" w:h="16838"/>
          <w:pgMar w:top="1134" w:right="1134" w:bottom="1134" w:left="1134" w:header="851" w:footer="992" w:gutter="0"/>
          <w:cols w:space="425" w:num="1"/>
          <w:docGrid w:type="lines" w:linePitch="312" w:charSpace="0"/>
        </w:sectPr>
      </w:pPr>
    </w:p>
    <w:p w14:paraId="524BEA5A">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ICH Q12：FDA监管产品的实施注意事项</w:t>
      </w:r>
    </w:p>
    <w:p w14:paraId="456A6366">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行业指南</w:t>
      </w:r>
      <w:r>
        <w:rPr>
          <w:rStyle w:val="17"/>
          <w:rFonts w:ascii="Times New Roman" w:hAnsi="Times New Roman" w:cs="Times New Roman"/>
          <w:b/>
          <w:bCs/>
          <w:sz w:val="32"/>
          <w:szCs w:val="32"/>
        </w:rPr>
        <w:footnoteReference w:id="0"/>
      </w:r>
    </w:p>
    <w:tbl>
      <w:tblPr>
        <w:tblStyle w:val="32"/>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ACA2F9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D741EB1">
            <w:pPr>
              <w:spacing w:before="156" w:beforeLines="50" w:after="156" w:afterLines="50"/>
              <w:rPr>
                <w:rFonts w:ascii="Times New Roman" w:hAnsi="Times New Roman" w:cs="Times New Roman"/>
                <w:sz w:val="24"/>
                <w:szCs w:val="24"/>
              </w:rPr>
            </w:pPr>
            <w:r>
              <w:rPr>
                <w:b/>
                <w:i/>
                <w:sz w:val="24"/>
              </w:rPr>
              <w:t>本指南代表美国食品药品监督管理局（FDA）对该主题的当前看法。本文件不赋予任何人任何权利，对FDA或公众不具有约束力。如果替代方法满足</w:t>
            </w:r>
            <w:commentRangeStart w:id="1"/>
            <w:r>
              <w:rPr>
                <w:b/>
                <w:i/>
                <w:sz w:val="24"/>
              </w:rPr>
              <w:t>适用</w:t>
            </w:r>
            <w:r>
              <w:rPr>
                <w:rFonts w:hint="eastAsia"/>
                <w:b/>
                <w:i/>
                <w:sz w:val="24"/>
              </w:rPr>
              <w:t>的情形和</w:t>
            </w:r>
            <w:r>
              <w:rPr>
                <w:b/>
                <w:i/>
                <w:sz w:val="24"/>
              </w:rPr>
              <w:t>法规</w:t>
            </w:r>
            <w:commentRangeEnd w:id="1"/>
            <w:r>
              <w:rPr>
                <w:rStyle w:val="16"/>
              </w:rPr>
              <w:commentReference w:id="1"/>
            </w:r>
            <w:r>
              <w:rPr>
                <w:b/>
                <w:i/>
                <w:sz w:val="24"/>
              </w:rPr>
              <w:t>的要求，则贵司可使用替代方法。如需讨论替代方法，请联系标题页所列负责本指南的FDA工作人员或办公室</w:t>
            </w:r>
            <w:r>
              <w:rPr>
                <w:b/>
                <w:i/>
                <w:sz w:val="24"/>
                <w:szCs w:val="24"/>
              </w:rPr>
              <w:t>。</w:t>
            </w:r>
          </w:p>
        </w:tc>
      </w:tr>
    </w:tbl>
    <w:p w14:paraId="09906BAE">
      <w:pPr>
        <w:spacing w:before="156" w:beforeLines="50" w:after="156" w:afterLines="50"/>
        <w:ind w:left="565" w:hanging="565" w:hangingChars="201"/>
        <w:outlineLvl w:val="0"/>
        <w:rPr>
          <w:rFonts w:ascii="Times New Roman" w:hAnsi="Times New Roman" w:cs="Times New Roman"/>
          <w:b/>
          <w:sz w:val="28"/>
          <w:szCs w:val="28"/>
        </w:rPr>
      </w:pPr>
      <w:bookmarkStart w:id="0" w:name="_Toc97322906"/>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047FB20E">
      <w:pPr>
        <w:spacing w:before="156" w:beforeLines="50" w:after="156" w:afterLines="50"/>
        <w:rPr>
          <w:rStyle w:val="14"/>
          <w:sz w:val="24"/>
          <w:szCs w:val="24"/>
        </w:rPr>
      </w:pPr>
      <w:r>
        <w:rPr>
          <w:rStyle w:val="14"/>
          <w:sz w:val="24"/>
          <w:szCs w:val="24"/>
        </w:rPr>
        <w:t>国际</w:t>
      </w:r>
      <w:r>
        <w:rPr>
          <w:rStyle w:val="14"/>
          <w:rFonts w:hint="eastAsia"/>
          <w:sz w:val="24"/>
          <w:szCs w:val="24"/>
        </w:rPr>
        <w:t>人用药品注册技术要求</w:t>
      </w:r>
      <w:r>
        <w:rPr>
          <w:rStyle w:val="14"/>
          <w:sz w:val="24"/>
          <w:szCs w:val="24"/>
        </w:rPr>
        <w:t>协调会（ICH）</w:t>
      </w:r>
      <w:r>
        <w:rPr>
          <w:rStyle w:val="14"/>
          <w:rFonts w:hint="eastAsia"/>
          <w:sz w:val="24"/>
          <w:szCs w:val="24"/>
        </w:rPr>
        <w:t>行业指导原则</w:t>
      </w:r>
      <w:r>
        <w:rPr>
          <w:rStyle w:val="14"/>
          <w:i/>
          <w:iCs/>
          <w:sz w:val="24"/>
          <w:szCs w:val="24"/>
        </w:rPr>
        <w:t>Q12药品生命周期管理技术和监管考虑</w:t>
      </w:r>
      <w:r>
        <w:rPr>
          <w:rStyle w:val="14"/>
          <w:rFonts w:hint="eastAsia"/>
          <w:sz w:val="24"/>
          <w:szCs w:val="24"/>
        </w:rPr>
        <w:t>及其</w:t>
      </w:r>
      <w:r>
        <w:rPr>
          <w:rStyle w:val="14"/>
          <w:i/>
          <w:iCs/>
          <w:sz w:val="24"/>
          <w:szCs w:val="24"/>
        </w:rPr>
        <w:t>附件</w:t>
      </w:r>
      <w:r>
        <w:rPr>
          <w:rStyle w:val="14"/>
          <w:sz w:val="24"/>
          <w:szCs w:val="24"/>
        </w:rPr>
        <w:t>（</w:t>
      </w:r>
      <w:r>
        <w:rPr>
          <w:rStyle w:val="14"/>
          <w:rFonts w:hint="eastAsia"/>
          <w:sz w:val="24"/>
          <w:szCs w:val="24"/>
        </w:rPr>
        <w:t>I</w:t>
      </w:r>
      <w:r>
        <w:rPr>
          <w:rStyle w:val="14"/>
          <w:sz w:val="24"/>
          <w:szCs w:val="24"/>
        </w:rPr>
        <w:t>CH Q12</w:t>
      </w:r>
      <w:r>
        <w:rPr>
          <w:rStyle w:val="14"/>
          <w:rFonts w:hint="eastAsia"/>
          <w:sz w:val="24"/>
          <w:szCs w:val="24"/>
        </w:rPr>
        <w:t>，</w:t>
      </w:r>
      <w:r>
        <w:rPr>
          <w:rStyle w:val="14"/>
          <w:sz w:val="24"/>
          <w:szCs w:val="24"/>
        </w:rPr>
        <w:t>2021年5月）提供了一个框架，以一种更可预测和更有效的方式促进批准后化学、制造、和控制（CMC）</w:t>
      </w:r>
      <w:r>
        <w:rPr>
          <w:rStyle w:val="14"/>
          <w:rFonts w:hint="eastAsia"/>
          <w:sz w:val="24"/>
          <w:szCs w:val="24"/>
        </w:rPr>
        <w:t>变更</w:t>
      </w:r>
      <w:r>
        <w:rPr>
          <w:rStyle w:val="14"/>
          <w:sz w:val="24"/>
          <w:szCs w:val="24"/>
        </w:rPr>
        <w:t>的管理。</w:t>
      </w:r>
      <w:r>
        <w:rPr>
          <w:rStyle w:val="17"/>
          <w:rFonts w:ascii="Times New Roman" w:hAnsi="Times New Roman" w:cs="Times New Roman"/>
          <w:sz w:val="24"/>
          <w:szCs w:val="24"/>
        </w:rPr>
        <w:footnoteReference w:id="1"/>
      </w:r>
      <w:r>
        <w:rPr>
          <w:rStyle w:val="14"/>
          <w:rFonts w:hint="eastAsia"/>
          <w:sz w:val="24"/>
          <w:szCs w:val="24"/>
        </w:rPr>
        <w:t>I</w:t>
      </w:r>
      <w:r>
        <w:rPr>
          <w:rStyle w:val="14"/>
          <w:sz w:val="24"/>
          <w:szCs w:val="24"/>
        </w:rPr>
        <w:t>CH Q12包括与相关指导原则相关的监管工具和</w:t>
      </w:r>
      <w:r>
        <w:rPr>
          <w:rStyle w:val="14"/>
          <w:rFonts w:hint="eastAsia"/>
          <w:sz w:val="24"/>
          <w:szCs w:val="24"/>
        </w:rPr>
        <w:t>实现方法</w:t>
      </w:r>
      <w:r>
        <w:rPr>
          <w:rStyle w:val="14"/>
          <w:sz w:val="24"/>
          <w:szCs w:val="24"/>
        </w:rPr>
        <w:t>，该指导原则应增强行业管理批准后变更的能力，并提高行业与FDA之间的透明度，支持创新和持续改进。</w:t>
      </w:r>
    </w:p>
    <w:p w14:paraId="31DE6D46">
      <w:pPr>
        <w:spacing w:before="156" w:beforeLines="50" w:after="156" w:afterLines="50"/>
        <w:rPr>
          <w:rStyle w:val="14"/>
          <w:sz w:val="24"/>
          <w:szCs w:val="24"/>
        </w:rPr>
      </w:pPr>
      <w:r>
        <w:rPr>
          <w:rStyle w:val="14"/>
          <w:sz w:val="24"/>
          <w:szCs w:val="24"/>
        </w:rPr>
        <w:t>本指南应与</w:t>
      </w:r>
      <w:r>
        <w:rPr>
          <w:rStyle w:val="14"/>
          <w:rFonts w:hint="eastAsia"/>
          <w:sz w:val="24"/>
          <w:szCs w:val="24"/>
        </w:rPr>
        <w:t>I</w:t>
      </w:r>
      <w:r>
        <w:rPr>
          <w:rStyle w:val="14"/>
          <w:sz w:val="24"/>
          <w:szCs w:val="24"/>
        </w:rPr>
        <w:t>CH Q12一起阅读，通过阐明ICH Q12工具和使能器在美国监管体系内的实施方法以补充ICH Q12。本指南适用于作为新药申请（NDAs）、生物制品许可申请（BLAs）、简化新药申请（ANDAs）的</w:t>
      </w:r>
      <w:r>
        <w:rPr>
          <w:rStyle w:val="14"/>
          <w:rFonts w:hint="eastAsia"/>
          <w:sz w:val="24"/>
          <w:szCs w:val="24"/>
        </w:rPr>
        <w:t>申报</w:t>
      </w:r>
      <w:r>
        <w:rPr>
          <w:rStyle w:val="14"/>
          <w:sz w:val="24"/>
          <w:szCs w:val="24"/>
        </w:rPr>
        <w:t>原料药和制剂</w:t>
      </w:r>
      <w:r>
        <w:rPr>
          <w:rStyle w:val="17"/>
          <w:rFonts w:ascii="Times New Roman" w:hAnsi="Times New Roman" w:cs="Times New Roman"/>
          <w:sz w:val="24"/>
          <w:szCs w:val="24"/>
        </w:rPr>
        <w:footnoteReference w:id="2"/>
      </w:r>
      <w:r>
        <w:rPr>
          <w:rStyle w:val="14"/>
          <w:sz w:val="24"/>
          <w:szCs w:val="24"/>
        </w:rPr>
        <w:t>以及由药物评估和研究中心（CDER）和生物制品评估和研究中心（CBER）监管的</w:t>
      </w:r>
      <w:r>
        <w:rPr>
          <w:rStyle w:val="14"/>
          <w:rFonts w:hint="eastAsia"/>
          <w:sz w:val="24"/>
          <w:szCs w:val="24"/>
        </w:rPr>
        <w:t>申请</w:t>
      </w:r>
      <w:r>
        <w:rPr>
          <w:rStyle w:val="14"/>
          <w:sz w:val="24"/>
          <w:szCs w:val="24"/>
        </w:rPr>
        <w:t>补充资料。本指南同样适用于</w:t>
      </w:r>
      <w:r>
        <w:rPr>
          <w:rStyle w:val="14"/>
          <w:rFonts w:hint="eastAsia"/>
          <w:sz w:val="24"/>
          <w:szCs w:val="24"/>
        </w:rPr>
        <w:t>含</w:t>
      </w:r>
      <w:r>
        <w:rPr>
          <w:rStyle w:val="14"/>
          <w:sz w:val="24"/>
          <w:szCs w:val="24"/>
        </w:rPr>
        <w:t>器械组成</w:t>
      </w:r>
      <w:r>
        <w:rPr>
          <w:rStyle w:val="14"/>
          <w:rFonts w:hint="eastAsia"/>
          <w:sz w:val="24"/>
          <w:szCs w:val="24"/>
        </w:rPr>
        <w:t>部分</w:t>
      </w:r>
      <w:r>
        <w:rPr>
          <w:rStyle w:val="14"/>
          <w:sz w:val="24"/>
          <w:szCs w:val="24"/>
        </w:rPr>
        <w:t>的组合产品</w:t>
      </w:r>
      <w:r>
        <w:rPr>
          <w:rStyle w:val="17"/>
          <w:rFonts w:ascii="Times New Roman" w:hAnsi="Times New Roman" w:cs="Times New Roman"/>
          <w:sz w:val="24"/>
          <w:szCs w:val="24"/>
        </w:rPr>
        <w:footnoteReference w:id="3"/>
      </w:r>
      <w:r>
        <w:rPr>
          <w:rStyle w:val="14"/>
          <w:sz w:val="24"/>
          <w:szCs w:val="24"/>
        </w:rPr>
        <w:t>，该</w:t>
      </w:r>
      <w:r>
        <w:rPr>
          <w:rStyle w:val="14"/>
          <w:rFonts w:hint="eastAsia"/>
          <w:sz w:val="24"/>
          <w:szCs w:val="24"/>
        </w:rPr>
        <w:t>组成部分</w:t>
      </w:r>
      <w:r>
        <w:rPr>
          <w:rStyle w:val="14"/>
          <w:sz w:val="24"/>
          <w:szCs w:val="24"/>
        </w:rPr>
        <w:t>是新药申请、生物制品许可申请、简化新药申请的</w:t>
      </w:r>
      <w:r>
        <w:rPr>
          <w:rStyle w:val="14"/>
          <w:rFonts w:hint="eastAsia"/>
          <w:sz w:val="24"/>
          <w:szCs w:val="24"/>
        </w:rPr>
        <w:t>申报器械</w:t>
      </w:r>
      <w:r>
        <w:rPr>
          <w:rStyle w:val="14"/>
          <w:sz w:val="24"/>
          <w:szCs w:val="24"/>
        </w:rPr>
        <w:t>，以及CDER和CBER监管的补充</w:t>
      </w:r>
      <w:r>
        <w:rPr>
          <w:rStyle w:val="14"/>
          <w:rFonts w:hint="eastAsia"/>
          <w:sz w:val="24"/>
          <w:szCs w:val="24"/>
        </w:rPr>
        <w:t>申请</w:t>
      </w:r>
      <w:r>
        <w:rPr>
          <w:rStyle w:val="14"/>
          <w:sz w:val="24"/>
          <w:szCs w:val="24"/>
        </w:rPr>
        <w:t>。</w:t>
      </w:r>
    </w:p>
    <w:p w14:paraId="3D12D405">
      <w:pPr>
        <w:spacing w:before="156" w:beforeLines="50" w:after="156" w:afterLines="50"/>
        <w:rPr>
          <w:rStyle w:val="14"/>
          <w:sz w:val="24"/>
          <w:szCs w:val="24"/>
        </w:rPr>
      </w:pPr>
      <w:r>
        <w:rPr>
          <w:rStyle w:val="14"/>
          <w:sz w:val="24"/>
          <w:szCs w:val="24"/>
        </w:rPr>
        <w:t>除非合同中明确规定，否则本文件的内容不具有法律效力，不以任何方式约束公众。本文件仅用于向公众说明法律规定的现有要求。</w:t>
      </w:r>
      <w:r>
        <w:rPr>
          <w:sz w:val="24"/>
          <w:szCs w:val="24"/>
        </w:rPr>
        <w:t>除非引用了具体监管或法定要求，否则应仅视为建议。FDA指南中使用的</w:t>
      </w:r>
      <w:r>
        <w:rPr>
          <w:rFonts w:hint="eastAsia" w:ascii="宋体" w:hAnsi="宋体"/>
          <w:sz w:val="24"/>
          <w:szCs w:val="24"/>
        </w:rPr>
        <w:t>“</w:t>
      </w:r>
      <w:r>
        <w:rPr>
          <w:i/>
          <w:iCs/>
          <w:sz w:val="24"/>
          <w:szCs w:val="24"/>
        </w:rPr>
        <w:t>应该（should）</w:t>
      </w:r>
      <w:r>
        <w:rPr>
          <w:rFonts w:hint="eastAsia" w:ascii="宋体" w:hAnsi="宋体"/>
          <w:sz w:val="24"/>
          <w:szCs w:val="24"/>
        </w:rPr>
        <w:t>”</w:t>
      </w:r>
      <w:r>
        <w:rPr>
          <w:sz w:val="24"/>
          <w:szCs w:val="24"/>
        </w:rPr>
        <w:t>一词指建议或推荐进行某一事项，并非强制要求。</w:t>
      </w:r>
    </w:p>
    <w:p w14:paraId="7BDF3344">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3CBEB881">
      <w:pPr>
        <w:spacing w:before="156" w:beforeLines="50" w:after="156" w:afterLines="50"/>
        <w:ind w:left="565" w:hanging="565" w:hangingChars="201"/>
        <w:outlineLvl w:val="0"/>
        <w:rPr>
          <w:rFonts w:ascii="Times New Roman" w:hAnsi="Times New Roman" w:cs="Times New Roman"/>
          <w:b/>
          <w:sz w:val="28"/>
          <w:szCs w:val="28"/>
        </w:rPr>
      </w:pPr>
      <w:bookmarkStart w:id="1" w:name="_Toc97322907"/>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实施注意事项</w:t>
      </w:r>
      <w:bookmarkEnd w:id="1"/>
    </w:p>
    <w:p w14:paraId="7BB90FFD">
      <w:pPr>
        <w:spacing w:before="156" w:beforeLines="50" w:after="156" w:afterLines="50"/>
        <w:rPr>
          <w:rStyle w:val="14"/>
          <w:sz w:val="24"/>
          <w:szCs w:val="24"/>
        </w:rPr>
      </w:pPr>
      <w:r>
        <w:rPr>
          <w:rStyle w:val="14"/>
          <w:sz w:val="24"/>
          <w:szCs w:val="24"/>
        </w:rPr>
        <w:t>以下注意事项遵循ICH Q12中各部分的顺序，并</w:t>
      </w:r>
      <w:r>
        <w:rPr>
          <w:rStyle w:val="14"/>
          <w:rFonts w:hint="eastAsia"/>
          <w:sz w:val="24"/>
          <w:szCs w:val="24"/>
        </w:rPr>
        <w:t>针对</w:t>
      </w:r>
      <w:r>
        <w:rPr>
          <w:rStyle w:val="14"/>
          <w:sz w:val="24"/>
          <w:szCs w:val="24"/>
        </w:rPr>
        <w:t>于FDA的实施。</w:t>
      </w:r>
    </w:p>
    <w:p w14:paraId="05A76908">
      <w:pPr>
        <w:spacing w:before="156" w:beforeLines="50" w:after="156" w:afterLines="50"/>
        <w:ind w:left="1136" w:leftChars="270" w:hanging="569" w:hangingChars="236"/>
        <w:outlineLvl w:val="1"/>
        <w:rPr>
          <w:rFonts w:ascii="Times New Roman" w:hAnsi="Times New Roman" w:cs="Times New Roman"/>
          <w:b/>
          <w:sz w:val="24"/>
          <w:szCs w:val="24"/>
        </w:rPr>
      </w:pPr>
      <w:bookmarkStart w:id="2" w:name="_Toc97322908"/>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引言</w:t>
      </w:r>
      <w:bookmarkEnd w:id="2"/>
    </w:p>
    <w:p w14:paraId="0274FECC">
      <w:pPr>
        <w:spacing w:before="156" w:beforeLines="50" w:after="156" w:afterLines="50"/>
        <w:rPr>
          <w:rStyle w:val="14"/>
          <w:sz w:val="24"/>
          <w:szCs w:val="24"/>
        </w:rPr>
      </w:pPr>
      <w:r>
        <w:rPr>
          <w:rStyle w:val="14"/>
          <w:sz w:val="24"/>
          <w:szCs w:val="24"/>
        </w:rPr>
        <w:t>如上所述，ICH Q12和本指南适用于NDA, BLA, ANDA的</w:t>
      </w:r>
      <w:r>
        <w:rPr>
          <w:rStyle w:val="14"/>
          <w:rFonts w:hint="eastAsia"/>
          <w:sz w:val="24"/>
          <w:szCs w:val="24"/>
        </w:rPr>
        <w:t>申报</w:t>
      </w:r>
      <w:r>
        <w:rPr>
          <w:rStyle w:val="14"/>
          <w:sz w:val="24"/>
          <w:szCs w:val="24"/>
        </w:rPr>
        <w:t>原料药和制剂以及由CDER和CBER监管的补充</w:t>
      </w:r>
      <w:r>
        <w:rPr>
          <w:rStyle w:val="14"/>
          <w:rFonts w:hint="eastAsia"/>
          <w:sz w:val="24"/>
          <w:szCs w:val="24"/>
        </w:rPr>
        <w:t>申请</w:t>
      </w:r>
      <w:r>
        <w:rPr>
          <w:rStyle w:val="14"/>
          <w:sz w:val="24"/>
          <w:szCs w:val="24"/>
        </w:rPr>
        <w:t>。ICH Q12和本指南同样适用于</w:t>
      </w:r>
      <w:r>
        <w:rPr>
          <w:rStyle w:val="14"/>
          <w:rFonts w:hint="eastAsia"/>
          <w:sz w:val="24"/>
          <w:szCs w:val="24"/>
        </w:rPr>
        <w:t>有</w:t>
      </w:r>
      <w:r>
        <w:rPr>
          <w:rStyle w:val="14"/>
          <w:sz w:val="24"/>
          <w:szCs w:val="24"/>
        </w:rPr>
        <w:t>器械组成</w:t>
      </w:r>
      <w:r>
        <w:rPr>
          <w:rStyle w:val="14"/>
          <w:rFonts w:hint="eastAsia"/>
          <w:sz w:val="24"/>
          <w:szCs w:val="24"/>
        </w:rPr>
        <w:t>部分</w:t>
      </w:r>
      <w:r>
        <w:rPr>
          <w:rStyle w:val="14"/>
          <w:sz w:val="24"/>
          <w:szCs w:val="24"/>
        </w:rPr>
        <w:t>的组合产品，该</w:t>
      </w:r>
      <w:r>
        <w:rPr>
          <w:rStyle w:val="14"/>
          <w:rFonts w:hint="eastAsia"/>
          <w:sz w:val="24"/>
          <w:szCs w:val="24"/>
        </w:rPr>
        <w:t>组成部分</w:t>
      </w:r>
      <w:r>
        <w:rPr>
          <w:rStyle w:val="14"/>
          <w:sz w:val="24"/>
          <w:szCs w:val="24"/>
        </w:rPr>
        <w:t>是NDAs, BLAs, ANDAs</w:t>
      </w:r>
      <w:r>
        <w:rPr>
          <w:rStyle w:val="14"/>
          <w:rFonts w:hint="eastAsia"/>
          <w:sz w:val="24"/>
          <w:szCs w:val="24"/>
        </w:rPr>
        <w:t>的申报器械</w:t>
      </w:r>
      <w:r>
        <w:rPr>
          <w:rStyle w:val="14"/>
          <w:sz w:val="24"/>
          <w:szCs w:val="24"/>
        </w:rPr>
        <w:t>，以及CDER和CBER监管的补充</w:t>
      </w:r>
      <w:r>
        <w:rPr>
          <w:rStyle w:val="14"/>
          <w:rFonts w:hint="eastAsia"/>
          <w:sz w:val="24"/>
          <w:szCs w:val="24"/>
        </w:rPr>
        <w:t>申请</w:t>
      </w:r>
      <w:r>
        <w:rPr>
          <w:rStyle w:val="14"/>
          <w:sz w:val="24"/>
          <w:szCs w:val="24"/>
        </w:rPr>
        <w:t>。</w:t>
      </w:r>
    </w:p>
    <w:p w14:paraId="5D5F9600">
      <w:pPr>
        <w:spacing w:before="156" w:beforeLines="50" w:after="156" w:afterLines="50"/>
        <w:ind w:left="1136" w:leftChars="270" w:hanging="569" w:hangingChars="236"/>
        <w:outlineLvl w:val="1"/>
        <w:rPr>
          <w:rFonts w:ascii="Times New Roman" w:hAnsi="Times New Roman" w:cs="Times New Roman"/>
          <w:b/>
          <w:sz w:val="24"/>
          <w:szCs w:val="24"/>
        </w:rPr>
      </w:pPr>
      <w:bookmarkStart w:id="3" w:name="_Toc97322909"/>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批准后化学、制造和控制变更的分类</w:t>
      </w:r>
      <w:bookmarkEnd w:id="3"/>
    </w:p>
    <w:p w14:paraId="370A5931">
      <w:pPr>
        <w:spacing w:before="156" w:beforeLines="50" w:after="156" w:afterLines="50"/>
        <w:rPr>
          <w:rStyle w:val="14"/>
          <w:sz w:val="24"/>
          <w:szCs w:val="24"/>
        </w:rPr>
      </w:pPr>
      <w:r>
        <w:rPr>
          <w:rStyle w:val="14"/>
          <w:sz w:val="24"/>
          <w:szCs w:val="24"/>
        </w:rPr>
        <w:t>ICH Q12描述了两类监管沟通：事先批准和通知。在美国的监管体系中，预先批准指</w:t>
      </w:r>
      <w:r>
        <w:rPr>
          <w:rStyle w:val="14"/>
          <w:i/>
          <w:iCs/>
          <w:sz w:val="24"/>
          <w:szCs w:val="24"/>
        </w:rPr>
        <w:t>事先批准</w:t>
      </w:r>
      <w:r>
        <w:rPr>
          <w:rStyle w:val="14"/>
          <w:sz w:val="24"/>
          <w:szCs w:val="24"/>
        </w:rPr>
        <w:t>补充</w:t>
      </w:r>
      <w:r>
        <w:rPr>
          <w:rStyle w:val="14"/>
          <w:rFonts w:hint="eastAsia"/>
          <w:sz w:val="24"/>
          <w:szCs w:val="24"/>
        </w:rPr>
        <w:t>申请</w:t>
      </w:r>
      <w:r>
        <w:rPr>
          <w:rStyle w:val="14"/>
          <w:sz w:val="24"/>
          <w:szCs w:val="24"/>
        </w:rPr>
        <w:t>（PAS），</w:t>
      </w:r>
      <w:r>
        <w:rPr>
          <w:rStyle w:val="14"/>
          <w:i/>
          <w:iCs/>
          <w:sz w:val="24"/>
          <w:szCs w:val="24"/>
        </w:rPr>
        <w:t>中</w:t>
      </w:r>
      <w:r>
        <w:rPr>
          <w:rStyle w:val="14"/>
          <w:rFonts w:hint="eastAsia"/>
          <w:i/>
          <w:iCs/>
          <w:sz w:val="24"/>
          <w:szCs w:val="24"/>
        </w:rPr>
        <w:t>等</w:t>
      </w:r>
      <w:r>
        <w:rPr>
          <w:rStyle w:val="14"/>
          <w:i/>
          <w:iCs/>
          <w:sz w:val="24"/>
          <w:szCs w:val="24"/>
        </w:rPr>
        <w:t>通知</w:t>
      </w:r>
      <w:r>
        <w:rPr>
          <w:rStyle w:val="14"/>
          <w:sz w:val="24"/>
          <w:szCs w:val="24"/>
        </w:rPr>
        <w:t>指</w:t>
      </w:r>
      <w:r>
        <w:rPr>
          <w:rStyle w:val="14"/>
          <w:rFonts w:hint="eastAsia"/>
          <w:sz w:val="24"/>
          <w:szCs w:val="24"/>
        </w:rPr>
        <w:t>30天后生效变更</w:t>
      </w:r>
      <w:r>
        <w:rPr>
          <w:rStyle w:val="14"/>
          <w:sz w:val="24"/>
          <w:szCs w:val="24"/>
        </w:rPr>
        <w:t>（CBE-30）</w:t>
      </w:r>
      <w:r>
        <w:rPr>
          <w:rStyle w:val="14"/>
          <w:rFonts w:hint="eastAsia"/>
          <w:sz w:val="24"/>
          <w:szCs w:val="24"/>
        </w:rPr>
        <w:t>补充申请</w:t>
      </w:r>
      <w:r>
        <w:rPr>
          <w:rStyle w:val="14"/>
          <w:sz w:val="24"/>
          <w:szCs w:val="24"/>
        </w:rPr>
        <w:t>，</w:t>
      </w:r>
      <w:r>
        <w:rPr>
          <w:rStyle w:val="14"/>
          <w:rFonts w:hint="eastAsia"/>
          <w:i/>
          <w:iCs/>
          <w:sz w:val="24"/>
          <w:szCs w:val="24"/>
        </w:rPr>
        <w:t>微小</w:t>
      </w:r>
      <w:r>
        <w:rPr>
          <w:rStyle w:val="14"/>
          <w:i/>
          <w:iCs/>
          <w:sz w:val="24"/>
          <w:szCs w:val="24"/>
        </w:rPr>
        <w:t>通知</w:t>
      </w:r>
      <w:r>
        <w:rPr>
          <w:rStyle w:val="14"/>
          <w:sz w:val="24"/>
          <w:szCs w:val="24"/>
        </w:rPr>
        <w:t>指</w:t>
      </w:r>
      <w:r>
        <w:rPr>
          <w:rStyle w:val="14"/>
          <w:rFonts w:hint="eastAsia"/>
          <w:sz w:val="24"/>
          <w:szCs w:val="24"/>
        </w:rPr>
        <w:t>即时生效变更</w:t>
      </w:r>
      <w:r>
        <w:rPr>
          <w:rStyle w:val="14"/>
          <w:sz w:val="24"/>
          <w:szCs w:val="24"/>
        </w:rPr>
        <w:t>补充</w:t>
      </w:r>
      <w:r>
        <w:rPr>
          <w:rStyle w:val="14"/>
          <w:rFonts w:hint="eastAsia"/>
          <w:sz w:val="24"/>
          <w:szCs w:val="24"/>
        </w:rPr>
        <w:t>申请</w:t>
      </w:r>
      <w:r>
        <w:rPr>
          <w:rStyle w:val="14"/>
          <w:sz w:val="24"/>
          <w:szCs w:val="24"/>
        </w:rPr>
        <w:t>或年度报告。</w:t>
      </w:r>
      <w:r>
        <w:rPr>
          <w:rStyle w:val="17"/>
          <w:rFonts w:ascii="Times New Roman" w:hAnsi="Times New Roman" w:cs="Times New Roman"/>
          <w:sz w:val="24"/>
          <w:szCs w:val="24"/>
        </w:rPr>
        <w:footnoteReference w:id="4"/>
      </w:r>
      <w:r>
        <w:rPr>
          <w:rStyle w:val="14"/>
          <w:sz w:val="24"/>
          <w:szCs w:val="24"/>
        </w:rPr>
        <w:t>正如ICH Q12所述，最低风险的变更在药品质量体系（PQS）内进行管理和记录，无需报告，但可在</w:t>
      </w:r>
      <w:r>
        <w:rPr>
          <w:rStyle w:val="14"/>
          <w:rFonts w:hint="eastAsia"/>
          <w:sz w:val="24"/>
          <w:szCs w:val="24"/>
        </w:rPr>
        <w:t>监督检查</w:t>
      </w:r>
      <w:r>
        <w:rPr>
          <w:rStyle w:val="14"/>
          <w:sz w:val="24"/>
          <w:szCs w:val="24"/>
        </w:rPr>
        <w:t>或其他检查期间进行验证。</w:t>
      </w:r>
    </w:p>
    <w:p w14:paraId="230C7974">
      <w:pPr>
        <w:spacing w:before="156" w:beforeLines="50" w:after="156" w:afterLines="50"/>
        <w:ind w:left="1136" w:leftChars="270" w:hanging="569" w:hangingChars="236"/>
        <w:outlineLvl w:val="1"/>
        <w:rPr>
          <w:rFonts w:ascii="Times New Roman" w:hAnsi="Times New Roman" w:cs="Times New Roman"/>
          <w:b/>
          <w:sz w:val="24"/>
          <w:szCs w:val="24"/>
        </w:rPr>
      </w:pPr>
      <w:bookmarkStart w:id="4" w:name="_Toc97322910"/>
      <w:r>
        <w:rPr>
          <w:rFonts w:ascii="Times New Roman" w:hAnsi="Times New Roman" w:cs="Times New Roman"/>
          <w:b/>
          <w:bCs/>
          <w:sz w:val="24"/>
          <w:szCs w:val="24"/>
        </w:rPr>
        <w:t>C.</w:t>
      </w:r>
      <w:r>
        <w:rPr>
          <w:rFonts w:ascii="Times New Roman" w:hAnsi="Times New Roman" w:cs="Times New Roman"/>
          <w:b/>
          <w:bCs/>
          <w:sz w:val="24"/>
          <w:szCs w:val="24"/>
        </w:rPr>
        <w:tab/>
      </w:r>
      <w:bookmarkEnd w:id="4"/>
      <w:r>
        <w:rPr>
          <w:rFonts w:ascii="Times New Roman" w:hAnsi="Times New Roman" w:cs="Times New Roman"/>
          <w:b/>
          <w:bCs/>
          <w:sz w:val="24"/>
          <w:szCs w:val="24"/>
        </w:rPr>
        <w:t>既定条件</w:t>
      </w:r>
    </w:p>
    <w:p w14:paraId="309C2A03">
      <w:pPr>
        <w:spacing w:before="156" w:beforeLines="50" w:after="156" w:afterLines="50"/>
        <w:rPr>
          <w:rStyle w:val="14"/>
          <w:sz w:val="24"/>
          <w:szCs w:val="24"/>
        </w:rPr>
      </w:pPr>
      <w:r>
        <w:rPr>
          <w:rStyle w:val="14"/>
          <w:sz w:val="24"/>
          <w:szCs w:val="24"/>
        </w:rPr>
        <w:t>ICH Q12将既定条件（EC）定义为确保产品质量所必需的具有法律约束力的信息。因此，对既定条件的任何变更均需提交给FDA。这与FDA在21 CFR 314.70（a）（1）（i）、314.97（a）和601.12（a）（1）中的规定一致。尽管该法规没有明确规定既定条件的构成，但确实提出了一种基于风险的报告变更</w:t>
      </w:r>
      <w:r>
        <w:rPr>
          <w:rStyle w:val="14"/>
          <w:rFonts w:hint="eastAsia"/>
          <w:sz w:val="24"/>
          <w:szCs w:val="24"/>
        </w:rPr>
        <w:t>范例</w:t>
      </w:r>
      <w:r>
        <w:rPr>
          <w:rStyle w:val="14"/>
          <w:sz w:val="24"/>
          <w:szCs w:val="24"/>
        </w:rPr>
        <w:t>。此外，现有的FDA指南文件描述了一系列广泛的批准后变更，并关于如何报告变更提出了建议。</w:t>
      </w:r>
      <w:r>
        <w:rPr>
          <w:rStyle w:val="17"/>
          <w:rFonts w:ascii="Times New Roman" w:hAnsi="Times New Roman" w:cs="Times New Roman"/>
          <w:sz w:val="24"/>
          <w:szCs w:val="24"/>
        </w:rPr>
        <w:footnoteReference w:id="5"/>
      </w:r>
      <w:r>
        <w:rPr>
          <w:rStyle w:val="14"/>
          <w:sz w:val="24"/>
          <w:szCs w:val="24"/>
        </w:rPr>
        <w:t>法规中规定的基于风险的</w:t>
      </w:r>
      <w:r>
        <w:rPr>
          <w:rStyle w:val="14"/>
          <w:rFonts w:hint="eastAsia"/>
          <w:sz w:val="24"/>
          <w:szCs w:val="24"/>
        </w:rPr>
        <w:t>范例</w:t>
      </w:r>
      <w:r>
        <w:rPr>
          <w:rStyle w:val="14"/>
          <w:sz w:val="24"/>
          <w:szCs w:val="24"/>
        </w:rPr>
        <w:t>以及相关指南文件中的建议可帮助申请人确定通常</w:t>
      </w:r>
      <w:r>
        <w:rPr>
          <w:rStyle w:val="14"/>
          <w:rFonts w:hint="eastAsia"/>
          <w:sz w:val="24"/>
          <w:szCs w:val="24"/>
        </w:rPr>
        <w:t>被</w:t>
      </w:r>
      <w:r>
        <w:rPr>
          <w:rStyle w:val="14"/>
          <w:sz w:val="24"/>
          <w:szCs w:val="24"/>
        </w:rPr>
        <w:t>FDA视为既定条件的申请要素。ICH Q12进一步帮助申请人明确其申请中被视为既定条件</w:t>
      </w:r>
      <w:r>
        <w:rPr>
          <w:rStyle w:val="14"/>
          <w:rFonts w:hint="eastAsia"/>
          <w:sz w:val="24"/>
          <w:szCs w:val="24"/>
        </w:rPr>
        <w:t>的</w:t>
      </w:r>
      <w:r>
        <w:rPr>
          <w:rStyle w:val="14"/>
          <w:sz w:val="24"/>
          <w:szCs w:val="24"/>
        </w:rPr>
        <w:t>产品、制造过程、设施和设备以及控制策略的要素，因此如果发生</w:t>
      </w:r>
      <w:r>
        <w:rPr>
          <w:rStyle w:val="14"/>
          <w:rFonts w:hint="eastAsia"/>
          <w:sz w:val="24"/>
          <w:szCs w:val="24"/>
        </w:rPr>
        <w:t>这些要素的</w:t>
      </w:r>
      <w:r>
        <w:rPr>
          <w:rStyle w:val="14"/>
          <w:sz w:val="24"/>
          <w:szCs w:val="24"/>
        </w:rPr>
        <w:t>变更则需要报告。</w:t>
      </w:r>
    </w:p>
    <w:p w14:paraId="72048AE1">
      <w:pPr>
        <w:widowControl/>
        <w:jc w:val="left"/>
        <w:rPr>
          <w:rStyle w:val="14"/>
        </w:rPr>
      </w:pPr>
      <w:r>
        <w:rPr>
          <w:rStyle w:val="14"/>
        </w:rPr>
        <w:br w:type="page"/>
      </w:r>
    </w:p>
    <w:p w14:paraId="3350D91E">
      <w:pPr>
        <w:spacing w:before="156" w:beforeLines="50" w:after="156" w:afterLines="50"/>
        <w:rPr>
          <w:rStyle w:val="14"/>
          <w:sz w:val="24"/>
          <w:szCs w:val="24"/>
        </w:rPr>
      </w:pPr>
      <w:r>
        <w:rPr>
          <w:rStyle w:val="14"/>
          <w:sz w:val="24"/>
          <w:szCs w:val="24"/>
        </w:rPr>
        <w:t>根据法规中规定的基于风险的</w:t>
      </w:r>
      <w:r>
        <w:rPr>
          <w:rStyle w:val="14"/>
          <w:rFonts w:hint="eastAsia"/>
          <w:sz w:val="24"/>
          <w:szCs w:val="24"/>
        </w:rPr>
        <w:t>范例</w:t>
      </w:r>
      <w:r>
        <w:rPr>
          <w:rStyle w:val="14"/>
          <w:sz w:val="24"/>
          <w:szCs w:val="24"/>
        </w:rPr>
        <w:t>，提议被视为既定条件要素可能不同于FDA通常视为既定条件要素，并且指南中包含的建议是自愿的。申请人可在其初始申请书或事先批准补充申请中提出既定条件。</w:t>
      </w:r>
      <w:r>
        <w:rPr>
          <w:rStyle w:val="17"/>
          <w:rFonts w:ascii="Times New Roman" w:hAnsi="Times New Roman" w:cs="Times New Roman"/>
          <w:sz w:val="24"/>
          <w:szCs w:val="24"/>
        </w:rPr>
        <w:footnoteReference w:id="6"/>
      </w:r>
      <w:r>
        <w:rPr>
          <w:rStyle w:val="14"/>
          <w:sz w:val="24"/>
          <w:szCs w:val="24"/>
        </w:rPr>
        <w:t>如果没有提出特定既定条件，则FDA根据法规中规定的基于风险的</w:t>
      </w:r>
      <w:r>
        <w:rPr>
          <w:rStyle w:val="14"/>
          <w:rFonts w:hint="eastAsia"/>
          <w:sz w:val="24"/>
          <w:szCs w:val="24"/>
        </w:rPr>
        <w:t>范例</w:t>
      </w:r>
      <w:r>
        <w:rPr>
          <w:rStyle w:val="14"/>
          <w:sz w:val="24"/>
          <w:szCs w:val="24"/>
        </w:rPr>
        <w:t>和批准后变更指南中的建议，</w:t>
      </w:r>
      <w:r>
        <w:rPr>
          <w:rStyle w:val="14"/>
          <w:rFonts w:hint="eastAsia"/>
          <w:sz w:val="24"/>
          <w:szCs w:val="24"/>
        </w:rPr>
        <w:t>来考虑</w:t>
      </w:r>
      <w:r>
        <w:rPr>
          <w:rStyle w:val="14"/>
          <w:sz w:val="24"/>
          <w:szCs w:val="24"/>
        </w:rPr>
        <w:t>通常认为的既定条件。</w:t>
      </w:r>
    </w:p>
    <w:p w14:paraId="3FA625A5">
      <w:pPr>
        <w:spacing w:before="156" w:beforeLines="50" w:after="156" w:afterLines="50"/>
        <w:rPr>
          <w:rStyle w:val="14"/>
          <w:sz w:val="24"/>
          <w:szCs w:val="24"/>
        </w:rPr>
      </w:pPr>
      <w:r>
        <w:rPr>
          <w:rStyle w:val="14"/>
          <w:sz w:val="24"/>
          <w:szCs w:val="24"/>
        </w:rPr>
        <w:t>申请者还可提议既定条件变更的报告类别。提议的报告类别可能与法规中规定的基于风险的</w:t>
      </w:r>
      <w:r>
        <w:rPr>
          <w:rStyle w:val="14"/>
          <w:rFonts w:hint="eastAsia"/>
          <w:sz w:val="24"/>
          <w:szCs w:val="24"/>
        </w:rPr>
        <w:t>范例</w:t>
      </w:r>
      <w:r>
        <w:rPr>
          <w:rStyle w:val="14"/>
          <w:sz w:val="24"/>
          <w:szCs w:val="24"/>
        </w:rPr>
        <w:t>和指南中的建议一致。或者，加深既定条件变更对产品质量造成风险的了解可能会支持减少报告类别的提议。</w:t>
      </w:r>
    </w:p>
    <w:p w14:paraId="63FF0B4C">
      <w:pPr>
        <w:spacing w:before="156" w:beforeLines="50" w:after="156" w:afterLines="50"/>
        <w:ind w:left="1616" w:leftChars="539" w:hanging="484" w:hangingChars="202"/>
        <w:outlineLvl w:val="2"/>
        <w:rPr>
          <w:rStyle w:val="14"/>
          <w:i/>
          <w:sz w:val="24"/>
          <w:szCs w:val="24"/>
        </w:rPr>
      </w:pPr>
      <w:bookmarkStart w:id="5" w:name="_Toc97322911"/>
      <w:r>
        <w:rPr>
          <w:rStyle w:val="14"/>
          <w:i/>
          <w:iCs/>
          <w:sz w:val="24"/>
          <w:szCs w:val="24"/>
        </w:rPr>
        <w:t>1.</w:t>
      </w:r>
      <w:r>
        <w:rPr>
          <w:rStyle w:val="14"/>
          <w:i/>
          <w:iCs/>
          <w:sz w:val="24"/>
          <w:szCs w:val="24"/>
        </w:rPr>
        <w:tab/>
      </w:r>
      <w:r>
        <w:rPr>
          <w:rStyle w:val="14"/>
          <w:i/>
          <w:iCs/>
          <w:sz w:val="24"/>
          <w:szCs w:val="24"/>
        </w:rPr>
        <w:t>提交</w:t>
      </w:r>
      <w:bookmarkEnd w:id="5"/>
      <w:r>
        <w:rPr>
          <w:rStyle w:val="14"/>
          <w:i/>
          <w:iCs/>
          <w:sz w:val="24"/>
          <w:szCs w:val="24"/>
        </w:rPr>
        <w:t>既定条件</w:t>
      </w:r>
    </w:p>
    <w:p w14:paraId="4A615314">
      <w:pPr>
        <w:spacing w:before="156" w:beforeLines="50" w:after="156" w:afterLines="50"/>
        <w:rPr>
          <w:rStyle w:val="14"/>
          <w:sz w:val="24"/>
          <w:szCs w:val="24"/>
        </w:rPr>
      </w:pPr>
      <w:r>
        <w:rPr>
          <w:rStyle w:val="14"/>
          <w:sz w:val="24"/>
          <w:szCs w:val="24"/>
        </w:rPr>
        <w:t>为确保在提交初始NDA、BLA或ANDA时明确</w:t>
      </w:r>
      <w:r>
        <w:rPr>
          <w:rStyle w:val="14"/>
          <w:rFonts w:hint="eastAsia"/>
          <w:sz w:val="24"/>
          <w:szCs w:val="24"/>
        </w:rPr>
        <w:t>清晰</w:t>
      </w:r>
      <w:r>
        <w:rPr>
          <w:rStyle w:val="14"/>
          <w:sz w:val="24"/>
          <w:szCs w:val="24"/>
        </w:rPr>
        <w:t>，申请人应：</w:t>
      </w:r>
    </w:p>
    <w:p w14:paraId="12BCF265">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在</w:t>
      </w:r>
      <w:r>
        <w:rPr>
          <w:rStyle w:val="14"/>
          <w:rFonts w:hint="eastAsia"/>
          <w:sz w:val="24"/>
          <w:szCs w:val="24"/>
        </w:rPr>
        <w:t>封面页</w:t>
      </w:r>
      <w:r>
        <w:rPr>
          <w:rStyle w:val="14"/>
          <w:sz w:val="24"/>
          <w:szCs w:val="24"/>
        </w:rPr>
        <w:t>中包含以下陈述</w:t>
      </w:r>
      <w:r>
        <w:rPr>
          <w:rStyle w:val="14"/>
          <w:b/>
          <w:bCs/>
          <w:sz w:val="24"/>
          <w:szCs w:val="24"/>
        </w:rPr>
        <w:t>之一</w:t>
      </w:r>
      <w:r>
        <w:rPr>
          <w:rStyle w:val="14"/>
          <w:sz w:val="24"/>
          <w:szCs w:val="24"/>
        </w:rPr>
        <w:t xml:space="preserve">： </w:t>
      </w:r>
    </w:p>
    <w:p w14:paraId="75ABD525">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sz w:val="24"/>
          <w:szCs w:val="24"/>
        </w:rPr>
        <w:t>提出</w:t>
      </w:r>
      <w:r>
        <w:rPr>
          <w:rFonts w:hint="eastAsia"/>
          <w:sz w:val="24"/>
          <w:szCs w:val="24"/>
        </w:rPr>
        <w:t>特定</w:t>
      </w:r>
      <w:r>
        <w:rPr>
          <w:sz w:val="24"/>
          <w:szCs w:val="24"/>
        </w:rPr>
        <w:t>既定条件</w:t>
      </w:r>
      <w:r>
        <w:rPr>
          <w:rStyle w:val="14"/>
          <w:sz w:val="24"/>
          <w:szCs w:val="24"/>
        </w:rPr>
        <w:t>。</w:t>
      </w:r>
    </w:p>
    <w:p w14:paraId="5C1CDF15">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未提出</w:t>
      </w:r>
      <w:r>
        <w:rPr>
          <w:rStyle w:val="14"/>
          <w:rFonts w:hint="eastAsia"/>
          <w:sz w:val="24"/>
          <w:szCs w:val="24"/>
        </w:rPr>
        <w:t>特定</w:t>
      </w:r>
      <w:r>
        <w:rPr>
          <w:rStyle w:val="14"/>
          <w:sz w:val="24"/>
          <w:szCs w:val="24"/>
        </w:rPr>
        <w:t>既定条件</w:t>
      </w:r>
      <w:r>
        <w:rPr>
          <w:rStyle w:val="14"/>
          <w:rFonts w:hint="eastAsia"/>
          <w:sz w:val="24"/>
          <w:szCs w:val="24"/>
        </w:rPr>
        <w:t>的</w:t>
      </w:r>
      <w:r>
        <w:rPr>
          <w:rStyle w:val="14"/>
          <w:sz w:val="24"/>
          <w:szCs w:val="24"/>
        </w:rPr>
        <w:t>；批准后的变更将遵循法规和指南中的建议。</w:t>
      </w:r>
      <w:r>
        <w:rPr>
          <w:rStyle w:val="17"/>
          <w:rFonts w:ascii="Times New Roman" w:hAnsi="Times New Roman" w:cs="Times New Roman"/>
          <w:sz w:val="24"/>
          <w:szCs w:val="24"/>
        </w:rPr>
        <w:footnoteReference w:id="7"/>
      </w:r>
    </w:p>
    <w:p w14:paraId="5AA6FF2B">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申请电子通用技术文档</w:t>
      </w:r>
      <w:r>
        <w:rPr>
          <w:rStyle w:val="14"/>
          <w:rFonts w:hint="eastAsia"/>
          <w:sz w:val="24"/>
          <w:szCs w:val="24"/>
        </w:rPr>
        <w:t>的</w:t>
      </w:r>
      <w:r>
        <w:rPr>
          <w:rStyle w:val="14"/>
          <w:sz w:val="24"/>
          <w:szCs w:val="24"/>
        </w:rPr>
        <w:t>第3.2.R节中包含以下声明</w:t>
      </w:r>
      <w:r>
        <w:rPr>
          <w:rStyle w:val="14"/>
          <w:b/>
          <w:bCs/>
          <w:sz w:val="24"/>
          <w:szCs w:val="24"/>
        </w:rPr>
        <w:t>之一</w:t>
      </w:r>
      <w:r>
        <w:rPr>
          <w:rStyle w:val="17"/>
          <w:rFonts w:ascii="Times New Roman" w:hAnsi="Times New Roman" w:cs="Times New Roman"/>
          <w:sz w:val="24"/>
          <w:szCs w:val="24"/>
        </w:rPr>
        <w:footnoteReference w:id="8"/>
      </w:r>
      <w:r>
        <w:rPr>
          <w:rStyle w:val="14"/>
          <w:sz w:val="24"/>
          <w:szCs w:val="24"/>
        </w:rPr>
        <w:t>：</w:t>
      </w:r>
    </w:p>
    <w:p w14:paraId="53980CF4">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提出</w:t>
      </w:r>
      <w:r>
        <w:rPr>
          <w:rStyle w:val="14"/>
          <w:rFonts w:hint="eastAsia"/>
          <w:sz w:val="24"/>
          <w:szCs w:val="24"/>
        </w:rPr>
        <w:t>特定</w:t>
      </w:r>
      <w:r>
        <w:rPr>
          <w:rStyle w:val="14"/>
          <w:sz w:val="24"/>
          <w:szCs w:val="24"/>
        </w:rPr>
        <w:t>既定条件。未提</w:t>
      </w:r>
      <w:r>
        <w:rPr>
          <w:rStyle w:val="14"/>
          <w:rFonts w:hint="eastAsia"/>
          <w:sz w:val="24"/>
          <w:szCs w:val="24"/>
        </w:rPr>
        <w:t>议的，</w:t>
      </w:r>
      <w:r>
        <w:rPr>
          <w:rStyle w:val="14"/>
          <w:sz w:val="24"/>
          <w:szCs w:val="24"/>
        </w:rPr>
        <w:t>对该既定条件进行变更的具体报告类别将遵循法规和指南中的建议。</w:t>
      </w:r>
    </w:p>
    <w:p w14:paraId="0B35E1E8">
      <w:pPr>
        <w:widowControl/>
        <w:jc w:val="left"/>
        <w:rPr>
          <w:rStyle w:val="14"/>
        </w:rPr>
      </w:pPr>
      <w:r>
        <w:rPr>
          <w:rStyle w:val="14"/>
        </w:rPr>
        <w:br w:type="page"/>
      </w:r>
    </w:p>
    <w:p w14:paraId="2D283F06">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提出</w:t>
      </w:r>
      <w:r>
        <w:rPr>
          <w:rStyle w:val="14"/>
          <w:rFonts w:hint="eastAsia"/>
          <w:sz w:val="24"/>
          <w:szCs w:val="24"/>
        </w:rPr>
        <w:t>特定</w:t>
      </w:r>
      <w:r>
        <w:rPr>
          <w:rStyle w:val="14"/>
          <w:sz w:val="24"/>
          <w:szCs w:val="24"/>
        </w:rPr>
        <w:t>既定条件。对该既定条件的变更提出了具体报告类别。</w:t>
      </w:r>
    </w:p>
    <w:p w14:paraId="7C06966D">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未提出</w:t>
      </w:r>
      <w:r>
        <w:rPr>
          <w:rStyle w:val="14"/>
          <w:rFonts w:hint="eastAsia"/>
          <w:sz w:val="24"/>
          <w:szCs w:val="24"/>
        </w:rPr>
        <w:t>特定</w:t>
      </w:r>
      <w:r>
        <w:rPr>
          <w:rStyle w:val="14"/>
          <w:sz w:val="24"/>
          <w:szCs w:val="24"/>
        </w:rPr>
        <w:t>既定条件；批准后的变更将遵循法规和指南中的建议。</w:t>
      </w:r>
    </w:p>
    <w:p w14:paraId="23C5DE38">
      <w:pPr>
        <w:spacing w:before="156" w:beforeLines="50" w:after="156" w:afterLines="50"/>
        <w:rPr>
          <w:rStyle w:val="14"/>
          <w:sz w:val="24"/>
          <w:szCs w:val="24"/>
        </w:rPr>
      </w:pPr>
      <w:r>
        <w:rPr>
          <w:rStyle w:val="14"/>
          <w:sz w:val="24"/>
          <w:szCs w:val="24"/>
        </w:rPr>
        <w:t>在事先批准中提议既定条件时，申请人应：</w:t>
      </w:r>
    </w:p>
    <w:p w14:paraId="78EABF51">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在</w:t>
      </w:r>
      <w:r>
        <w:rPr>
          <w:rStyle w:val="14"/>
          <w:rFonts w:hint="eastAsia"/>
          <w:sz w:val="24"/>
          <w:szCs w:val="24"/>
        </w:rPr>
        <w:t>封面页</w:t>
      </w:r>
      <w:r>
        <w:rPr>
          <w:rStyle w:val="14"/>
          <w:sz w:val="24"/>
          <w:szCs w:val="24"/>
        </w:rPr>
        <w:t>中</w:t>
      </w:r>
      <w:r>
        <w:rPr>
          <w:rStyle w:val="14"/>
          <w:rFonts w:hint="eastAsia"/>
          <w:sz w:val="24"/>
          <w:szCs w:val="24"/>
        </w:rPr>
        <w:t>陈述</w:t>
      </w:r>
      <w:r>
        <w:rPr>
          <w:rStyle w:val="14"/>
          <w:sz w:val="24"/>
          <w:szCs w:val="24"/>
        </w:rPr>
        <w:t>提议的既定条件。</w:t>
      </w:r>
    </w:p>
    <w:p w14:paraId="60BA705F">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电子通用技术文档第3.2.R节中包含以下声明</w:t>
      </w:r>
      <w:r>
        <w:rPr>
          <w:rStyle w:val="14"/>
          <w:b/>
          <w:bCs/>
          <w:sz w:val="24"/>
          <w:szCs w:val="24"/>
        </w:rPr>
        <w:t>之一</w:t>
      </w:r>
      <w:r>
        <w:rPr>
          <w:rStyle w:val="14"/>
          <w:sz w:val="24"/>
          <w:szCs w:val="24"/>
        </w:rPr>
        <w:t>：</w:t>
      </w:r>
    </w:p>
    <w:p w14:paraId="6B75E6B8">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提出特定既定条件。未提议</w:t>
      </w:r>
      <w:r>
        <w:rPr>
          <w:rStyle w:val="14"/>
          <w:rFonts w:hint="eastAsia"/>
          <w:sz w:val="24"/>
          <w:szCs w:val="24"/>
        </w:rPr>
        <w:t>的，</w:t>
      </w:r>
      <w:r>
        <w:rPr>
          <w:rStyle w:val="14"/>
          <w:sz w:val="24"/>
          <w:szCs w:val="24"/>
        </w:rPr>
        <w:t>对该既定条件进行变更的具体报告类别将遵循法规和指南中的建议。</w:t>
      </w:r>
    </w:p>
    <w:p w14:paraId="25210480">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提出特定既定条件。对该既定条件的变更提出了具体报告类别。</w:t>
      </w:r>
    </w:p>
    <w:p w14:paraId="7EB66C73">
      <w:pPr>
        <w:spacing w:before="156" w:beforeLines="50" w:after="156" w:afterLines="50"/>
        <w:rPr>
          <w:rStyle w:val="14"/>
          <w:sz w:val="24"/>
          <w:szCs w:val="24"/>
        </w:rPr>
      </w:pPr>
      <w:r>
        <w:rPr>
          <w:rStyle w:val="14"/>
          <w:sz w:val="24"/>
          <w:szCs w:val="24"/>
        </w:rPr>
        <w:t>如果申请人选择提出特定既定条件，可以为申请的整个</w:t>
      </w:r>
      <w:r>
        <w:rPr>
          <w:rStyle w:val="14"/>
          <w:rFonts w:hint="eastAsia"/>
          <w:sz w:val="24"/>
          <w:szCs w:val="24"/>
        </w:rPr>
        <w:t>C</w:t>
      </w:r>
      <w:r>
        <w:rPr>
          <w:rStyle w:val="14"/>
          <w:sz w:val="24"/>
          <w:szCs w:val="24"/>
        </w:rPr>
        <w:t>MC部分（模块3：质量）或模块3中提供的信息子集（例如，电子通用技术文档第3.2.S条或电子通用技术文档第3.2.P.3.3条）提出既定条件。如果提出一组有限的既定条件，例如在制造过程中针对单个单元操作，申请人应在适用的电子通用技术文档条款中列出该单元操作的所有既定条件。此外，申请人应声明，相应的电子通用技术文档条款将根据法规和指南中的建议</w:t>
      </w:r>
      <w:r>
        <w:rPr>
          <w:rStyle w:val="14"/>
          <w:rFonts w:hint="eastAsia"/>
          <w:sz w:val="24"/>
          <w:szCs w:val="24"/>
        </w:rPr>
        <w:t>的</w:t>
      </w:r>
      <w:r>
        <w:rPr>
          <w:rStyle w:val="14"/>
          <w:sz w:val="24"/>
          <w:szCs w:val="24"/>
        </w:rPr>
        <w:t>报告</w:t>
      </w:r>
      <w:r>
        <w:rPr>
          <w:rStyle w:val="14"/>
          <w:rFonts w:hint="eastAsia"/>
          <w:sz w:val="24"/>
          <w:szCs w:val="24"/>
        </w:rPr>
        <w:t>类别</w:t>
      </w:r>
      <w:r>
        <w:rPr>
          <w:rStyle w:val="14"/>
          <w:sz w:val="24"/>
          <w:szCs w:val="24"/>
        </w:rPr>
        <w:t>对未提议既定条件的单元操作进行更改。</w:t>
      </w:r>
    </w:p>
    <w:p w14:paraId="376B82B2">
      <w:pPr>
        <w:spacing w:before="156" w:beforeLines="50" w:after="156" w:afterLines="50"/>
        <w:rPr>
          <w:rStyle w:val="14"/>
          <w:sz w:val="24"/>
          <w:szCs w:val="24"/>
        </w:rPr>
      </w:pPr>
      <w:r>
        <w:rPr>
          <w:rStyle w:val="14"/>
          <w:sz w:val="24"/>
          <w:szCs w:val="24"/>
        </w:rPr>
        <w:t>提议既定条件的完整列表、其报告类别（如提议）以及用于科学论证的电子通用技术文档位置应包含在电子通用技术文档第3.2.R节的产品生命周期管理（PLCM）文件中。有关产品生命周期管理文件更多信息，请参见本指南第II.E节。有关提议既定条件理由的信息，包括此类理由在申请中的位置，请参见第II.C.2节。</w:t>
      </w:r>
    </w:p>
    <w:p w14:paraId="3281B783">
      <w:pPr>
        <w:spacing w:before="156" w:beforeLines="50" w:after="156" w:afterLines="50"/>
        <w:ind w:left="1616" w:leftChars="539" w:hanging="484" w:hangingChars="202"/>
        <w:outlineLvl w:val="2"/>
        <w:rPr>
          <w:rStyle w:val="14"/>
          <w:i/>
          <w:sz w:val="24"/>
          <w:szCs w:val="24"/>
        </w:rPr>
      </w:pPr>
      <w:bookmarkStart w:id="6" w:name="_Toc97322912"/>
      <w:r>
        <w:rPr>
          <w:rStyle w:val="14"/>
          <w:i/>
          <w:iCs/>
          <w:sz w:val="24"/>
          <w:szCs w:val="24"/>
        </w:rPr>
        <w:t>2.</w:t>
      </w:r>
      <w:r>
        <w:rPr>
          <w:rStyle w:val="14"/>
          <w:i/>
          <w:iCs/>
          <w:sz w:val="24"/>
          <w:szCs w:val="24"/>
        </w:rPr>
        <w:tab/>
      </w:r>
      <w:r>
        <w:rPr>
          <w:rStyle w:val="14"/>
          <w:i/>
          <w:iCs/>
          <w:sz w:val="24"/>
          <w:szCs w:val="24"/>
        </w:rPr>
        <w:t>既定条件</w:t>
      </w:r>
      <w:bookmarkEnd w:id="6"/>
      <w:r>
        <w:rPr>
          <w:rStyle w:val="14"/>
          <w:rFonts w:hint="eastAsia"/>
          <w:i/>
          <w:iCs/>
          <w:sz w:val="24"/>
          <w:szCs w:val="24"/>
        </w:rPr>
        <w:t>确认</w:t>
      </w:r>
    </w:p>
    <w:p w14:paraId="3569F60E">
      <w:pPr>
        <w:spacing w:before="156" w:beforeLines="50" w:after="156" w:afterLines="50"/>
        <w:rPr>
          <w:rStyle w:val="14"/>
          <w:sz w:val="24"/>
          <w:szCs w:val="24"/>
        </w:rPr>
      </w:pPr>
      <w:r>
        <w:rPr>
          <w:rStyle w:val="14"/>
          <w:sz w:val="24"/>
          <w:szCs w:val="24"/>
        </w:rPr>
        <w:t>提出特定的既定条件时，申请人应在申请模块3的相关部分中提供选择的科学依据。在科学依据部分，申请人应说明特定参数或属性作为既定条件的</w:t>
      </w:r>
      <w:r>
        <w:rPr>
          <w:rStyle w:val="14"/>
          <w:rFonts w:hint="eastAsia"/>
          <w:sz w:val="24"/>
          <w:szCs w:val="24"/>
        </w:rPr>
        <w:t>确认</w:t>
      </w:r>
      <w:r>
        <w:rPr>
          <w:rStyle w:val="14"/>
          <w:sz w:val="24"/>
          <w:szCs w:val="24"/>
        </w:rPr>
        <w:t>和建议的报告类别（如适用）。</w:t>
      </w:r>
    </w:p>
    <w:p w14:paraId="3D114C48">
      <w:pPr>
        <w:spacing w:before="156" w:beforeLines="50" w:after="156" w:afterLines="50"/>
        <w:ind w:left="2044" w:leftChars="743" w:hanging="484" w:hangingChars="202"/>
        <w:rPr>
          <w:rStyle w:val="14"/>
          <w:sz w:val="24"/>
          <w:szCs w:val="24"/>
        </w:rPr>
      </w:pPr>
      <w:r>
        <w:rPr>
          <w:rStyle w:val="14"/>
          <w:sz w:val="24"/>
          <w:szCs w:val="24"/>
        </w:rPr>
        <w:t xml:space="preserve">a. </w:t>
      </w:r>
      <w:r>
        <w:rPr>
          <w:rStyle w:val="14"/>
          <w:sz w:val="24"/>
          <w:szCs w:val="24"/>
        </w:rPr>
        <w:tab/>
      </w:r>
      <w:r>
        <w:rPr>
          <w:rStyle w:val="14"/>
          <w:rFonts w:hint="eastAsia"/>
          <w:sz w:val="24"/>
          <w:szCs w:val="24"/>
        </w:rPr>
        <w:t>确认</w:t>
      </w:r>
      <w:r>
        <w:rPr>
          <w:rStyle w:val="14"/>
          <w:sz w:val="24"/>
          <w:szCs w:val="24"/>
        </w:rPr>
        <w:t>为既定条件的参数和属性</w:t>
      </w:r>
    </w:p>
    <w:p w14:paraId="5BA82DC9">
      <w:pPr>
        <w:spacing w:before="156" w:beforeLines="50" w:after="156" w:afterLines="50"/>
        <w:rPr>
          <w:rStyle w:val="14"/>
        </w:rPr>
      </w:pPr>
      <w:r>
        <w:rPr>
          <w:rStyle w:val="14"/>
          <w:sz w:val="24"/>
          <w:szCs w:val="24"/>
        </w:rPr>
        <w:t>在科学依据部分，申请人应解释其如何确定拟被视为既定条件的参数或属性，以及（考虑到上述法规和指南建议）为何未选择通常被视为既定条件的其他参数或属性。例如，一个制造单元操作中的五个工艺参数中，有三个参数拟作为既定条件（采用参数化方法），申请人应解释如何将这三个参数确定为既定条件，以及为什么其他两个参数不是既定条件。应提供申请人用于将特定参数或属性确定为既定条件的风险评估流程（包括工具）的说明，为确定每个参数对产品质量的影响程度而进行的临界评估，以及各个参数的支持信息（如基础知识、经验调查、从其他产品经验中获得的先验知识、商业经验）。另请参见ICH Q12中的第3.2.3.1节</w:t>
      </w:r>
      <w:r>
        <w:rPr>
          <w:rStyle w:val="14"/>
          <w:rFonts w:ascii="宋体" w:hAnsi="宋体" w:eastAsia="宋体"/>
          <w:sz w:val="24"/>
          <w:szCs w:val="24"/>
        </w:rPr>
        <w:t>“</w:t>
      </w:r>
      <w:r>
        <w:rPr>
          <w:rStyle w:val="14"/>
          <w:rFonts w:asciiTheme="minorEastAsia" w:hAnsiTheme="minorEastAsia"/>
          <w:sz w:val="24"/>
          <w:szCs w:val="24"/>
        </w:rPr>
        <w:t>生产过程</w:t>
      </w:r>
      <w:r>
        <w:rPr>
          <w:rStyle w:val="14"/>
          <w:rFonts w:hint="eastAsia" w:asciiTheme="minorEastAsia" w:hAnsiTheme="minorEastAsia"/>
          <w:sz w:val="24"/>
          <w:szCs w:val="24"/>
        </w:rPr>
        <w:t>E</w:t>
      </w:r>
      <w:r>
        <w:rPr>
          <w:rStyle w:val="14"/>
          <w:rFonts w:asciiTheme="minorEastAsia" w:hAnsiTheme="minorEastAsia"/>
          <w:sz w:val="24"/>
          <w:szCs w:val="24"/>
        </w:rPr>
        <w:t>C的</w:t>
      </w:r>
      <w:r>
        <w:rPr>
          <w:rStyle w:val="14"/>
          <w:rFonts w:hint="eastAsia" w:asciiTheme="minorEastAsia" w:hAnsiTheme="minorEastAsia"/>
          <w:sz w:val="24"/>
          <w:szCs w:val="24"/>
        </w:rPr>
        <w:t>确认</w:t>
      </w:r>
      <w:r>
        <w:rPr>
          <w:rStyle w:val="14"/>
          <w:rFonts w:ascii="宋体" w:hAnsi="宋体" w:eastAsia="宋体"/>
          <w:sz w:val="24"/>
          <w:szCs w:val="24"/>
        </w:rPr>
        <w:t>”</w:t>
      </w:r>
      <w:r>
        <w:rPr>
          <w:rStyle w:val="14"/>
          <w:sz w:val="24"/>
          <w:szCs w:val="24"/>
        </w:rPr>
        <w:t>和第3.2.3.2节</w:t>
      </w:r>
      <w:r>
        <w:rPr>
          <w:rStyle w:val="14"/>
          <w:rFonts w:ascii="宋体" w:hAnsi="宋体" w:eastAsia="宋体"/>
          <w:sz w:val="24"/>
          <w:szCs w:val="24"/>
        </w:rPr>
        <w:t>“</w:t>
      </w:r>
      <w:r>
        <w:rPr>
          <w:rStyle w:val="14"/>
          <w:rFonts w:asciiTheme="minorEastAsia" w:hAnsiTheme="minorEastAsia"/>
          <w:sz w:val="24"/>
          <w:szCs w:val="24"/>
        </w:rPr>
        <w:t>分析</w:t>
      </w:r>
      <w:r>
        <w:rPr>
          <w:rStyle w:val="14"/>
          <w:rFonts w:hint="eastAsia" w:asciiTheme="minorEastAsia" w:hAnsiTheme="minorEastAsia"/>
          <w:sz w:val="24"/>
          <w:szCs w:val="24"/>
        </w:rPr>
        <w:t>方法中E</w:t>
      </w:r>
      <w:r>
        <w:rPr>
          <w:rStyle w:val="14"/>
          <w:rFonts w:asciiTheme="minorEastAsia" w:hAnsiTheme="minorEastAsia"/>
          <w:sz w:val="24"/>
          <w:szCs w:val="24"/>
        </w:rPr>
        <w:t>C的</w:t>
      </w:r>
      <w:r>
        <w:rPr>
          <w:rStyle w:val="14"/>
          <w:rFonts w:hint="eastAsia" w:asciiTheme="minorEastAsia" w:hAnsiTheme="minorEastAsia"/>
          <w:sz w:val="24"/>
          <w:szCs w:val="24"/>
        </w:rPr>
        <w:t>确认</w:t>
      </w:r>
      <w:r>
        <w:rPr>
          <w:rStyle w:val="14"/>
          <w:rFonts w:ascii="宋体" w:hAnsi="宋体" w:eastAsia="宋体"/>
          <w:sz w:val="24"/>
          <w:szCs w:val="24"/>
        </w:rPr>
        <w:t>”</w:t>
      </w:r>
      <w:r>
        <w:rPr>
          <w:rStyle w:val="14"/>
          <w:sz w:val="24"/>
          <w:szCs w:val="24"/>
        </w:rPr>
        <w:t>。如属性改变后需要提交新的</w:t>
      </w:r>
      <w:r>
        <w:rPr>
          <w:rStyle w:val="14"/>
          <w:rFonts w:hint="eastAsia"/>
          <w:sz w:val="24"/>
          <w:szCs w:val="24"/>
        </w:rPr>
        <w:t>首次</w:t>
      </w:r>
      <w:r>
        <w:rPr>
          <w:rStyle w:val="14"/>
          <w:sz w:val="24"/>
          <w:szCs w:val="24"/>
        </w:rPr>
        <w:t>申请（例如，NDA剂型的改变），则申请人不应提议将这些属性作为既定条件进行管理。</w:t>
      </w:r>
      <w:r>
        <w:rPr>
          <w:rStyle w:val="14"/>
        </w:rPr>
        <w:br w:type="page"/>
      </w:r>
    </w:p>
    <w:p w14:paraId="5DF16ABC">
      <w:pPr>
        <w:spacing w:before="156" w:beforeLines="50" w:after="156" w:afterLines="50"/>
        <w:rPr>
          <w:rStyle w:val="14"/>
          <w:sz w:val="24"/>
          <w:szCs w:val="24"/>
        </w:rPr>
      </w:pPr>
      <w:r>
        <w:rPr>
          <w:rStyle w:val="14"/>
          <w:sz w:val="24"/>
          <w:szCs w:val="24"/>
        </w:rPr>
        <w:t>如具有相关可接受范围的参数或属性</w:t>
      </w:r>
      <w:r>
        <w:rPr>
          <w:rStyle w:val="14"/>
          <w:rFonts w:hint="eastAsia"/>
          <w:sz w:val="24"/>
          <w:szCs w:val="24"/>
        </w:rPr>
        <w:t>确认</w:t>
      </w:r>
      <w:r>
        <w:rPr>
          <w:rStyle w:val="14"/>
          <w:sz w:val="24"/>
          <w:szCs w:val="24"/>
        </w:rPr>
        <w:t>为既定条件，申请人应提供建议范围的原因说明。</w:t>
      </w:r>
    </w:p>
    <w:p w14:paraId="11988BA9">
      <w:pPr>
        <w:spacing w:before="156" w:beforeLines="50" w:after="156" w:afterLines="50"/>
        <w:ind w:left="2044" w:leftChars="743" w:hanging="484" w:hangingChars="202"/>
        <w:rPr>
          <w:rStyle w:val="14"/>
          <w:sz w:val="24"/>
          <w:szCs w:val="24"/>
        </w:rPr>
      </w:pPr>
      <w:r>
        <w:rPr>
          <w:rStyle w:val="14"/>
          <w:sz w:val="24"/>
          <w:szCs w:val="24"/>
        </w:rPr>
        <w:t xml:space="preserve">b. </w:t>
      </w:r>
      <w:r>
        <w:rPr>
          <w:rStyle w:val="14"/>
          <w:sz w:val="24"/>
          <w:szCs w:val="24"/>
        </w:rPr>
        <w:tab/>
      </w:r>
      <w:r>
        <w:rPr>
          <w:rStyle w:val="14"/>
          <w:sz w:val="24"/>
          <w:szCs w:val="24"/>
        </w:rPr>
        <w:t>报告类别</w:t>
      </w:r>
    </w:p>
    <w:p w14:paraId="2432924F">
      <w:pPr>
        <w:spacing w:before="156" w:beforeLines="50" w:after="156" w:afterLines="50"/>
        <w:rPr>
          <w:rStyle w:val="14"/>
          <w:sz w:val="24"/>
          <w:szCs w:val="24"/>
        </w:rPr>
      </w:pPr>
      <w:r>
        <w:rPr>
          <w:rStyle w:val="14"/>
          <w:sz w:val="24"/>
          <w:szCs w:val="24"/>
        </w:rPr>
        <w:t>对于每项</w:t>
      </w:r>
      <w:r>
        <w:rPr>
          <w:rStyle w:val="14"/>
          <w:rFonts w:hint="eastAsia"/>
          <w:sz w:val="24"/>
          <w:szCs w:val="24"/>
        </w:rPr>
        <w:t>提议</w:t>
      </w:r>
      <w:r>
        <w:rPr>
          <w:rStyle w:val="14"/>
          <w:sz w:val="24"/>
          <w:szCs w:val="24"/>
        </w:rPr>
        <w:t>的既定条件，申请人可确定一个</w:t>
      </w:r>
      <w:r>
        <w:rPr>
          <w:rStyle w:val="14"/>
          <w:rFonts w:hint="eastAsia"/>
          <w:sz w:val="24"/>
          <w:szCs w:val="24"/>
        </w:rPr>
        <w:t>提议</w:t>
      </w:r>
      <w:r>
        <w:rPr>
          <w:rStyle w:val="14"/>
          <w:sz w:val="24"/>
          <w:szCs w:val="24"/>
        </w:rPr>
        <w:t>的报告类别：PAS、CBE-30、CBE-0或年度报告。如此报告类别与现有指南中建议的有所不同，申请人应在模块3的相关章节中提供原因说明。该原因说明可以是为支持</w:t>
      </w:r>
      <w:r>
        <w:rPr>
          <w:rStyle w:val="14"/>
          <w:rFonts w:hint="eastAsia"/>
          <w:sz w:val="24"/>
          <w:szCs w:val="24"/>
        </w:rPr>
        <w:t>确认</w:t>
      </w:r>
      <w:r>
        <w:rPr>
          <w:rStyle w:val="14"/>
          <w:sz w:val="24"/>
          <w:szCs w:val="24"/>
        </w:rPr>
        <w:t>既定条件而提供的原因说明的一部分或对其的补充。如申请人选择不说明报告类别，申请人应提供一份声明，说明这些既定条件变更的报告类别将遵循法规和指南建议。</w:t>
      </w:r>
    </w:p>
    <w:p w14:paraId="4323B837">
      <w:pPr>
        <w:spacing w:before="156" w:beforeLines="50" w:after="156" w:afterLines="50"/>
        <w:ind w:left="1616" w:leftChars="539" w:hanging="484" w:hangingChars="202"/>
        <w:outlineLvl w:val="2"/>
        <w:rPr>
          <w:rStyle w:val="14"/>
          <w:i/>
          <w:sz w:val="24"/>
          <w:szCs w:val="24"/>
        </w:rPr>
      </w:pPr>
      <w:bookmarkStart w:id="7" w:name="_Toc97322913"/>
      <w:r>
        <w:rPr>
          <w:rStyle w:val="14"/>
          <w:i/>
          <w:iCs/>
          <w:sz w:val="24"/>
          <w:szCs w:val="24"/>
        </w:rPr>
        <w:t>3.</w:t>
      </w:r>
      <w:r>
        <w:rPr>
          <w:rStyle w:val="14"/>
          <w:i/>
          <w:iCs/>
          <w:sz w:val="24"/>
          <w:szCs w:val="24"/>
        </w:rPr>
        <w:tab/>
      </w:r>
      <w:r>
        <w:rPr>
          <w:rStyle w:val="14"/>
          <w:i/>
          <w:iCs/>
          <w:sz w:val="24"/>
          <w:szCs w:val="24"/>
        </w:rPr>
        <w:t>药物主文件中药物或药品的既定条件确定</w:t>
      </w:r>
      <w:bookmarkEnd w:id="7"/>
    </w:p>
    <w:p w14:paraId="4C5EF5D0">
      <w:pPr>
        <w:spacing w:before="156" w:beforeLines="50" w:after="156" w:afterLines="50"/>
        <w:rPr>
          <w:rStyle w:val="14"/>
          <w:sz w:val="24"/>
          <w:szCs w:val="24"/>
        </w:rPr>
      </w:pPr>
      <w:r>
        <w:rPr>
          <w:rStyle w:val="14"/>
          <w:sz w:val="24"/>
          <w:szCs w:val="24"/>
        </w:rPr>
        <w:t>如参照II型药物主</w:t>
      </w:r>
      <w:r>
        <w:rPr>
          <w:rStyle w:val="14"/>
          <w:rFonts w:hint="eastAsia"/>
          <w:sz w:val="24"/>
          <w:szCs w:val="24"/>
        </w:rPr>
        <w:t>文档</w:t>
      </w:r>
      <w:r>
        <w:rPr>
          <w:rStyle w:val="14"/>
          <w:sz w:val="24"/>
          <w:szCs w:val="24"/>
        </w:rPr>
        <w:t>（DMF）将有关</w:t>
      </w:r>
      <w:r>
        <w:rPr>
          <w:rStyle w:val="14"/>
          <w:rFonts w:hint="eastAsia"/>
          <w:sz w:val="24"/>
          <w:szCs w:val="24"/>
        </w:rPr>
        <w:t>原料药</w:t>
      </w:r>
      <w:r>
        <w:rPr>
          <w:rStyle w:val="14"/>
          <w:sz w:val="24"/>
          <w:szCs w:val="24"/>
        </w:rPr>
        <w:t>或</w:t>
      </w:r>
      <w:r>
        <w:rPr>
          <w:rStyle w:val="14"/>
          <w:rFonts w:hint="eastAsia"/>
          <w:sz w:val="24"/>
          <w:szCs w:val="24"/>
        </w:rPr>
        <w:t>制剂</w:t>
      </w:r>
      <w:r>
        <w:rPr>
          <w:rStyle w:val="14"/>
          <w:sz w:val="24"/>
          <w:szCs w:val="24"/>
        </w:rPr>
        <w:t>的信息纳入申请中，则可提出与该</w:t>
      </w:r>
      <w:r>
        <w:rPr>
          <w:rStyle w:val="14"/>
          <w:rFonts w:hint="eastAsia"/>
          <w:sz w:val="24"/>
          <w:szCs w:val="24"/>
        </w:rPr>
        <w:t>原料药</w:t>
      </w:r>
      <w:r>
        <w:rPr>
          <w:rStyle w:val="14"/>
          <w:sz w:val="24"/>
          <w:szCs w:val="24"/>
        </w:rPr>
        <w:t>或</w:t>
      </w:r>
      <w:r>
        <w:rPr>
          <w:rStyle w:val="14"/>
          <w:rFonts w:hint="eastAsia"/>
          <w:sz w:val="24"/>
          <w:szCs w:val="24"/>
        </w:rPr>
        <w:t>制剂</w:t>
      </w:r>
      <w:r>
        <w:rPr>
          <w:rStyle w:val="14"/>
          <w:sz w:val="24"/>
          <w:szCs w:val="24"/>
        </w:rPr>
        <w:t>相关的</w:t>
      </w:r>
      <w:r>
        <w:rPr>
          <w:rStyle w:val="17"/>
          <w:rFonts w:ascii="Times New Roman" w:hAnsi="Times New Roman" w:cs="Times New Roman"/>
          <w:sz w:val="24"/>
          <w:szCs w:val="24"/>
        </w:rPr>
        <w:footnoteReference w:id="9"/>
      </w:r>
      <w:r>
        <w:rPr>
          <w:rStyle w:val="14"/>
          <w:sz w:val="24"/>
          <w:szCs w:val="24"/>
        </w:rPr>
        <w:t>既定条件，但这些既定条件应仅作为申请的一部分提出。</w:t>
      </w:r>
      <w:r>
        <w:rPr>
          <w:rStyle w:val="17"/>
          <w:rFonts w:ascii="Times New Roman" w:hAnsi="Times New Roman" w:cs="Times New Roman"/>
          <w:sz w:val="24"/>
          <w:szCs w:val="24"/>
        </w:rPr>
        <w:footnoteReference w:id="10"/>
      </w:r>
      <w:r>
        <w:rPr>
          <w:rStyle w:val="14"/>
          <w:sz w:val="24"/>
          <w:szCs w:val="24"/>
        </w:rPr>
        <w:t>在这种情况下，药物主</w:t>
      </w:r>
      <w:r>
        <w:rPr>
          <w:rStyle w:val="14"/>
          <w:rFonts w:hint="eastAsia"/>
          <w:sz w:val="24"/>
          <w:szCs w:val="24"/>
        </w:rPr>
        <w:t>文档</w:t>
      </w:r>
      <w:r>
        <w:rPr>
          <w:rStyle w:val="14"/>
          <w:sz w:val="24"/>
          <w:szCs w:val="24"/>
        </w:rPr>
        <w:t>持有人需要与申请人分享足够多的信息</w:t>
      </w:r>
      <w:r>
        <w:rPr>
          <w:rStyle w:val="17"/>
          <w:rFonts w:ascii="Times New Roman" w:hAnsi="Times New Roman" w:cs="Times New Roman"/>
          <w:sz w:val="24"/>
          <w:szCs w:val="24"/>
        </w:rPr>
        <w:footnoteReference w:id="11"/>
      </w:r>
      <w:r>
        <w:rPr>
          <w:rStyle w:val="14"/>
          <w:sz w:val="24"/>
          <w:szCs w:val="24"/>
        </w:rPr>
        <w:t>，以便规定</w:t>
      </w:r>
      <w:r>
        <w:rPr>
          <w:rStyle w:val="14"/>
          <w:rFonts w:hint="eastAsia"/>
          <w:sz w:val="24"/>
          <w:szCs w:val="24"/>
        </w:rPr>
        <w:t>提议</w:t>
      </w:r>
      <w:r>
        <w:rPr>
          <w:rStyle w:val="14"/>
          <w:sz w:val="24"/>
          <w:szCs w:val="24"/>
        </w:rPr>
        <w:t>的既定条件及其相关报告类别，并作为申请的一部分予以批准。如申请提及了药物主文档中原因说明的</w:t>
      </w:r>
      <w:r>
        <w:rPr>
          <w:rStyle w:val="14"/>
          <w:rFonts w:hint="eastAsia"/>
          <w:sz w:val="24"/>
          <w:szCs w:val="24"/>
        </w:rPr>
        <w:t>具体</w:t>
      </w:r>
      <w:r>
        <w:rPr>
          <w:rStyle w:val="14"/>
          <w:sz w:val="24"/>
          <w:szCs w:val="24"/>
        </w:rPr>
        <w:t>位置，则支持</w:t>
      </w:r>
      <w:r>
        <w:rPr>
          <w:rStyle w:val="14"/>
          <w:rFonts w:hint="eastAsia"/>
          <w:sz w:val="24"/>
          <w:szCs w:val="24"/>
        </w:rPr>
        <w:t>既定</w:t>
      </w:r>
      <w:r>
        <w:rPr>
          <w:rStyle w:val="14"/>
          <w:sz w:val="24"/>
          <w:szCs w:val="24"/>
        </w:rPr>
        <w:t>条件</w:t>
      </w:r>
      <w:r>
        <w:rPr>
          <w:rStyle w:val="14"/>
          <w:rFonts w:hint="eastAsia"/>
          <w:sz w:val="24"/>
          <w:szCs w:val="24"/>
        </w:rPr>
        <w:t>确认</w:t>
      </w:r>
      <w:r>
        <w:rPr>
          <w:rStyle w:val="14"/>
          <w:sz w:val="24"/>
          <w:szCs w:val="24"/>
        </w:rPr>
        <w:t>的原因说明可参见药物主文档。申请人应在申请书提供拟议报告类别的原因说明，因为原因说明通常是针对最终</w:t>
      </w:r>
      <w:r>
        <w:rPr>
          <w:rStyle w:val="14"/>
          <w:rFonts w:hint="eastAsia"/>
          <w:sz w:val="24"/>
          <w:szCs w:val="24"/>
        </w:rPr>
        <w:t>制剂</w:t>
      </w:r>
      <w:r>
        <w:rPr>
          <w:rStyle w:val="14"/>
          <w:sz w:val="24"/>
          <w:szCs w:val="24"/>
        </w:rPr>
        <w:t>及其批准条件（如给药、给药途径）</w:t>
      </w:r>
      <w:r>
        <w:rPr>
          <w:rStyle w:val="14"/>
          <w:rFonts w:hint="eastAsia"/>
          <w:sz w:val="24"/>
          <w:szCs w:val="24"/>
        </w:rPr>
        <w:t>的</w:t>
      </w:r>
      <w:r>
        <w:rPr>
          <w:rStyle w:val="14"/>
          <w:sz w:val="24"/>
          <w:szCs w:val="24"/>
        </w:rPr>
        <w:t>，而非对含有相同</w:t>
      </w:r>
      <w:r>
        <w:rPr>
          <w:rStyle w:val="14"/>
          <w:rFonts w:hint="eastAsia"/>
          <w:sz w:val="24"/>
          <w:szCs w:val="24"/>
        </w:rPr>
        <w:t>原料药</w:t>
      </w:r>
      <w:r>
        <w:rPr>
          <w:rStyle w:val="14"/>
          <w:sz w:val="24"/>
          <w:szCs w:val="24"/>
        </w:rPr>
        <w:t>或</w:t>
      </w:r>
      <w:r>
        <w:rPr>
          <w:rStyle w:val="14"/>
          <w:rFonts w:hint="eastAsia"/>
          <w:sz w:val="24"/>
          <w:szCs w:val="24"/>
        </w:rPr>
        <w:t>制剂</w:t>
      </w:r>
      <w:r>
        <w:rPr>
          <w:rStyle w:val="14"/>
          <w:sz w:val="24"/>
          <w:szCs w:val="24"/>
        </w:rPr>
        <w:t>的不同产品进行概括说明。就通过引用包含药物主文档信息的申请而言，如既定条件获得批准，申请人仍有责任报告既定条件变更；然而，申请人应与药物主文档持有人共享相关的已批准既定条件，以确保药物主文档持有人知悉申请人将如何管理参考</w:t>
      </w:r>
      <w:r>
        <w:rPr>
          <w:rStyle w:val="14"/>
          <w:rFonts w:hint="eastAsia"/>
          <w:sz w:val="24"/>
          <w:szCs w:val="24"/>
        </w:rPr>
        <w:t>原料药</w:t>
      </w:r>
      <w:r>
        <w:rPr>
          <w:rStyle w:val="14"/>
          <w:sz w:val="24"/>
          <w:szCs w:val="24"/>
        </w:rPr>
        <w:t>或</w:t>
      </w:r>
      <w:r>
        <w:rPr>
          <w:rStyle w:val="14"/>
          <w:rFonts w:hint="eastAsia"/>
          <w:sz w:val="24"/>
          <w:szCs w:val="24"/>
        </w:rPr>
        <w:t>制剂</w:t>
      </w:r>
      <w:r>
        <w:rPr>
          <w:rStyle w:val="14"/>
          <w:sz w:val="24"/>
          <w:szCs w:val="24"/>
        </w:rPr>
        <w:t>的变更。</w:t>
      </w:r>
    </w:p>
    <w:p w14:paraId="7209129D">
      <w:pPr>
        <w:widowControl/>
        <w:jc w:val="left"/>
        <w:rPr>
          <w:rStyle w:val="14"/>
        </w:rPr>
      </w:pPr>
      <w:r>
        <w:rPr>
          <w:rStyle w:val="14"/>
        </w:rPr>
        <w:br w:type="page"/>
      </w:r>
    </w:p>
    <w:p w14:paraId="611BFA02">
      <w:pPr>
        <w:spacing w:before="156" w:beforeLines="50" w:after="156" w:afterLines="50"/>
        <w:ind w:left="1616" w:leftChars="539" w:hanging="484" w:hangingChars="202"/>
        <w:outlineLvl w:val="2"/>
        <w:rPr>
          <w:rStyle w:val="14"/>
          <w:i/>
          <w:sz w:val="24"/>
          <w:szCs w:val="24"/>
        </w:rPr>
      </w:pPr>
      <w:bookmarkStart w:id="8" w:name="_Toc97322914"/>
      <w:r>
        <w:rPr>
          <w:rStyle w:val="14"/>
          <w:i/>
          <w:iCs/>
          <w:sz w:val="24"/>
          <w:szCs w:val="24"/>
        </w:rPr>
        <w:t>4.</w:t>
      </w:r>
      <w:r>
        <w:rPr>
          <w:rStyle w:val="14"/>
          <w:i/>
          <w:iCs/>
          <w:sz w:val="24"/>
          <w:szCs w:val="24"/>
        </w:rPr>
        <w:tab/>
      </w:r>
      <w:r>
        <w:rPr>
          <w:rStyle w:val="14"/>
          <w:i/>
          <w:iCs/>
          <w:sz w:val="24"/>
          <w:szCs w:val="24"/>
        </w:rPr>
        <w:t>组合产品器械组成部分的既定条件</w:t>
      </w:r>
      <w:bookmarkEnd w:id="8"/>
      <w:r>
        <w:rPr>
          <w:rStyle w:val="14"/>
          <w:rFonts w:hint="eastAsia"/>
          <w:i/>
          <w:iCs/>
          <w:sz w:val="24"/>
          <w:szCs w:val="24"/>
        </w:rPr>
        <w:t>确认</w:t>
      </w:r>
    </w:p>
    <w:p w14:paraId="09530B00">
      <w:pPr>
        <w:spacing w:before="156" w:beforeLines="50" w:after="156" w:afterLines="50"/>
        <w:rPr>
          <w:rStyle w:val="14"/>
          <w:sz w:val="24"/>
          <w:szCs w:val="24"/>
        </w:rPr>
      </w:pPr>
      <w:r>
        <w:rPr>
          <w:rStyle w:val="14"/>
          <w:sz w:val="24"/>
          <w:szCs w:val="24"/>
        </w:rPr>
        <w:t>申请人可针对NDA</w:t>
      </w:r>
      <w:r>
        <w:rPr>
          <w:rStyle w:val="14"/>
          <w:rFonts w:hint="eastAsia"/>
          <w:sz w:val="24"/>
          <w:szCs w:val="24"/>
        </w:rPr>
        <w:t>、</w:t>
      </w:r>
      <w:r>
        <w:rPr>
          <w:rStyle w:val="14"/>
          <w:sz w:val="24"/>
          <w:szCs w:val="24"/>
        </w:rPr>
        <w:t>BLA</w:t>
      </w:r>
      <w:r>
        <w:rPr>
          <w:rStyle w:val="14"/>
          <w:rFonts w:hint="eastAsia"/>
          <w:sz w:val="24"/>
          <w:szCs w:val="24"/>
        </w:rPr>
        <w:t>或</w:t>
      </w:r>
      <w:r>
        <w:rPr>
          <w:rStyle w:val="14"/>
          <w:sz w:val="24"/>
          <w:szCs w:val="24"/>
        </w:rPr>
        <w:t>ANDA组合产品的器械组成部分提出既定条件。提出产品（包括每个组成部分）的既定条件和报告类别时，应将组合产品作为一个整体考虑，包括组成部分的作用和相互作用。本节主要</w:t>
      </w:r>
      <w:r>
        <w:rPr>
          <w:rStyle w:val="14"/>
          <w:rFonts w:hint="eastAsia"/>
          <w:sz w:val="24"/>
          <w:szCs w:val="24"/>
        </w:rPr>
        <w:t>关注确认</w:t>
      </w:r>
      <w:r>
        <w:rPr>
          <w:rStyle w:val="14"/>
          <w:sz w:val="24"/>
          <w:szCs w:val="24"/>
        </w:rPr>
        <w:t>特别适用于器械组成部分的既定条件。一种方法是评估与器械组成部分相关的</w:t>
      </w:r>
      <w:r>
        <w:rPr>
          <w:rStyle w:val="14"/>
          <w:rFonts w:ascii="宋体" w:hAnsi="宋体" w:eastAsia="宋体"/>
          <w:sz w:val="24"/>
          <w:szCs w:val="24"/>
        </w:rPr>
        <w:t>“</w:t>
      </w:r>
      <w:r>
        <w:rPr>
          <w:rStyle w:val="14"/>
          <w:sz w:val="24"/>
          <w:szCs w:val="24"/>
        </w:rPr>
        <w:t>是其安全和正确使用必不可少的产品特性</w:t>
      </w:r>
      <w:r>
        <w:rPr>
          <w:rStyle w:val="14"/>
          <w:rFonts w:ascii="宋体" w:hAnsi="宋体" w:eastAsia="宋体"/>
          <w:sz w:val="24"/>
          <w:szCs w:val="24"/>
        </w:rPr>
        <w:t>”</w:t>
      </w:r>
      <w:r>
        <w:rPr>
          <w:rStyle w:val="17"/>
          <w:rFonts w:ascii="Times New Roman" w:hAnsi="Times New Roman" w:cs="Times New Roman"/>
          <w:sz w:val="24"/>
          <w:szCs w:val="24"/>
        </w:rPr>
        <w:footnoteReference w:id="12"/>
      </w:r>
      <w:r>
        <w:rPr>
          <w:rStyle w:val="14"/>
          <w:sz w:val="24"/>
          <w:szCs w:val="24"/>
        </w:rPr>
        <w:t>（主要特性），并</w:t>
      </w:r>
      <w:r>
        <w:rPr>
          <w:rStyle w:val="14"/>
          <w:rFonts w:hint="eastAsia"/>
          <w:sz w:val="24"/>
          <w:szCs w:val="24"/>
        </w:rPr>
        <w:t>确认</w:t>
      </w:r>
      <w:r>
        <w:rPr>
          <w:rStyle w:val="14"/>
          <w:sz w:val="24"/>
          <w:szCs w:val="24"/>
        </w:rPr>
        <w:t>相关的既定条件。组合产品器械组成部分的主要特性通常包括以下方面：</w:t>
      </w:r>
    </w:p>
    <w:p w14:paraId="51D9C488">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基于风险管理原则的安全使用基本功能（例如，参见ICH Q9行业质量风险管理指南（2006年6月）；ISO 14971：2019，医疗器械风险管理对医疗器械的应用）。</w:t>
      </w:r>
    </w:p>
    <w:p w14:paraId="2A5584D4">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将</w:t>
      </w:r>
      <w:r>
        <w:rPr>
          <w:rStyle w:val="14"/>
          <w:rFonts w:hint="eastAsia"/>
          <w:sz w:val="24"/>
          <w:szCs w:val="24"/>
        </w:rPr>
        <w:t>标示</w:t>
      </w:r>
      <w:r>
        <w:rPr>
          <w:rStyle w:val="14"/>
          <w:sz w:val="24"/>
          <w:szCs w:val="24"/>
        </w:rPr>
        <w:t>剂量输送至特定身体部位所需的设计特征（例如，进行药物输送的器械组成部分）。</w:t>
      </w:r>
    </w:p>
    <w:p w14:paraId="2DD57050">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影响药物组成部分关键质量属性的特性。</w:t>
      </w:r>
    </w:p>
    <w:p w14:paraId="704288D9">
      <w:pPr>
        <w:spacing w:before="156" w:beforeLines="50" w:after="156" w:afterLines="50"/>
        <w:rPr>
          <w:rStyle w:val="14"/>
          <w:sz w:val="24"/>
          <w:szCs w:val="24"/>
        </w:rPr>
      </w:pPr>
      <w:r>
        <w:rPr>
          <w:rStyle w:val="14"/>
          <w:sz w:val="24"/>
          <w:szCs w:val="24"/>
        </w:rPr>
        <w:t>申请人应将以下视为潜在的既定条件：</w:t>
      </w:r>
    </w:p>
    <w:p w14:paraId="4388DA3A">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 xml:space="preserve">作为主要特性的设计特征。 </w:t>
      </w:r>
    </w:p>
    <w:p w14:paraId="7428C466">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器械组成部分的</w:t>
      </w:r>
      <w:r>
        <w:rPr>
          <w:rStyle w:val="14"/>
          <w:rFonts w:hint="eastAsia"/>
          <w:sz w:val="24"/>
          <w:szCs w:val="24"/>
        </w:rPr>
        <w:t>生产过程</w:t>
      </w:r>
      <w:r>
        <w:rPr>
          <w:rStyle w:val="14"/>
          <w:sz w:val="24"/>
          <w:szCs w:val="24"/>
        </w:rPr>
        <w:t>要素（需加以控制以确保主要特性）。</w:t>
      </w:r>
    </w:p>
    <w:p w14:paraId="5B037B62">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确保主要特性的器械组成部分的其他控制策略元素。</w:t>
      </w:r>
    </w:p>
    <w:p w14:paraId="2FA14208">
      <w:pPr>
        <w:spacing w:before="156" w:beforeLines="50" w:after="156" w:afterLines="50"/>
        <w:rPr>
          <w:rStyle w:val="14"/>
          <w:sz w:val="24"/>
          <w:szCs w:val="24"/>
        </w:rPr>
      </w:pPr>
      <w:r>
        <w:rPr>
          <w:rStyle w:val="14"/>
          <w:sz w:val="24"/>
          <w:szCs w:val="24"/>
        </w:rPr>
        <w:t>关于通常被认为是器械组成部分的既定条件的元素说明，请参见附录A。与确定药物组成部分的既定条件一样，提议用于器械组成部分的既定条件或用于器械组成部分较低报告类别是否合适，会根据具体情况而变化，具体取决于产品和工艺理解程度、从设计和开发中获得的风险管理知识以及对主要特性的指定和证明提供支持的证据。同样，与既定条件变更相关的风险水平将决定该变更的适当报告类别。关于在确定既定条件及其相关报告类别时可遵循的器械组成部分的方法，请参见附录B。</w:t>
      </w:r>
    </w:p>
    <w:p w14:paraId="586F082B">
      <w:pPr>
        <w:widowControl/>
        <w:jc w:val="left"/>
        <w:rPr>
          <w:rStyle w:val="14"/>
          <w:i/>
          <w:sz w:val="24"/>
          <w:szCs w:val="24"/>
        </w:rPr>
      </w:pPr>
      <w:r>
        <w:rPr>
          <w:rStyle w:val="14"/>
          <w:i/>
          <w:iCs/>
          <w:sz w:val="24"/>
          <w:szCs w:val="24"/>
        </w:rPr>
        <w:br w:type="page"/>
      </w:r>
    </w:p>
    <w:p w14:paraId="36993C9A">
      <w:pPr>
        <w:spacing w:before="156" w:beforeLines="50" w:after="156" w:afterLines="50"/>
        <w:ind w:left="1616" w:leftChars="539" w:hanging="484" w:hangingChars="202"/>
        <w:outlineLvl w:val="2"/>
        <w:rPr>
          <w:rStyle w:val="14"/>
          <w:i/>
          <w:sz w:val="24"/>
          <w:szCs w:val="24"/>
        </w:rPr>
      </w:pPr>
      <w:bookmarkStart w:id="9" w:name="_Toc97322915"/>
      <w:r>
        <w:rPr>
          <w:rStyle w:val="14"/>
          <w:i/>
          <w:iCs/>
          <w:sz w:val="24"/>
          <w:szCs w:val="24"/>
        </w:rPr>
        <w:t>5.</w:t>
      </w:r>
      <w:r>
        <w:rPr>
          <w:rStyle w:val="14"/>
          <w:i/>
          <w:iCs/>
          <w:sz w:val="24"/>
          <w:szCs w:val="24"/>
        </w:rPr>
        <w:tab/>
      </w:r>
      <w:r>
        <w:rPr>
          <w:rStyle w:val="14"/>
          <w:i/>
          <w:iCs/>
          <w:sz w:val="24"/>
          <w:szCs w:val="24"/>
        </w:rPr>
        <w:t>经批准的既定条件变更</w:t>
      </w:r>
      <w:bookmarkEnd w:id="9"/>
    </w:p>
    <w:p w14:paraId="2FB6B7C3">
      <w:pPr>
        <w:spacing w:before="156" w:beforeLines="50" w:after="156" w:afterLines="50"/>
        <w:rPr>
          <w:rStyle w:val="14"/>
          <w:sz w:val="24"/>
          <w:szCs w:val="24"/>
        </w:rPr>
      </w:pPr>
      <w:r>
        <w:rPr>
          <w:rStyle w:val="14"/>
          <w:sz w:val="24"/>
          <w:szCs w:val="24"/>
        </w:rPr>
        <w:t>如ICH Q12所示，申请人可通过以下方式提议增加、取消或更改已批准的既定条件或修订其相关报告类别：</w:t>
      </w:r>
    </w:p>
    <w:p w14:paraId="0FB48930">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 xml:space="preserve">提交补充申请。 </w:t>
      </w:r>
    </w:p>
    <w:p w14:paraId="1BFFA5A5">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增加既定条件，从而进一步保证</w:t>
      </w:r>
      <w:r>
        <w:rPr>
          <w:rStyle w:val="14"/>
          <w:rFonts w:hint="eastAsia"/>
          <w:sz w:val="24"/>
          <w:szCs w:val="24"/>
        </w:rPr>
        <w:t>原料药</w:t>
      </w:r>
      <w:r>
        <w:rPr>
          <w:rStyle w:val="14"/>
          <w:sz w:val="24"/>
          <w:szCs w:val="24"/>
        </w:rPr>
        <w:t>或</w:t>
      </w:r>
      <w:r>
        <w:rPr>
          <w:rStyle w:val="14"/>
          <w:rFonts w:hint="eastAsia"/>
          <w:sz w:val="24"/>
          <w:szCs w:val="24"/>
        </w:rPr>
        <w:t>制剂</w:t>
      </w:r>
      <w:r>
        <w:rPr>
          <w:rStyle w:val="14"/>
          <w:sz w:val="24"/>
          <w:szCs w:val="24"/>
        </w:rPr>
        <w:t>的质量，报告类别按照法规或指南建议规定，作为CBE-0提交（见第314.70（c）（6）条）。</w:t>
      </w:r>
    </w:p>
    <w:p w14:paraId="39826F0D">
      <w:pPr>
        <w:spacing w:before="156" w:beforeLines="50" w:after="156" w:afterLines="50"/>
        <w:ind w:left="1051" w:leftChars="270" w:hanging="484" w:hangingChars="202"/>
        <w:rPr>
          <w:rStyle w:val="14"/>
          <w:sz w:val="24"/>
          <w:szCs w:val="24"/>
        </w:rPr>
      </w:pPr>
      <w:r>
        <w:rPr>
          <w:rStyle w:val="14"/>
          <w:sz w:val="24"/>
          <w:szCs w:val="24"/>
        </w:rPr>
        <w:t>o</w:t>
      </w:r>
      <w:r>
        <w:rPr>
          <w:rStyle w:val="14"/>
          <w:sz w:val="24"/>
          <w:szCs w:val="24"/>
        </w:rPr>
        <w:tab/>
      </w:r>
      <w:r>
        <w:rPr>
          <w:rStyle w:val="14"/>
          <w:sz w:val="24"/>
          <w:szCs w:val="24"/>
        </w:rPr>
        <w:t>所有其他变更应作为</w:t>
      </w:r>
      <w:r>
        <w:rPr>
          <w:rStyle w:val="14"/>
          <w:rFonts w:hint="eastAsia"/>
          <w:sz w:val="24"/>
          <w:szCs w:val="24"/>
        </w:rPr>
        <w:t>事先</w:t>
      </w:r>
      <w:r>
        <w:rPr>
          <w:rStyle w:val="14"/>
          <w:sz w:val="24"/>
          <w:szCs w:val="24"/>
        </w:rPr>
        <w:t>批准补充申请提交。</w:t>
      </w:r>
    </w:p>
    <w:p w14:paraId="5BEB23D5">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提交批准后变更管理方案（PACMP）；见本指南第II.D节）。</w:t>
      </w:r>
    </w:p>
    <w:p w14:paraId="66CA819C">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在补充</w:t>
      </w:r>
      <w:r>
        <w:rPr>
          <w:rStyle w:val="14"/>
          <w:rFonts w:hint="eastAsia"/>
          <w:sz w:val="24"/>
          <w:szCs w:val="24"/>
        </w:rPr>
        <w:t>申请</w:t>
      </w:r>
      <w:r>
        <w:rPr>
          <w:rStyle w:val="14"/>
          <w:sz w:val="24"/>
          <w:szCs w:val="24"/>
        </w:rPr>
        <w:t>或年度报告中提交的先前批准的批准后承诺的履行情况。例如，如某项既定条件获得批准，并允许在某些信息可用和提交（如有规定）之前进行修改，则可以采取上述做法</w:t>
      </w:r>
    </w:p>
    <w:p w14:paraId="01DB38B5">
      <w:pPr>
        <w:spacing w:before="156" w:beforeLines="50" w:after="156" w:afterLines="50"/>
        <w:ind w:left="1616" w:leftChars="539" w:hanging="484" w:hangingChars="202"/>
        <w:outlineLvl w:val="2"/>
        <w:rPr>
          <w:rStyle w:val="14"/>
          <w:i/>
          <w:sz w:val="24"/>
          <w:szCs w:val="24"/>
        </w:rPr>
      </w:pPr>
      <w:bookmarkStart w:id="10" w:name="_Toc97322916"/>
      <w:r>
        <w:rPr>
          <w:rStyle w:val="14"/>
          <w:i/>
          <w:iCs/>
          <w:sz w:val="24"/>
          <w:szCs w:val="24"/>
        </w:rPr>
        <w:t>6.</w:t>
      </w:r>
      <w:r>
        <w:rPr>
          <w:rStyle w:val="14"/>
          <w:i/>
          <w:iCs/>
          <w:sz w:val="24"/>
          <w:szCs w:val="24"/>
        </w:rPr>
        <w:tab/>
      </w:r>
      <w:r>
        <w:rPr>
          <w:rStyle w:val="14"/>
          <w:i/>
          <w:iCs/>
          <w:sz w:val="24"/>
          <w:szCs w:val="24"/>
        </w:rPr>
        <w:t>根据已批准的既定条件提交的批准后文件</w:t>
      </w:r>
      <w:bookmarkEnd w:id="10"/>
    </w:p>
    <w:p w14:paraId="521B34F8">
      <w:pPr>
        <w:spacing w:before="156" w:beforeLines="50" w:after="156" w:afterLines="50"/>
        <w:rPr>
          <w:rStyle w:val="14"/>
          <w:sz w:val="24"/>
          <w:szCs w:val="24"/>
        </w:rPr>
      </w:pPr>
      <w:r>
        <w:rPr>
          <w:rStyle w:val="14"/>
          <w:sz w:val="24"/>
          <w:szCs w:val="24"/>
        </w:rPr>
        <w:t>当提交批准后补充</w:t>
      </w:r>
      <w:r>
        <w:rPr>
          <w:rStyle w:val="14"/>
          <w:rFonts w:hint="eastAsia"/>
          <w:sz w:val="24"/>
          <w:szCs w:val="24"/>
        </w:rPr>
        <w:t>申请</w:t>
      </w:r>
      <w:r>
        <w:rPr>
          <w:rStyle w:val="14"/>
          <w:sz w:val="24"/>
          <w:szCs w:val="24"/>
        </w:rPr>
        <w:t>和年度报告</w:t>
      </w:r>
      <w:r>
        <w:rPr>
          <w:rStyle w:val="14"/>
          <w:rFonts w:hint="eastAsia"/>
          <w:sz w:val="24"/>
          <w:szCs w:val="24"/>
        </w:rPr>
        <w:t>时</w:t>
      </w:r>
      <w:r>
        <w:rPr>
          <w:rStyle w:val="14"/>
          <w:sz w:val="24"/>
          <w:szCs w:val="24"/>
        </w:rPr>
        <w:t>，根据批准的既定条件报告</w:t>
      </w:r>
      <w:r>
        <w:rPr>
          <w:rStyle w:val="14"/>
          <w:rFonts w:hint="eastAsia"/>
          <w:sz w:val="24"/>
          <w:szCs w:val="24"/>
        </w:rPr>
        <w:t>C</w:t>
      </w:r>
      <w:r>
        <w:rPr>
          <w:rStyle w:val="14"/>
          <w:sz w:val="24"/>
          <w:szCs w:val="24"/>
        </w:rPr>
        <w:t>MC变更时，申请人应在申请信中说明提交材料包含根据先前批准的既定条件所做的变更。这些提交材料还应包括最新的PLCM情况（见本指南第II.E节）</w:t>
      </w:r>
    </w:p>
    <w:p w14:paraId="78CBF74B">
      <w:pPr>
        <w:spacing w:before="156" w:beforeLines="50" w:after="156" w:afterLines="50"/>
        <w:ind w:left="1616" w:leftChars="539" w:hanging="484" w:hangingChars="202"/>
        <w:outlineLvl w:val="2"/>
        <w:rPr>
          <w:rStyle w:val="14"/>
          <w:i/>
          <w:sz w:val="24"/>
          <w:szCs w:val="24"/>
        </w:rPr>
      </w:pPr>
      <w:bookmarkStart w:id="11" w:name="_Toc97322917"/>
      <w:r>
        <w:rPr>
          <w:rStyle w:val="14"/>
          <w:i/>
          <w:iCs/>
          <w:sz w:val="24"/>
          <w:szCs w:val="24"/>
        </w:rPr>
        <w:t>7.</w:t>
      </w:r>
      <w:r>
        <w:rPr>
          <w:rStyle w:val="14"/>
          <w:i/>
          <w:iCs/>
          <w:sz w:val="24"/>
          <w:szCs w:val="24"/>
        </w:rPr>
        <w:tab/>
      </w:r>
      <w:r>
        <w:rPr>
          <w:rStyle w:val="14"/>
          <w:i/>
          <w:iCs/>
          <w:sz w:val="24"/>
          <w:szCs w:val="24"/>
        </w:rPr>
        <w:t>申请保持</w:t>
      </w:r>
      <w:bookmarkEnd w:id="11"/>
    </w:p>
    <w:p w14:paraId="43DAE9FD">
      <w:pPr>
        <w:spacing w:before="156" w:beforeLines="50" w:after="156" w:afterLines="50"/>
        <w:rPr>
          <w:rStyle w:val="14"/>
          <w:sz w:val="24"/>
          <w:szCs w:val="24"/>
        </w:rPr>
      </w:pPr>
      <w:r>
        <w:rPr>
          <w:rStyle w:val="14"/>
          <w:sz w:val="24"/>
          <w:szCs w:val="24"/>
        </w:rPr>
        <w:t>如ICH Q12所示，</w:t>
      </w:r>
      <w:r>
        <w:rPr>
          <w:rStyle w:val="14"/>
          <w:rFonts w:hint="eastAsia"/>
          <w:sz w:val="24"/>
          <w:szCs w:val="24"/>
        </w:rPr>
        <w:t>维护</w:t>
      </w:r>
      <w:r>
        <w:rPr>
          <w:rStyle w:val="14"/>
          <w:sz w:val="24"/>
          <w:szCs w:val="24"/>
        </w:rPr>
        <w:t>申请应符合地区要求。为确保FDA可使用最新的分析</w:t>
      </w:r>
      <w:r>
        <w:rPr>
          <w:rStyle w:val="14"/>
          <w:rFonts w:hint="eastAsia"/>
          <w:sz w:val="24"/>
          <w:szCs w:val="24"/>
        </w:rPr>
        <w:t>方法</w:t>
      </w:r>
      <w:r>
        <w:rPr>
          <w:rStyle w:val="14"/>
          <w:sz w:val="24"/>
          <w:szCs w:val="24"/>
        </w:rPr>
        <w:t>，申请人应在年度报告中</w:t>
      </w:r>
      <w:r>
        <w:rPr>
          <w:rStyle w:val="14"/>
          <w:rFonts w:hint="eastAsia"/>
          <w:sz w:val="24"/>
          <w:szCs w:val="24"/>
        </w:rPr>
        <w:t>包含</w:t>
      </w:r>
      <w:r>
        <w:rPr>
          <w:rStyle w:val="14"/>
          <w:sz w:val="24"/>
          <w:szCs w:val="24"/>
        </w:rPr>
        <w:t>一份所有分析</w:t>
      </w:r>
      <w:r>
        <w:rPr>
          <w:rStyle w:val="14"/>
          <w:rFonts w:hint="eastAsia"/>
          <w:sz w:val="24"/>
          <w:szCs w:val="24"/>
        </w:rPr>
        <w:t>方法</w:t>
      </w:r>
      <w:r>
        <w:rPr>
          <w:rStyle w:val="14"/>
          <w:sz w:val="24"/>
          <w:szCs w:val="24"/>
        </w:rPr>
        <w:t>的副本，这些分析</w:t>
      </w:r>
      <w:r>
        <w:rPr>
          <w:rStyle w:val="14"/>
          <w:rFonts w:hint="eastAsia"/>
          <w:sz w:val="24"/>
          <w:szCs w:val="24"/>
        </w:rPr>
        <w:t>方法此前</w:t>
      </w:r>
      <w:r>
        <w:rPr>
          <w:rStyle w:val="14"/>
          <w:sz w:val="24"/>
          <w:szCs w:val="24"/>
        </w:rPr>
        <w:t>并未提交，但是已在报告期内进行了适当修改（即，因为更改与既定条件无关，仅通过PQS进行管理）。除非确定实际上</w:t>
      </w:r>
      <w:r>
        <w:rPr>
          <w:rStyle w:val="14"/>
          <w:rFonts w:hint="eastAsia"/>
          <w:sz w:val="24"/>
          <w:szCs w:val="24"/>
        </w:rPr>
        <w:t>分析方法</w:t>
      </w:r>
      <w:r>
        <w:rPr>
          <w:rStyle w:val="14"/>
          <w:sz w:val="24"/>
          <w:szCs w:val="24"/>
        </w:rPr>
        <w:t>对既定条件进行了更改，</w:t>
      </w:r>
      <w:r>
        <w:rPr>
          <w:rStyle w:val="14"/>
          <w:rFonts w:hint="eastAsia"/>
          <w:sz w:val="24"/>
          <w:szCs w:val="24"/>
        </w:rPr>
        <w:t>否则</w:t>
      </w:r>
      <w:r>
        <w:rPr>
          <w:rStyle w:val="14"/>
          <w:sz w:val="24"/>
          <w:szCs w:val="24"/>
        </w:rPr>
        <w:t>此信息仅供参考，通常无需审核。申请人应将此信息包含在电子通用技术文档第1.13.5或1.13.7节中，并声明</w:t>
      </w:r>
      <w:r>
        <w:rPr>
          <w:rStyle w:val="14"/>
          <w:rFonts w:ascii="宋体" w:hAnsi="宋体" w:eastAsia="宋体"/>
          <w:sz w:val="24"/>
          <w:szCs w:val="24"/>
        </w:rPr>
        <w:t>“</w:t>
      </w:r>
      <w:r>
        <w:rPr>
          <w:rStyle w:val="14"/>
          <w:sz w:val="24"/>
          <w:szCs w:val="24"/>
        </w:rPr>
        <w:t>仅供参考：分析方法的变更，包括不需要提交的变更。</w:t>
      </w:r>
      <w:r>
        <w:rPr>
          <w:rStyle w:val="14"/>
          <w:rFonts w:ascii="宋体" w:hAnsi="宋体" w:eastAsia="宋体"/>
          <w:sz w:val="24"/>
          <w:szCs w:val="24"/>
        </w:rPr>
        <w:t>”</w:t>
      </w:r>
    </w:p>
    <w:p w14:paraId="404F5E8F">
      <w:pPr>
        <w:widowControl/>
        <w:jc w:val="left"/>
        <w:rPr>
          <w:rStyle w:val="14"/>
          <w:sz w:val="24"/>
          <w:szCs w:val="24"/>
        </w:rPr>
      </w:pPr>
      <w:r>
        <w:rPr>
          <w:rStyle w:val="14"/>
          <w:sz w:val="24"/>
          <w:szCs w:val="24"/>
        </w:rPr>
        <w:br w:type="page"/>
      </w:r>
    </w:p>
    <w:p w14:paraId="3FEB7103">
      <w:pPr>
        <w:spacing w:before="156" w:beforeLines="50" w:after="156" w:afterLines="50"/>
        <w:ind w:left="1136" w:leftChars="270" w:hanging="569" w:hangingChars="236"/>
        <w:outlineLvl w:val="1"/>
        <w:rPr>
          <w:rFonts w:ascii="Times New Roman" w:hAnsi="Times New Roman" w:cs="Times New Roman"/>
          <w:b/>
          <w:sz w:val="24"/>
          <w:szCs w:val="24"/>
        </w:rPr>
      </w:pPr>
      <w:bookmarkStart w:id="12" w:name="_Toc97322918"/>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批准后变更管理方案</w:t>
      </w:r>
      <w:bookmarkEnd w:id="12"/>
    </w:p>
    <w:p w14:paraId="465B4A7E">
      <w:pPr>
        <w:spacing w:before="156" w:beforeLines="50" w:after="156" w:afterLines="50"/>
        <w:rPr>
          <w:rStyle w:val="14"/>
          <w:sz w:val="24"/>
          <w:szCs w:val="24"/>
        </w:rPr>
      </w:pPr>
      <w:r>
        <w:rPr>
          <w:rStyle w:val="14"/>
          <w:sz w:val="24"/>
          <w:szCs w:val="24"/>
        </w:rPr>
        <w:t>在美国监管体系中，批准后变更管理方案称为可比性方案，属于自愿性质。这些方案在一个重要方面不同于既定条件的使用。可比性方案和既定条件的使用均涉及需报告的要素（如已更改）和报告机制，但可比性方案要求进行测试和研究，以支持在方案提交时需说明的将来对既定条件的更改（21 CFR 314.70（e））。</w:t>
      </w:r>
    </w:p>
    <w:p w14:paraId="3745ABC6">
      <w:pPr>
        <w:spacing w:before="156" w:beforeLines="50" w:after="156" w:afterLines="50"/>
        <w:rPr>
          <w:rStyle w:val="14"/>
          <w:sz w:val="24"/>
          <w:szCs w:val="24"/>
        </w:rPr>
      </w:pPr>
      <w:r>
        <w:rPr>
          <w:rStyle w:val="14"/>
          <w:sz w:val="24"/>
          <w:szCs w:val="24"/>
        </w:rPr>
        <w:t>FDA建议在电子通用技术文档第3.2.R节中提交可比性方案。对于包含适用于多种产品的一项或多项变更的可比性方案，请参见行业指南草案《人用药物和生物制品的可比性方案： 工业化学、制造和控制信息》（2016年4月）</w:t>
      </w:r>
      <w:r>
        <w:rPr>
          <w:rStyle w:val="17"/>
          <w:rFonts w:ascii="Times New Roman" w:hAnsi="Times New Roman" w:cs="Times New Roman"/>
          <w:sz w:val="24"/>
          <w:szCs w:val="24"/>
        </w:rPr>
        <w:footnoteReference w:id="13"/>
      </w:r>
      <w:r>
        <w:rPr>
          <w:rStyle w:val="14"/>
          <w:sz w:val="24"/>
          <w:szCs w:val="24"/>
        </w:rPr>
        <w:t>获取与提交材料的适当内容和格式以及可比性方案可能有用的情况相关的信息。</w:t>
      </w:r>
    </w:p>
    <w:p w14:paraId="06DBA945">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22919"/>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产品生命周期管理</w:t>
      </w:r>
      <w:bookmarkEnd w:id="13"/>
      <w:r>
        <w:rPr>
          <w:rFonts w:hint="eastAsia" w:ascii="Times New Roman" w:hAnsi="Times New Roman" w:cs="Times New Roman"/>
          <w:b/>
          <w:bCs/>
          <w:sz w:val="24"/>
          <w:szCs w:val="24"/>
        </w:rPr>
        <w:t>文件</w:t>
      </w:r>
    </w:p>
    <w:p w14:paraId="33F9637B">
      <w:pPr>
        <w:spacing w:before="156" w:beforeLines="50" w:after="156" w:afterLines="50"/>
        <w:rPr>
          <w:rStyle w:val="14"/>
          <w:sz w:val="24"/>
          <w:szCs w:val="24"/>
        </w:rPr>
      </w:pPr>
      <w:r>
        <w:rPr>
          <w:rStyle w:val="14"/>
          <w:sz w:val="24"/>
          <w:szCs w:val="24"/>
        </w:rPr>
        <w:t>如ICH Q12中所述，产品生命周期管理文件应包括</w:t>
      </w:r>
      <w:r>
        <w:rPr>
          <w:rStyle w:val="14"/>
          <w:rFonts w:hint="eastAsia"/>
          <w:sz w:val="24"/>
          <w:szCs w:val="24"/>
        </w:rPr>
        <w:t>提议</w:t>
      </w:r>
      <w:r>
        <w:rPr>
          <w:rStyle w:val="14"/>
          <w:sz w:val="24"/>
          <w:szCs w:val="24"/>
        </w:rPr>
        <w:t>的既定条件、对已批准的既定条件进行变更的报告类别、可比性方案列表（如已提交）以及批准后的</w:t>
      </w:r>
      <w:r>
        <w:rPr>
          <w:rStyle w:val="14"/>
          <w:rFonts w:hint="eastAsia"/>
          <w:sz w:val="24"/>
          <w:szCs w:val="24"/>
        </w:rPr>
        <w:t>C</w:t>
      </w:r>
      <w:r>
        <w:rPr>
          <w:rStyle w:val="14"/>
          <w:sz w:val="24"/>
          <w:szCs w:val="24"/>
        </w:rPr>
        <w:t>MC承诺（如适用）。FDA建议在电子通用技术文档第3.2.R节中以表格形式提供产品生命周期管理文件，并特别提及提交顺序、电子通用技术文档章节号和各既定条件科学依据的页码位置。FDA还建议，产品生命周期管理应说明将实施既定条件的制造地点（最好通过工厂识别号（FEI）编号）。</w:t>
      </w:r>
      <w:r>
        <w:rPr>
          <w:rStyle w:val="17"/>
          <w:rFonts w:ascii="Times New Roman" w:hAnsi="Times New Roman" w:cs="Times New Roman"/>
          <w:sz w:val="24"/>
          <w:szCs w:val="24"/>
        </w:rPr>
        <w:footnoteReference w:id="14"/>
      </w:r>
      <w:r>
        <w:rPr>
          <w:rStyle w:val="14"/>
          <w:sz w:val="24"/>
          <w:szCs w:val="24"/>
        </w:rPr>
        <w:t>例如，如申请中指定了两个药品制造地点，但与生产过程相关的既定条件仅与这两个地点其中一个地点的制造相关，则应在产品生命周期管理阶段为这些与工艺相关的既定条件</w:t>
      </w:r>
      <w:r>
        <w:rPr>
          <w:rStyle w:val="14"/>
          <w:rFonts w:hint="eastAsia"/>
          <w:sz w:val="24"/>
          <w:szCs w:val="24"/>
        </w:rPr>
        <w:t>指明</w:t>
      </w:r>
      <w:r>
        <w:rPr>
          <w:rStyle w:val="14"/>
          <w:sz w:val="24"/>
          <w:szCs w:val="24"/>
        </w:rPr>
        <w:t>该地点的工厂识别号。然后，</w:t>
      </w:r>
      <w:r>
        <w:rPr>
          <w:rStyle w:val="14"/>
          <w:rFonts w:hint="eastAsia"/>
          <w:sz w:val="24"/>
          <w:szCs w:val="24"/>
        </w:rPr>
        <w:t>默认</w:t>
      </w:r>
      <w:r>
        <w:rPr>
          <w:rStyle w:val="14"/>
          <w:sz w:val="24"/>
          <w:szCs w:val="24"/>
        </w:rPr>
        <w:t>另一家工厂适用的既定条件将遵循法规和指南建议。如</w:t>
      </w:r>
      <w:r>
        <w:rPr>
          <w:rStyle w:val="14"/>
          <w:rFonts w:hint="eastAsia"/>
          <w:sz w:val="24"/>
          <w:szCs w:val="24"/>
        </w:rPr>
        <w:t>果</w:t>
      </w:r>
      <w:r>
        <w:rPr>
          <w:rStyle w:val="14"/>
          <w:sz w:val="24"/>
          <w:szCs w:val="24"/>
        </w:rPr>
        <w:t>在两个地点实施既定条件，则应列出两个工厂识别号。申请人应将工厂识别号视为产品生命周期管理中含义最广的既定条件（例如，如该部分所有后续既定条件均与一家药品生产机构相关，则应在3.2.P文首列出一个工厂识别号）。有关产品生命周期管理文件的示例，请参见本指南中的附录C。</w:t>
      </w:r>
    </w:p>
    <w:p w14:paraId="016A2DFE">
      <w:pPr>
        <w:spacing w:before="156" w:beforeLines="50" w:after="156" w:afterLines="50"/>
        <w:rPr>
          <w:rStyle w:val="14"/>
          <w:sz w:val="24"/>
          <w:szCs w:val="24"/>
        </w:rPr>
      </w:pPr>
      <w:r>
        <w:rPr>
          <w:rStyle w:val="14"/>
          <w:sz w:val="24"/>
          <w:szCs w:val="24"/>
        </w:rPr>
        <w:t>申请人应在每份补充</w:t>
      </w:r>
      <w:r>
        <w:rPr>
          <w:rStyle w:val="14"/>
          <w:rFonts w:hint="eastAsia"/>
          <w:sz w:val="24"/>
          <w:szCs w:val="24"/>
        </w:rPr>
        <w:t>申请</w:t>
      </w:r>
      <w:r>
        <w:rPr>
          <w:rStyle w:val="14"/>
          <w:sz w:val="24"/>
          <w:szCs w:val="24"/>
        </w:rPr>
        <w:t>中提供最新的产品生命周期管理文件，或</w:t>
      </w:r>
      <w:r>
        <w:rPr>
          <w:rStyle w:val="14"/>
          <w:rFonts w:hint="eastAsia"/>
          <w:sz w:val="24"/>
          <w:szCs w:val="24"/>
        </w:rPr>
        <w:t>在</w:t>
      </w:r>
      <w:r>
        <w:rPr>
          <w:rStyle w:val="14"/>
          <w:sz w:val="24"/>
          <w:szCs w:val="24"/>
        </w:rPr>
        <w:t>年度报告报告已批准的既定条件的变化情况。如未提出具体的既定条件，则无需提交产品生命周期管理文件。</w:t>
      </w:r>
    </w:p>
    <w:p w14:paraId="6173279D">
      <w:pPr>
        <w:widowControl/>
        <w:jc w:val="left"/>
        <w:rPr>
          <w:rStyle w:val="14"/>
        </w:rPr>
      </w:pPr>
      <w:r>
        <w:rPr>
          <w:rStyle w:val="14"/>
        </w:rPr>
        <w:br w:type="page"/>
      </w:r>
    </w:p>
    <w:p w14:paraId="19C390AC">
      <w:pPr>
        <w:spacing w:before="156" w:beforeLines="50" w:after="156" w:afterLines="50"/>
        <w:ind w:left="1136" w:leftChars="270" w:hanging="569" w:hangingChars="236"/>
        <w:outlineLvl w:val="1"/>
        <w:rPr>
          <w:rFonts w:ascii="Times New Roman" w:hAnsi="Times New Roman" w:cs="Times New Roman"/>
          <w:b/>
          <w:sz w:val="24"/>
          <w:szCs w:val="24"/>
        </w:rPr>
      </w:pPr>
      <w:bookmarkStart w:id="14" w:name="_Toc97322920"/>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药品质量体系和变更管理</w:t>
      </w:r>
      <w:bookmarkEnd w:id="14"/>
    </w:p>
    <w:p w14:paraId="7E91E53B">
      <w:pPr>
        <w:spacing w:before="156" w:beforeLines="50" w:after="156" w:afterLines="50"/>
        <w:rPr>
          <w:rStyle w:val="14"/>
          <w:sz w:val="24"/>
          <w:szCs w:val="24"/>
        </w:rPr>
      </w:pPr>
      <w:r>
        <w:rPr>
          <w:rStyle w:val="14"/>
          <w:sz w:val="24"/>
          <w:szCs w:val="24"/>
        </w:rPr>
        <w:t>如ICH Q12所示，除了符合现行良好生产规范（CGMP）要求外，</w:t>
      </w:r>
      <w:r>
        <w:rPr>
          <w:rStyle w:val="17"/>
          <w:rFonts w:ascii="Times New Roman" w:hAnsi="Times New Roman" w:cs="Times New Roman"/>
          <w:sz w:val="24"/>
          <w:szCs w:val="24"/>
        </w:rPr>
        <w:footnoteReference w:id="15"/>
      </w:r>
      <w:r>
        <w:rPr>
          <w:rStyle w:val="14"/>
          <w:sz w:val="24"/>
          <w:szCs w:val="24"/>
        </w:rPr>
        <w:t>对于支持使用本指南中的工具而言，有效的药品质量体系是必不可少的。然而，如本指南所述，在申请人利用本指南中的原则之前，FDA不会要求进行特定检查。FDA对药品质量体系有效性的评估通常会依据FDA和相应外国FDA进行的常规检查</w:t>
      </w:r>
      <w:r>
        <w:rPr>
          <w:rStyle w:val="17"/>
          <w:rFonts w:ascii="Times New Roman" w:hAnsi="Times New Roman" w:cs="Times New Roman"/>
          <w:sz w:val="24"/>
          <w:szCs w:val="24"/>
        </w:rPr>
        <w:footnoteReference w:id="16"/>
      </w:r>
      <w:r>
        <w:rPr>
          <w:rStyle w:val="14"/>
          <w:sz w:val="24"/>
          <w:szCs w:val="24"/>
        </w:rPr>
        <w:t>以及其他可用信息。管理层应采用ICH Q10药品质量体系（行业指南）（2009年4月）的原则，以确保药品质量体系可持续支持既定条件管理。</w:t>
      </w:r>
    </w:p>
    <w:p w14:paraId="3E1404F7">
      <w:pPr>
        <w:spacing w:before="156" w:beforeLines="50" w:after="156" w:afterLines="50"/>
        <w:rPr>
          <w:rStyle w:val="14"/>
          <w:sz w:val="24"/>
          <w:szCs w:val="24"/>
        </w:rPr>
      </w:pPr>
      <w:r>
        <w:rPr>
          <w:rStyle w:val="14"/>
          <w:sz w:val="24"/>
          <w:szCs w:val="24"/>
        </w:rPr>
        <w:t>鉴于药品质量体系对于支持ICH Q12工具使用起着重要作用，当申请人在获得批准后提议引进新的生产地时，申请人不应</w:t>
      </w:r>
      <w:r>
        <w:rPr>
          <w:rStyle w:val="14"/>
          <w:rFonts w:hint="eastAsia"/>
          <w:sz w:val="24"/>
          <w:szCs w:val="24"/>
        </w:rPr>
        <w:t>默认</w:t>
      </w:r>
      <w:r>
        <w:rPr>
          <w:rStyle w:val="14"/>
          <w:sz w:val="24"/>
          <w:szCs w:val="24"/>
        </w:rPr>
        <w:t>最初批准的既定条件</w:t>
      </w:r>
      <w:r>
        <w:rPr>
          <w:rStyle w:val="14"/>
          <w:rFonts w:hint="eastAsia"/>
          <w:sz w:val="24"/>
          <w:szCs w:val="24"/>
        </w:rPr>
        <w:t>仍</w:t>
      </w:r>
      <w:r>
        <w:rPr>
          <w:rStyle w:val="14"/>
          <w:sz w:val="24"/>
          <w:szCs w:val="24"/>
        </w:rPr>
        <w:t>适用。相反，如提议了既定条件，申请人应在提议新地点的补充申请中涵盖以下内容：</w:t>
      </w:r>
    </w:p>
    <w:p w14:paraId="210F4D60">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 xml:space="preserve">对相关既定条件的重新评估。 </w:t>
      </w:r>
    </w:p>
    <w:p w14:paraId="631826F4">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由于本申请模块3相关部分重新评估而需要的既定条件</w:t>
      </w:r>
      <w:r>
        <w:rPr>
          <w:rStyle w:val="14"/>
          <w:rFonts w:hint="eastAsia"/>
          <w:sz w:val="24"/>
          <w:szCs w:val="24"/>
        </w:rPr>
        <w:t>提议</w:t>
      </w:r>
      <w:r>
        <w:rPr>
          <w:rStyle w:val="14"/>
          <w:sz w:val="24"/>
          <w:szCs w:val="24"/>
        </w:rPr>
        <w:t>变更的原因说明。</w:t>
      </w:r>
    </w:p>
    <w:p w14:paraId="309B38A1">
      <w:pPr>
        <w:spacing w:before="156" w:beforeLines="50" w:after="156" w:afterLines="50"/>
        <w:rPr>
          <w:rStyle w:val="14"/>
          <w:sz w:val="24"/>
          <w:szCs w:val="24"/>
        </w:rPr>
      </w:pPr>
      <w:r>
        <w:rPr>
          <w:rStyle w:val="14"/>
          <w:sz w:val="24"/>
          <w:szCs w:val="24"/>
        </w:rPr>
        <w:t>FDA还将考虑补充申请中包含的信息，从而进一步确定，在批准后变更方面，新地</w:t>
      </w:r>
      <w:r>
        <w:rPr>
          <w:rStyle w:val="14"/>
          <w:rFonts w:hint="eastAsia"/>
          <w:sz w:val="24"/>
          <w:szCs w:val="24"/>
        </w:rPr>
        <w:t>址</w:t>
      </w:r>
      <w:r>
        <w:rPr>
          <w:rStyle w:val="14"/>
          <w:sz w:val="24"/>
          <w:szCs w:val="24"/>
        </w:rPr>
        <w:t>需要与原申请中所包含地点相同</w:t>
      </w:r>
      <w:r>
        <w:rPr>
          <w:rStyle w:val="14"/>
          <w:rFonts w:hint="eastAsia"/>
          <w:sz w:val="24"/>
          <w:szCs w:val="24"/>
        </w:rPr>
        <w:t>级别</w:t>
      </w:r>
      <w:r>
        <w:rPr>
          <w:rStyle w:val="14"/>
          <w:sz w:val="24"/>
          <w:szCs w:val="24"/>
        </w:rPr>
        <w:t>的监管灵活性。确定药品质量体系能力时，</w:t>
      </w:r>
      <w:r>
        <w:rPr>
          <w:rStyle w:val="14"/>
          <w:rFonts w:hint="eastAsia"/>
          <w:sz w:val="24"/>
          <w:szCs w:val="24"/>
        </w:rPr>
        <w:t>要</w:t>
      </w:r>
      <w:r>
        <w:rPr>
          <w:rStyle w:val="14"/>
          <w:sz w:val="24"/>
          <w:szCs w:val="24"/>
        </w:rPr>
        <w:t>考虑因素</w:t>
      </w:r>
      <w:r>
        <w:rPr>
          <w:rStyle w:val="14"/>
          <w:rFonts w:hint="eastAsia"/>
          <w:sz w:val="24"/>
          <w:szCs w:val="24"/>
        </w:rPr>
        <w:t>包含</w:t>
      </w:r>
      <w:r>
        <w:rPr>
          <w:rStyle w:val="14"/>
          <w:sz w:val="24"/>
          <w:szCs w:val="24"/>
        </w:rPr>
        <w:t>，新</w:t>
      </w:r>
      <w:r>
        <w:rPr>
          <w:rStyle w:val="14"/>
          <w:rFonts w:hint="eastAsia"/>
          <w:sz w:val="24"/>
          <w:szCs w:val="24"/>
        </w:rPr>
        <w:t>地址</w:t>
      </w:r>
      <w:r>
        <w:rPr>
          <w:rStyle w:val="14"/>
          <w:sz w:val="24"/>
          <w:szCs w:val="24"/>
        </w:rPr>
        <w:t>是否按照与原</w:t>
      </w:r>
      <w:r>
        <w:rPr>
          <w:rStyle w:val="14"/>
          <w:rFonts w:hint="eastAsia"/>
          <w:sz w:val="24"/>
          <w:szCs w:val="24"/>
        </w:rPr>
        <w:t>地址</w:t>
      </w:r>
      <w:r>
        <w:rPr>
          <w:rStyle w:val="14"/>
          <w:sz w:val="24"/>
          <w:szCs w:val="24"/>
        </w:rPr>
        <w:t>相同的药品质量体系</w:t>
      </w:r>
      <w:r>
        <w:rPr>
          <w:rStyle w:val="14"/>
          <w:rFonts w:hint="eastAsia"/>
          <w:sz w:val="24"/>
          <w:szCs w:val="24"/>
        </w:rPr>
        <w:t>运行情况</w:t>
      </w:r>
      <w:r>
        <w:rPr>
          <w:rStyle w:val="14"/>
          <w:sz w:val="24"/>
          <w:szCs w:val="24"/>
        </w:rPr>
        <w:t>；由FDA和其他国家药物FDA确定的</w:t>
      </w:r>
      <w:r>
        <w:rPr>
          <w:rStyle w:val="14"/>
          <w:rFonts w:hint="eastAsia"/>
          <w:sz w:val="24"/>
          <w:szCs w:val="24"/>
        </w:rPr>
        <w:t>合规</w:t>
      </w:r>
      <w:r>
        <w:rPr>
          <w:rStyle w:val="14"/>
          <w:sz w:val="24"/>
          <w:szCs w:val="24"/>
        </w:rPr>
        <w:t>状态；与ICH Q10的符合性，尤其是在变更管理实践方面；以及与其他适用的变更管理法规和政策的一致性。</w:t>
      </w:r>
    </w:p>
    <w:p w14:paraId="4DD85819">
      <w:pPr>
        <w:spacing w:before="156" w:beforeLines="50" w:after="156" w:afterLines="50"/>
        <w:rPr>
          <w:rStyle w:val="14"/>
          <w:sz w:val="24"/>
          <w:szCs w:val="24"/>
        </w:rPr>
      </w:pPr>
      <w:r>
        <w:rPr>
          <w:rStyle w:val="14"/>
          <w:sz w:val="24"/>
          <w:szCs w:val="24"/>
        </w:rPr>
        <w:t>如ICH Q12所示，</w:t>
      </w:r>
      <w:r>
        <w:rPr>
          <w:rStyle w:val="14"/>
          <w:rFonts w:hint="eastAsia"/>
          <w:sz w:val="24"/>
          <w:szCs w:val="24"/>
        </w:rPr>
        <w:t>当</w:t>
      </w:r>
      <w:r>
        <w:rPr>
          <w:rStyle w:val="14"/>
          <w:sz w:val="24"/>
          <w:szCs w:val="24"/>
        </w:rPr>
        <w:t>检查观察</w:t>
      </w:r>
      <w:r>
        <w:rPr>
          <w:rStyle w:val="14"/>
          <w:rFonts w:hint="eastAsia"/>
          <w:sz w:val="24"/>
          <w:szCs w:val="24"/>
        </w:rPr>
        <w:t>项</w:t>
      </w:r>
      <w:r>
        <w:rPr>
          <w:rStyle w:val="14"/>
          <w:sz w:val="24"/>
          <w:szCs w:val="24"/>
        </w:rPr>
        <w:t>引起对药品质量体系有效性（尤其是变更管理）的关注</w:t>
      </w:r>
      <w:r>
        <w:rPr>
          <w:rStyle w:val="14"/>
          <w:rFonts w:hint="eastAsia"/>
          <w:sz w:val="24"/>
          <w:szCs w:val="24"/>
        </w:rPr>
        <w:t>时</w:t>
      </w:r>
      <w:r>
        <w:rPr>
          <w:rStyle w:val="14"/>
          <w:sz w:val="24"/>
          <w:szCs w:val="24"/>
        </w:rPr>
        <w:t>，可能需要修改先前批准的既定条件、报告类别或可比性</w:t>
      </w:r>
      <w:r>
        <w:rPr>
          <w:rStyle w:val="14"/>
          <w:rFonts w:hint="eastAsia"/>
          <w:sz w:val="24"/>
          <w:szCs w:val="24"/>
        </w:rPr>
        <w:t>方案</w:t>
      </w:r>
      <w:r>
        <w:rPr>
          <w:rStyle w:val="14"/>
          <w:sz w:val="24"/>
          <w:szCs w:val="24"/>
        </w:rPr>
        <w:t>，直至药品质量体系有效性恢复至可接受状态。在这些情况下，FDA拟将此类发现</w:t>
      </w:r>
      <w:r>
        <w:rPr>
          <w:rStyle w:val="14"/>
          <w:rFonts w:hint="eastAsia"/>
          <w:sz w:val="24"/>
          <w:szCs w:val="24"/>
        </w:rPr>
        <w:t>项</w:t>
      </w:r>
      <w:r>
        <w:rPr>
          <w:rStyle w:val="14"/>
          <w:sz w:val="24"/>
          <w:szCs w:val="24"/>
        </w:rPr>
        <w:t>对先前批准的既定条件、报告类别和可比性方案的影响告知相关机构和申请人（如适用）。</w:t>
      </w:r>
    </w:p>
    <w:p w14:paraId="7FB8883A">
      <w:pPr>
        <w:spacing w:before="156" w:beforeLines="50" w:after="156" w:afterLines="50"/>
        <w:ind w:left="1136" w:leftChars="270" w:hanging="569" w:hangingChars="236"/>
        <w:outlineLvl w:val="1"/>
        <w:rPr>
          <w:rFonts w:ascii="Times New Roman" w:hAnsi="Times New Roman" w:cs="Times New Roman"/>
          <w:b/>
          <w:sz w:val="24"/>
          <w:szCs w:val="24"/>
        </w:rPr>
      </w:pPr>
      <w:bookmarkStart w:id="15" w:name="_Toc97322921"/>
      <w:r>
        <w:rPr>
          <w:rFonts w:ascii="Times New Roman" w:hAnsi="Times New Roman" w:cs="Times New Roman"/>
          <w:b/>
          <w:bCs/>
          <w:sz w:val="24"/>
          <w:szCs w:val="24"/>
        </w:rPr>
        <w:t>G.</w:t>
      </w:r>
      <w:r>
        <w:rPr>
          <w:rFonts w:ascii="Times New Roman" w:hAnsi="Times New Roman" w:cs="Times New Roman"/>
          <w:b/>
          <w:bCs/>
          <w:sz w:val="24"/>
          <w:szCs w:val="24"/>
        </w:rPr>
        <w:tab/>
      </w:r>
      <w:r>
        <w:rPr>
          <w:rFonts w:ascii="Times New Roman" w:hAnsi="Times New Roman" w:cs="Times New Roman"/>
          <w:b/>
          <w:bCs/>
          <w:sz w:val="24"/>
          <w:szCs w:val="24"/>
        </w:rPr>
        <w:t>监管评估</w:t>
      </w:r>
      <w:r>
        <w:rPr>
          <w:rFonts w:hint="eastAsia" w:ascii="Times New Roman" w:hAnsi="Times New Roman" w:cs="Times New Roman"/>
          <w:b/>
          <w:bCs/>
          <w:sz w:val="24"/>
          <w:szCs w:val="24"/>
        </w:rPr>
        <w:t>与</w:t>
      </w:r>
      <w:r>
        <w:rPr>
          <w:rFonts w:ascii="Times New Roman" w:hAnsi="Times New Roman" w:cs="Times New Roman"/>
          <w:b/>
          <w:bCs/>
          <w:sz w:val="24"/>
          <w:szCs w:val="24"/>
        </w:rPr>
        <w:t>检查的关系</w:t>
      </w:r>
      <w:bookmarkEnd w:id="15"/>
    </w:p>
    <w:p w14:paraId="654F0E68">
      <w:pPr>
        <w:spacing w:before="156" w:beforeLines="50" w:after="156" w:afterLines="50"/>
        <w:rPr>
          <w:rStyle w:val="14"/>
          <w:sz w:val="24"/>
          <w:szCs w:val="24"/>
        </w:rPr>
      </w:pPr>
      <w:r>
        <w:rPr>
          <w:rStyle w:val="14"/>
          <w:sz w:val="24"/>
          <w:szCs w:val="24"/>
        </w:rPr>
        <w:t>ICH Q12工具（如既定条件）的使用不会改变FDA评估信息</w:t>
      </w:r>
      <w:r>
        <w:rPr>
          <w:rStyle w:val="14"/>
          <w:rFonts w:hint="eastAsia"/>
          <w:sz w:val="24"/>
          <w:szCs w:val="24"/>
        </w:rPr>
        <w:t>作为</w:t>
      </w:r>
      <w:r>
        <w:rPr>
          <w:rStyle w:val="14"/>
          <w:sz w:val="24"/>
          <w:szCs w:val="24"/>
        </w:rPr>
        <w:t>申请的一部分流程，，或工厂检查</w:t>
      </w:r>
      <w:r>
        <w:rPr>
          <w:rStyle w:val="14"/>
          <w:rFonts w:hint="eastAsia"/>
          <w:sz w:val="24"/>
          <w:szCs w:val="24"/>
        </w:rPr>
        <w:t>的流程</w:t>
      </w:r>
      <w:r>
        <w:rPr>
          <w:rStyle w:val="14"/>
          <w:sz w:val="24"/>
          <w:szCs w:val="24"/>
        </w:rPr>
        <w:t>。同样，其不会改变对申请中提交的信息或可用于检查的信息类型</w:t>
      </w:r>
      <w:r>
        <w:rPr>
          <w:rStyle w:val="14"/>
          <w:rFonts w:hint="eastAsia"/>
          <w:sz w:val="24"/>
          <w:szCs w:val="24"/>
        </w:rPr>
        <w:t>所作的</w:t>
      </w:r>
      <w:r>
        <w:rPr>
          <w:rStyle w:val="14"/>
          <w:sz w:val="24"/>
          <w:szCs w:val="24"/>
        </w:rPr>
        <w:t>预期。</w:t>
      </w:r>
    </w:p>
    <w:p w14:paraId="24E89701">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09F5D86F">
      <w:pPr>
        <w:spacing w:before="156" w:beforeLines="50" w:after="156" w:afterLines="50"/>
        <w:ind w:left="1136" w:leftChars="270" w:hanging="569" w:hangingChars="236"/>
        <w:outlineLvl w:val="1"/>
        <w:rPr>
          <w:rFonts w:ascii="Times New Roman" w:hAnsi="Times New Roman" w:cs="Times New Roman"/>
          <w:b/>
          <w:sz w:val="24"/>
          <w:szCs w:val="24"/>
        </w:rPr>
      </w:pPr>
      <w:bookmarkStart w:id="16" w:name="_Toc97322922"/>
      <w:r>
        <w:rPr>
          <w:rFonts w:ascii="Times New Roman" w:hAnsi="Times New Roman" w:cs="Times New Roman"/>
          <w:b/>
          <w:bCs/>
          <w:sz w:val="24"/>
          <w:szCs w:val="24"/>
        </w:rPr>
        <w:t>H.</w:t>
      </w:r>
      <w:r>
        <w:rPr>
          <w:rFonts w:ascii="Times New Roman" w:hAnsi="Times New Roman" w:cs="Times New Roman"/>
          <w:b/>
          <w:bCs/>
          <w:sz w:val="24"/>
          <w:szCs w:val="24"/>
        </w:rPr>
        <w:tab/>
      </w:r>
      <w:r>
        <w:rPr>
          <w:rFonts w:ascii="Times New Roman" w:hAnsi="Times New Roman" w:cs="Times New Roman"/>
          <w:b/>
          <w:bCs/>
          <w:sz w:val="24"/>
          <w:szCs w:val="24"/>
        </w:rPr>
        <w:t>批准后</w:t>
      </w:r>
      <w:r>
        <w:rPr>
          <w:rFonts w:hint="eastAsia" w:ascii="Times New Roman" w:hAnsi="Times New Roman" w:cs="Times New Roman"/>
          <w:b/>
          <w:bCs/>
          <w:sz w:val="24"/>
          <w:szCs w:val="24"/>
        </w:rPr>
        <w:t>C</w:t>
      </w:r>
      <w:r>
        <w:rPr>
          <w:rFonts w:ascii="Times New Roman" w:hAnsi="Times New Roman" w:cs="Times New Roman"/>
          <w:b/>
          <w:bCs/>
          <w:sz w:val="24"/>
          <w:szCs w:val="24"/>
        </w:rPr>
        <w:t>MC频繁变更的结构化方法</w:t>
      </w:r>
      <w:bookmarkEnd w:id="16"/>
    </w:p>
    <w:p w14:paraId="377CD059">
      <w:pPr>
        <w:spacing w:before="156" w:beforeLines="50" w:after="156" w:afterLines="50"/>
        <w:rPr>
          <w:rStyle w:val="14"/>
          <w:sz w:val="24"/>
          <w:szCs w:val="24"/>
        </w:rPr>
      </w:pPr>
      <w:r>
        <w:rPr>
          <w:rStyle w:val="14"/>
          <w:sz w:val="24"/>
          <w:szCs w:val="24"/>
        </w:rPr>
        <w:t>ICH Q12第VIII和IX节以及ICH Q12第II节附件提供了某些</w:t>
      </w:r>
      <w:r>
        <w:rPr>
          <w:rStyle w:val="14"/>
          <w:rFonts w:hint="eastAsia"/>
          <w:sz w:val="24"/>
          <w:szCs w:val="24"/>
        </w:rPr>
        <w:t>C</w:t>
      </w:r>
      <w:r>
        <w:rPr>
          <w:rStyle w:val="14"/>
          <w:sz w:val="24"/>
          <w:szCs w:val="24"/>
        </w:rPr>
        <w:t>MC批准后变更的替代方法。FDA支持使用此类方法。FDA还鼓励申请人在提出或实施新方法之前获得反馈。</w:t>
      </w:r>
    </w:p>
    <w:p w14:paraId="4A51BEBF">
      <w:pPr>
        <w:widowControl/>
        <w:jc w:val="left"/>
        <w:rPr>
          <w:rStyle w:val="14"/>
        </w:rPr>
      </w:pPr>
      <w:r>
        <w:rPr>
          <w:rStyle w:val="14"/>
        </w:rPr>
        <w:br w:type="page"/>
      </w:r>
    </w:p>
    <w:p w14:paraId="3D0F8C1D">
      <w:pPr>
        <w:spacing w:before="156" w:beforeLines="50" w:after="156" w:afterLines="50"/>
        <w:outlineLvl w:val="0"/>
        <w:rPr>
          <w:rFonts w:ascii="Times New Roman" w:hAnsi="Times New Roman" w:cs="Times New Roman"/>
          <w:b/>
          <w:sz w:val="28"/>
          <w:szCs w:val="28"/>
        </w:rPr>
      </w:pPr>
      <w:bookmarkStart w:id="17" w:name="_Toc97322923"/>
      <w:r>
        <w:rPr>
          <w:rFonts w:ascii="Times New Roman" w:hAnsi="Times New Roman" w:cs="Times New Roman"/>
          <w:b/>
          <w:bCs/>
          <w:sz w:val="28"/>
          <w:szCs w:val="28"/>
        </w:rPr>
        <w:t>附录A .具有器械组成部分的组合产品的既定条件</w:t>
      </w:r>
      <w:bookmarkEnd w:id="17"/>
    </w:p>
    <w:p w14:paraId="187F0F80">
      <w:pPr>
        <w:spacing w:before="156" w:beforeLines="50" w:after="156" w:afterLines="50"/>
        <w:rPr>
          <w:rStyle w:val="14"/>
          <w:sz w:val="24"/>
          <w:szCs w:val="24"/>
        </w:rPr>
      </w:pPr>
      <w:r>
        <w:rPr>
          <w:rStyle w:val="14"/>
          <w:sz w:val="24"/>
          <w:szCs w:val="24"/>
        </w:rPr>
        <w:t>提出产品（包括每个组成部分）的既定条件（ECs）和报告类别时，应将组合产品作为一个整体考虑，包括组成部分的作用和相互作用。本附录提供了关于通常被视为组合产品器械组成部分的既定条件</w:t>
      </w:r>
      <w:r>
        <w:rPr>
          <w:rStyle w:val="14"/>
          <w:rFonts w:hint="eastAsia"/>
          <w:sz w:val="24"/>
          <w:szCs w:val="24"/>
        </w:rPr>
        <w:t>要</w:t>
      </w:r>
      <w:r>
        <w:rPr>
          <w:rStyle w:val="14"/>
          <w:sz w:val="24"/>
          <w:szCs w:val="24"/>
        </w:rPr>
        <w:t>素的一般指南。</w:t>
      </w:r>
      <w:r>
        <w:rPr>
          <w:rStyle w:val="17"/>
          <w:rFonts w:ascii="Times New Roman" w:hAnsi="Times New Roman" w:cs="Times New Roman"/>
          <w:sz w:val="24"/>
          <w:szCs w:val="24"/>
        </w:rPr>
        <w:footnoteReference w:id="17" w:customMarkFollows="1"/>
        <w:t>1</w:t>
      </w:r>
      <w:r>
        <w:rPr>
          <w:rStyle w:val="14"/>
          <w:sz w:val="24"/>
          <w:szCs w:val="24"/>
        </w:rPr>
        <w:t>不包括器械组成部分的完整既定条件列表；每份申请均应包括确定</w:t>
      </w:r>
      <w:r>
        <w:rPr>
          <w:rStyle w:val="14"/>
          <w:rFonts w:hint="eastAsia"/>
          <w:sz w:val="24"/>
          <w:szCs w:val="24"/>
        </w:rPr>
        <w:t>提议</w:t>
      </w:r>
      <w:r>
        <w:rPr>
          <w:rStyle w:val="14"/>
          <w:sz w:val="24"/>
          <w:szCs w:val="24"/>
        </w:rPr>
        <w:t>既定条件的原因说明。</w:t>
      </w:r>
    </w:p>
    <w:p w14:paraId="5D82689B">
      <w:pPr>
        <w:spacing w:before="156" w:beforeLines="50" w:after="156" w:afterLines="50"/>
        <w:rPr>
          <w:rStyle w:val="14"/>
          <w:sz w:val="24"/>
          <w:szCs w:val="24"/>
        </w:rPr>
      </w:pPr>
      <w:r>
        <w:rPr>
          <w:rStyle w:val="14"/>
          <w:sz w:val="24"/>
          <w:szCs w:val="24"/>
        </w:rPr>
        <w:t>以下通常被视为组合产品器械组成部分的既定条件：</w:t>
      </w:r>
    </w:p>
    <w:p w14:paraId="6EF3EA9B">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器械标识：如从第三方购买，器械的制造商标识（例如，品牌名称）；器械许可或批准的参考资料（如适用）。</w:t>
      </w:r>
    </w:p>
    <w:p w14:paraId="1E7C3685">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描述和设计特点：器械描述；药品输送的操作原理（例如，机械、电气原理）和</w:t>
      </w:r>
      <w:r>
        <w:rPr>
          <w:rStyle w:val="14"/>
          <w:rFonts w:hint="eastAsia"/>
          <w:sz w:val="24"/>
          <w:szCs w:val="24"/>
        </w:rPr>
        <w:t>机制</w:t>
      </w:r>
      <w:r>
        <w:rPr>
          <w:rStyle w:val="14"/>
          <w:sz w:val="24"/>
          <w:szCs w:val="24"/>
        </w:rPr>
        <w:t>（例如，喷雾、混合）；作为主要特性的设计特征；与药品和患者直接或间接接触的结构材料。</w:t>
      </w:r>
    </w:p>
    <w:p w14:paraId="1E4449AF">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制造商：对器械组成部分进行组装、封装和测试的</w:t>
      </w:r>
      <w:r>
        <w:rPr>
          <w:rStyle w:val="14"/>
          <w:rFonts w:hint="eastAsia"/>
          <w:sz w:val="24"/>
          <w:szCs w:val="24"/>
        </w:rPr>
        <w:t>场地</w:t>
      </w:r>
      <w:r>
        <w:rPr>
          <w:rStyle w:val="14"/>
          <w:sz w:val="24"/>
          <w:szCs w:val="24"/>
        </w:rPr>
        <w:t>名称、地址和职责。</w:t>
      </w:r>
    </w:p>
    <w:p w14:paraId="3CCB8F59">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制造（如组装）：制造过程中的单元操作和顺序；制造过程参数、材料属性和过程控制，其中影响主要特性</w:t>
      </w:r>
      <w:r>
        <w:rPr>
          <w:rStyle w:val="14"/>
          <w:rFonts w:hint="eastAsia"/>
          <w:sz w:val="24"/>
          <w:szCs w:val="24"/>
        </w:rPr>
        <w:t>的</w:t>
      </w:r>
      <w:r>
        <w:rPr>
          <w:rStyle w:val="14"/>
          <w:sz w:val="24"/>
          <w:szCs w:val="24"/>
        </w:rPr>
        <w:t>可变性。</w:t>
      </w:r>
    </w:p>
    <w:p w14:paraId="68471BD3">
      <w:pPr>
        <w:spacing w:before="156" w:beforeLines="50" w:after="156" w:afterLines="50"/>
        <w:ind w:left="602" w:leftChars="134" w:hanging="321" w:hangingChars="134"/>
        <w:rPr>
          <w:rStyle w:val="14"/>
          <w:sz w:val="24"/>
          <w:szCs w:val="24"/>
        </w:rPr>
      </w:pPr>
      <w:r>
        <w:rPr>
          <w:rStyle w:val="14"/>
          <w:sz w:val="24"/>
          <w:szCs w:val="24"/>
        </w:rPr>
        <w:t>•</w:t>
      </w:r>
      <w:r>
        <w:rPr>
          <w:rStyle w:val="14"/>
          <w:sz w:val="24"/>
          <w:szCs w:val="24"/>
        </w:rPr>
        <w:tab/>
      </w:r>
      <w:r>
        <w:rPr>
          <w:rStyle w:val="14"/>
          <w:sz w:val="24"/>
          <w:szCs w:val="24"/>
        </w:rPr>
        <w:t>确保主要特性的属性</w:t>
      </w:r>
      <w:r>
        <w:rPr>
          <w:rStyle w:val="14"/>
          <w:rFonts w:hint="eastAsia"/>
          <w:sz w:val="24"/>
          <w:szCs w:val="24"/>
        </w:rPr>
        <w:t>放行</w:t>
      </w:r>
      <w:r>
        <w:rPr>
          <w:rStyle w:val="14"/>
          <w:sz w:val="24"/>
          <w:szCs w:val="24"/>
        </w:rPr>
        <w:t>/失效规范和相关测试方法。</w:t>
      </w:r>
    </w:p>
    <w:p w14:paraId="0B036D55">
      <w:pPr>
        <w:widowControl/>
        <w:jc w:val="left"/>
        <w:rPr>
          <w:rStyle w:val="14"/>
        </w:rPr>
      </w:pPr>
      <w:r>
        <w:rPr>
          <w:rStyle w:val="14"/>
        </w:rPr>
        <w:br w:type="page"/>
      </w:r>
    </w:p>
    <w:p w14:paraId="1D861D23">
      <w:pPr>
        <w:spacing w:before="156" w:beforeLines="50" w:after="156" w:afterLines="50"/>
        <w:outlineLvl w:val="0"/>
        <w:rPr>
          <w:rFonts w:ascii="Times New Roman" w:hAnsi="Times New Roman" w:cs="Times New Roman"/>
          <w:b/>
          <w:sz w:val="28"/>
          <w:szCs w:val="28"/>
        </w:rPr>
      </w:pPr>
      <w:bookmarkStart w:id="18" w:name="_Toc97322924"/>
      <w:r>
        <w:rPr>
          <w:rFonts w:ascii="Times New Roman" w:hAnsi="Times New Roman" w:cs="Times New Roman"/>
          <w:b/>
          <w:bCs/>
          <w:sz w:val="28"/>
          <w:szCs w:val="28"/>
        </w:rPr>
        <w:t>附录B .用于确定器械组成部分的既定条件和报告类别的决策树</w:t>
      </w:r>
      <w:bookmarkEnd w:id="18"/>
    </w:p>
    <w:p w14:paraId="3D189797">
      <w:pPr>
        <w:spacing w:before="156" w:beforeLines="50" w:after="156" w:afterLines="50"/>
        <w:rPr>
          <w:rStyle w:val="14"/>
        </w:rPr>
      </w:pPr>
      <w:r>
        <w:rPr>
          <w:rStyle w:val="14"/>
        </w:rPr>
        <w:t>以下</w:t>
      </w:r>
      <w:r>
        <w:rPr>
          <w:rStyle w:val="14"/>
          <w:rFonts w:hint="eastAsia"/>
        </w:rPr>
        <w:t>决策</w:t>
      </w:r>
      <w:r>
        <w:rPr>
          <w:rStyle w:val="14"/>
        </w:rPr>
        <w:t>树可用于指导确定组合产品器械组成部分的既定条件和相关报告类别。</w:t>
      </w:r>
    </w:p>
    <w:p w14:paraId="737C4775">
      <w:pPr>
        <w:widowControl/>
        <w:spacing w:line="0" w:lineRule="atLeast"/>
        <w:jc w:val="center"/>
        <w:rPr>
          <w:rStyle w:val="14"/>
        </w:rPr>
      </w:pPr>
      <w:r>
        <w:rPr>
          <w:rFonts w:ascii="Times New Roman" w:hAnsi="Times New Roman" w:cs="Times New Roman"/>
        </w:rPr>
        <w:pict>
          <v:shape id="_x0000_s2057" o:spid="_x0000_s2057" o:spt="202" type="#_x0000_t202" style="position:absolute;left:0pt;margin-left:105.3pt;margin-top:76.65pt;height:13.8pt;width:127.8pt;z-index:251666432;mso-width-relative:page;mso-height-relative:page;" filled="f" stroked="f" coordsize="21600,21600">
            <v:path/>
            <v:fill on="f" focussize="0,0"/>
            <v:stroke on="f" joinstyle="miter"/>
            <v:imagedata o:title=""/>
            <o:lock v:ext="edit"/>
            <v:textbox inset="0mm,0mm,0mm,0mm">
              <w:txbxContent>
                <w:p w14:paraId="6D49A907">
                  <w:pPr>
                    <w:spacing w:line="0" w:lineRule="atLeast"/>
                    <w:jc w:val="center"/>
                    <w:rPr>
                      <w:rFonts w:cs="Times New Roman" w:asciiTheme="minorEastAsia" w:hAnsiTheme="minorEastAsia"/>
                      <w:b/>
                      <w:sz w:val="18"/>
                      <w:szCs w:val="18"/>
                    </w:rPr>
                  </w:pPr>
                  <w:r>
                    <w:rPr>
                      <w:rFonts w:hint="eastAsia" w:ascii="Times New Roman" w:hAnsi="Times New Roman" w:cs="Times New Roman"/>
                      <w:b/>
                      <w:bCs/>
                      <w:sz w:val="18"/>
                      <w:szCs w:val="18"/>
                    </w:rPr>
                    <w:t>任意一个为</w:t>
                  </w:r>
                  <w:r>
                    <w:rPr>
                      <w:rFonts w:cs="Times New Roman" w:asciiTheme="minorEastAsia" w:hAnsiTheme="minorEastAsia"/>
                      <w:b/>
                      <w:bCs/>
                      <w:sz w:val="18"/>
                      <w:szCs w:val="18"/>
                    </w:rPr>
                    <w:t>“是”</w:t>
                  </w:r>
                </w:p>
              </w:txbxContent>
            </v:textbox>
          </v:shape>
        </w:pict>
      </w:r>
      <w:r>
        <w:rPr>
          <w:rFonts w:ascii="Times New Roman" w:hAnsi="Times New Roman" w:cs="Times New Roman"/>
        </w:rPr>
        <w:pict>
          <v:shape id="_x0000_s2062" o:spid="_x0000_s2062" o:spt="202" type="#_x0000_t202" style="position:absolute;left:0pt;margin-left:57.9pt;margin-top:367.2pt;height:20.4pt;width:186pt;z-index:251671552;mso-width-relative:page;mso-height-relative:page;" filled="f" stroked="f" coordsize="21600,21600">
            <v:path/>
            <v:fill on="f" focussize="0,0"/>
            <v:stroke on="f" joinstyle="miter"/>
            <v:imagedata o:title=""/>
            <o:lock v:ext="edit"/>
            <v:textbox inset="0mm,0mm,0mm,0mm">
              <w:txbxContent>
                <w:p w14:paraId="4D41B726">
                  <w:pPr>
                    <w:spacing w:line="0" w:lineRule="atLeast"/>
                    <w:jc w:val="center"/>
                    <w:rPr>
                      <w:rFonts w:ascii="Times New Roman" w:hAnsi="Times New Roman" w:cs="Times New Roman"/>
                      <w:sz w:val="18"/>
                      <w:szCs w:val="18"/>
                    </w:rPr>
                  </w:pPr>
                  <w:r>
                    <w:rPr>
                      <w:rFonts w:ascii="Times New Roman" w:hAnsi="Times New Roman" w:cs="Times New Roman"/>
                      <w:sz w:val="18"/>
                      <w:szCs w:val="18"/>
                    </w:rPr>
                    <w:t>与拟议变更相关的潜在风险水平是多少？</w:t>
                  </w:r>
                </w:p>
              </w:txbxContent>
            </v:textbox>
          </v:shape>
        </w:pict>
      </w:r>
      <w:r>
        <w:rPr>
          <w:rFonts w:ascii="Times New Roman" w:hAnsi="Times New Roman" w:cs="Times New Roman"/>
        </w:rPr>
        <w:pict>
          <v:shape id="_x0000_s2066" o:spid="_x0000_s2066" o:spt="202" type="#_x0000_t202" style="position:absolute;left:0pt;margin-left:167.1pt;margin-top:409.5pt;height:14.4pt;width:73.8pt;z-index:251675648;mso-width-relative:page;mso-height-relative:page;" filled="f" stroked="f" coordsize="21600,21600">
            <v:path/>
            <v:fill on="f" focussize="0,0"/>
            <v:stroke on="f" joinstyle="miter"/>
            <v:imagedata o:title=""/>
            <o:lock v:ext="edit"/>
            <v:textbox inset="0mm,0mm,0mm,0mm">
              <w:txbxContent>
                <w:p w14:paraId="6957012B">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中到低</w:t>
                  </w:r>
                </w:p>
              </w:txbxContent>
            </v:textbox>
          </v:shape>
        </w:pict>
      </w:r>
      <w:r>
        <w:rPr>
          <w:rFonts w:ascii="Times New Roman" w:hAnsi="Times New Roman" w:cs="Times New Roman"/>
        </w:rPr>
        <w:pict>
          <v:shape id="_x0000_s2065" o:spid="_x0000_s2065" o:spt="202" type="#_x0000_t202" style="position:absolute;left:0pt;margin-left:58.65pt;margin-top:413.5pt;height:14.4pt;width:53.4pt;z-index:251674624;mso-width-relative:page;mso-height-relative:page;" filled="f" stroked="f" coordsize="21600,21600">
            <v:path/>
            <v:fill on="f" focussize="0,0"/>
            <v:stroke on="f" joinstyle="miter"/>
            <v:imagedata o:title=""/>
            <o:lock v:ext="edit"/>
            <v:textbox inset="0mm,0mm,0mm,0mm">
              <w:txbxContent>
                <w:p w14:paraId="02435B05">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高</w:t>
                  </w:r>
                </w:p>
              </w:txbxContent>
            </v:textbox>
          </v:shape>
        </w:pict>
      </w:r>
      <w:r>
        <w:rPr>
          <w:rFonts w:ascii="Times New Roman" w:hAnsi="Times New Roman" w:cs="Times New Roman"/>
        </w:rPr>
        <w:pict>
          <v:shape id="_x0000_s2064" o:spid="_x0000_s2064" o:spt="202" type="#_x0000_t202" style="position:absolute;left:0pt;margin-left:336.9pt;margin-top:462.25pt;height:14.4pt;width:80.4pt;z-index:251673600;mso-width-relative:page;mso-height-relative:page;" filled="f" stroked="f" coordsize="21600,21600">
            <v:path/>
            <v:fill on="f" focussize="0,0"/>
            <v:stroke on="f" joinstyle="miter"/>
            <v:imagedata o:title=""/>
            <o:lock v:ext="edit"/>
            <v:textbox inset="0mm,0.5mm,0mm,0mm">
              <w:txbxContent>
                <w:p w14:paraId="5520FD48">
                  <w:pPr>
                    <w:spacing w:line="0" w:lineRule="atLeast"/>
                    <w:jc w:val="center"/>
                    <w:rPr>
                      <w:rFonts w:ascii="Times New Roman" w:hAnsi="Times New Roman" w:cs="Times New Roman"/>
                      <w:b/>
                      <w:sz w:val="18"/>
                      <w:szCs w:val="18"/>
                    </w:rPr>
                  </w:pPr>
                  <w:r>
                    <w:rPr>
                      <w:rFonts w:hint="eastAsia" w:ascii="Times New Roman" w:hAnsi="Times New Roman" w:cs="Times New Roman"/>
                      <w:b/>
                      <w:bCs/>
                      <w:sz w:val="18"/>
                      <w:szCs w:val="18"/>
                    </w:rPr>
                    <w:t>无需</w:t>
                  </w:r>
                  <w:r>
                    <w:rPr>
                      <w:rFonts w:ascii="Times New Roman" w:hAnsi="Times New Roman" w:cs="Times New Roman"/>
                      <w:b/>
                      <w:bCs/>
                      <w:sz w:val="18"/>
                      <w:szCs w:val="18"/>
                    </w:rPr>
                    <w:t>报告</w:t>
                  </w:r>
                </w:p>
              </w:txbxContent>
            </v:textbox>
          </v:shape>
        </w:pict>
      </w:r>
      <w:r>
        <w:rPr>
          <w:rFonts w:ascii="Times New Roman" w:hAnsi="Times New Roman" w:cs="Times New Roman"/>
        </w:rPr>
        <w:pict>
          <v:shape id="_x0000_s2063" o:spid="_x0000_s2063" o:spt="202" type="#_x0000_t202" style="position:absolute;left:0pt;margin-left:164.1pt;margin-top:462.25pt;height:14.4pt;width:79.8pt;z-index:251672576;mso-width-relative:page;mso-height-relative:page;" filled="f" stroked="f" coordsize="21600,21600">
            <v:path/>
            <v:fill on="f" focussize="0,0"/>
            <v:stroke on="f" joinstyle="miter"/>
            <v:imagedata o:title=""/>
            <o:lock v:ext="edit"/>
            <v:textbox inset="0mm,0.5mm,0mm,0mm">
              <w:txbxContent>
                <w:p w14:paraId="6937E97B">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CBE-30或CBE-0</w:t>
                  </w:r>
                </w:p>
              </w:txbxContent>
            </v:textbox>
          </v:shape>
        </w:pict>
      </w:r>
      <w:r>
        <w:rPr>
          <w:rFonts w:ascii="Times New Roman" w:hAnsi="Times New Roman" w:cs="Times New Roman"/>
        </w:rPr>
        <w:pict>
          <v:shape id="_x0000_s2052" o:spid="_x0000_s2052" o:spt="202" type="#_x0000_t202" style="position:absolute;left:0pt;margin-left:48.9pt;margin-top:462.25pt;height:14.4pt;width:76.8pt;z-index:251661312;mso-width-relative:page;mso-height-relative:page;" filled="f" stroked="f" coordsize="21600,21600">
            <v:path/>
            <v:fill on="f" focussize="0,0"/>
            <v:stroke on="f" joinstyle="miter"/>
            <v:imagedata o:title=""/>
            <o:lock v:ext="edit"/>
            <v:textbox inset="0mm,0.5mm,0mm,0mm">
              <w:txbxContent>
                <w:p w14:paraId="56C26C36">
                  <w:pPr>
                    <w:spacing w:line="0" w:lineRule="atLeast"/>
                    <w:jc w:val="center"/>
                    <w:rPr>
                      <w:rFonts w:ascii="Times New Roman" w:hAnsi="Times New Roman" w:cs="Times New Roman"/>
                      <w:b/>
                      <w:sz w:val="18"/>
                      <w:szCs w:val="18"/>
                    </w:rPr>
                  </w:pPr>
                  <w:r>
                    <w:rPr>
                      <w:rFonts w:ascii="Times New Roman" w:hAnsi="Times New Roman" w:cs="Times New Roman"/>
                      <w:b/>
                      <w:bCs/>
                      <w:sz w:val="18"/>
                      <w:szCs w:val="18"/>
                    </w:rPr>
                    <w:t>PAS</w:t>
                  </w:r>
                </w:p>
              </w:txbxContent>
            </v:textbox>
          </v:shape>
        </w:pict>
      </w:r>
      <w:r>
        <w:rPr>
          <w:rFonts w:ascii="Times New Roman" w:hAnsi="Times New Roman" w:cs="Times New Roman"/>
        </w:rPr>
        <w:pict>
          <v:shape id="_x0000_s2053" o:spid="_x0000_s2053" o:spt="202" type="#_x0000_t202" style="position:absolute;left:0pt;margin-left:48.75pt;margin-top:491.85pt;height:81.6pt;width:394.2pt;z-index:251662336;mso-width-relative:page;mso-height-relative:page;" filled="f" stroked="f" coordsize="21600,21600">
            <v:path/>
            <v:fill on="f" focussize="0,0"/>
            <v:stroke on="f" joinstyle="miter"/>
            <v:imagedata o:title=""/>
            <o:lock v:ext="edit"/>
            <v:textbox inset="0mm,0mm,0mm,0mm">
              <w:txbxContent>
                <w:p w14:paraId="4A66ED3A">
                  <w:pPr>
                    <w:spacing w:line="0" w:lineRule="atLeast"/>
                    <w:rPr>
                      <w:rFonts w:ascii="Times New Roman" w:hAnsi="Times New Roman" w:cs="Times New Roman"/>
                      <w:sz w:val="18"/>
                      <w:szCs w:val="18"/>
                    </w:rPr>
                  </w:pPr>
                  <w:r>
                    <w:rPr>
                      <w:rFonts w:ascii="Times New Roman" w:hAnsi="Times New Roman" w:cs="Times New Roman"/>
                      <w:sz w:val="18"/>
                      <w:szCs w:val="18"/>
                    </w:rPr>
                    <w:t>*采用ICH行业指南</w:t>
                  </w:r>
                  <w:r>
                    <w:rPr>
                      <w:rFonts w:ascii="Times New Roman" w:hAnsi="Times New Roman" w:cs="Times New Roman"/>
                      <w:i/>
                      <w:iCs/>
                      <w:sz w:val="18"/>
                      <w:szCs w:val="18"/>
                    </w:rPr>
                    <w:t>Q9</w:t>
                  </w:r>
                  <w:r>
                    <w:rPr>
                      <w:rFonts w:ascii="Times New Roman" w:hAnsi="Times New Roman" w:cs="Times New Roman"/>
                      <w:sz w:val="18"/>
                      <w:szCs w:val="18"/>
                    </w:rPr>
                    <w:t>《质量风险管理》（2006年6月）或ISO 14971：2019《医疗器械—风险管理在医疗器械中的应用》中的风险管理原则确定。</w:t>
                  </w:r>
                </w:p>
                <w:p w14:paraId="69A7A5B5">
                  <w:pPr>
                    <w:spacing w:line="0" w:lineRule="atLeast"/>
                    <w:rPr>
                      <w:rFonts w:ascii="Times New Roman" w:hAnsi="Times New Roman" w:cs="Times New Roman"/>
                      <w:sz w:val="18"/>
                      <w:szCs w:val="18"/>
                    </w:rPr>
                  </w:pPr>
                  <w:r>
                    <w:rPr>
                      <w:rFonts w:ascii="Times New Roman" w:hAnsi="Times New Roman" w:cs="Times New Roman"/>
                      <w:sz w:val="18"/>
                      <w:szCs w:val="18"/>
                    </w:rPr>
                    <w:t>* *请参见ISO 13485：2016《医疗器械—质量管理体系—用于法规的要求，第7.3.4节“产品实现—设计和开发—设计和开发输出” 》。</w:t>
                  </w:r>
                </w:p>
                <w:p w14:paraId="5F8CF036">
                  <w:pPr>
                    <w:spacing w:line="0" w:lineRule="atLeast"/>
                    <w:rPr>
                      <w:rFonts w:ascii="Times New Roman" w:hAnsi="Times New Roman" w:cs="Times New Roman"/>
                      <w:sz w:val="18"/>
                      <w:szCs w:val="18"/>
                    </w:rPr>
                  </w:pPr>
                  <w:r>
                    <w:rPr>
                      <w:rFonts w:ascii="Times New Roman" w:hAnsi="Times New Roman" w:cs="Times New Roman"/>
                      <w:sz w:val="18"/>
                      <w:szCs w:val="18"/>
                    </w:rPr>
                    <w:t>备注：CQA =关键质量属性；EC =</w:t>
                  </w:r>
                  <w:r>
                    <w:rPr>
                      <w:rFonts w:hint="eastAsia" w:ascii="Times New Roman" w:hAnsi="Times New Roman" w:cs="Times New Roman"/>
                      <w:sz w:val="18"/>
                      <w:szCs w:val="18"/>
                    </w:rPr>
                    <w:t>既定</w:t>
                  </w:r>
                  <w:r>
                    <w:rPr>
                      <w:rFonts w:ascii="Times New Roman" w:hAnsi="Times New Roman" w:cs="Times New Roman"/>
                      <w:sz w:val="18"/>
                      <w:szCs w:val="18"/>
                    </w:rPr>
                    <w:t>条件；PAS =事先批准补充</w:t>
                  </w:r>
                  <w:r>
                    <w:rPr>
                      <w:rFonts w:hint="eastAsia" w:ascii="Times New Roman" w:hAnsi="Times New Roman" w:cs="Times New Roman"/>
                      <w:sz w:val="18"/>
                      <w:szCs w:val="18"/>
                    </w:rPr>
                    <w:t>申请</w:t>
                  </w:r>
                  <w:r>
                    <w:rPr>
                      <w:rFonts w:ascii="Times New Roman" w:hAnsi="Times New Roman" w:cs="Times New Roman"/>
                      <w:sz w:val="18"/>
                      <w:szCs w:val="18"/>
                    </w:rPr>
                    <w:t>；CBE =</w:t>
                  </w:r>
                  <w:r>
                    <w:rPr>
                      <w:rFonts w:hint="eastAsia" w:ascii="Times New Roman" w:hAnsi="Times New Roman" w:cs="Times New Roman"/>
                      <w:sz w:val="18"/>
                      <w:szCs w:val="18"/>
                    </w:rPr>
                    <w:t>生效变更</w:t>
                  </w:r>
                  <w:r>
                    <w:rPr>
                      <w:rFonts w:ascii="Times New Roman" w:hAnsi="Times New Roman" w:cs="Times New Roman"/>
                      <w:sz w:val="18"/>
                      <w:szCs w:val="18"/>
                    </w:rPr>
                    <w:t>；ICH =国际</w:t>
                  </w:r>
                  <w:r>
                    <w:rPr>
                      <w:rFonts w:hint="eastAsia" w:ascii="Times New Roman" w:hAnsi="Times New Roman" w:cs="Times New Roman"/>
                      <w:sz w:val="18"/>
                      <w:szCs w:val="18"/>
                    </w:rPr>
                    <w:t>人用药注册技术</w:t>
                  </w:r>
                  <w:r>
                    <w:rPr>
                      <w:rFonts w:ascii="Times New Roman" w:hAnsi="Times New Roman" w:cs="Times New Roman"/>
                      <w:sz w:val="18"/>
                      <w:szCs w:val="18"/>
                    </w:rPr>
                    <w:t>协调会；ISO=国际标准化组织。</w:t>
                  </w:r>
                </w:p>
              </w:txbxContent>
            </v:textbox>
          </v:shape>
        </w:pict>
      </w:r>
      <w:r>
        <w:rPr>
          <w:rFonts w:ascii="Times New Roman" w:hAnsi="Times New Roman" w:cs="Times New Roman"/>
        </w:rPr>
        <w:pict>
          <v:shape id="_x0000_s2061" o:spid="_x0000_s2061" o:spt="202" type="#_x0000_t202" style="position:absolute;left:0pt;margin-left:347.1pt;margin-top:240.4pt;height:69pt;width:60.6pt;z-index:251670528;mso-width-relative:page;mso-height-relative:page;" filled="f" stroked="f" coordsize="21600,21600">
            <v:path/>
            <v:fill on="f" focussize="0,0"/>
            <v:stroke on="f" joinstyle="miter"/>
            <v:imagedata o:title=""/>
            <o:lock v:ext="edit"/>
            <v:textbox inset="0mm,0mm,0mm,0mm">
              <w:txbxContent>
                <w:p w14:paraId="32B3FC05">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其他特性的设计、过程和控制要素</w:t>
                  </w:r>
                  <w:r>
                    <w:rPr>
                      <w:rFonts w:ascii="Times New Roman" w:hAnsi="Times New Roman" w:cs="Times New Roman"/>
                      <w:b/>
                      <w:bCs/>
                      <w:color w:val="FFFFFF" w:themeColor="background1"/>
                      <w:sz w:val="18"/>
                      <w:szCs w:val="18"/>
                    </w:rPr>
                    <w:t>不</w:t>
                  </w:r>
                  <w:r>
                    <w:rPr>
                      <w:rFonts w:ascii="Times New Roman" w:hAnsi="Times New Roman" w:cs="Times New Roman"/>
                      <w:color w:val="FFFFFF" w:themeColor="background1"/>
                      <w:sz w:val="18"/>
                      <w:szCs w:val="18"/>
                    </w:rPr>
                    <w:t>属于既定条件</w:t>
                  </w:r>
                </w:p>
              </w:txbxContent>
            </v:textbox>
          </v:shape>
        </w:pict>
      </w:r>
      <w:r>
        <w:rPr>
          <w:rFonts w:ascii="Times New Roman" w:hAnsi="Times New Roman" w:cs="Times New Roman"/>
        </w:rPr>
        <w:pict>
          <v:shape id="_x0000_s2060" o:spid="_x0000_s2060" o:spt="202" type="#_x0000_t202" style="position:absolute;left:0pt;margin-left:193.5pt;margin-top:250pt;height:59.4pt;width:60.6pt;z-index:251669504;mso-width-relative:page;mso-height-relative:page;" filled="f" stroked="f" coordsize="21600,21600">
            <v:path/>
            <v:fill on="f" focussize="0,0"/>
            <v:stroke on="f" joinstyle="miter"/>
            <v:imagedata o:title=""/>
            <o:lock v:ext="edit"/>
            <v:textbox inset="0mm,0mm,0mm,0mm">
              <w:txbxContent>
                <w:p w14:paraId="24E21578">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确保主要特性的其他控制策略元素</w:t>
                  </w:r>
                </w:p>
              </w:txbxContent>
            </v:textbox>
          </v:shape>
        </w:pict>
      </w:r>
      <w:r>
        <w:rPr>
          <w:rFonts w:ascii="Times New Roman" w:hAnsi="Times New Roman" w:cs="Times New Roman"/>
        </w:rPr>
        <w:pict>
          <v:shape id="_x0000_s2059" o:spid="_x0000_s2059" o:spt="202" type="#_x0000_t202" style="position:absolute;left:0pt;margin-left:117.3pt;margin-top:244.65pt;height:76.2pt;width:60.6pt;z-index:251668480;mso-width-relative:page;mso-height-relative:page;" filled="f" stroked="f" coordsize="21600,21600">
            <v:path/>
            <v:fill on="f" focussize="0,0"/>
            <v:stroke on="f" joinstyle="miter"/>
            <v:imagedata o:title=""/>
            <o:lock v:ext="edit"/>
            <v:textbox inset="0mm,0mm,0mm,0mm">
              <w:txbxContent>
                <w:p w14:paraId="0F3DBCAD">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为确保主要特性而需要加以控制的</w:t>
                  </w:r>
                  <w:r>
                    <w:rPr>
                      <w:rFonts w:hint="eastAsia" w:ascii="Times New Roman" w:hAnsi="Times New Roman" w:cs="Times New Roman"/>
                      <w:color w:val="FFFFFF" w:themeColor="background1"/>
                      <w:sz w:val="18"/>
                      <w:szCs w:val="18"/>
                    </w:rPr>
                    <w:t>生产过程</w:t>
                  </w:r>
                  <w:r>
                    <w:rPr>
                      <w:rFonts w:ascii="Times New Roman" w:hAnsi="Times New Roman" w:cs="Times New Roman"/>
                      <w:color w:val="FFFFFF" w:themeColor="background1"/>
                      <w:sz w:val="18"/>
                      <w:szCs w:val="18"/>
                    </w:rPr>
                    <w:t>要素</w:t>
                  </w:r>
                </w:p>
              </w:txbxContent>
            </v:textbox>
          </v:shape>
        </w:pict>
      </w:r>
      <w:r>
        <w:rPr>
          <w:rFonts w:ascii="Times New Roman" w:hAnsi="Times New Roman" w:cs="Times New Roman"/>
        </w:rPr>
        <w:pict>
          <v:shape id="_x0000_s2056" o:spid="_x0000_s2056" o:spt="202" type="#_x0000_t202" style="position:absolute;left:0pt;margin-left:54.9pt;margin-top:192.3pt;height:21pt;width:199.2pt;z-index:251665408;mso-width-relative:page;mso-height-relative:page;" filled="f" stroked="f" coordsize="21600,21600">
            <v:path/>
            <v:fill on="f" focussize="0,0"/>
            <v:stroke on="f" joinstyle="miter"/>
            <v:imagedata o:title=""/>
            <o:lock v:ext="edit"/>
            <v:textbox inset="0mm,0mm,0mm,0mm">
              <w:txbxContent>
                <w:p w14:paraId="05A9E0DC">
                  <w:pPr>
                    <w:spacing w:line="0" w:lineRule="atLeast"/>
                    <w:jc w:val="center"/>
                    <w:rPr>
                      <w:rFonts w:ascii="Times New Roman" w:hAnsi="Times New Roman" w:cs="Times New Roman"/>
                      <w:sz w:val="18"/>
                      <w:szCs w:val="18"/>
                    </w:rPr>
                  </w:pPr>
                  <w:r>
                    <w:rPr>
                      <w:rFonts w:ascii="Times New Roman" w:hAnsi="Times New Roman" w:cs="Times New Roman"/>
                      <w:sz w:val="18"/>
                      <w:szCs w:val="18"/>
                    </w:rPr>
                    <w:t>定义属于既定条件的设计、过程和控制策略</w:t>
                  </w:r>
                  <w:r>
                    <w:rPr>
                      <w:rFonts w:hint="eastAsia" w:ascii="Times New Roman" w:hAnsi="Times New Roman" w:cs="Times New Roman"/>
                      <w:sz w:val="18"/>
                      <w:szCs w:val="18"/>
                    </w:rPr>
                    <w:t>要素</w:t>
                  </w:r>
                </w:p>
              </w:txbxContent>
            </v:textbox>
          </v:shape>
        </w:pict>
      </w:r>
      <w:r>
        <w:rPr>
          <w:rFonts w:ascii="Times New Roman" w:hAnsi="Times New Roman" w:cs="Times New Roman"/>
        </w:rPr>
        <w:pict>
          <v:shape id="_x0000_s2055" o:spid="_x0000_s2055" o:spt="202" type="#_x0000_t202" style="position:absolute;left:0pt;margin-left:328.5pt;margin-top:123.6pt;height:42pt;width:99pt;z-index:251664384;mso-width-relative:page;mso-height-relative:page;" filled="f" stroked="f" coordsize="21600,21600">
            <v:path/>
            <v:fill on="f" focussize="0,0"/>
            <v:stroke on="f" joinstyle="miter"/>
            <v:imagedata o:title=""/>
            <o:lock v:ext="edit"/>
            <v:textbox inset="0mm,0mm,0mm,0mm">
              <w:txbxContent>
                <w:p w14:paraId="3E68DEA4">
                  <w:pPr>
                    <w:spacing w:line="0" w:lineRule="atLeast"/>
                    <w:jc w:val="center"/>
                    <w:rPr>
                      <w:rFonts w:ascii="Times New Roman" w:hAnsi="Times New Roman" w:cs="Times New Roman"/>
                      <w:b/>
                      <w:color w:val="FFFFFF" w:themeColor="background1"/>
                      <w:sz w:val="18"/>
                      <w:szCs w:val="18"/>
                    </w:rPr>
                  </w:pPr>
                  <w:r>
                    <w:rPr>
                      <w:rFonts w:ascii="Times New Roman" w:hAnsi="Times New Roman" w:cs="Times New Roman"/>
                      <w:b/>
                      <w:bCs/>
                      <w:color w:val="FFFFFF" w:themeColor="background1"/>
                      <w:sz w:val="18"/>
                      <w:szCs w:val="18"/>
                    </w:rPr>
                    <w:t>其他特性：</w:t>
                  </w:r>
                </w:p>
                <w:p w14:paraId="5832161D">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不是安全和正确使用所必需的</w:t>
                  </w:r>
                </w:p>
              </w:txbxContent>
            </v:textbox>
          </v:shape>
        </w:pict>
      </w:r>
      <w:r>
        <w:rPr>
          <w:rFonts w:ascii="Times New Roman" w:hAnsi="Times New Roman" w:cs="Times New Roman"/>
        </w:rPr>
        <w:pict>
          <v:shape id="_x0000_s2051" o:spid="_x0000_s2051" o:spt="202" type="#_x0000_t202" style="position:absolute;left:0pt;margin-left:98.1pt;margin-top:123.6pt;height:42pt;width:105.6pt;z-index:251660288;mso-width-relative:page;mso-height-relative:page;" filled="f" stroked="f" coordsize="21600,21600">
            <v:path/>
            <v:fill on="f" focussize="0,0"/>
            <v:stroke on="f" joinstyle="miter"/>
            <v:imagedata o:title=""/>
            <o:lock v:ext="edit"/>
            <v:textbox inset="0mm,0mm,0mm,0mm">
              <w:txbxContent>
                <w:p w14:paraId="2337AEF4">
                  <w:pPr>
                    <w:spacing w:line="0" w:lineRule="atLeast"/>
                    <w:jc w:val="center"/>
                    <w:rPr>
                      <w:rFonts w:ascii="Times New Roman" w:hAnsi="Times New Roman" w:cs="Times New Roman"/>
                      <w:b/>
                      <w:color w:val="FFFFFF" w:themeColor="background1"/>
                      <w:sz w:val="18"/>
                      <w:szCs w:val="18"/>
                    </w:rPr>
                  </w:pPr>
                  <w:r>
                    <w:rPr>
                      <w:rFonts w:ascii="Times New Roman" w:hAnsi="Times New Roman" w:cs="Times New Roman"/>
                      <w:b/>
                      <w:bCs/>
                      <w:color w:val="FFFFFF" w:themeColor="background1"/>
                      <w:sz w:val="18"/>
                      <w:szCs w:val="18"/>
                    </w:rPr>
                    <w:t>主要特性：</w:t>
                  </w:r>
                </w:p>
                <w:p w14:paraId="2A3F7BFE">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b/>
                      <w:bCs/>
                      <w:color w:val="FFFFFF" w:themeColor="background1"/>
                      <w:sz w:val="18"/>
                      <w:szCs w:val="18"/>
                    </w:rPr>
                    <w:t xml:space="preserve"> </w:t>
                  </w:r>
                  <w:r>
                    <w:rPr>
                      <w:rFonts w:ascii="Times New Roman" w:hAnsi="Times New Roman" w:cs="Times New Roman"/>
                      <w:color w:val="FFFFFF" w:themeColor="background1"/>
                      <w:sz w:val="18"/>
                      <w:szCs w:val="18"/>
                    </w:rPr>
                    <w:t>是安全和正确使用所必需的**</w:t>
                  </w:r>
                </w:p>
              </w:txbxContent>
            </v:textbox>
          </v:shape>
        </w:pict>
      </w:r>
      <w:r>
        <w:rPr>
          <w:rFonts w:ascii="Times New Roman" w:hAnsi="Times New Roman" w:cs="Times New Roman"/>
        </w:rPr>
        <w:pict>
          <v:shape id="_x0000_s2050" o:spid="_x0000_s2050" o:spt="202" type="#_x0000_t202" style="position:absolute;left:0pt;margin-left:125.7pt;margin-top:14.25pt;height:50.5pt;width:265.2pt;z-index:251659264;mso-width-relative:page;mso-height-relative:page;" filled="f" stroked="f" coordsize="21600,21600">
            <v:path/>
            <v:fill on="f" focussize="0,0"/>
            <v:stroke on="f" joinstyle="miter"/>
            <v:imagedata o:title=""/>
            <o:lock v:ext="edit"/>
            <v:textbox inset="0mm,0mm,0mm,0mm">
              <w:txbxContent>
                <w:p w14:paraId="5615EBB2">
                  <w:pPr>
                    <w:spacing w:line="0" w:lineRule="atLeast"/>
                    <w:rPr>
                      <w:rFonts w:ascii="Times New Roman" w:hAnsi="Times New Roman" w:cs="Times New Roman"/>
                      <w:sz w:val="18"/>
                      <w:szCs w:val="18"/>
                    </w:rPr>
                  </w:pPr>
                  <w:r>
                    <w:rPr>
                      <w:rFonts w:ascii="Times New Roman" w:hAnsi="Times New Roman" w:cs="Times New Roman"/>
                      <w:sz w:val="18"/>
                      <w:szCs w:val="18"/>
                    </w:rPr>
                    <w:t>回答以下关于特性的问题：</w:t>
                  </w:r>
                </w:p>
                <w:p w14:paraId="21FFE342">
                  <w:pPr>
                    <w:spacing w:line="0" w:lineRule="atLeast"/>
                    <w:ind w:left="283" w:hanging="282" w:hangingChars="157"/>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其对基于风险管理的安全使用是必需的吗？*</w:t>
                  </w:r>
                </w:p>
                <w:p w14:paraId="70BE1B6A">
                  <w:pPr>
                    <w:spacing w:line="0" w:lineRule="atLeast"/>
                    <w:ind w:left="283" w:hanging="282" w:hangingChars="157"/>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其对于达到标示剂量的输送是必需的吗？</w:t>
                  </w:r>
                </w:p>
                <w:p w14:paraId="482E9370">
                  <w:pPr>
                    <w:spacing w:line="0" w:lineRule="atLeast"/>
                    <w:ind w:left="283" w:hanging="282" w:hangingChars="157"/>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其是否会影响该药品的关键质量属性？</w:t>
                  </w:r>
                </w:p>
              </w:txbxContent>
            </v:textbox>
          </v:shape>
        </w:pict>
      </w:r>
      <w:r>
        <w:rPr>
          <w:rFonts w:ascii="Times New Roman" w:hAnsi="Times New Roman" w:cs="Times New Roman"/>
        </w:rPr>
        <w:pict>
          <v:shape id="_x0000_s2054" o:spid="_x0000_s2054" o:spt="202" type="#_x0000_t202" style="position:absolute;left:0pt;margin-left:44.7pt;margin-top:244.65pt;height:39pt;width:60.6pt;z-index:251663360;mso-width-relative:page;mso-height-relative:page;" filled="f" stroked="f" coordsize="21600,21600">
            <v:path/>
            <v:fill on="f" focussize="0,0"/>
            <v:stroke on="f" joinstyle="miter"/>
            <v:imagedata o:title=""/>
            <o:lock v:ext="edit"/>
            <v:textbox inset="0mm,0mm,0mm,0mm">
              <w:txbxContent>
                <w:p w14:paraId="195F36D1">
                  <w:pPr>
                    <w:spacing w:line="0" w:lineRule="atLeast"/>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rPr>
                    <w:t>作为主要特性的设计特征</w:t>
                  </w:r>
                </w:p>
              </w:txbxContent>
            </v:textbox>
          </v:shape>
        </w:pict>
      </w:r>
      <w:r>
        <w:rPr>
          <w:rFonts w:ascii="Times New Roman" w:hAnsi="Times New Roman" w:cs="Times New Roman"/>
        </w:rPr>
        <w:pict>
          <v:shape id="_x0000_s2058" o:spid="_x0000_s2058" o:spt="202" type="#_x0000_t202" style="position:absolute;left:0pt;margin-left:290.7pt;margin-top:76.65pt;height:13.8pt;width:82.2pt;z-index:251667456;mso-width-relative:page;mso-height-relative:page;" filled="f" stroked="f" coordsize="21600,21600">
            <v:path/>
            <v:fill on="f" focussize="0,0"/>
            <v:stroke on="f" joinstyle="miter"/>
            <v:imagedata o:title=""/>
            <o:lock v:ext="edit"/>
            <v:textbox inset="0mm,0mm,0mm,0mm">
              <w:txbxContent>
                <w:p w14:paraId="072C0D6B">
                  <w:pPr>
                    <w:spacing w:line="0" w:lineRule="atLeast"/>
                    <w:jc w:val="center"/>
                    <w:rPr>
                      <w:rFonts w:cs="Times New Roman" w:asciiTheme="minorEastAsia" w:hAnsiTheme="minorEastAsia"/>
                      <w:b/>
                      <w:sz w:val="18"/>
                      <w:szCs w:val="18"/>
                    </w:rPr>
                  </w:pPr>
                  <w:r>
                    <w:rPr>
                      <w:rFonts w:ascii="Times New Roman" w:hAnsi="Times New Roman" w:cs="Times New Roman"/>
                      <w:b/>
                      <w:bCs/>
                      <w:sz w:val="18"/>
                      <w:szCs w:val="18"/>
                    </w:rPr>
                    <w:t>所有均</w:t>
                  </w:r>
                  <w:r>
                    <w:rPr>
                      <w:rFonts w:cs="Times New Roman" w:asciiTheme="minorEastAsia" w:hAnsiTheme="minorEastAsia"/>
                      <w:b/>
                      <w:bCs/>
                      <w:sz w:val="18"/>
                      <w:szCs w:val="18"/>
                    </w:rPr>
                    <w:t>“不是”</w:t>
                  </w:r>
                </w:p>
              </w:txbxContent>
            </v:textbox>
          </v:shape>
        </w:pict>
      </w:r>
      <w:r>
        <w:rPr>
          <w:rFonts w:ascii="Times New Roman" w:hAnsi="Times New Roman" w:cs="Times New Roman"/>
        </w:rPr>
        <w:drawing>
          <wp:inline distT="0" distB="0" distL="0" distR="0">
            <wp:extent cx="5415915" cy="757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5417820" cy="7574436"/>
                    </a:xfrm>
                    <a:prstGeom prst="rect">
                      <a:avLst/>
                    </a:prstGeom>
                    <a:noFill/>
                    <a:ln w="9525">
                      <a:noFill/>
                      <a:miter lim="800000"/>
                      <a:headEnd/>
                      <a:tailEnd/>
                    </a:ln>
                  </pic:spPr>
                </pic:pic>
              </a:graphicData>
            </a:graphic>
          </wp:inline>
        </w:drawing>
      </w:r>
      <w:r>
        <w:rPr>
          <w:rStyle w:val="14"/>
        </w:rPr>
        <w:br w:type="page"/>
      </w:r>
    </w:p>
    <w:p w14:paraId="01CE37E9">
      <w:pPr>
        <w:spacing w:before="156" w:beforeLines="50" w:after="156" w:afterLines="50"/>
        <w:outlineLvl w:val="0"/>
        <w:rPr>
          <w:rFonts w:ascii="Times New Roman" w:hAnsi="Times New Roman" w:cs="Times New Roman"/>
          <w:b/>
          <w:sz w:val="28"/>
          <w:szCs w:val="28"/>
        </w:rPr>
      </w:pPr>
      <w:bookmarkStart w:id="19" w:name="_Toc97322925"/>
      <w:r>
        <w:rPr>
          <w:rFonts w:ascii="Times New Roman" w:hAnsi="Times New Roman" w:cs="Times New Roman"/>
          <w:b/>
          <w:bCs/>
          <w:sz w:val="28"/>
          <w:szCs w:val="28"/>
        </w:rPr>
        <w:t>附录C .产品生命周期管理文</w:t>
      </w:r>
      <w:r>
        <w:rPr>
          <w:rFonts w:hint="eastAsia" w:ascii="Times New Roman" w:hAnsi="Times New Roman" w:cs="Times New Roman"/>
          <w:b/>
          <w:bCs/>
          <w:sz w:val="28"/>
          <w:szCs w:val="28"/>
        </w:rPr>
        <w:t>件</w:t>
      </w:r>
      <w:r>
        <w:rPr>
          <w:rFonts w:ascii="Times New Roman" w:hAnsi="Times New Roman" w:cs="Times New Roman"/>
          <w:b/>
          <w:bCs/>
          <w:sz w:val="28"/>
          <w:szCs w:val="28"/>
        </w:rPr>
        <w:t>示例</w:t>
      </w:r>
      <w:bookmarkEnd w:id="19"/>
    </w:p>
    <w:p w14:paraId="5F43A867">
      <w:pPr>
        <w:spacing w:before="156" w:beforeLines="50" w:after="156" w:afterLines="50"/>
        <w:rPr>
          <w:rStyle w:val="14"/>
        </w:rPr>
      </w:pPr>
      <w:r>
        <w:rPr>
          <w:rStyle w:val="14"/>
        </w:rPr>
        <w:t>在本例中，</w:t>
      </w:r>
      <w:r>
        <w:rPr>
          <w:rStyle w:val="17"/>
          <w:rFonts w:ascii="Times New Roman" w:hAnsi="Times New Roman" w:cs="Times New Roman"/>
        </w:rPr>
        <w:footnoteReference w:id="18" w:customMarkFollows="1"/>
        <w:t>1</w:t>
      </w:r>
      <w:r>
        <w:rPr>
          <w:rStyle w:val="14"/>
        </w:rPr>
        <w:t>当申请人建议遵循FDA法规和指南建议对特定既定条件进行更改时，报告类别留空。</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35"/>
        <w:gridCol w:w="5386"/>
        <w:gridCol w:w="2233"/>
      </w:tblGrid>
      <w:tr w14:paraId="4B76F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shd w:val="clear" w:color="auto" w:fill="D5DCE4"/>
          </w:tcPr>
          <w:p w14:paraId="41A0718E">
            <w:pPr>
              <w:jc w:val="center"/>
              <w:rPr>
                <w:rStyle w:val="14"/>
                <w:b/>
              </w:rPr>
            </w:pPr>
            <w:r>
              <w:rPr>
                <w:rStyle w:val="14"/>
                <w:b/>
                <w:bCs/>
              </w:rPr>
              <w:t>电子通用技术文档章节</w:t>
            </w:r>
          </w:p>
        </w:tc>
        <w:tc>
          <w:tcPr>
            <w:tcW w:w="5386" w:type="dxa"/>
            <w:shd w:val="clear" w:color="auto" w:fill="D5DCE4"/>
          </w:tcPr>
          <w:p w14:paraId="433121E9">
            <w:pPr>
              <w:rPr>
                <w:rStyle w:val="14"/>
                <w:b/>
              </w:rPr>
            </w:pPr>
            <w:r>
              <w:rPr>
                <w:rStyle w:val="14"/>
                <w:b/>
                <w:bCs/>
              </w:rPr>
              <w:t>既定条件</w:t>
            </w:r>
          </w:p>
          <w:p w14:paraId="4EEED2DE">
            <w:pPr>
              <w:rPr>
                <w:rStyle w:val="14"/>
                <w:b/>
                <w:i/>
              </w:rPr>
            </w:pPr>
            <w:r>
              <w:rPr>
                <w:rStyle w:val="14"/>
                <w:b/>
                <w:bCs/>
                <w:i/>
                <w:iCs/>
              </w:rPr>
              <w:t>（请注意，各项既定条件的确定和证明请参见相关的电子通用技术文档章节）</w:t>
            </w:r>
          </w:p>
        </w:tc>
        <w:tc>
          <w:tcPr>
            <w:tcW w:w="2233" w:type="dxa"/>
            <w:shd w:val="clear" w:color="auto" w:fill="D5DCE4"/>
          </w:tcPr>
          <w:p w14:paraId="3B1C65B7">
            <w:pPr>
              <w:jc w:val="center"/>
              <w:rPr>
                <w:rStyle w:val="14"/>
                <w:b/>
              </w:rPr>
            </w:pPr>
            <w:r>
              <w:rPr>
                <w:rStyle w:val="14"/>
                <w:b/>
                <w:bCs/>
              </w:rPr>
              <w:t>既定条件变更时的报告类别</w:t>
            </w:r>
          </w:p>
        </w:tc>
      </w:tr>
      <w:tr w14:paraId="61BF54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2E5C9211">
            <w:pPr>
              <w:jc w:val="center"/>
              <w:rPr>
                <w:rStyle w:val="14"/>
                <w:b/>
              </w:rPr>
            </w:pPr>
          </w:p>
        </w:tc>
        <w:tc>
          <w:tcPr>
            <w:tcW w:w="5386" w:type="dxa"/>
          </w:tcPr>
          <w:p w14:paraId="305C568A">
            <w:pPr>
              <w:rPr>
                <w:rStyle w:val="14"/>
              </w:rPr>
            </w:pPr>
            <w:r>
              <w:rPr>
                <w:rStyle w:val="14"/>
              </w:rPr>
              <w:t>以下既定条件将在以下地点实施：</w:t>
            </w:r>
          </w:p>
          <w:p w14:paraId="6170C718">
            <w:pPr>
              <w:rPr>
                <w:rStyle w:val="14"/>
              </w:rPr>
            </w:pPr>
            <w:r>
              <w:rPr>
                <w:rStyle w:val="14"/>
              </w:rPr>
              <w:t>FEI xxxxxx</w:t>
            </w:r>
          </w:p>
          <w:p w14:paraId="3E92D130">
            <w:pPr>
              <w:rPr>
                <w:rStyle w:val="14"/>
              </w:rPr>
            </w:pPr>
            <w:r>
              <w:rPr>
                <w:rStyle w:val="14"/>
              </w:rPr>
              <w:t>FEI yyyyyy</w:t>
            </w:r>
          </w:p>
        </w:tc>
        <w:tc>
          <w:tcPr>
            <w:tcW w:w="2233" w:type="dxa"/>
          </w:tcPr>
          <w:p w14:paraId="217006BD">
            <w:pPr>
              <w:jc w:val="center"/>
              <w:rPr>
                <w:rStyle w:val="14"/>
              </w:rPr>
            </w:pPr>
          </w:p>
        </w:tc>
      </w:tr>
      <w:tr w14:paraId="15199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0419BC86">
            <w:pPr>
              <w:jc w:val="center"/>
              <w:rPr>
                <w:rStyle w:val="14"/>
                <w:b/>
              </w:rPr>
            </w:pPr>
            <w:r>
              <w:rPr>
                <w:rStyle w:val="14"/>
                <w:b/>
                <w:bCs/>
              </w:rPr>
              <w:t>Seq 0001，3.2.P.3.3，</w:t>
            </w:r>
          </w:p>
          <w:p w14:paraId="6A62041E">
            <w:pPr>
              <w:jc w:val="center"/>
              <w:rPr>
                <w:rStyle w:val="14"/>
                <w:b/>
              </w:rPr>
            </w:pPr>
            <w:r>
              <w:rPr>
                <w:rStyle w:val="14"/>
                <w:b/>
                <w:bCs/>
              </w:rPr>
              <w:t>p. 4</w:t>
            </w:r>
          </w:p>
        </w:tc>
        <w:tc>
          <w:tcPr>
            <w:tcW w:w="5386" w:type="dxa"/>
          </w:tcPr>
          <w:p w14:paraId="4D44EFE1">
            <w:pPr>
              <w:rPr>
                <w:rStyle w:val="14"/>
              </w:rPr>
            </w:pPr>
            <w:r>
              <w:rPr>
                <w:rStyle w:val="14"/>
              </w:rPr>
              <w:t>制造过程由以下单元操作顺序组成：</w:t>
            </w:r>
          </w:p>
          <w:p w14:paraId="68B363AD">
            <w:pPr>
              <w:rPr>
                <w:rStyle w:val="14"/>
              </w:rPr>
            </w:pPr>
            <w:r>
              <w:rPr>
                <w:rStyle w:val="14"/>
              </w:rPr>
              <w:t>1.粉末混合</w:t>
            </w:r>
          </w:p>
          <w:p w14:paraId="4503D4FD">
            <w:pPr>
              <w:rPr>
                <w:rStyle w:val="14"/>
              </w:rPr>
            </w:pPr>
            <w:r>
              <w:rPr>
                <w:rStyle w:val="14"/>
              </w:rPr>
              <w:t>2.碾压</w:t>
            </w:r>
          </w:p>
          <w:p w14:paraId="3F0ED264">
            <w:pPr>
              <w:rPr>
                <w:rStyle w:val="14"/>
              </w:rPr>
            </w:pPr>
            <w:r>
              <w:rPr>
                <w:rStyle w:val="14"/>
              </w:rPr>
              <w:t>3.片剂压缩</w:t>
            </w:r>
          </w:p>
          <w:p w14:paraId="36AA100F">
            <w:pPr>
              <w:rPr>
                <w:rStyle w:val="14"/>
              </w:rPr>
            </w:pPr>
            <w:r>
              <w:rPr>
                <w:rStyle w:val="14"/>
              </w:rPr>
              <w:t>4.涂膜</w:t>
            </w:r>
          </w:p>
        </w:tc>
        <w:tc>
          <w:tcPr>
            <w:tcW w:w="2233" w:type="dxa"/>
          </w:tcPr>
          <w:p w14:paraId="3536DF19">
            <w:pPr>
              <w:jc w:val="center"/>
              <w:rPr>
                <w:rStyle w:val="14"/>
              </w:rPr>
            </w:pPr>
            <w:r>
              <w:rPr>
                <w:rStyle w:val="14"/>
              </w:rPr>
              <w:t>PAS</w:t>
            </w:r>
          </w:p>
        </w:tc>
      </w:tr>
      <w:tr w14:paraId="481B48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12FB18D9">
            <w:pPr>
              <w:jc w:val="center"/>
              <w:rPr>
                <w:rStyle w:val="14"/>
                <w:b/>
              </w:rPr>
            </w:pPr>
            <w:r>
              <w:rPr>
                <w:rStyle w:val="14"/>
                <w:b/>
                <w:bCs/>
              </w:rPr>
              <w:t>Seq 0001，3.2.P.3.3，</w:t>
            </w:r>
          </w:p>
          <w:p w14:paraId="45F4FE78">
            <w:pPr>
              <w:jc w:val="center"/>
              <w:rPr>
                <w:rStyle w:val="14"/>
                <w:b/>
              </w:rPr>
            </w:pPr>
            <w:r>
              <w:rPr>
                <w:rStyle w:val="14"/>
                <w:b/>
                <w:bCs/>
              </w:rPr>
              <w:t>p. 44</w:t>
            </w:r>
          </w:p>
        </w:tc>
        <w:tc>
          <w:tcPr>
            <w:tcW w:w="5386" w:type="dxa"/>
          </w:tcPr>
          <w:p w14:paraId="62D31FED">
            <w:pPr>
              <w:rPr>
                <w:rStyle w:val="14"/>
                <w:b/>
              </w:rPr>
            </w:pPr>
            <w:r>
              <w:rPr>
                <w:rStyle w:val="14"/>
                <w:b/>
                <w:bCs/>
              </w:rPr>
              <w:t>1.粉末混合</w:t>
            </w:r>
          </w:p>
          <w:p w14:paraId="587CBB3C">
            <w:pPr>
              <w:rPr>
                <w:rStyle w:val="14"/>
              </w:rPr>
            </w:pPr>
            <w:r>
              <w:rPr>
                <w:rStyle w:val="14"/>
              </w:rPr>
              <w:t>将活性物质和三种赋形剂混合在一起。以下过程参数定义为既定条件。</w:t>
            </w:r>
          </w:p>
        </w:tc>
        <w:tc>
          <w:tcPr>
            <w:tcW w:w="2233" w:type="dxa"/>
          </w:tcPr>
          <w:p w14:paraId="4427DB77">
            <w:pPr>
              <w:jc w:val="center"/>
              <w:rPr>
                <w:rStyle w:val="14"/>
              </w:rPr>
            </w:pPr>
          </w:p>
        </w:tc>
      </w:tr>
      <w:tr w14:paraId="64518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59C9D775">
            <w:pPr>
              <w:jc w:val="center"/>
              <w:rPr>
                <w:rStyle w:val="14"/>
                <w:b/>
              </w:rPr>
            </w:pPr>
            <w:r>
              <w:rPr>
                <w:rStyle w:val="14"/>
                <w:b/>
                <w:bCs/>
              </w:rPr>
              <w:t>Seq 0003，3.2.P.3.3，</w:t>
            </w:r>
          </w:p>
          <w:p w14:paraId="2F5B8D27">
            <w:pPr>
              <w:jc w:val="center"/>
              <w:rPr>
                <w:rStyle w:val="14"/>
                <w:b/>
              </w:rPr>
            </w:pPr>
            <w:r>
              <w:rPr>
                <w:rStyle w:val="14"/>
                <w:b/>
                <w:bCs/>
              </w:rPr>
              <w:t>p. 45</w:t>
            </w:r>
          </w:p>
        </w:tc>
        <w:tc>
          <w:tcPr>
            <w:tcW w:w="5386" w:type="dxa"/>
          </w:tcPr>
          <w:p w14:paraId="6642EF5A">
            <w:pPr>
              <w:rPr>
                <w:rStyle w:val="14"/>
              </w:rPr>
            </w:pPr>
            <w:r>
              <w:rPr>
                <w:rStyle w:val="14"/>
              </w:rPr>
              <w:t>工作原理：扩散式混合</w:t>
            </w:r>
          </w:p>
        </w:tc>
        <w:tc>
          <w:tcPr>
            <w:tcW w:w="2233" w:type="dxa"/>
          </w:tcPr>
          <w:p w14:paraId="30E535E6">
            <w:pPr>
              <w:jc w:val="center"/>
              <w:rPr>
                <w:rStyle w:val="14"/>
              </w:rPr>
            </w:pPr>
            <w:r>
              <w:rPr>
                <w:rStyle w:val="14"/>
              </w:rPr>
              <w:t>PAS</w:t>
            </w:r>
          </w:p>
        </w:tc>
      </w:tr>
      <w:tr w14:paraId="38804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27058E67">
            <w:pPr>
              <w:jc w:val="center"/>
              <w:rPr>
                <w:rStyle w:val="14"/>
                <w:b/>
              </w:rPr>
            </w:pPr>
            <w:r>
              <w:rPr>
                <w:rStyle w:val="14"/>
                <w:b/>
                <w:bCs/>
              </w:rPr>
              <w:t>Seq 0001，3.2.P.3.3，</w:t>
            </w:r>
          </w:p>
          <w:p w14:paraId="1B34C4BC">
            <w:pPr>
              <w:jc w:val="center"/>
              <w:rPr>
                <w:rStyle w:val="14"/>
                <w:b/>
              </w:rPr>
            </w:pPr>
            <w:r>
              <w:rPr>
                <w:rStyle w:val="14"/>
                <w:b/>
                <w:bCs/>
              </w:rPr>
              <w:t>pp. 45–47</w:t>
            </w:r>
          </w:p>
        </w:tc>
        <w:tc>
          <w:tcPr>
            <w:tcW w:w="5386" w:type="dxa"/>
          </w:tcPr>
          <w:p w14:paraId="526C266E">
            <w:pPr>
              <w:rPr>
                <w:rStyle w:val="14"/>
              </w:rPr>
            </w:pPr>
            <w:r>
              <w:rPr>
                <w:rStyle w:val="14"/>
              </w:rPr>
              <w:t>设备类型：V型混合机</w:t>
            </w:r>
          </w:p>
        </w:tc>
        <w:tc>
          <w:tcPr>
            <w:tcW w:w="2233" w:type="dxa"/>
          </w:tcPr>
          <w:p w14:paraId="1A0B2467">
            <w:pPr>
              <w:jc w:val="center"/>
              <w:rPr>
                <w:rStyle w:val="14"/>
              </w:rPr>
            </w:pPr>
            <w:r>
              <w:rPr>
                <w:rStyle w:val="14"/>
              </w:rPr>
              <w:t>工作原理相同的</w:t>
            </w:r>
            <w:r>
              <w:rPr>
                <w:rStyle w:val="14"/>
                <w:rFonts w:hint="eastAsia"/>
              </w:rPr>
              <w:t>设备</w:t>
            </w:r>
            <w:r>
              <w:rPr>
                <w:rStyle w:val="14"/>
              </w:rPr>
              <w:t>变更：AR</w:t>
            </w:r>
          </w:p>
        </w:tc>
      </w:tr>
      <w:tr w14:paraId="00E3C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2B2850F5">
            <w:pPr>
              <w:jc w:val="center"/>
              <w:rPr>
                <w:rStyle w:val="14"/>
                <w:b/>
              </w:rPr>
            </w:pPr>
            <w:r>
              <w:rPr>
                <w:rStyle w:val="14"/>
                <w:b/>
                <w:bCs/>
              </w:rPr>
              <w:t>Seq 0001，3.2.P.3.2，</w:t>
            </w:r>
          </w:p>
          <w:p w14:paraId="44B6983A">
            <w:pPr>
              <w:jc w:val="center"/>
              <w:rPr>
                <w:rStyle w:val="14"/>
                <w:b/>
              </w:rPr>
            </w:pPr>
            <w:r>
              <w:rPr>
                <w:rStyle w:val="14"/>
                <w:b/>
                <w:bCs/>
              </w:rPr>
              <w:t>p. 8、 和 3.2.P.3.3、 pp. 48–49</w:t>
            </w:r>
          </w:p>
        </w:tc>
        <w:tc>
          <w:tcPr>
            <w:tcW w:w="5386" w:type="dxa"/>
          </w:tcPr>
          <w:p w14:paraId="2BFABF04">
            <w:pPr>
              <w:rPr>
                <w:rStyle w:val="14"/>
              </w:rPr>
            </w:pPr>
            <w:r>
              <w:rPr>
                <w:rStyle w:val="14"/>
                <w:rFonts w:hint="eastAsia"/>
              </w:rPr>
              <w:t>规模</w:t>
            </w:r>
            <w:r>
              <w:rPr>
                <w:rStyle w:val="14"/>
              </w:rPr>
              <w:t>：200 kg</w:t>
            </w:r>
          </w:p>
        </w:tc>
        <w:tc>
          <w:tcPr>
            <w:tcW w:w="2233" w:type="dxa"/>
          </w:tcPr>
          <w:p w14:paraId="4D7EBD0A">
            <w:pPr>
              <w:jc w:val="center"/>
              <w:rPr>
                <w:rStyle w:val="14"/>
              </w:rPr>
            </w:pPr>
            <w:r>
              <w:rPr>
                <w:rStyle w:val="14"/>
              </w:rPr>
              <w:t>增加至原来的10倍：AR</w:t>
            </w:r>
          </w:p>
          <w:p w14:paraId="12271881">
            <w:pPr>
              <w:jc w:val="center"/>
              <w:rPr>
                <w:rStyle w:val="14"/>
              </w:rPr>
            </w:pPr>
            <w:r>
              <w:rPr>
                <w:rStyle w:val="14"/>
              </w:rPr>
              <w:t>增加10倍以上：CBE-0</w:t>
            </w:r>
          </w:p>
        </w:tc>
      </w:tr>
      <w:tr w14:paraId="2B033E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3D6D6EBC">
            <w:pPr>
              <w:jc w:val="center"/>
              <w:rPr>
                <w:rStyle w:val="14"/>
                <w:b/>
              </w:rPr>
            </w:pPr>
            <w:r>
              <w:rPr>
                <w:rStyle w:val="14"/>
                <w:b/>
                <w:bCs/>
              </w:rPr>
              <w:t>Seq 0004，3.2.P.3.4，</w:t>
            </w:r>
          </w:p>
          <w:p w14:paraId="2A3DEB94">
            <w:pPr>
              <w:jc w:val="center"/>
              <w:rPr>
                <w:rStyle w:val="14"/>
                <w:b/>
              </w:rPr>
            </w:pPr>
            <w:r>
              <w:rPr>
                <w:rStyle w:val="14"/>
                <w:b/>
                <w:bCs/>
              </w:rPr>
              <w:t>pp. 10–15</w:t>
            </w:r>
          </w:p>
        </w:tc>
        <w:tc>
          <w:tcPr>
            <w:tcW w:w="5386" w:type="dxa"/>
          </w:tcPr>
          <w:p w14:paraId="2483646F">
            <w:pPr>
              <w:rPr>
                <w:rStyle w:val="14"/>
              </w:rPr>
            </w:pPr>
            <w:r>
              <w:rPr>
                <w:rStyle w:val="14"/>
              </w:rPr>
              <w:t>混合工艺参数的设计空间</w:t>
            </w:r>
          </w:p>
          <w:p w14:paraId="5FB0BDBB">
            <w:pPr>
              <w:rPr>
                <w:rStyle w:val="14"/>
              </w:rPr>
            </w:pPr>
            <w:r>
              <w:rPr>
                <w:rStyle w:val="14"/>
              </w:rPr>
              <w:t>混合速度：10-20转/分</w:t>
            </w:r>
          </w:p>
        </w:tc>
        <w:tc>
          <w:tcPr>
            <w:tcW w:w="2233" w:type="dxa"/>
          </w:tcPr>
          <w:p w14:paraId="1A6B8CBF">
            <w:pPr>
              <w:jc w:val="center"/>
              <w:rPr>
                <w:rStyle w:val="14"/>
              </w:rPr>
            </w:pPr>
            <w:r>
              <w:rPr>
                <w:rStyle w:val="14"/>
              </w:rPr>
              <w:t>CBE-30</w:t>
            </w:r>
          </w:p>
        </w:tc>
      </w:tr>
    </w:tbl>
    <w:p w14:paraId="368B0A8A">
      <w:r>
        <w:br w:type="page"/>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35"/>
        <w:gridCol w:w="5386"/>
        <w:gridCol w:w="2233"/>
      </w:tblGrid>
      <w:tr w14:paraId="719E0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0F203238">
            <w:pPr>
              <w:jc w:val="center"/>
              <w:rPr>
                <w:rStyle w:val="14"/>
                <w:b/>
              </w:rPr>
            </w:pPr>
          </w:p>
        </w:tc>
        <w:tc>
          <w:tcPr>
            <w:tcW w:w="5386" w:type="dxa"/>
          </w:tcPr>
          <w:p w14:paraId="613338E7">
            <w:pPr>
              <w:rPr>
                <w:rStyle w:val="14"/>
              </w:rPr>
            </w:pPr>
            <w:r>
              <w:rPr>
                <w:rStyle w:val="14"/>
              </w:rPr>
              <w:t>混合时间：15-25分钟</w:t>
            </w:r>
          </w:p>
        </w:tc>
        <w:tc>
          <w:tcPr>
            <w:tcW w:w="2233" w:type="dxa"/>
          </w:tcPr>
          <w:p w14:paraId="051AD65B">
            <w:pPr>
              <w:jc w:val="center"/>
              <w:rPr>
                <w:rStyle w:val="14"/>
              </w:rPr>
            </w:pPr>
          </w:p>
        </w:tc>
      </w:tr>
      <w:tr w14:paraId="110A2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57364C92">
            <w:pPr>
              <w:jc w:val="center"/>
              <w:rPr>
                <w:rStyle w:val="14"/>
                <w:b/>
              </w:rPr>
            </w:pPr>
          </w:p>
        </w:tc>
        <w:tc>
          <w:tcPr>
            <w:tcW w:w="5386" w:type="dxa"/>
          </w:tcPr>
          <w:p w14:paraId="59246C4E">
            <w:pPr>
              <w:rPr>
                <w:rStyle w:val="14"/>
                <w:b/>
              </w:rPr>
            </w:pPr>
            <w:r>
              <w:rPr>
                <w:rStyle w:val="14"/>
                <w:b/>
                <w:bCs/>
              </w:rPr>
              <w:t>2.碾压</w:t>
            </w:r>
          </w:p>
        </w:tc>
        <w:tc>
          <w:tcPr>
            <w:tcW w:w="2233" w:type="dxa"/>
          </w:tcPr>
          <w:p w14:paraId="655BE26C">
            <w:pPr>
              <w:jc w:val="center"/>
              <w:rPr>
                <w:rStyle w:val="14"/>
              </w:rPr>
            </w:pPr>
          </w:p>
        </w:tc>
      </w:tr>
      <w:tr w14:paraId="570A0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4E774FFC">
            <w:pPr>
              <w:jc w:val="center"/>
              <w:rPr>
                <w:rStyle w:val="14"/>
                <w:b/>
              </w:rPr>
            </w:pPr>
          </w:p>
        </w:tc>
        <w:tc>
          <w:tcPr>
            <w:tcW w:w="5386" w:type="dxa"/>
          </w:tcPr>
          <w:p w14:paraId="52445EEC">
            <w:pPr>
              <w:rPr>
                <w:rStyle w:val="14"/>
                <w:b/>
              </w:rPr>
            </w:pPr>
            <w:r>
              <w:rPr>
                <w:rStyle w:val="14"/>
                <w:b/>
                <w:bCs/>
              </w:rPr>
              <w:t>3.片剂压缩</w:t>
            </w:r>
          </w:p>
        </w:tc>
        <w:tc>
          <w:tcPr>
            <w:tcW w:w="2233" w:type="dxa"/>
          </w:tcPr>
          <w:p w14:paraId="23FA5E8D">
            <w:pPr>
              <w:jc w:val="center"/>
              <w:rPr>
                <w:rStyle w:val="14"/>
              </w:rPr>
            </w:pPr>
          </w:p>
        </w:tc>
      </w:tr>
      <w:tr w14:paraId="22F7E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35BDECDF">
            <w:pPr>
              <w:jc w:val="center"/>
              <w:rPr>
                <w:rStyle w:val="14"/>
                <w:b/>
              </w:rPr>
            </w:pPr>
          </w:p>
        </w:tc>
        <w:tc>
          <w:tcPr>
            <w:tcW w:w="5386" w:type="dxa"/>
          </w:tcPr>
          <w:p w14:paraId="5234FA1B">
            <w:pPr>
              <w:rPr>
                <w:rStyle w:val="14"/>
                <w:b/>
              </w:rPr>
            </w:pPr>
            <w:r>
              <w:rPr>
                <w:rStyle w:val="14"/>
                <w:b/>
                <w:bCs/>
              </w:rPr>
              <w:t>4.涂膜</w:t>
            </w:r>
          </w:p>
        </w:tc>
        <w:tc>
          <w:tcPr>
            <w:tcW w:w="2233" w:type="dxa"/>
          </w:tcPr>
          <w:p w14:paraId="556BC881">
            <w:pPr>
              <w:jc w:val="center"/>
              <w:rPr>
                <w:rStyle w:val="14"/>
              </w:rPr>
            </w:pPr>
          </w:p>
        </w:tc>
      </w:tr>
    </w:tbl>
    <w:p w14:paraId="1CBA5D9D">
      <w:pPr>
        <w:spacing w:before="156" w:beforeLines="50" w:after="156" w:afterLines="50"/>
        <w:rPr>
          <w:rFonts w:ascii="Times New Roman" w:hAnsi="Times New Roman" w:cs="Times New Roman"/>
        </w:rPr>
      </w:pPr>
      <w:r>
        <w:rPr>
          <w:rStyle w:val="14"/>
        </w:rPr>
        <w:t>注：eCTD =电子通用技术文档；EC =既定条件；FEI =工厂识别号；PAS =事先批准补充申请；AR =年度报告；CBE =</w:t>
      </w:r>
      <w:r>
        <w:rPr>
          <w:rStyle w:val="14"/>
          <w:rFonts w:hint="eastAsia"/>
        </w:rPr>
        <w:t>生效</w:t>
      </w:r>
      <w:r>
        <w:rPr>
          <w:rStyle w:val="14"/>
        </w:rPr>
        <w:t>变更。</w:t>
      </w:r>
    </w:p>
    <w:p w14:paraId="4362F72E">
      <w:pPr>
        <w:pBdr>
          <w:top w:val="single" w:color="000000" w:themeColor="text1" w:sz="18" w:space="1"/>
        </w:pBdr>
        <w:spacing w:before="156" w:beforeLines="50" w:after="156" w:afterLines="50"/>
        <w:jc w:val="center"/>
        <w:rPr>
          <w:rFonts w:hint="eastAsia" w:eastAsia="宋体"/>
          <w:lang w:eastAsia="zh-CN"/>
        </w:rPr>
      </w:pPr>
    </w:p>
    <w:p w14:paraId="24CA1E3D">
      <w:pPr>
        <w:pBdr>
          <w:top w:val="single" w:color="000000" w:themeColor="text1" w:sz="18" w:space="1"/>
        </w:pBdr>
        <w:spacing w:before="156" w:beforeLines="50" w:after="156" w:afterLines="50"/>
        <w:jc w:val="center"/>
        <w:rPr>
          <w:rFonts w:hint="eastAsia" w:eastAsia="宋体"/>
          <w:lang w:eastAsia="zh-CN"/>
        </w:rPr>
      </w:pPr>
    </w:p>
    <w:p w14:paraId="224490FC">
      <w:pPr>
        <w:pBdr>
          <w:top w:val="single" w:color="000000" w:themeColor="text1" w:sz="18"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8" w:type="default"/>
      <w:pgSz w:w="11906" w:h="16838"/>
      <w:pgMar w:top="1134" w:right="1134" w:bottom="1134" w:left="1134" w:header="851" w:footer="992" w:gutter="0"/>
      <w:lnNumType w:countBy="1" w:restart="continuous"/>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u, Tank" w:date="2022-03-21T13:30:00Z" w:initials="WT">
    <w:p w14:paraId="450F4A77">
      <w:pPr>
        <w:pStyle w:val="2"/>
      </w:pPr>
      <w:r>
        <w:rPr>
          <w:rFonts w:hint="eastAsia"/>
        </w:rPr>
        <w:t>主要参考C</w:t>
      </w:r>
      <w:r>
        <w:t>DE</w:t>
      </w:r>
      <w:r>
        <w:rPr>
          <w:rFonts w:hint="eastAsia"/>
        </w:rPr>
        <w:t>采纳的I</w:t>
      </w:r>
      <w:r>
        <w:t>CH Q</w:t>
      </w:r>
      <w:r>
        <w:rPr>
          <w:rFonts w:hint="eastAsia"/>
        </w:rPr>
        <w:t>12指导原则进行修改。</w:t>
      </w:r>
    </w:p>
  </w:comment>
  <w:comment w:id="1" w:author="小 倩" w:date="2022-08-09T13:46:00Z" w:initials="小">
    <w:p w14:paraId="76A8A1B3">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0F4A77" w15:done="0"/>
  <w15:commentEx w15:paraId="76A8A1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DFD1">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r>
        <w:separator/>
      </w:r>
    </w:p>
  </w:footnote>
  <w:footnote w:type="continuationSeparator" w:id="39">
    <w:p>
      <w:r>
        <w:continuationSeparator/>
      </w:r>
    </w:p>
  </w:footnote>
  <w:footnote w:id="0">
    <w:p w14:paraId="659A8B46">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本指南由药品评价与研究中心药品质量办公室与美国食品药品监督管理局生物制品评价与研究中心、器械与放射健康中心和组合产品办公室合作编写。</w:t>
      </w:r>
    </w:p>
  </w:footnote>
  <w:footnote w:id="1">
    <w:p w14:paraId="74DDD91D">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我局将定期更新指南。有关最新版指南，请登录FDA指南网页</w:t>
      </w:r>
      <w:r>
        <w:fldChar w:fldCharType="begin"/>
      </w:r>
      <w:r>
        <w:instrText xml:space="preserve"> HYPERLINK "https://www.fda.gov/regulatory-information/search-fda-guidance-documents" </w:instrText>
      </w:r>
      <w:r>
        <w:fldChar w:fldCharType="separate"/>
      </w:r>
      <w:r>
        <w:rPr>
          <w:rStyle w:val="15"/>
          <w:rFonts w:ascii="Times New Roman" w:hAnsi="Times New Roman" w:cs="Times New Roman"/>
        </w:rPr>
        <w:t>https://www.fda.gov/regulatory-information/search-fda-guidance-documents</w:t>
      </w:r>
      <w:r>
        <w:rPr>
          <w:rStyle w:val="15"/>
          <w:rFonts w:ascii="Times New Roman" w:hAnsi="Times New Roman" w:cs="Times New Roman"/>
        </w:rPr>
        <w:fldChar w:fldCharType="end"/>
      </w:r>
      <w:r>
        <w:rPr>
          <w:rStyle w:val="14"/>
        </w:rPr>
        <w:t>。</w:t>
      </w:r>
    </w:p>
  </w:footnote>
  <w:footnote w:id="2">
    <w:p w14:paraId="7DDF21D2">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就本指南而言，原料药和制剂包括生物原料药和制剂。</w:t>
      </w:r>
    </w:p>
  </w:footnote>
  <w:footnote w:id="3">
    <w:p w14:paraId="742171E4">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请参见21 CFR 21 CFR 3.2（e）。</w:t>
      </w:r>
    </w:p>
  </w:footnote>
  <w:footnote w:id="4">
    <w:p w14:paraId="421B3ABA">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见21 CFR 314.70、314.97和601.12。</w:t>
      </w:r>
    </w:p>
  </w:footnote>
  <w:footnote w:id="5">
    <w:p w14:paraId="29A8D800">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例如，请参见FDA的扩大和批准后变更（SUPAC）指南以及</w:t>
      </w:r>
      <w:r>
        <w:rPr>
          <w:rStyle w:val="14"/>
          <w:i/>
          <w:iCs/>
        </w:rPr>
        <w:t>特定生物技术和特定合成生物产品已批准申请的行业变更</w:t>
      </w:r>
      <w:r>
        <w:rPr>
          <w:rStyle w:val="14"/>
        </w:rPr>
        <w:t>（1997年7月）、</w:t>
      </w:r>
      <w:r>
        <w:rPr>
          <w:rStyle w:val="14"/>
          <w:i/>
          <w:iCs/>
        </w:rPr>
        <w:t>已批准新药申请或简化新药申请变更</w:t>
      </w:r>
      <w:r>
        <w:rPr>
          <w:rStyle w:val="14"/>
        </w:rPr>
        <w:t>（2004年4月）和</w:t>
      </w:r>
      <w:r>
        <w:rPr>
          <w:rStyle w:val="14"/>
          <w:i/>
          <w:iCs/>
        </w:rPr>
        <w:t>化学、制造和控制批准后制造变更将在年度报告中记录</w:t>
      </w:r>
      <w:r>
        <w:rPr>
          <w:rStyle w:val="14"/>
        </w:rPr>
        <w:t>（2014年3月）。根据《联邦食品、药品和化妆品法案》（FD&amp;C法案）第506A条和21 CFR 21 CFR 314.70和601.12，对报告类别进行了指导性调整，该调整确立了法律上可强制执行的责任，而不仅仅是建议。</w:t>
      </w:r>
    </w:p>
  </w:footnote>
  <w:footnote w:id="6">
    <w:p w14:paraId="4D733717">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在初始申请或事先批准补充材料中包含特定确定条件的计划是与FDA进行预提交资料会议的合适主题（如有）。</w:t>
      </w:r>
    </w:p>
  </w:footnote>
  <w:footnote w:id="7">
    <w:p w14:paraId="581544F2">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在本指南中，FDA建议作为一种选择，申请人声明其将遵循法规和指南中的建议。在大多数情况下，申请人可选择遵循法规，同时采用与指南中建议的不同方法，并说明其与指南的偏差将如何满足适用的法律要求。然而，如果指南根据《FD&amp;C法案》第506A条和21 CFR 21 CFR 314.70和601.12调整报告类别，则该调整确立了法律上可执行的责任，而不仅仅是建议。</w:t>
      </w:r>
    </w:p>
  </w:footnote>
  <w:footnote w:id="8">
    <w:p w14:paraId="4302DEB7">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eCTD=电子通用技术文档，向FDA提交申请、补充资料和其他信息的标准格式。有关更多信息，请参见</w:t>
      </w:r>
      <w:r>
        <w:fldChar w:fldCharType="begin"/>
      </w:r>
      <w:r>
        <w:instrText xml:space="preserve"> HYPERLINK "https://www.fda.gov/drugs/electronic-regulatory-submission-and-review/electronic-common-technical-document-ectd" </w:instrText>
      </w:r>
      <w:r>
        <w:fldChar w:fldCharType="separate"/>
      </w:r>
      <w:r>
        <w:rPr>
          <w:rStyle w:val="15"/>
          <w:rFonts w:ascii="Times New Roman" w:hAnsi="Times New Roman" w:cs="Times New Roman"/>
        </w:rPr>
        <w:t>https://www.fda.gov/drugs/electronic-regulatory-submission-and-review/electronic-common-technical-document-ectd</w:t>
      </w:r>
      <w:r>
        <w:rPr>
          <w:rStyle w:val="15"/>
          <w:rFonts w:ascii="Times New Roman" w:hAnsi="Times New Roman" w:cs="Times New Roman"/>
        </w:rPr>
        <w:fldChar w:fldCharType="end"/>
      </w:r>
      <w:r>
        <w:rPr>
          <w:rStyle w:val="14"/>
        </w:rPr>
        <w:t>。</w:t>
      </w:r>
    </w:p>
  </w:footnote>
  <w:footnote w:id="9">
    <w:p w14:paraId="6026F469">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FDA已提议制定相关规则，对生物制品许可申请的申请人将药物、药物中间产品和药品信息直接提交给生物制品许可申请的程序要求编成法典，而非通过引用将其纳入主文件。见84 FR 30968。</w:t>
      </w:r>
    </w:p>
  </w:footnote>
  <w:footnote w:id="10">
    <w:p w14:paraId="517B497E">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相同方法适用于通过引用纳入的信息，这些信息来自其他类型（例如，III、IV或V类，如适用）的药物主文件。</w:t>
      </w:r>
    </w:p>
  </w:footnote>
  <w:footnote w:id="11">
    <w:p w14:paraId="01BF4F74">
      <w:pPr>
        <w:pStyle w:val="8"/>
        <w:jc w:val="both"/>
        <w:rPr>
          <w:rFonts w:ascii="Times New Roman" w:hAnsi="Times New Roman" w:cs="Times New Roman"/>
        </w:rPr>
      </w:pPr>
      <w:r>
        <w:rPr>
          <w:rStyle w:val="17"/>
          <w:rFonts w:ascii="Times New Roman" w:hAnsi="Times New Roman" w:cs="Times New Roman"/>
        </w:rPr>
        <w:footnoteRef/>
      </w:r>
      <w:r>
        <w:rPr>
          <w:rStyle w:val="14"/>
        </w:rPr>
        <w:t>参见行业指南《药品合同生产安排：质量协议》（2016年11月）。</w:t>
      </w:r>
    </w:p>
  </w:footnote>
  <w:footnote w:id="12">
    <w:p w14:paraId="2357BF1A">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请参见ISO 13485：2016，医疗器械-质量管理体系-监管要求，第7.3.4节产品实现-设计和开发-设计和开发输出。ISO=国际标准化组织。</w:t>
      </w:r>
    </w:p>
  </w:footnote>
  <w:footnote w:id="13">
    <w:p w14:paraId="784B177E">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更具体而言，请参见附录第A节问题6。该指南一旦定稿，将代表FDA目前对该主题的想法。</w:t>
      </w:r>
    </w:p>
  </w:footnote>
  <w:footnote w:id="14">
    <w:p w14:paraId="73D145D0">
      <w:pPr>
        <w:pStyle w:val="8"/>
        <w:jc w:val="both"/>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此类工厂可能包括负责组合产品设计控制的工厂。请参见行业《组合产品的现行良好生产规范要求指南》（2017年1月）。</w:t>
      </w:r>
    </w:p>
  </w:footnote>
  <w:footnote w:id="15">
    <w:p w14:paraId="3E70454F">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请参见《FD&amp;C法案》第510（a）（2）（B）条；21 CFR 21 CFR 4、210、211和600部分；以及行业指南《组合产品的现行良好生产规范要求》。</w:t>
      </w:r>
    </w:p>
  </w:footnote>
  <w:footnote w:id="16">
    <w:p w14:paraId="741FAE34">
      <w:pPr>
        <w:pStyle w:val="8"/>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Style w:val="14"/>
        </w:rPr>
        <w:t>根据《FD&amp;C法案》第809条确定生产能力；另请参见</w:t>
      </w:r>
      <w:r>
        <w:fldChar w:fldCharType="begin"/>
      </w:r>
      <w:r>
        <w:instrText xml:space="preserve"> HYPERLINK "https：//www.fda.gov/international-programs/international-arrangements/mutual-recognition-agreement-mra" </w:instrText>
      </w:r>
      <w:r>
        <w:fldChar w:fldCharType="separate"/>
      </w:r>
      <w:r>
        <w:rPr>
          <w:rStyle w:val="15"/>
          <w:rFonts w:ascii="Times New Roman" w:hAnsi="Times New Roman" w:cs="Times New Roman"/>
        </w:rPr>
        <w:t>https：//www.fda.gov/international-programs/international-arrangements/mutual-recognition-agreement-mra</w:t>
      </w:r>
      <w:r>
        <w:rPr>
          <w:rStyle w:val="15"/>
          <w:rFonts w:ascii="Times New Roman" w:hAnsi="Times New Roman" w:cs="Times New Roman"/>
        </w:rPr>
        <w:fldChar w:fldCharType="end"/>
      </w:r>
    </w:p>
  </w:footnote>
  <w:footnote w:id="17">
    <w:p w14:paraId="7E6AFE2B">
      <w:pPr>
        <w:pStyle w:val="8"/>
        <w:jc w:val="both"/>
        <w:rPr>
          <w:rFonts w:ascii="Times New Roman" w:hAnsi="Times New Roman" w:cs="Times New Roman"/>
        </w:rPr>
      </w:pPr>
      <w:r>
        <w:rPr>
          <w:rStyle w:val="17"/>
          <w:rFonts w:ascii="Times New Roman" w:hAnsi="Times New Roman" w:cs="Times New Roman"/>
        </w:rPr>
        <w:t>1</w:t>
      </w:r>
      <w:r>
        <w:rPr>
          <w:rFonts w:ascii="Times New Roman" w:hAnsi="Times New Roman" w:cs="Times New Roman"/>
        </w:rPr>
        <w:t xml:space="preserve"> </w:t>
      </w:r>
      <w:r>
        <w:rPr>
          <w:rStyle w:val="14"/>
        </w:rPr>
        <w:t>类似于国际协调理事会行业指南Q12《药品生命周期管理的技术和监管考虑》（2021年5月）附录1。</w:t>
      </w:r>
    </w:p>
  </w:footnote>
  <w:footnote w:id="18">
    <w:p w14:paraId="69A5AC6F">
      <w:pPr>
        <w:pStyle w:val="8"/>
        <w:jc w:val="both"/>
        <w:rPr>
          <w:rFonts w:ascii="Times New Roman" w:hAnsi="Times New Roman" w:cs="Times New Roman"/>
        </w:rPr>
      </w:pPr>
      <w:r>
        <w:rPr>
          <w:rStyle w:val="17"/>
          <w:rFonts w:ascii="Times New Roman" w:hAnsi="Times New Roman" w:cs="Times New Roman"/>
        </w:rPr>
        <w:t>1</w:t>
      </w:r>
      <w:r>
        <w:rPr>
          <w:rFonts w:ascii="Times New Roman" w:hAnsi="Times New Roman" w:cs="Times New Roman"/>
        </w:rPr>
        <w:t xml:space="preserve"> </w:t>
      </w:r>
      <w:r>
        <w:rPr>
          <w:rStyle w:val="14"/>
        </w:rPr>
        <w:t>根据国际协调理事会行业指南Q12《药品生命周期管理的技术和监管考虑》附件（2021年5月）中的附件IF修改。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60CA">
    <w:pPr>
      <w:pStyle w:val="6"/>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BADF">
    <w:pPr>
      <w:pStyle w:val="6"/>
      <w:pBdr>
        <w:bottom w:val="none" w:color="auto" w:sz="0" w:space="0"/>
      </w:pBdr>
      <w:spacing w:before="120" w:beforeLines="50" w:after="120" w:afterLines="50"/>
      <w:rPr>
        <w:b/>
        <w:bCs/>
        <w:i/>
        <w:iCs/>
        <w:sz w:val="21"/>
        <w:szCs w:val="21"/>
      </w:rPr>
    </w:pPr>
    <w:r>
      <w:rPr>
        <w:rFonts w:hint="eastAsia"/>
        <w:b/>
        <w:bCs/>
        <w:i/>
        <w:iCs/>
        <w:sz w:val="21"/>
        <w:szCs w:val="21"/>
      </w:rPr>
      <w:t>所含建议不具约束力</w:t>
    </w:r>
  </w:p>
  <w:p w14:paraId="2C90A271">
    <w:pPr>
      <w:pStyle w:val="6"/>
      <w:pBdr>
        <w:bottom w:val="none" w:color="auto" w:sz="0" w:space="0"/>
      </w:pBdr>
      <w:spacing w:before="120" w:beforeLines="50" w:after="120" w:afterLines="50"/>
      <w:rPr>
        <w:rFonts w:ascii="Times New Roman" w:hAnsi="Times New Roman" w:cs="Times New Roman"/>
        <w:i/>
      </w:rPr>
    </w:pPr>
    <w:r>
      <w:rPr>
        <w:rFonts w:ascii="Times New Roman" w:hAnsi="Times New Roman" w:cs="Times New Roman"/>
        <w:i/>
        <w:iCs/>
      </w:rPr>
      <w:t>草案 - 非实施稿</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 Tank">
    <w15:presenceInfo w15:providerId="AD" w15:userId="S::wut9@medtronic.com::71ca3361-56bb-49b6-ae12-f7f3a2200325"/>
  </w15:person>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38"/>
    <w:footnote w:id="3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02523"/>
    <w:rsid w:val="0001481D"/>
    <w:rsid w:val="00014A56"/>
    <w:rsid w:val="000225C1"/>
    <w:rsid w:val="000426F7"/>
    <w:rsid w:val="00042A86"/>
    <w:rsid w:val="00043304"/>
    <w:rsid w:val="00046DBB"/>
    <w:rsid w:val="000534C0"/>
    <w:rsid w:val="0005762F"/>
    <w:rsid w:val="00065EF8"/>
    <w:rsid w:val="00067617"/>
    <w:rsid w:val="000677A0"/>
    <w:rsid w:val="00067F11"/>
    <w:rsid w:val="00084784"/>
    <w:rsid w:val="00097871"/>
    <w:rsid w:val="000C239E"/>
    <w:rsid w:val="000E6C5E"/>
    <w:rsid w:val="00130135"/>
    <w:rsid w:val="00131772"/>
    <w:rsid w:val="00173984"/>
    <w:rsid w:val="00175486"/>
    <w:rsid w:val="00175676"/>
    <w:rsid w:val="001936F9"/>
    <w:rsid w:val="00194914"/>
    <w:rsid w:val="001A2A1C"/>
    <w:rsid w:val="001B4DD1"/>
    <w:rsid w:val="001D1559"/>
    <w:rsid w:val="001E073F"/>
    <w:rsid w:val="001F6146"/>
    <w:rsid w:val="00201C71"/>
    <w:rsid w:val="00204A9A"/>
    <w:rsid w:val="00216028"/>
    <w:rsid w:val="0022072B"/>
    <w:rsid w:val="002376F4"/>
    <w:rsid w:val="00246993"/>
    <w:rsid w:val="00247DB9"/>
    <w:rsid w:val="00254FDA"/>
    <w:rsid w:val="002579C0"/>
    <w:rsid w:val="00270A59"/>
    <w:rsid w:val="002818F6"/>
    <w:rsid w:val="0029317C"/>
    <w:rsid w:val="002963B1"/>
    <w:rsid w:val="002A0347"/>
    <w:rsid w:val="002A67B5"/>
    <w:rsid w:val="002A6E8F"/>
    <w:rsid w:val="002A7667"/>
    <w:rsid w:val="002B43F7"/>
    <w:rsid w:val="00301CB7"/>
    <w:rsid w:val="003201C0"/>
    <w:rsid w:val="00336092"/>
    <w:rsid w:val="00336528"/>
    <w:rsid w:val="003408DB"/>
    <w:rsid w:val="00343BBC"/>
    <w:rsid w:val="003566E3"/>
    <w:rsid w:val="00372CD5"/>
    <w:rsid w:val="00376744"/>
    <w:rsid w:val="00396B6B"/>
    <w:rsid w:val="00397B2E"/>
    <w:rsid w:val="003A16F6"/>
    <w:rsid w:val="003B700E"/>
    <w:rsid w:val="003C21C2"/>
    <w:rsid w:val="003C4DA2"/>
    <w:rsid w:val="003D05EF"/>
    <w:rsid w:val="003E6BF8"/>
    <w:rsid w:val="00407815"/>
    <w:rsid w:val="0042191B"/>
    <w:rsid w:val="00422507"/>
    <w:rsid w:val="00434C7E"/>
    <w:rsid w:val="004355E7"/>
    <w:rsid w:val="0043587B"/>
    <w:rsid w:val="0043589C"/>
    <w:rsid w:val="004400D8"/>
    <w:rsid w:val="004415A4"/>
    <w:rsid w:val="004523C7"/>
    <w:rsid w:val="00452DBA"/>
    <w:rsid w:val="00462D85"/>
    <w:rsid w:val="004670C4"/>
    <w:rsid w:val="00481A83"/>
    <w:rsid w:val="00483F84"/>
    <w:rsid w:val="004A26DF"/>
    <w:rsid w:val="004B231E"/>
    <w:rsid w:val="004B52B2"/>
    <w:rsid w:val="004C46EA"/>
    <w:rsid w:val="004D1F47"/>
    <w:rsid w:val="004D7FF0"/>
    <w:rsid w:val="004E2316"/>
    <w:rsid w:val="00500B28"/>
    <w:rsid w:val="0051201D"/>
    <w:rsid w:val="005401CF"/>
    <w:rsid w:val="00565A44"/>
    <w:rsid w:val="00566F81"/>
    <w:rsid w:val="005B2A31"/>
    <w:rsid w:val="005C56D4"/>
    <w:rsid w:val="005D6621"/>
    <w:rsid w:val="005E18AF"/>
    <w:rsid w:val="005F4A92"/>
    <w:rsid w:val="00600254"/>
    <w:rsid w:val="00614EF0"/>
    <w:rsid w:val="00623061"/>
    <w:rsid w:val="00643107"/>
    <w:rsid w:val="0065637B"/>
    <w:rsid w:val="00675F4C"/>
    <w:rsid w:val="00676605"/>
    <w:rsid w:val="00694D9C"/>
    <w:rsid w:val="006A0CF2"/>
    <w:rsid w:val="006A36F8"/>
    <w:rsid w:val="006A7314"/>
    <w:rsid w:val="006B5E39"/>
    <w:rsid w:val="006C177D"/>
    <w:rsid w:val="006C394C"/>
    <w:rsid w:val="006C5CE2"/>
    <w:rsid w:val="006D08F1"/>
    <w:rsid w:val="006E0359"/>
    <w:rsid w:val="006E34CE"/>
    <w:rsid w:val="00700943"/>
    <w:rsid w:val="0070542F"/>
    <w:rsid w:val="00715E2F"/>
    <w:rsid w:val="00724B3B"/>
    <w:rsid w:val="00726F3F"/>
    <w:rsid w:val="0074266F"/>
    <w:rsid w:val="00753268"/>
    <w:rsid w:val="00760E53"/>
    <w:rsid w:val="007646AD"/>
    <w:rsid w:val="007670C1"/>
    <w:rsid w:val="007A6E26"/>
    <w:rsid w:val="007B1AE4"/>
    <w:rsid w:val="007C12CA"/>
    <w:rsid w:val="007C2910"/>
    <w:rsid w:val="007C38ED"/>
    <w:rsid w:val="007E0023"/>
    <w:rsid w:val="007E5625"/>
    <w:rsid w:val="00802C0A"/>
    <w:rsid w:val="00826482"/>
    <w:rsid w:val="00826BFD"/>
    <w:rsid w:val="008300E8"/>
    <w:rsid w:val="00845116"/>
    <w:rsid w:val="00851119"/>
    <w:rsid w:val="008561AE"/>
    <w:rsid w:val="00861A42"/>
    <w:rsid w:val="00864D09"/>
    <w:rsid w:val="00867006"/>
    <w:rsid w:val="008C740E"/>
    <w:rsid w:val="008D3B3F"/>
    <w:rsid w:val="00905A8F"/>
    <w:rsid w:val="00915FFE"/>
    <w:rsid w:val="009160A7"/>
    <w:rsid w:val="0091795F"/>
    <w:rsid w:val="009630D0"/>
    <w:rsid w:val="00966AD2"/>
    <w:rsid w:val="00973869"/>
    <w:rsid w:val="0097448D"/>
    <w:rsid w:val="009970D2"/>
    <w:rsid w:val="009A371E"/>
    <w:rsid w:val="009B3A19"/>
    <w:rsid w:val="009B43C8"/>
    <w:rsid w:val="009C6CED"/>
    <w:rsid w:val="009D13FB"/>
    <w:rsid w:val="009E1C42"/>
    <w:rsid w:val="009F401D"/>
    <w:rsid w:val="00A036A8"/>
    <w:rsid w:val="00A06DD8"/>
    <w:rsid w:val="00A1365A"/>
    <w:rsid w:val="00A634C9"/>
    <w:rsid w:val="00A756DC"/>
    <w:rsid w:val="00A77DBA"/>
    <w:rsid w:val="00A77E18"/>
    <w:rsid w:val="00A81E42"/>
    <w:rsid w:val="00AA060A"/>
    <w:rsid w:val="00AA0DF1"/>
    <w:rsid w:val="00AA38D8"/>
    <w:rsid w:val="00AA53A9"/>
    <w:rsid w:val="00AC4F90"/>
    <w:rsid w:val="00AE5438"/>
    <w:rsid w:val="00AF66A9"/>
    <w:rsid w:val="00B0280E"/>
    <w:rsid w:val="00B06277"/>
    <w:rsid w:val="00B11AC5"/>
    <w:rsid w:val="00B11FA3"/>
    <w:rsid w:val="00B30CF4"/>
    <w:rsid w:val="00B32B0F"/>
    <w:rsid w:val="00B45FBC"/>
    <w:rsid w:val="00B46AB4"/>
    <w:rsid w:val="00B54CDA"/>
    <w:rsid w:val="00B55D58"/>
    <w:rsid w:val="00B6643C"/>
    <w:rsid w:val="00B674B4"/>
    <w:rsid w:val="00B76709"/>
    <w:rsid w:val="00B819B3"/>
    <w:rsid w:val="00B844E4"/>
    <w:rsid w:val="00B95239"/>
    <w:rsid w:val="00B96CDE"/>
    <w:rsid w:val="00BB58BE"/>
    <w:rsid w:val="00BC26F6"/>
    <w:rsid w:val="00BC426B"/>
    <w:rsid w:val="00BE72B8"/>
    <w:rsid w:val="00BF4A10"/>
    <w:rsid w:val="00BF7CB3"/>
    <w:rsid w:val="00C00292"/>
    <w:rsid w:val="00C1394C"/>
    <w:rsid w:val="00C13D65"/>
    <w:rsid w:val="00C2103E"/>
    <w:rsid w:val="00C50D50"/>
    <w:rsid w:val="00C63D05"/>
    <w:rsid w:val="00C74491"/>
    <w:rsid w:val="00C74DB8"/>
    <w:rsid w:val="00C77CC6"/>
    <w:rsid w:val="00C85F9A"/>
    <w:rsid w:val="00C97D2D"/>
    <w:rsid w:val="00CA2488"/>
    <w:rsid w:val="00CA3A92"/>
    <w:rsid w:val="00CA7A8A"/>
    <w:rsid w:val="00CC5F75"/>
    <w:rsid w:val="00CD2A3E"/>
    <w:rsid w:val="00CD3FFD"/>
    <w:rsid w:val="00CD4BF1"/>
    <w:rsid w:val="00CF3A8E"/>
    <w:rsid w:val="00D13D33"/>
    <w:rsid w:val="00D25AA0"/>
    <w:rsid w:val="00D30EB1"/>
    <w:rsid w:val="00D33F17"/>
    <w:rsid w:val="00D360CA"/>
    <w:rsid w:val="00D364FA"/>
    <w:rsid w:val="00D4570B"/>
    <w:rsid w:val="00D55F09"/>
    <w:rsid w:val="00D84E2C"/>
    <w:rsid w:val="00D84FF3"/>
    <w:rsid w:val="00D865A8"/>
    <w:rsid w:val="00D94478"/>
    <w:rsid w:val="00DA570B"/>
    <w:rsid w:val="00DC1BE7"/>
    <w:rsid w:val="00DD512B"/>
    <w:rsid w:val="00DE482A"/>
    <w:rsid w:val="00DF199D"/>
    <w:rsid w:val="00DF5D49"/>
    <w:rsid w:val="00E02CFC"/>
    <w:rsid w:val="00E06C57"/>
    <w:rsid w:val="00E16242"/>
    <w:rsid w:val="00E17CAD"/>
    <w:rsid w:val="00E20989"/>
    <w:rsid w:val="00E30907"/>
    <w:rsid w:val="00E3413A"/>
    <w:rsid w:val="00E64A21"/>
    <w:rsid w:val="00E72368"/>
    <w:rsid w:val="00E8044B"/>
    <w:rsid w:val="00E818C9"/>
    <w:rsid w:val="00EA45E1"/>
    <w:rsid w:val="00EA51B2"/>
    <w:rsid w:val="00EC13FD"/>
    <w:rsid w:val="00EC4DAD"/>
    <w:rsid w:val="00EF39FF"/>
    <w:rsid w:val="00F03AA9"/>
    <w:rsid w:val="00F04BFA"/>
    <w:rsid w:val="00F128F9"/>
    <w:rsid w:val="00F241D7"/>
    <w:rsid w:val="00F25C4C"/>
    <w:rsid w:val="00F40CAE"/>
    <w:rsid w:val="00F44055"/>
    <w:rsid w:val="00F45D0C"/>
    <w:rsid w:val="00F51EBC"/>
    <w:rsid w:val="00F9340A"/>
    <w:rsid w:val="00F963C8"/>
    <w:rsid w:val="00FA0DD1"/>
    <w:rsid w:val="00FB1088"/>
    <w:rsid w:val="00FB4E3B"/>
    <w:rsid w:val="00FB760F"/>
    <w:rsid w:val="00FD030B"/>
    <w:rsid w:val="00FE6624"/>
    <w:rsid w:val="00FF03F9"/>
    <w:rsid w:val="00FF5F04"/>
    <w:rsid w:val="00FF602F"/>
    <w:rsid w:val="0759528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toc 3"/>
    <w:basedOn w:val="1"/>
    <w:next w:val="1"/>
    <w:autoRedefine/>
    <w:unhideWhenUsed/>
    <w:qFormat/>
    <w:uiPriority w:val="39"/>
    <w:pPr>
      <w:ind w:left="840" w:leftChars="400"/>
    </w:p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9628"/>
      </w:tabs>
    </w:pPr>
    <w:rPr>
      <w:rFonts w:ascii="Times New Roman" w:hAnsi="Times New Roman" w:cs="Times New Roman"/>
      <w:b/>
      <w:sz w:val="24"/>
      <w:szCs w:val="24"/>
    </w:rPr>
  </w:style>
  <w:style w:type="paragraph" w:styleId="8">
    <w:name w:val="footnote text"/>
    <w:basedOn w:val="1"/>
    <w:link w:val="33"/>
    <w:semiHidden/>
    <w:unhideWhenUsed/>
    <w:qFormat/>
    <w:uiPriority w:val="99"/>
    <w:pPr>
      <w:snapToGrid w:val="0"/>
      <w:jc w:val="left"/>
    </w:pPr>
    <w:rPr>
      <w:sz w:val="18"/>
      <w:szCs w:val="18"/>
    </w:rPr>
  </w:style>
  <w:style w:type="paragraph" w:styleId="9">
    <w:name w:val="toc 2"/>
    <w:basedOn w:val="1"/>
    <w:next w:val="1"/>
    <w:autoRedefine/>
    <w:unhideWhenUsed/>
    <w:qFormat/>
    <w:uiPriority w:val="39"/>
    <w:pPr>
      <w:ind w:left="420" w:leftChars="200"/>
    </w:pPr>
  </w:style>
  <w:style w:type="paragraph" w:styleId="10">
    <w:name w:val="annotation subject"/>
    <w:basedOn w:val="2"/>
    <w:next w:val="2"/>
    <w:link w:val="36"/>
    <w:semiHidden/>
    <w:unhideWhenUsed/>
    <w:qFormat/>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line number"/>
    <w:unhideWhenUsed/>
    <w:qFormat/>
    <w:uiPriority w:val="99"/>
    <w:rPr>
      <w:rFonts w:ascii="Times New Roman" w:hAnsi="Times New Roman" w:cs="Times New Roman"/>
    </w:rPr>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字符"/>
    <w:basedOn w:val="13"/>
    <w:link w:val="6"/>
    <w:qFormat/>
    <w:uiPriority w:val="99"/>
    <w:rPr>
      <w:sz w:val="18"/>
      <w:szCs w:val="18"/>
    </w:rPr>
  </w:style>
  <w:style w:type="character" w:customStyle="1" w:styleId="19">
    <w:name w:val="页脚 字符"/>
    <w:basedOn w:val="13"/>
    <w:link w:val="5"/>
    <w:qFormat/>
    <w:uiPriority w:val="99"/>
    <w:rPr>
      <w:sz w:val="18"/>
      <w:szCs w:val="18"/>
    </w:rPr>
  </w:style>
  <w:style w:type="character" w:customStyle="1" w:styleId="20">
    <w:name w:val="批注框文本 字符"/>
    <w:basedOn w:val="13"/>
    <w:link w:val="4"/>
    <w:semiHidden/>
    <w:qFormat/>
    <w:uiPriority w:val="99"/>
    <w:rPr>
      <w:sz w:val="18"/>
      <w:szCs w:val="18"/>
    </w:rPr>
  </w:style>
  <w:style w:type="character" w:customStyle="1" w:styleId="21">
    <w:name w:val="其他_"/>
    <w:basedOn w:val="13"/>
    <w:link w:val="22"/>
    <w:qFormat/>
    <w:uiPriority w:val="0"/>
    <w:rPr>
      <w:rFonts w:ascii="Arial" w:hAnsi="Arial" w:eastAsia="Arial" w:cs="Arial"/>
      <w:sz w:val="14"/>
      <w:szCs w:val="14"/>
      <w:shd w:val="clear" w:color="auto" w:fill="FFFFFF"/>
    </w:rPr>
  </w:style>
  <w:style w:type="paragraph" w:customStyle="1" w:styleId="22">
    <w:name w:val="其他"/>
    <w:basedOn w:val="1"/>
    <w:link w:val="21"/>
    <w:qFormat/>
    <w:uiPriority w:val="0"/>
    <w:pPr>
      <w:shd w:val="clear" w:color="auto" w:fill="FFFFFF"/>
      <w:jc w:val="left"/>
    </w:pPr>
    <w:rPr>
      <w:rFonts w:ascii="Arial" w:hAnsi="Arial" w:eastAsia="Arial" w:cs="Arial"/>
      <w:sz w:val="14"/>
      <w:szCs w:val="14"/>
    </w:rPr>
  </w:style>
  <w:style w:type="character" w:customStyle="1" w:styleId="23">
    <w:name w:val="标题 #1_"/>
    <w:basedOn w:val="13"/>
    <w:link w:val="24"/>
    <w:qFormat/>
    <w:uiPriority w:val="0"/>
    <w:rPr>
      <w:rFonts w:ascii="Arial" w:hAnsi="Arial" w:eastAsia="Arial" w:cs="Arial"/>
      <w:w w:val="60"/>
      <w:sz w:val="78"/>
      <w:szCs w:val="78"/>
      <w:shd w:val="clear" w:color="auto" w:fill="FFFFFF"/>
    </w:rPr>
  </w:style>
  <w:style w:type="paragraph" w:customStyle="1" w:styleId="24">
    <w:name w:val="标题 #1"/>
    <w:basedOn w:val="1"/>
    <w:link w:val="23"/>
    <w:qFormat/>
    <w:uiPriority w:val="0"/>
    <w:pPr>
      <w:shd w:val="clear" w:color="auto" w:fill="FFFFFF"/>
      <w:jc w:val="right"/>
      <w:outlineLvl w:val="0"/>
    </w:pPr>
    <w:rPr>
      <w:rFonts w:ascii="Arial" w:hAnsi="Arial" w:eastAsia="Arial" w:cs="Arial"/>
      <w:w w:val="60"/>
      <w:sz w:val="78"/>
      <w:szCs w:val="78"/>
    </w:rPr>
  </w:style>
  <w:style w:type="character" w:customStyle="1" w:styleId="25">
    <w:name w:val="标题 #3_"/>
    <w:basedOn w:val="13"/>
    <w:link w:val="26"/>
    <w:qFormat/>
    <w:uiPriority w:val="0"/>
    <w:rPr>
      <w:rFonts w:ascii="Arial" w:hAnsi="Arial" w:eastAsia="Arial" w:cs="Arial"/>
      <w:b/>
      <w:bCs/>
      <w:sz w:val="40"/>
      <w:szCs w:val="40"/>
      <w:shd w:val="clear" w:color="auto" w:fill="FFFFFF"/>
    </w:rPr>
  </w:style>
  <w:style w:type="paragraph" w:customStyle="1" w:styleId="26">
    <w:name w:val="标题 #3"/>
    <w:basedOn w:val="1"/>
    <w:link w:val="25"/>
    <w:qFormat/>
    <w:uiPriority w:val="0"/>
    <w:pPr>
      <w:shd w:val="clear" w:color="auto" w:fill="FFFFFF"/>
      <w:jc w:val="left"/>
      <w:outlineLvl w:val="2"/>
    </w:pPr>
    <w:rPr>
      <w:rFonts w:ascii="Arial" w:hAnsi="Arial" w:eastAsia="Arial" w:cs="Arial"/>
      <w:b/>
      <w:bCs/>
      <w:sz w:val="40"/>
      <w:szCs w:val="40"/>
    </w:rPr>
  </w:style>
  <w:style w:type="paragraph" w:styleId="27">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character" w:customStyle="1" w:styleId="28">
    <w:name w:val="表格标题_"/>
    <w:basedOn w:val="13"/>
    <w:link w:val="29"/>
    <w:qFormat/>
    <w:uiPriority w:val="0"/>
    <w:rPr>
      <w:rFonts w:ascii="Arial" w:hAnsi="Arial" w:eastAsia="Arial" w:cs="Arial"/>
      <w:sz w:val="14"/>
      <w:szCs w:val="14"/>
      <w:shd w:val="clear" w:color="auto" w:fill="FFFFFF"/>
    </w:rPr>
  </w:style>
  <w:style w:type="paragraph" w:customStyle="1" w:styleId="29">
    <w:name w:val="表格标题"/>
    <w:basedOn w:val="1"/>
    <w:link w:val="28"/>
    <w:qFormat/>
    <w:uiPriority w:val="0"/>
    <w:pPr>
      <w:shd w:val="clear" w:color="auto" w:fill="FFFFFF"/>
      <w:jc w:val="left"/>
    </w:pPr>
    <w:rPr>
      <w:rFonts w:ascii="Arial" w:hAnsi="Arial" w:eastAsia="Arial" w:cs="Arial"/>
      <w:sz w:val="14"/>
      <w:szCs w:val="14"/>
    </w:rPr>
  </w:style>
  <w:style w:type="character" w:customStyle="1" w:styleId="30">
    <w:name w:val="正文文本 (6)_"/>
    <w:basedOn w:val="13"/>
    <w:link w:val="31"/>
    <w:qFormat/>
    <w:uiPriority w:val="0"/>
    <w:rPr>
      <w:rFonts w:ascii="Calibri" w:hAnsi="Calibri" w:eastAsia="Calibri" w:cs="Calibri"/>
      <w:sz w:val="32"/>
      <w:szCs w:val="32"/>
      <w:shd w:val="clear" w:color="auto" w:fill="FFFFFF"/>
    </w:rPr>
  </w:style>
  <w:style w:type="paragraph" w:customStyle="1" w:styleId="31">
    <w:name w:val="正文文本 (6)"/>
    <w:basedOn w:val="1"/>
    <w:link w:val="30"/>
    <w:qFormat/>
    <w:uiPriority w:val="0"/>
    <w:pPr>
      <w:shd w:val="clear" w:color="auto" w:fill="FFFFFF"/>
      <w:spacing w:after="20"/>
      <w:jc w:val="left"/>
    </w:pPr>
    <w:rPr>
      <w:rFonts w:ascii="Calibri" w:hAnsi="Calibri" w:eastAsia="Calibri" w:cs="Calibri"/>
      <w:sz w:val="32"/>
      <w:szCs w:val="32"/>
    </w:rPr>
  </w:style>
  <w:style w:type="table" w:customStyle="1" w:styleId="32">
    <w:name w:val="网格型1"/>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3">
    <w:name w:val="脚注文本 字符"/>
    <w:basedOn w:val="13"/>
    <w:link w:val="8"/>
    <w:semiHidden/>
    <w:qFormat/>
    <w:uiPriority w:val="99"/>
    <w:rPr>
      <w:sz w:val="18"/>
      <w:szCs w:val="18"/>
    </w:rPr>
  </w:style>
  <w:style w:type="paragraph" w:customStyle="1" w:styleId="34">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35">
    <w:name w:val="批注文字 字符"/>
    <w:basedOn w:val="13"/>
    <w:link w:val="2"/>
    <w:semiHidden/>
    <w:qFormat/>
    <w:uiPriority w:val="99"/>
  </w:style>
  <w:style w:type="character" w:customStyle="1" w:styleId="36">
    <w:name w:val="批注主题 字符"/>
    <w:basedOn w:val="35"/>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2062"/>
    <customShpInfo spid="_x0000_s2066"/>
    <customShpInfo spid="_x0000_s2065"/>
    <customShpInfo spid="_x0000_s2064"/>
    <customShpInfo spid="_x0000_s2063"/>
    <customShpInfo spid="_x0000_s2052"/>
    <customShpInfo spid="_x0000_s2053"/>
    <customShpInfo spid="_x0000_s2061"/>
    <customShpInfo spid="_x0000_s2060"/>
    <customShpInfo spid="_x0000_s2059"/>
    <customShpInfo spid="_x0000_s2056"/>
    <customShpInfo spid="_x0000_s2055"/>
    <customShpInfo spid="_x0000_s2051"/>
    <customShpInfo spid="_x0000_s2050"/>
    <customShpInfo spid="_x0000_s2054"/>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A83A5-DDC3-4756-AFB5-5825B8A86E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7778</Words>
  <Characters>9243</Characters>
  <Lines>81</Lines>
  <Paragraphs>22</Paragraphs>
  <TotalTime>15</TotalTime>
  <ScaleCrop>false</ScaleCrop>
  <LinksUpToDate>false</LinksUpToDate>
  <CharactersWithSpaces>9439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2025-08-14T06:17:09Z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0F2EED1E07324193BB3B66EDDFA005ED_12</vt:lpwstr>
  </property>
</Properties>
</file>