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77BF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4B3EB514">
            <w:pPr>
              <w:numPr>
                <w:ilvl w:val="0"/>
                <w:numId w:val="1"/>
              </w:numPr>
            </w:pPr>
            <w:bookmarkStart w:id="0" w:name="_GoBack"/>
            <w:bookmarkEnd w:id="0"/>
          </w:p>
        </w:tc>
        <w:tc>
          <w:tcPr>
            <w:tcW w:w="1080" w:type="dxa"/>
          </w:tcPr>
          <w:p w14:paraId="3FB59ED3">
            <w:r>
              <w:rPr>
                <w:rFonts w:hint="eastAsia"/>
              </w:rPr>
              <w:t>ME设备或ME系统的应用条件</w:t>
            </w:r>
          </w:p>
        </w:tc>
        <w:tc>
          <w:tcPr>
            <w:tcW w:w="720" w:type="dxa"/>
          </w:tcPr>
          <w:p w14:paraId="359AE755">
            <w:pPr>
              <w:spacing w:line="320" w:lineRule="exact"/>
              <w:ind w:left="-84" w:leftChars="-40" w:right="-105" w:rightChars="-50"/>
            </w:pPr>
            <w:r>
              <w:rPr>
                <w:rFonts w:hint="eastAsia"/>
              </w:rPr>
              <w:t>201.4.1</w:t>
            </w:r>
          </w:p>
        </w:tc>
        <w:tc>
          <w:tcPr>
            <w:tcW w:w="4500" w:type="dxa"/>
          </w:tcPr>
          <w:p w14:paraId="12A98A30">
            <w:pPr>
              <w:snapToGrid w:val="0"/>
              <w:spacing w:line="240" w:lineRule="atLeast"/>
            </w:pPr>
            <w:r>
              <w:rPr>
                <w:rFonts w:hint="eastAsia"/>
              </w:rPr>
              <w:t>增补：</w:t>
            </w:r>
          </w:p>
          <w:p w14:paraId="0D2712E8">
            <w:pPr>
              <w:spacing w:line="340" w:lineRule="exact"/>
            </w:pPr>
            <w:r>
              <w:rPr>
                <w:rFonts w:hint="eastAsia"/>
              </w:rPr>
              <w:t>对于结合了可替换热源的婴儿培养箱，例如婴儿培养箱具有辐射加热器、通过毯子、衬垫或床垫供热的加热设备等，应符合这些可替换热源的安全专用要求（如有）。本文件的安全要求不应因这些由制造商规定的附加热源所改变，其细节在使用说明书中提供。</w:t>
            </w:r>
          </w:p>
        </w:tc>
        <w:tc>
          <w:tcPr>
            <w:tcW w:w="1080" w:type="dxa"/>
            <w:vAlign w:val="center"/>
          </w:tcPr>
          <w:p w14:paraId="2F0CFBFD">
            <w:pPr>
              <w:jc w:val="center"/>
            </w:pPr>
          </w:p>
        </w:tc>
        <w:tc>
          <w:tcPr>
            <w:tcW w:w="1080" w:type="dxa"/>
            <w:vAlign w:val="center"/>
          </w:tcPr>
          <w:p w14:paraId="202BEB1C">
            <w:pPr>
              <w:jc w:val="center"/>
            </w:pPr>
          </w:p>
        </w:tc>
        <w:tc>
          <w:tcPr>
            <w:tcW w:w="876" w:type="dxa"/>
            <w:vMerge w:val="restart"/>
            <w:vAlign w:val="center"/>
          </w:tcPr>
          <w:p w14:paraId="4FE74E9D">
            <w:pPr>
              <w:jc w:val="center"/>
            </w:pPr>
          </w:p>
        </w:tc>
      </w:tr>
      <w:tr w14:paraId="4238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3" w:hRule="atLeast"/>
          <w:jc w:val="center"/>
        </w:trPr>
        <w:tc>
          <w:tcPr>
            <w:tcW w:w="540" w:type="dxa"/>
          </w:tcPr>
          <w:p w14:paraId="108704AC">
            <w:pPr>
              <w:numPr>
                <w:ilvl w:val="0"/>
                <w:numId w:val="1"/>
              </w:numPr>
            </w:pPr>
          </w:p>
        </w:tc>
        <w:tc>
          <w:tcPr>
            <w:tcW w:w="1080" w:type="dxa"/>
          </w:tcPr>
          <w:p w14:paraId="26CAEDF6">
            <w:pPr>
              <w:snapToGrid w:val="0"/>
              <w:spacing w:line="240" w:lineRule="atLeast"/>
            </w:pPr>
            <w:r>
              <w:rPr>
                <w:rFonts w:hint="eastAsia"/>
              </w:rPr>
              <w:t>基本性能</w:t>
            </w:r>
          </w:p>
          <w:p w14:paraId="5217C80A"/>
        </w:tc>
        <w:tc>
          <w:tcPr>
            <w:tcW w:w="720" w:type="dxa"/>
          </w:tcPr>
          <w:p w14:paraId="75620105">
            <w:pPr>
              <w:spacing w:line="320" w:lineRule="exact"/>
              <w:ind w:left="-84" w:leftChars="-40" w:right="-105" w:rightChars="-50"/>
            </w:pPr>
            <w:r>
              <w:rPr>
                <w:rFonts w:hint="eastAsia"/>
              </w:rPr>
              <w:t>201.4.3</w:t>
            </w:r>
          </w:p>
        </w:tc>
        <w:tc>
          <w:tcPr>
            <w:tcW w:w="4500" w:type="dxa"/>
          </w:tcPr>
          <w:p w14:paraId="4BCE1168">
            <w:pPr>
              <w:snapToGrid w:val="0"/>
              <w:spacing w:line="240" w:lineRule="atLeast"/>
            </w:pPr>
            <w:r>
              <w:rPr>
                <w:rFonts w:hint="eastAsia"/>
              </w:rPr>
              <w:t>增补：</w:t>
            </w:r>
          </w:p>
          <w:p w14:paraId="3B7E8E89">
            <w:pPr>
              <w:snapToGrid w:val="0"/>
              <w:spacing w:line="240" w:lineRule="atLeast"/>
            </w:pPr>
            <w:r>
              <w:rPr>
                <w:rFonts w:hint="eastAsia"/>
              </w:rPr>
              <w:t>201.4.3.101</w:t>
            </w:r>
            <w:r>
              <w:rPr>
                <w:rFonts w:hint="eastAsia"/>
              </w:rPr>
              <w:tab/>
            </w:r>
            <w:r>
              <w:rPr>
                <w:rFonts w:hint="eastAsia"/>
              </w:rPr>
              <w:t>婴儿培养箱的基本性能</w:t>
            </w:r>
          </w:p>
          <w:p w14:paraId="012EE9C0">
            <w:pPr>
              <w:snapToGrid w:val="0"/>
              <w:spacing w:line="240" w:lineRule="atLeast"/>
            </w:pPr>
            <w:r>
              <w:rPr>
                <w:rFonts w:hint="eastAsia"/>
              </w:rPr>
              <w:t>基本性能要求见表201.101。</w:t>
            </w:r>
          </w:p>
          <w:p w14:paraId="7FCA2544">
            <w:pPr>
              <w:snapToGrid w:val="0"/>
              <w:spacing w:line="240" w:lineRule="atLeast"/>
            </w:pPr>
            <w:r>
              <w:rPr>
                <w:rFonts w:hint="eastAsia"/>
              </w:rPr>
              <w:t>表201.101 增加的基本性能要求</w:t>
            </w:r>
          </w:p>
          <w:tbl>
            <w:tblPr>
              <w:tblStyle w:val="4"/>
              <w:tblW w:w="4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874"/>
            </w:tblGrid>
            <w:tr w14:paraId="164B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46" w:type="dxa"/>
                </w:tcPr>
                <w:p w14:paraId="09049C97">
                  <w:pPr>
                    <w:pStyle w:val="7"/>
                    <w:ind w:firstLine="0" w:firstLineChars="0"/>
                    <w:jc w:val="center"/>
                    <w:rPr>
                      <w:szCs w:val="18"/>
                    </w:rPr>
                  </w:pPr>
                  <w:r>
                    <w:rPr>
                      <w:rFonts w:hint="eastAsia"/>
                      <w:szCs w:val="18"/>
                    </w:rPr>
                    <w:t>要求</w:t>
                  </w:r>
                </w:p>
              </w:tc>
              <w:tc>
                <w:tcPr>
                  <w:tcW w:w="2874" w:type="dxa"/>
                </w:tcPr>
                <w:p w14:paraId="10F807AD">
                  <w:pPr>
                    <w:pStyle w:val="7"/>
                    <w:tabs>
                      <w:tab w:val="left" w:pos="1515"/>
                    </w:tabs>
                    <w:ind w:firstLine="0" w:firstLineChars="0"/>
                    <w:jc w:val="center"/>
                    <w:rPr>
                      <w:szCs w:val="18"/>
                    </w:rPr>
                  </w:pPr>
                  <w:r>
                    <w:rPr>
                      <w:rFonts w:hint="eastAsia"/>
                      <w:szCs w:val="18"/>
                    </w:rPr>
                    <w:t>条 款</w:t>
                  </w:r>
                </w:p>
              </w:tc>
            </w:tr>
            <w:tr w14:paraId="79A1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6" w:type="dxa"/>
                </w:tcPr>
                <w:p w14:paraId="602B19E5">
                  <w:pPr>
                    <w:pStyle w:val="7"/>
                    <w:ind w:firstLine="0" w:firstLineChars="0"/>
                    <w:jc w:val="center"/>
                    <w:rPr>
                      <w:rFonts w:ascii="Times New Roman"/>
                      <w:szCs w:val="18"/>
                    </w:rPr>
                  </w:pPr>
                  <w:r>
                    <w:rPr>
                      <w:rFonts w:ascii="Times New Roman"/>
                    </w:rPr>
                    <w:t>基本性能</w:t>
                  </w:r>
                  <w:r>
                    <w:rPr>
                      <w:rFonts w:ascii="Times New Roman"/>
                      <w:szCs w:val="18"/>
                    </w:rPr>
                    <w:t>要求1</w:t>
                  </w:r>
                </w:p>
              </w:tc>
              <w:tc>
                <w:tcPr>
                  <w:tcW w:w="2874" w:type="dxa"/>
                </w:tcPr>
                <w:p w14:paraId="708D5921">
                  <w:pPr>
                    <w:pStyle w:val="7"/>
                    <w:ind w:firstLine="0" w:firstLineChars="0"/>
                    <w:jc w:val="center"/>
                    <w:rPr>
                      <w:rFonts w:ascii="Times New Roman"/>
                      <w:szCs w:val="18"/>
                    </w:rPr>
                  </w:pPr>
                  <w:r>
                    <w:rPr>
                      <w:rFonts w:ascii="Times New Roman"/>
                      <w:szCs w:val="18"/>
                    </w:rPr>
                    <w:t>201.12.1.104或按照201.15.4.2.1ee)产生声光报警</w:t>
                  </w:r>
                </w:p>
              </w:tc>
            </w:tr>
            <w:tr w14:paraId="382B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6" w:type="dxa"/>
                </w:tcPr>
                <w:p w14:paraId="391E4C9A">
                  <w:pPr>
                    <w:pStyle w:val="7"/>
                    <w:ind w:firstLine="0" w:firstLineChars="0"/>
                    <w:jc w:val="center"/>
                    <w:rPr>
                      <w:rFonts w:ascii="Times New Roman"/>
                      <w:szCs w:val="18"/>
                    </w:rPr>
                  </w:pPr>
                  <w:r>
                    <w:rPr>
                      <w:rFonts w:ascii="Times New Roman"/>
                    </w:rPr>
                    <w:t>基本性能</w:t>
                  </w:r>
                  <w:r>
                    <w:rPr>
                      <w:rFonts w:ascii="Times New Roman"/>
                      <w:szCs w:val="18"/>
                    </w:rPr>
                    <w:t>要求2</w:t>
                  </w:r>
                </w:p>
              </w:tc>
              <w:tc>
                <w:tcPr>
                  <w:tcW w:w="2874" w:type="dxa"/>
                </w:tcPr>
                <w:p w14:paraId="5A6D8FA1">
                  <w:pPr>
                    <w:pStyle w:val="7"/>
                    <w:ind w:firstLine="0" w:firstLineChars="0"/>
                    <w:jc w:val="center"/>
                    <w:rPr>
                      <w:rFonts w:ascii="Times New Roman"/>
                      <w:szCs w:val="18"/>
                    </w:rPr>
                  </w:pPr>
                  <w:r>
                    <w:rPr>
                      <w:rFonts w:ascii="Times New Roman"/>
                      <w:szCs w:val="18"/>
                    </w:rPr>
                    <w:t>201.12.1.106或按照201.15.4.2.1dd)产生声光报警</w:t>
                  </w:r>
                </w:p>
              </w:tc>
            </w:tr>
          </w:tbl>
          <w:p w14:paraId="07FA642A">
            <w:pPr>
              <w:spacing w:line="340" w:lineRule="exact"/>
            </w:pPr>
          </w:p>
        </w:tc>
        <w:tc>
          <w:tcPr>
            <w:tcW w:w="1080" w:type="dxa"/>
            <w:vAlign w:val="center"/>
          </w:tcPr>
          <w:p w14:paraId="2BE16458">
            <w:pPr>
              <w:jc w:val="center"/>
            </w:pPr>
          </w:p>
        </w:tc>
        <w:tc>
          <w:tcPr>
            <w:tcW w:w="1080" w:type="dxa"/>
            <w:vAlign w:val="center"/>
          </w:tcPr>
          <w:p w14:paraId="00D34995">
            <w:pPr>
              <w:jc w:val="center"/>
            </w:pPr>
          </w:p>
        </w:tc>
        <w:tc>
          <w:tcPr>
            <w:tcW w:w="876" w:type="dxa"/>
            <w:vMerge w:val="continue"/>
            <w:vAlign w:val="center"/>
          </w:tcPr>
          <w:p w14:paraId="44BA82CA"/>
        </w:tc>
      </w:tr>
      <w:tr w14:paraId="4102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540" w:type="dxa"/>
            <w:vMerge w:val="restart"/>
          </w:tcPr>
          <w:p w14:paraId="06B83D5D">
            <w:pPr>
              <w:numPr>
                <w:ilvl w:val="0"/>
                <w:numId w:val="1"/>
              </w:numPr>
            </w:pPr>
          </w:p>
        </w:tc>
        <w:tc>
          <w:tcPr>
            <w:tcW w:w="1080" w:type="dxa"/>
            <w:vMerge w:val="restart"/>
          </w:tcPr>
          <w:p w14:paraId="6516D447">
            <w:pPr>
              <w:snapToGrid w:val="0"/>
              <w:spacing w:line="240" w:lineRule="atLeast"/>
            </w:pPr>
            <w:r>
              <w:rPr>
                <w:rFonts w:hint="eastAsia"/>
              </w:rPr>
              <w:t>M</w:t>
            </w:r>
            <w:r>
              <w:t>E</w:t>
            </w:r>
            <w:r>
              <w:rPr>
                <w:rFonts w:hint="eastAsia"/>
              </w:rPr>
              <w:t>设备试验的通用要求</w:t>
            </w:r>
          </w:p>
        </w:tc>
        <w:tc>
          <w:tcPr>
            <w:tcW w:w="720" w:type="dxa"/>
            <w:vMerge w:val="restart"/>
          </w:tcPr>
          <w:p w14:paraId="37DA8A2D">
            <w:pPr>
              <w:spacing w:line="320" w:lineRule="exact"/>
              <w:ind w:left="-84" w:leftChars="-40" w:right="-105" w:rightChars="-50"/>
              <w:jc w:val="center"/>
            </w:pPr>
            <w:r>
              <w:rPr>
                <w:rFonts w:hint="eastAsia"/>
              </w:rPr>
              <w:t>2</w:t>
            </w:r>
            <w:r>
              <w:t>01.5</w:t>
            </w:r>
          </w:p>
        </w:tc>
        <w:tc>
          <w:tcPr>
            <w:tcW w:w="4500" w:type="dxa"/>
          </w:tcPr>
          <w:p w14:paraId="55F3A6C7">
            <w:pPr>
              <w:snapToGrid w:val="0"/>
              <w:spacing w:line="240" w:lineRule="atLeast"/>
            </w:pPr>
            <w:r>
              <w:rPr>
                <w:rFonts w:hint="eastAsia"/>
              </w:rPr>
              <w:t>2</w:t>
            </w:r>
            <w:r>
              <w:t>01.5.</w:t>
            </w:r>
            <w:r>
              <w:rPr>
                <w:rFonts w:hint="eastAsia"/>
              </w:rPr>
              <w:t>3环境温度、湿度、大气压</w:t>
            </w:r>
          </w:p>
          <w:p w14:paraId="7F52169A">
            <w:pPr>
              <w:snapToGrid w:val="0"/>
              <w:spacing w:line="240" w:lineRule="atLeast"/>
            </w:pPr>
            <w:r>
              <w:rPr>
                <w:rFonts w:hint="eastAsia"/>
              </w:rPr>
              <w:t>替换：</w:t>
            </w:r>
          </w:p>
          <w:p w14:paraId="0B3A0AE2">
            <w:pPr>
              <w:snapToGrid w:val="0"/>
              <w:spacing w:line="240" w:lineRule="atLeast"/>
            </w:pPr>
            <w:r>
              <w:rPr>
                <w:rFonts w:hint="eastAsia"/>
              </w:rPr>
              <w:t>a）当被测M</w:t>
            </w:r>
            <w:r>
              <w:t>E</w:t>
            </w:r>
            <w:r>
              <w:rPr>
                <w:rFonts w:hint="eastAsia"/>
              </w:rPr>
              <w:t>设备按照正常使用准备好之后（根据通用标准5</w:t>
            </w:r>
            <w:r>
              <w:t>.7</w:t>
            </w:r>
            <w:r>
              <w:rPr>
                <w:rFonts w:hint="eastAsia"/>
              </w:rPr>
              <w:t>），该M</w:t>
            </w:r>
            <w:r>
              <w:t>E</w:t>
            </w:r>
            <w:r>
              <w:rPr>
                <w:rFonts w:hint="eastAsia"/>
              </w:rPr>
              <w:t>设备在以下条件下运行时应符合本文件的要求：</w:t>
            </w:r>
          </w:p>
          <w:p w14:paraId="4CC03A2C">
            <w:pPr>
              <w:snapToGrid w:val="0"/>
              <w:spacing w:line="240" w:lineRule="atLeast"/>
            </w:pPr>
            <w:r>
              <w:t>——</w:t>
            </w:r>
            <w:r>
              <w:rPr>
                <w:rFonts w:hint="eastAsia"/>
              </w:rPr>
              <w:t>环境温度在+</w:t>
            </w:r>
            <w:r>
              <w:t>20</w:t>
            </w:r>
            <w:r>
              <w:rPr>
                <w:rFonts w:hint="eastAsia"/>
              </w:rPr>
              <w:t>℃~</w:t>
            </w:r>
            <w:r>
              <w:t>+30</w:t>
            </w:r>
            <w:r>
              <w:rPr>
                <w:rFonts w:hint="eastAsia"/>
              </w:rPr>
              <w:t>℃；</w:t>
            </w:r>
          </w:p>
          <w:p w14:paraId="05847B10">
            <w:pPr>
              <w:snapToGrid w:val="0"/>
              <w:spacing w:line="240" w:lineRule="atLeast"/>
            </w:pPr>
            <w:r>
              <w:t>——</w:t>
            </w:r>
            <w:r>
              <w:rPr>
                <w:rFonts w:hint="eastAsia"/>
              </w:rPr>
              <w:t>环境空气流速低于0</w:t>
            </w:r>
            <w:r>
              <w:t>.3</w:t>
            </w:r>
            <w:r>
              <w:rPr>
                <w:rFonts w:hint="eastAsia"/>
              </w:rPr>
              <w:t>m</w:t>
            </w:r>
            <w:r>
              <w:t>/s</w:t>
            </w:r>
            <w:r>
              <w:rPr>
                <w:rFonts w:hint="eastAsia"/>
              </w:rPr>
              <w:t>。</w:t>
            </w:r>
          </w:p>
          <w:p w14:paraId="4671B675">
            <w:pPr>
              <w:snapToGrid w:val="0"/>
              <w:spacing w:line="240" w:lineRule="atLeast"/>
            </w:pPr>
            <w:r>
              <w:rPr>
                <w:rFonts w:hint="eastAsia"/>
              </w:rPr>
              <w:t>增补：</w:t>
            </w:r>
          </w:p>
          <w:p w14:paraId="13716F56">
            <w:pPr>
              <w:snapToGrid w:val="0"/>
              <w:spacing w:line="240" w:lineRule="atLeast"/>
            </w:pPr>
            <w:r>
              <w:rPr>
                <w:rFonts w:hint="eastAsia"/>
              </w:rPr>
              <w:t>如果本文件中未另行规定，所有试验应在环境温度为2</w:t>
            </w:r>
            <w:r>
              <w:t>1</w:t>
            </w:r>
            <w:r>
              <w:rPr>
                <w:rFonts w:hint="eastAsia"/>
              </w:rPr>
              <w:t>℃</w:t>
            </w:r>
            <w:r>
              <w:t>~26</w:t>
            </w:r>
            <w:r>
              <w:rPr>
                <w:rFonts w:hint="eastAsia"/>
              </w:rPr>
              <w:t>℃下进行。</w:t>
            </w:r>
          </w:p>
        </w:tc>
        <w:tc>
          <w:tcPr>
            <w:tcW w:w="1080" w:type="dxa"/>
            <w:vAlign w:val="center"/>
          </w:tcPr>
          <w:p w14:paraId="01C8FF00">
            <w:pPr>
              <w:jc w:val="center"/>
            </w:pPr>
          </w:p>
        </w:tc>
        <w:tc>
          <w:tcPr>
            <w:tcW w:w="1080" w:type="dxa"/>
            <w:vMerge w:val="restart"/>
            <w:vAlign w:val="center"/>
          </w:tcPr>
          <w:p w14:paraId="16EB64CA">
            <w:pPr>
              <w:jc w:val="center"/>
            </w:pPr>
          </w:p>
        </w:tc>
        <w:tc>
          <w:tcPr>
            <w:tcW w:w="876" w:type="dxa"/>
            <w:vMerge w:val="continue"/>
            <w:vAlign w:val="center"/>
          </w:tcPr>
          <w:p w14:paraId="5F865F4B"/>
        </w:tc>
      </w:tr>
      <w:tr w14:paraId="3C8C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540" w:type="dxa"/>
            <w:vMerge w:val="continue"/>
          </w:tcPr>
          <w:p w14:paraId="1C458B03"/>
        </w:tc>
        <w:tc>
          <w:tcPr>
            <w:tcW w:w="1080" w:type="dxa"/>
            <w:vMerge w:val="continue"/>
          </w:tcPr>
          <w:p w14:paraId="32F2AA36">
            <w:pPr>
              <w:snapToGrid w:val="0"/>
              <w:spacing w:line="240" w:lineRule="atLeast"/>
            </w:pPr>
          </w:p>
        </w:tc>
        <w:tc>
          <w:tcPr>
            <w:tcW w:w="720" w:type="dxa"/>
            <w:vMerge w:val="continue"/>
          </w:tcPr>
          <w:p w14:paraId="2278B555">
            <w:pPr>
              <w:spacing w:line="320" w:lineRule="exact"/>
              <w:ind w:left="-84" w:leftChars="-40" w:right="-105" w:rightChars="-50"/>
              <w:jc w:val="center"/>
            </w:pPr>
          </w:p>
        </w:tc>
        <w:tc>
          <w:tcPr>
            <w:tcW w:w="4500" w:type="dxa"/>
          </w:tcPr>
          <w:p w14:paraId="0BD13DF2">
            <w:pPr>
              <w:snapToGrid w:val="0"/>
              <w:spacing w:line="240" w:lineRule="atLeast"/>
            </w:pPr>
            <w:r>
              <w:rPr>
                <w:rFonts w:hint="eastAsia"/>
              </w:rPr>
              <w:t>2</w:t>
            </w:r>
            <w:r>
              <w:t xml:space="preserve">01.5.4 </w:t>
            </w:r>
            <w:r>
              <w:rPr>
                <w:rFonts w:hint="eastAsia"/>
              </w:rPr>
              <w:t>其他条件</w:t>
            </w:r>
          </w:p>
          <w:p w14:paraId="75422C00">
            <w:pPr>
              <w:snapToGrid w:val="0"/>
              <w:spacing w:line="240" w:lineRule="atLeast"/>
            </w:pPr>
            <w:r>
              <w:rPr>
                <w:rFonts w:hint="eastAsia"/>
              </w:rPr>
              <w:t>增补：</w:t>
            </w:r>
          </w:p>
          <w:p w14:paraId="069EF9F5">
            <w:pPr>
              <w:snapToGrid w:val="0"/>
              <w:spacing w:line="240" w:lineRule="atLeast"/>
            </w:pPr>
            <w:r>
              <w:rPr>
                <w:rFonts w:hint="eastAsia"/>
              </w:rPr>
              <w:t>如果本未另行规定，控制温度应为3</w:t>
            </w:r>
            <w:r>
              <w:t>6</w:t>
            </w:r>
            <w:r>
              <w:rPr>
                <w:rFonts w:hint="eastAsia"/>
              </w:rPr>
              <w:t>±</w:t>
            </w:r>
            <w:r>
              <w:t>1</w:t>
            </w:r>
            <w:r>
              <w:rPr>
                <w:rFonts w:hint="eastAsia"/>
              </w:rPr>
              <w:t>℃，并且应始终至少高出环境温度3℃。</w:t>
            </w:r>
          </w:p>
        </w:tc>
        <w:tc>
          <w:tcPr>
            <w:tcW w:w="1080" w:type="dxa"/>
            <w:vAlign w:val="center"/>
          </w:tcPr>
          <w:p w14:paraId="1BE7EC85">
            <w:pPr>
              <w:jc w:val="center"/>
            </w:pPr>
          </w:p>
        </w:tc>
        <w:tc>
          <w:tcPr>
            <w:tcW w:w="1080" w:type="dxa"/>
            <w:vMerge w:val="continue"/>
            <w:vAlign w:val="center"/>
          </w:tcPr>
          <w:p w14:paraId="2B696CDB">
            <w:pPr>
              <w:jc w:val="center"/>
            </w:pPr>
          </w:p>
        </w:tc>
        <w:tc>
          <w:tcPr>
            <w:tcW w:w="876" w:type="dxa"/>
            <w:vMerge w:val="continue"/>
            <w:vAlign w:val="center"/>
          </w:tcPr>
          <w:p w14:paraId="0681CC6D"/>
        </w:tc>
      </w:tr>
      <w:tr w14:paraId="645FF3B4">
        <w:tblPrEx>
          <w:tblCellMar>
            <w:top w:w="0" w:type="dxa"/>
            <w:left w:w="108" w:type="dxa"/>
            <w:bottom w:w="0" w:type="dxa"/>
            <w:right w:w="108" w:type="dxa"/>
          </w:tblCellMar>
        </w:tblPrEx>
        <w:trPr>
          <w:cantSplit/>
          <w:trHeight w:val="1638" w:hRule="atLeast"/>
          <w:jc w:val="center"/>
        </w:trPr>
        <w:tc>
          <w:tcPr>
            <w:tcW w:w="540" w:type="dxa"/>
            <w:vMerge w:val="restart"/>
          </w:tcPr>
          <w:p w14:paraId="69BEA152">
            <w:pPr>
              <w:numPr>
                <w:ilvl w:val="0"/>
                <w:numId w:val="1"/>
              </w:numPr>
            </w:pPr>
          </w:p>
        </w:tc>
        <w:tc>
          <w:tcPr>
            <w:tcW w:w="1080" w:type="dxa"/>
            <w:vMerge w:val="restart"/>
          </w:tcPr>
          <w:p w14:paraId="513FA798">
            <w:r>
              <w:rPr>
                <w:rFonts w:hint="eastAsia"/>
              </w:rPr>
              <w:t>ME设备或ME设备部件的外部标记（参见通用标准的表C.1）</w:t>
            </w:r>
          </w:p>
        </w:tc>
        <w:tc>
          <w:tcPr>
            <w:tcW w:w="720" w:type="dxa"/>
            <w:vMerge w:val="restart"/>
          </w:tcPr>
          <w:p w14:paraId="120D6623">
            <w:pPr>
              <w:spacing w:line="320" w:lineRule="exact"/>
              <w:ind w:left="-105" w:leftChars="-50" w:right="-105" w:rightChars="-50"/>
              <w:jc w:val="center"/>
            </w:pPr>
            <w:r>
              <w:rPr>
                <w:rFonts w:hint="eastAsia"/>
              </w:rPr>
              <w:t>201.7.2</w:t>
            </w:r>
          </w:p>
        </w:tc>
        <w:tc>
          <w:tcPr>
            <w:tcW w:w="4500" w:type="dxa"/>
          </w:tcPr>
          <w:p w14:paraId="2714001E">
            <w:pPr>
              <w:snapToGrid w:val="0"/>
              <w:spacing w:line="240" w:lineRule="atLeast"/>
            </w:pPr>
            <w:r>
              <w:rPr>
                <w:rFonts w:hint="eastAsia"/>
              </w:rPr>
              <w:t>增补：</w:t>
            </w:r>
          </w:p>
          <w:p w14:paraId="4555499A">
            <w:pPr>
              <w:snapToGrid w:val="0"/>
              <w:spacing w:line="240" w:lineRule="atLeast"/>
            </w:pPr>
            <w:r>
              <w:rPr>
                <w:rFonts w:hint="eastAsia"/>
              </w:rPr>
              <w:t>201.7.2.101</w:t>
            </w:r>
            <w:r>
              <w:rPr>
                <w:rFonts w:hint="eastAsia"/>
              </w:rPr>
              <w:tab/>
            </w:r>
            <w:r>
              <w:rPr>
                <w:rFonts w:hint="eastAsia"/>
              </w:rPr>
              <w:t>*氧监控</w:t>
            </w:r>
          </w:p>
          <w:p w14:paraId="73F57674">
            <w:pPr>
              <w:snapToGrid w:val="0"/>
              <w:spacing w:line="240" w:lineRule="atLeast"/>
            </w:pPr>
            <w:r>
              <w:rPr>
                <w:rFonts w:hint="eastAsia"/>
              </w:rPr>
              <w:t>只有氧气输入装置，但无氧监护仪的婴儿培养箱，应在显著位置标有“输氧气时使用氧监护仪”的文字说明。</w:t>
            </w:r>
          </w:p>
          <w:p w14:paraId="2ACE345B">
            <w:pPr>
              <w:spacing w:line="340" w:lineRule="exact"/>
            </w:pPr>
            <w:r>
              <w:rPr>
                <w:rFonts w:hint="eastAsia"/>
              </w:rPr>
              <w:t>注：见通用标准的7.5。</w:t>
            </w:r>
          </w:p>
        </w:tc>
        <w:tc>
          <w:tcPr>
            <w:tcW w:w="1080" w:type="dxa"/>
            <w:vAlign w:val="center"/>
          </w:tcPr>
          <w:p w14:paraId="43BB5668">
            <w:pPr>
              <w:jc w:val="center"/>
            </w:pPr>
          </w:p>
        </w:tc>
        <w:tc>
          <w:tcPr>
            <w:tcW w:w="1080" w:type="dxa"/>
            <w:vMerge w:val="restart"/>
            <w:vAlign w:val="center"/>
          </w:tcPr>
          <w:p w14:paraId="04EEBB56">
            <w:pPr>
              <w:jc w:val="center"/>
            </w:pPr>
          </w:p>
        </w:tc>
        <w:tc>
          <w:tcPr>
            <w:tcW w:w="876" w:type="dxa"/>
            <w:vMerge w:val="continue"/>
            <w:vAlign w:val="center"/>
          </w:tcPr>
          <w:p w14:paraId="559586C4"/>
        </w:tc>
      </w:tr>
      <w:tr w14:paraId="7A45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540" w:type="dxa"/>
            <w:vMerge w:val="continue"/>
          </w:tcPr>
          <w:p w14:paraId="50152CD0"/>
        </w:tc>
        <w:tc>
          <w:tcPr>
            <w:tcW w:w="1080" w:type="dxa"/>
            <w:vMerge w:val="continue"/>
          </w:tcPr>
          <w:p w14:paraId="5764FB08"/>
        </w:tc>
        <w:tc>
          <w:tcPr>
            <w:tcW w:w="720" w:type="dxa"/>
            <w:vMerge w:val="continue"/>
          </w:tcPr>
          <w:p w14:paraId="57FF4915">
            <w:pPr>
              <w:spacing w:line="320" w:lineRule="exact"/>
            </w:pPr>
          </w:p>
        </w:tc>
        <w:tc>
          <w:tcPr>
            <w:tcW w:w="4500" w:type="dxa"/>
          </w:tcPr>
          <w:p w14:paraId="77A38909">
            <w:pPr>
              <w:snapToGrid w:val="0"/>
              <w:spacing w:line="240" w:lineRule="atLeast"/>
            </w:pPr>
            <w:r>
              <w:rPr>
                <w:rFonts w:hint="eastAsia"/>
              </w:rPr>
              <w:t>201.7.2.102</w:t>
            </w:r>
            <w:r>
              <w:rPr>
                <w:rFonts w:hint="eastAsia"/>
              </w:rPr>
              <w:tab/>
            </w:r>
            <w:r>
              <w:rPr>
                <w:rFonts w:hint="eastAsia"/>
              </w:rPr>
              <w:t>加热器表面温度</w:t>
            </w:r>
          </w:p>
          <w:p w14:paraId="57CD1960">
            <w:pPr>
              <w:spacing w:line="340" w:lineRule="exact"/>
            </w:pPr>
            <w:r>
              <w:rPr>
                <w:rFonts w:hint="eastAsia"/>
              </w:rPr>
              <w:t>如果不使用工具就能触及加热器，应在加热器附近给出带有高表面温度的警告和标记（见通用标准的7.5）。</w:t>
            </w:r>
          </w:p>
        </w:tc>
        <w:tc>
          <w:tcPr>
            <w:tcW w:w="1080" w:type="dxa"/>
            <w:vAlign w:val="center"/>
          </w:tcPr>
          <w:p w14:paraId="7253627F">
            <w:pPr>
              <w:jc w:val="center"/>
            </w:pPr>
          </w:p>
        </w:tc>
        <w:tc>
          <w:tcPr>
            <w:tcW w:w="1080" w:type="dxa"/>
            <w:vMerge w:val="continue"/>
            <w:vAlign w:val="center"/>
          </w:tcPr>
          <w:p w14:paraId="03F68E30">
            <w:pPr>
              <w:jc w:val="center"/>
            </w:pPr>
          </w:p>
        </w:tc>
        <w:tc>
          <w:tcPr>
            <w:tcW w:w="876" w:type="dxa"/>
            <w:vMerge w:val="continue"/>
            <w:vAlign w:val="center"/>
          </w:tcPr>
          <w:p w14:paraId="24B97838"/>
        </w:tc>
      </w:tr>
    </w:tbl>
    <w:p w14:paraId="5FE3EC89">
      <w:pPr>
        <w:sectPr>
          <w:headerReference r:id="rId3" w:type="default"/>
          <w:pgSz w:w="11906" w:h="16838"/>
          <w:pgMar w:top="1440" w:right="1134" w:bottom="1440" w:left="900" w:header="851" w:footer="992" w:gutter="0"/>
          <w:cols w:space="425" w:num="1"/>
          <w:docGrid w:type="lines" w:linePitch="312" w:charSpace="0"/>
        </w:sectPr>
      </w:pPr>
    </w:p>
    <w:tbl>
      <w:tblPr>
        <w:tblStyle w:val="4"/>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7B64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40" w:type="dxa"/>
            <w:vMerge w:val="restart"/>
          </w:tcPr>
          <w:p w14:paraId="45F62AF2">
            <w:pPr>
              <w:numPr>
                <w:ilvl w:val="0"/>
                <w:numId w:val="1"/>
              </w:numPr>
            </w:pPr>
          </w:p>
        </w:tc>
        <w:tc>
          <w:tcPr>
            <w:tcW w:w="1080" w:type="dxa"/>
            <w:vMerge w:val="restart"/>
          </w:tcPr>
          <w:p w14:paraId="0FDA6454">
            <w:r>
              <w:rPr>
                <w:rFonts w:hint="eastAsia"/>
              </w:rPr>
              <w:t>控制器和仪表的标记（参见通用标准的表C.3）</w:t>
            </w:r>
          </w:p>
        </w:tc>
        <w:tc>
          <w:tcPr>
            <w:tcW w:w="720" w:type="dxa"/>
            <w:vMerge w:val="restart"/>
          </w:tcPr>
          <w:p w14:paraId="484798E5">
            <w:pPr>
              <w:spacing w:line="320" w:lineRule="exact"/>
              <w:ind w:left="-84" w:leftChars="-40" w:right="-105" w:rightChars="-50"/>
            </w:pPr>
            <w:r>
              <w:rPr>
                <w:rFonts w:hint="eastAsia"/>
              </w:rPr>
              <w:t>201.7.4</w:t>
            </w:r>
          </w:p>
        </w:tc>
        <w:tc>
          <w:tcPr>
            <w:tcW w:w="4500" w:type="dxa"/>
          </w:tcPr>
          <w:p w14:paraId="7DC173BC">
            <w:pPr>
              <w:adjustRightInd w:val="0"/>
              <w:snapToGrid w:val="0"/>
              <w:spacing w:line="240" w:lineRule="atLeast"/>
            </w:pPr>
            <w:r>
              <w:rPr>
                <w:rFonts w:hint="eastAsia"/>
              </w:rPr>
              <w:t>201.7.4.2</w:t>
            </w:r>
            <w:r>
              <w:rPr>
                <w:rFonts w:hint="eastAsia"/>
              </w:rPr>
              <w:tab/>
            </w:r>
            <w:r>
              <w:rPr>
                <w:rFonts w:hint="eastAsia"/>
              </w:rPr>
              <w:t>*控制装置</w:t>
            </w:r>
          </w:p>
          <w:p w14:paraId="0181FEBE">
            <w:pPr>
              <w:adjustRightInd w:val="0"/>
              <w:snapToGrid w:val="0"/>
              <w:spacing w:line="240" w:lineRule="atLeast"/>
            </w:pPr>
            <w:r>
              <w:rPr>
                <w:rFonts w:hint="eastAsia"/>
              </w:rPr>
              <w:t>增补：</w:t>
            </w:r>
          </w:p>
          <w:p w14:paraId="731673D8">
            <w:pPr>
              <w:adjustRightInd w:val="0"/>
              <w:snapToGrid w:val="0"/>
              <w:spacing w:line="240" w:lineRule="atLeast"/>
            </w:pPr>
            <w:r>
              <w:rPr>
                <w:rFonts w:hint="eastAsia"/>
              </w:rPr>
              <w:t>应在控制器上或其附近清晰地标记出温度控制器的各设定值。空气温度控制的培养箱标记的间隔不应大于0.5℃，婴儿温度控制的培养箱标记的间隔不应大于0.25℃。</w:t>
            </w:r>
          </w:p>
        </w:tc>
        <w:tc>
          <w:tcPr>
            <w:tcW w:w="1080" w:type="dxa"/>
            <w:vAlign w:val="center"/>
          </w:tcPr>
          <w:p w14:paraId="3F6727D8">
            <w:pPr>
              <w:jc w:val="center"/>
            </w:pPr>
          </w:p>
        </w:tc>
        <w:tc>
          <w:tcPr>
            <w:tcW w:w="1080" w:type="dxa"/>
            <w:vMerge w:val="restart"/>
            <w:vAlign w:val="center"/>
          </w:tcPr>
          <w:p w14:paraId="737070F1">
            <w:pPr>
              <w:jc w:val="center"/>
            </w:pPr>
          </w:p>
        </w:tc>
        <w:tc>
          <w:tcPr>
            <w:tcW w:w="876" w:type="dxa"/>
            <w:vMerge w:val="restart"/>
            <w:vAlign w:val="center"/>
          </w:tcPr>
          <w:p w14:paraId="3BA9C7D6">
            <w:pPr>
              <w:jc w:val="center"/>
            </w:pPr>
          </w:p>
        </w:tc>
      </w:tr>
      <w:tr w14:paraId="2892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40" w:type="dxa"/>
            <w:vMerge w:val="continue"/>
          </w:tcPr>
          <w:p w14:paraId="4B52E90C"/>
        </w:tc>
        <w:tc>
          <w:tcPr>
            <w:tcW w:w="1080" w:type="dxa"/>
            <w:vMerge w:val="continue"/>
          </w:tcPr>
          <w:p w14:paraId="46C34880"/>
        </w:tc>
        <w:tc>
          <w:tcPr>
            <w:tcW w:w="720" w:type="dxa"/>
            <w:vMerge w:val="continue"/>
          </w:tcPr>
          <w:p w14:paraId="4CC139DB">
            <w:pPr>
              <w:spacing w:line="320" w:lineRule="exact"/>
            </w:pPr>
          </w:p>
        </w:tc>
        <w:tc>
          <w:tcPr>
            <w:tcW w:w="4500" w:type="dxa"/>
          </w:tcPr>
          <w:p w14:paraId="2BD55ADB">
            <w:pPr>
              <w:adjustRightInd w:val="0"/>
              <w:snapToGrid w:val="0"/>
              <w:spacing w:line="240" w:lineRule="atLeast"/>
            </w:pPr>
            <w:r>
              <w:rPr>
                <w:rFonts w:hint="eastAsia"/>
              </w:rPr>
              <w:t>就控制器档位和/或指示值而言，控制器和指示器最大值和最小值的标记应不会引起混乱。</w:t>
            </w:r>
          </w:p>
        </w:tc>
        <w:tc>
          <w:tcPr>
            <w:tcW w:w="1080" w:type="dxa"/>
            <w:vAlign w:val="center"/>
          </w:tcPr>
          <w:p w14:paraId="330B444C">
            <w:pPr>
              <w:jc w:val="center"/>
            </w:pPr>
          </w:p>
        </w:tc>
        <w:tc>
          <w:tcPr>
            <w:tcW w:w="1080" w:type="dxa"/>
            <w:vMerge w:val="continue"/>
            <w:vAlign w:val="center"/>
          </w:tcPr>
          <w:p w14:paraId="5247EF0D">
            <w:pPr>
              <w:jc w:val="center"/>
            </w:pPr>
          </w:p>
        </w:tc>
        <w:tc>
          <w:tcPr>
            <w:tcW w:w="876" w:type="dxa"/>
            <w:vMerge w:val="continue"/>
            <w:vAlign w:val="center"/>
          </w:tcPr>
          <w:p w14:paraId="2CAA9E97">
            <w:pPr>
              <w:jc w:val="center"/>
            </w:pPr>
          </w:p>
        </w:tc>
      </w:tr>
      <w:tr w14:paraId="0C81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40" w:type="dxa"/>
            <w:vMerge w:val="restart"/>
          </w:tcPr>
          <w:p w14:paraId="2275C45C">
            <w:pPr>
              <w:numPr>
                <w:ilvl w:val="0"/>
                <w:numId w:val="1"/>
              </w:numPr>
            </w:pPr>
          </w:p>
        </w:tc>
        <w:tc>
          <w:tcPr>
            <w:tcW w:w="1080" w:type="dxa"/>
            <w:vMerge w:val="restart"/>
          </w:tcPr>
          <w:p w14:paraId="1AFAC6C7">
            <w:pPr>
              <w:snapToGrid w:val="0"/>
              <w:spacing w:line="240" w:lineRule="atLeast"/>
            </w:pPr>
            <w:r>
              <w:rPr>
                <w:rFonts w:hint="eastAsia"/>
              </w:rPr>
              <w:t>*警告和安全须知</w:t>
            </w:r>
          </w:p>
          <w:p w14:paraId="21A89377"/>
        </w:tc>
        <w:tc>
          <w:tcPr>
            <w:tcW w:w="720" w:type="dxa"/>
            <w:vMerge w:val="restart"/>
          </w:tcPr>
          <w:p w14:paraId="5B2E0788">
            <w:pPr>
              <w:spacing w:line="320" w:lineRule="exact"/>
              <w:ind w:left="-84" w:leftChars="-40" w:right="-105" w:rightChars="-50"/>
            </w:pPr>
            <w:r>
              <w:rPr>
                <w:rFonts w:hint="eastAsia"/>
              </w:rPr>
              <w:t>201.7.9.</w:t>
            </w:r>
          </w:p>
          <w:p w14:paraId="0FE3DB4E">
            <w:pPr>
              <w:spacing w:line="320" w:lineRule="exact"/>
              <w:ind w:left="-105" w:leftChars="-50" w:right="-105" w:rightChars="-50"/>
              <w:jc w:val="center"/>
            </w:pPr>
            <w:r>
              <w:rPr>
                <w:rFonts w:hint="eastAsia"/>
              </w:rPr>
              <w:t>2.2</w:t>
            </w:r>
          </w:p>
        </w:tc>
        <w:tc>
          <w:tcPr>
            <w:tcW w:w="4500" w:type="dxa"/>
          </w:tcPr>
          <w:p w14:paraId="3360EC38">
            <w:pPr>
              <w:adjustRightInd w:val="0"/>
              <w:snapToGrid w:val="0"/>
              <w:spacing w:line="240" w:lineRule="atLeast"/>
            </w:pPr>
            <w:r>
              <w:rPr>
                <w:rFonts w:hint="eastAsia"/>
              </w:rPr>
              <w:t>增补：</w:t>
            </w:r>
          </w:p>
          <w:p w14:paraId="2852F29E">
            <w:pPr>
              <w:adjustRightInd w:val="0"/>
              <w:snapToGrid w:val="0"/>
              <w:spacing w:line="240" w:lineRule="atLeast"/>
            </w:pPr>
            <w:r>
              <w:rPr>
                <w:rFonts w:hint="eastAsia"/>
              </w:rPr>
              <w:t>使用说明书中还应包括下列内容：</w:t>
            </w:r>
          </w:p>
          <w:p w14:paraId="11325BD0">
            <w:pPr>
              <w:adjustRightInd w:val="0"/>
              <w:snapToGrid w:val="0"/>
              <w:spacing w:line="240" w:lineRule="atLeast"/>
            </w:pPr>
            <w:r>
              <w:rPr>
                <w:rFonts w:hint="eastAsia"/>
              </w:rPr>
              <w:t>a）*说明婴儿培养箱只能由经过专门培训的工作人员，并在熟悉婴儿培养箱使用中普遍已知的风险与好处的合格医务人员的指导下使用。</w:t>
            </w:r>
          </w:p>
        </w:tc>
        <w:tc>
          <w:tcPr>
            <w:tcW w:w="1080" w:type="dxa"/>
            <w:vAlign w:val="center"/>
          </w:tcPr>
          <w:p w14:paraId="53F8E7D1">
            <w:pPr>
              <w:jc w:val="center"/>
            </w:pPr>
          </w:p>
        </w:tc>
        <w:tc>
          <w:tcPr>
            <w:tcW w:w="1080" w:type="dxa"/>
            <w:vMerge w:val="restart"/>
            <w:vAlign w:val="center"/>
          </w:tcPr>
          <w:p w14:paraId="0EE2320B">
            <w:pPr>
              <w:jc w:val="center"/>
            </w:pPr>
          </w:p>
        </w:tc>
        <w:tc>
          <w:tcPr>
            <w:tcW w:w="876" w:type="dxa"/>
            <w:vMerge w:val="continue"/>
            <w:vAlign w:val="center"/>
          </w:tcPr>
          <w:p w14:paraId="16A67FCE">
            <w:pPr>
              <w:jc w:val="center"/>
            </w:pPr>
          </w:p>
        </w:tc>
      </w:tr>
      <w:tr w14:paraId="705D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40" w:type="dxa"/>
            <w:vMerge w:val="continue"/>
          </w:tcPr>
          <w:p w14:paraId="666ED73C"/>
        </w:tc>
        <w:tc>
          <w:tcPr>
            <w:tcW w:w="1080" w:type="dxa"/>
            <w:vMerge w:val="continue"/>
          </w:tcPr>
          <w:p w14:paraId="4543FB07"/>
        </w:tc>
        <w:tc>
          <w:tcPr>
            <w:tcW w:w="720" w:type="dxa"/>
            <w:vMerge w:val="continue"/>
            <w:vAlign w:val="center"/>
          </w:tcPr>
          <w:p w14:paraId="5C021A67">
            <w:pPr>
              <w:spacing w:line="320" w:lineRule="exact"/>
            </w:pPr>
          </w:p>
        </w:tc>
        <w:tc>
          <w:tcPr>
            <w:tcW w:w="4500" w:type="dxa"/>
          </w:tcPr>
          <w:p w14:paraId="57BBB99C">
            <w:pPr>
              <w:adjustRightInd w:val="0"/>
              <w:snapToGrid w:val="0"/>
              <w:spacing w:line="240" w:lineRule="atLeast"/>
            </w:pPr>
            <w:r>
              <w:rPr>
                <w:rFonts w:hint="eastAsia"/>
              </w:rPr>
              <w:t>b）*阳光直射或其他辐射热源会使培养箱温度升高至危险程度的警告。</w:t>
            </w:r>
          </w:p>
        </w:tc>
        <w:tc>
          <w:tcPr>
            <w:tcW w:w="1080" w:type="dxa"/>
            <w:vAlign w:val="center"/>
          </w:tcPr>
          <w:p w14:paraId="57CC677E">
            <w:pPr>
              <w:jc w:val="center"/>
            </w:pPr>
          </w:p>
        </w:tc>
        <w:tc>
          <w:tcPr>
            <w:tcW w:w="1080" w:type="dxa"/>
            <w:vMerge w:val="continue"/>
            <w:vAlign w:val="center"/>
          </w:tcPr>
          <w:p w14:paraId="57AB3419">
            <w:pPr>
              <w:jc w:val="center"/>
            </w:pPr>
          </w:p>
        </w:tc>
        <w:tc>
          <w:tcPr>
            <w:tcW w:w="876" w:type="dxa"/>
            <w:vMerge w:val="continue"/>
            <w:vAlign w:val="center"/>
          </w:tcPr>
          <w:p w14:paraId="5DFA8F6D"/>
        </w:tc>
      </w:tr>
      <w:tr w14:paraId="0188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40" w:type="dxa"/>
            <w:vMerge w:val="continue"/>
          </w:tcPr>
          <w:p w14:paraId="43BF092A"/>
        </w:tc>
        <w:tc>
          <w:tcPr>
            <w:tcW w:w="1080" w:type="dxa"/>
            <w:vMerge w:val="continue"/>
          </w:tcPr>
          <w:p w14:paraId="12CF6E4C"/>
        </w:tc>
        <w:tc>
          <w:tcPr>
            <w:tcW w:w="720" w:type="dxa"/>
            <w:vMerge w:val="continue"/>
            <w:vAlign w:val="center"/>
          </w:tcPr>
          <w:p w14:paraId="3AC70B83">
            <w:pPr>
              <w:spacing w:line="320" w:lineRule="exact"/>
            </w:pPr>
          </w:p>
        </w:tc>
        <w:tc>
          <w:tcPr>
            <w:tcW w:w="4500" w:type="dxa"/>
          </w:tcPr>
          <w:p w14:paraId="01117962">
            <w:pPr>
              <w:adjustRightInd w:val="0"/>
              <w:snapToGrid w:val="0"/>
              <w:spacing w:line="240" w:lineRule="atLeast"/>
            </w:pPr>
            <w:r>
              <w:rPr>
                <w:rFonts w:hint="eastAsia"/>
              </w:rPr>
              <w:t>c）*说明使用氧气会增加着火危险，以及会产生火花的附属设备不得放入婴儿培养箱。</w:t>
            </w:r>
          </w:p>
        </w:tc>
        <w:tc>
          <w:tcPr>
            <w:tcW w:w="1080" w:type="dxa"/>
            <w:vAlign w:val="center"/>
          </w:tcPr>
          <w:p w14:paraId="166A6172">
            <w:pPr>
              <w:jc w:val="center"/>
            </w:pPr>
          </w:p>
        </w:tc>
        <w:tc>
          <w:tcPr>
            <w:tcW w:w="1080" w:type="dxa"/>
            <w:vMerge w:val="continue"/>
            <w:vAlign w:val="center"/>
          </w:tcPr>
          <w:p w14:paraId="0A2918C7">
            <w:pPr>
              <w:jc w:val="center"/>
            </w:pPr>
          </w:p>
        </w:tc>
        <w:tc>
          <w:tcPr>
            <w:tcW w:w="876" w:type="dxa"/>
            <w:vMerge w:val="continue"/>
            <w:vAlign w:val="center"/>
          </w:tcPr>
          <w:p w14:paraId="65A83869"/>
        </w:tc>
      </w:tr>
      <w:tr w14:paraId="05B7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40" w:type="dxa"/>
            <w:vMerge w:val="continue"/>
          </w:tcPr>
          <w:p w14:paraId="7ED7EA67"/>
        </w:tc>
        <w:tc>
          <w:tcPr>
            <w:tcW w:w="1080" w:type="dxa"/>
            <w:vMerge w:val="continue"/>
          </w:tcPr>
          <w:p w14:paraId="3C4861E3"/>
        </w:tc>
        <w:tc>
          <w:tcPr>
            <w:tcW w:w="720" w:type="dxa"/>
            <w:vMerge w:val="continue"/>
            <w:vAlign w:val="center"/>
          </w:tcPr>
          <w:p w14:paraId="3FE01935">
            <w:pPr>
              <w:spacing w:line="320" w:lineRule="exact"/>
            </w:pPr>
          </w:p>
        </w:tc>
        <w:tc>
          <w:tcPr>
            <w:tcW w:w="4500" w:type="dxa"/>
          </w:tcPr>
          <w:p w14:paraId="1333D4A2">
            <w:pPr>
              <w:adjustRightInd w:val="0"/>
              <w:snapToGrid w:val="0"/>
              <w:spacing w:line="240" w:lineRule="atLeast"/>
            </w:pPr>
            <w:r>
              <w:rPr>
                <w:rFonts w:hint="eastAsia"/>
              </w:rPr>
              <w:t>d）*警告在接通氧气时，即使是少量易燃剂，如乙醚和酒精等留在婴儿培养箱内也能引起着火。</w:t>
            </w:r>
          </w:p>
        </w:tc>
        <w:tc>
          <w:tcPr>
            <w:tcW w:w="1080" w:type="dxa"/>
            <w:vAlign w:val="center"/>
          </w:tcPr>
          <w:p w14:paraId="4670FE2D">
            <w:pPr>
              <w:jc w:val="center"/>
            </w:pPr>
          </w:p>
        </w:tc>
        <w:tc>
          <w:tcPr>
            <w:tcW w:w="1080" w:type="dxa"/>
            <w:vMerge w:val="continue"/>
            <w:vAlign w:val="center"/>
          </w:tcPr>
          <w:p w14:paraId="77D3EE71">
            <w:pPr>
              <w:jc w:val="center"/>
            </w:pPr>
          </w:p>
        </w:tc>
        <w:tc>
          <w:tcPr>
            <w:tcW w:w="876" w:type="dxa"/>
            <w:vMerge w:val="continue"/>
            <w:vAlign w:val="center"/>
          </w:tcPr>
          <w:p w14:paraId="186F6D0C"/>
        </w:tc>
      </w:tr>
      <w:tr w14:paraId="3120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40" w:type="dxa"/>
            <w:vMerge w:val="continue"/>
          </w:tcPr>
          <w:p w14:paraId="6028EE68"/>
        </w:tc>
        <w:tc>
          <w:tcPr>
            <w:tcW w:w="1080" w:type="dxa"/>
            <w:vMerge w:val="continue"/>
          </w:tcPr>
          <w:p w14:paraId="1D4EFCDA"/>
        </w:tc>
        <w:tc>
          <w:tcPr>
            <w:tcW w:w="720" w:type="dxa"/>
            <w:vMerge w:val="continue"/>
            <w:vAlign w:val="center"/>
          </w:tcPr>
          <w:p w14:paraId="7A46EE57">
            <w:pPr>
              <w:spacing w:line="320" w:lineRule="exact"/>
            </w:pPr>
          </w:p>
        </w:tc>
        <w:tc>
          <w:tcPr>
            <w:tcW w:w="4500" w:type="dxa"/>
          </w:tcPr>
          <w:p w14:paraId="0E3273D3">
            <w:pPr>
              <w:adjustRightInd w:val="0"/>
              <w:snapToGrid w:val="0"/>
              <w:spacing w:line="240" w:lineRule="atLeast"/>
            </w:pPr>
            <w:r>
              <w:rPr>
                <w:rFonts w:hint="eastAsia"/>
              </w:rPr>
              <w:t>e）*说明能放在与婴儿培养箱相连的架上的辅助设备的最大允许重量。</w:t>
            </w:r>
          </w:p>
        </w:tc>
        <w:tc>
          <w:tcPr>
            <w:tcW w:w="1080" w:type="dxa"/>
            <w:vAlign w:val="center"/>
          </w:tcPr>
          <w:p w14:paraId="40920EA3">
            <w:pPr>
              <w:jc w:val="center"/>
            </w:pPr>
          </w:p>
        </w:tc>
        <w:tc>
          <w:tcPr>
            <w:tcW w:w="1080" w:type="dxa"/>
            <w:vMerge w:val="continue"/>
            <w:vAlign w:val="center"/>
          </w:tcPr>
          <w:p w14:paraId="3E486AC4">
            <w:pPr>
              <w:jc w:val="center"/>
            </w:pPr>
          </w:p>
        </w:tc>
        <w:tc>
          <w:tcPr>
            <w:tcW w:w="876" w:type="dxa"/>
            <w:vMerge w:val="continue"/>
            <w:vAlign w:val="center"/>
          </w:tcPr>
          <w:p w14:paraId="7B34BC16"/>
        </w:tc>
      </w:tr>
      <w:tr w14:paraId="60AA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40" w:type="dxa"/>
            <w:vMerge w:val="continue"/>
          </w:tcPr>
          <w:p w14:paraId="4C6151FB"/>
        </w:tc>
        <w:tc>
          <w:tcPr>
            <w:tcW w:w="1080" w:type="dxa"/>
            <w:vMerge w:val="continue"/>
          </w:tcPr>
          <w:p w14:paraId="4C92DDA7"/>
        </w:tc>
        <w:tc>
          <w:tcPr>
            <w:tcW w:w="720" w:type="dxa"/>
            <w:vMerge w:val="continue"/>
            <w:vAlign w:val="center"/>
          </w:tcPr>
          <w:p w14:paraId="394E36D8">
            <w:pPr>
              <w:spacing w:line="320" w:lineRule="exact"/>
            </w:pPr>
          </w:p>
        </w:tc>
        <w:tc>
          <w:tcPr>
            <w:tcW w:w="4500" w:type="dxa"/>
          </w:tcPr>
          <w:p w14:paraId="089ADAE2">
            <w:pPr>
              <w:adjustRightInd w:val="0"/>
              <w:snapToGrid w:val="0"/>
              <w:spacing w:line="240" w:lineRule="atLeast"/>
            </w:pPr>
            <w:r>
              <w:rPr>
                <w:rFonts w:hint="eastAsia"/>
              </w:rPr>
              <w:t>f）带有B型应用部分的婴儿培养箱，可能婴儿与地未隔离，应警告要特别注意保证与婴儿相连的附加设备在电气上是安全的。</w:t>
            </w:r>
          </w:p>
        </w:tc>
        <w:tc>
          <w:tcPr>
            <w:tcW w:w="1080" w:type="dxa"/>
            <w:vAlign w:val="center"/>
          </w:tcPr>
          <w:p w14:paraId="37CBBE7C">
            <w:pPr>
              <w:jc w:val="center"/>
            </w:pPr>
          </w:p>
        </w:tc>
        <w:tc>
          <w:tcPr>
            <w:tcW w:w="1080" w:type="dxa"/>
            <w:vMerge w:val="continue"/>
            <w:vAlign w:val="center"/>
          </w:tcPr>
          <w:p w14:paraId="1E575F3C">
            <w:pPr>
              <w:jc w:val="center"/>
            </w:pPr>
          </w:p>
        </w:tc>
        <w:tc>
          <w:tcPr>
            <w:tcW w:w="876" w:type="dxa"/>
            <w:vMerge w:val="continue"/>
            <w:vAlign w:val="center"/>
          </w:tcPr>
          <w:p w14:paraId="18ED3F84"/>
        </w:tc>
      </w:tr>
      <w:tr w14:paraId="3028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40" w:type="dxa"/>
            <w:vMerge w:val="continue"/>
          </w:tcPr>
          <w:p w14:paraId="03265170"/>
        </w:tc>
        <w:tc>
          <w:tcPr>
            <w:tcW w:w="1080" w:type="dxa"/>
            <w:vMerge w:val="continue"/>
          </w:tcPr>
          <w:p w14:paraId="700EEF61"/>
        </w:tc>
        <w:tc>
          <w:tcPr>
            <w:tcW w:w="720" w:type="dxa"/>
            <w:vMerge w:val="continue"/>
          </w:tcPr>
          <w:p w14:paraId="08025734">
            <w:pPr>
              <w:spacing w:line="320" w:lineRule="exact"/>
            </w:pPr>
          </w:p>
        </w:tc>
        <w:tc>
          <w:tcPr>
            <w:tcW w:w="4500" w:type="dxa"/>
          </w:tcPr>
          <w:p w14:paraId="5CD80CC7">
            <w:pPr>
              <w:adjustRightInd w:val="0"/>
              <w:snapToGrid w:val="0"/>
              <w:spacing w:line="240" w:lineRule="atLeast"/>
            </w:pPr>
            <w:r>
              <w:rPr>
                <w:rFonts w:hint="eastAsia"/>
              </w:rPr>
              <w:t>g）警告使用氧气会对婴儿培养箱内的婴儿增加噪声声级</w:t>
            </w:r>
          </w:p>
        </w:tc>
        <w:tc>
          <w:tcPr>
            <w:tcW w:w="1080" w:type="dxa"/>
            <w:vAlign w:val="center"/>
          </w:tcPr>
          <w:p w14:paraId="676F128C">
            <w:pPr>
              <w:jc w:val="center"/>
            </w:pPr>
          </w:p>
        </w:tc>
        <w:tc>
          <w:tcPr>
            <w:tcW w:w="1080" w:type="dxa"/>
            <w:vMerge w:val="continue"/>
            <w:vAlign w:val="center"/>
          </w:tcPr>
          <w:p w14:paraId="2B27600C">
            <w:pPr>
              <w:jc w:val="center"/>
            </w:pPr>
          </w:p>
        </w:tc>
        <w:tc>
          <w:tcPr>
            <w:tcW w:w="876" w:type="dxa"/>
            <w:vMerge w:val="continue"/>
            <w:vAlign w:val="center"/>
          </w:tcPr>
          <w:p w14:paraId="209C8860"/>
        </w:tc>
      </w:tr>
      <w:tr w14:paraId="5F91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40" w:type="dxa"/>
            <w:vMerge w:val="continue"/>
          </w:tcPr>
          <w:p w14:paraId="1CD490C0"/>
        </w:tc>
        <w:tc>
          <w:tcPr>
            <w:tcW w:w="1080" w:type="dxa"/>
            <w:vMerge w:val="continue"/>
          </w:tcPr>
          <w:p w14:paraId="21C1C87B"/>
        </w:tc>
        <w:tc>
          <w:tcPr>
            <w:tcW w:w="720" w:type="dxa"/>
            <w:vMerge w:val="continue"/>
          </w:tcPr>
          <w:p w14:paraId="2234C90A">
            <w:pPr>
              <w:spacing w:line="320" w:lineRule="exact"/>
            </w:pPr>
          </w:p>
        </w:tc>
        <w:tc>
          <w:tcPr>
            <w:tcW w:w="4500" w:type="dxa"/>
          </w:tcPr>
          <w:p w14:paraId="5E113A81">
            <w:pPr>
              <w:adjustRightInd w:val="0"/>
              <w:snapToGrid w:val="0"/>
              <w:spacing w:line="240" w:lineRule="atLeast"/>
            </w:pPr>
            <w:r>
              <w:rPr>
                <w:rFonts w:hint="eastAsia"/>
              </w:rPr>
              <w:t>h）提供与婴儿培养箱同时使用的辅助氧气设备的操作说明或如同随附文件中的规定。</w:t>
            </w:r>
          </w:p>
        </w:tc>
        <w:tc>
          <w:tcPr>
            <w:tcW w:w="1080" w:type="dxa"/>
            <w:vAlign w:val="center"/>
          </w:tcPr>
          <w:p w14:paraId="55FE57B4">
            <w:pPr>
              <w:jc w:val="center"/>
              <w:rPr>
                <w:rFonts w:eastAsia="仿宋"/>
              </w:rPr>
            </w:pPr>
          </w:p>
        </w:tc>
        <w:tc>
          <w:tcPr>
            <w:tcW w:w="1080" w:type="dxa"/>
            <w:vMerge w:val="continue"/>
            <w:vAlign w:val="center"/>
          </w:tcPr>
          <w:p w14:paraId="1977835D">
            <w:pPr>
              <w:jc w:val="center"/>
            </w:pPr>
          </w:p>
        </w:tc>
        <w:tc>
          <w:tcPr>
            <w:tcW w:w="876" w:type="dxa"/>
            <w:vMerge w:val="continue"/>
            <w:vAlign w:val="center"/>
          </w:tcPr>
          <w:p w14:paraId="18F73AA3"/>
        </w:tc>
      </w:tr>
      <w:tr w14:paraId="7AD9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40" w:type="dxa"/>
            <w:vMerge w:val="continue"/>
          </w:tcPr>
          <w:p w14:paraId="6451D3EE"/>
        </w:tc>
        <w:tc>
          <w:tcPr>
            <w:tcW w:w="1080" w:type="dxa"/>
            <w:vMerge w:val="continue"/>
          </w:tcPr>
          <w:p w14:paraId="323C47EC"/>
        </w:tc>
        <w:tc>
          <w:tcPr>
            <w:tcW w:w="720" w:type="dxa"/>
            <w:vMerge w:val="continue"/>
          </w:tcPr>
          <w:p w14:paraId="4DA0093E">
            <w:pPr>
              <w:spacing w:line="320" w:lineRule="exact"/>
            </w:pPr>
          </w:p>
        </w:tc>
        <w:tc>
          <w:tcPr>
            <w:tcW w:w="4500" w:type="dxa"/>
          </w:tcPr>
          <w:p w14:paraId="0F8F6791">
            <w:pPr>
              <w:adjustRightInd w:val="0"/>
              <w:snapToGrid w:val="0"/>
              <w:spacing w:line="240" w:lineRule="atLeast"/>
            </w:pPr>
            <w:r>
              <w:rPr>
                <w:rFonts w:hint="eastAsia"/>
              </w:rPr>
              <w:t>i）说明当提供氧气给婴儿时，应使用氧气分析仪。</w:t>
            </w:r>
          </w:p>
        </w:tc>
        <w:tc>
          <w:tcPr>
            <w:tcW w:w="1080" w:type="dxa"/>
            <w:vAlign w:val="center"/>
          </w:tcPr>
          <w:p w14:paraId="0B84E990">
            <w:pPr>
              <w:jc w:val="center"/>
              <w:rPr>
                <w:rFonts w:eastAsia="仿宋"/>
              </w:rPr>
            </w:pPr>
          </w:p>
        </w:tc>
        <w:tc>
          <w:tcPr>
            <w:tcW w:w="1080" w:type="dxa"/>
            <w:vMerge w:val="continue"/>
            <w:vAlign w:val="center"/>
          </w:tcPr>
          <w:p w14:paraId="05010285">
            <w:pPr>
              <w:jc w:val="center"/>
            </w:pPr>
          </w:p>
        </w:tc>
        <w:tc>
          <w:tcPr>
            <w:tcW w:w="876" w:type="dxa"/>
            <w:vMerge w:val="continue"/>
            <w:vAlign w:val="center"/>
          </w:tcPr>
          <w:p w14:paraId="12CA6D8E"/>
        </w:tc>
      </w:tr>
      <w:tr w14:paraId="2A58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40" w:type="dxa"/>
            <w:vMerge w:val="continue"/>
          </w:tcPr>
          <w:p w14:paraId="0720865A"/>
        </w:tc>
        <w:tc>
          <w:tcPr>
            <w:tcW w:w="1080" w:type="dxa"/>
            <w:vMerge w:val="continue"/>
          </w:tcPr>
          <w:p w14:paraId="05CEDEC6"/>
        </w:tc>
        <w:tc>
          <w:tcPr>
            <w:tcW w:w="720" w:type="dxa"/>
            <w:vMerge w:val="continue"/>
          </w:tcPr>
          <w:p w14:paraId="6C450E9F">
            <w:pPr>
              <w:spacing w:line="320" w:lineRule="exact"/>
            </w:pPr>
          </w:p>
        </w:tc>
        <w:tc>
          <w:tcPr>
            <w:tcW w:w="4500" w:type="dxa"/>
          </w:tcPr>
          <w:p w14:paraId="304EC88C">
            <w:pPr>
              <w:adjustRightInd w:val="0"/>
              <w:snapToGrid w:val="0"/>
              <w:spacing w:line="240" w:lineRule="atLeast"/>
            </w:pPr>
            <w:r>
              <w:rPr>
                <w:rFonts w:hint="eastAsia"/>
              </w:rPr>
              <w:t>j）应提供与ME设备特殊联用品的详细说明。（见201.4.1）</w:t>
            </w:r>
          </w:p>
        </w:tc>
        <w:tc>
          <w:tcPr>
            <w:tcW w:w="1080" w:type="dxa"/>
            <w:vAlign w:val="center"/>
          </w:tcPr>
          <w:p w14:paraId="59707428">
            <w:pPr>
              <w:jc w:val="center"/>
              <w:rPr>
                <w:rFonts w:eastAsia="仿宋"/>
              </w:rPr>
            </w:pPr>
          </w:p>
        </w:tc>
        <w:tc>
          <w:tcPr>
            <w:tcW w:w="1080" w:type="dxa"/>
            <w:vMerge w:val="continue"/>
            <w:vAlign w:val="center"/>
          </w:tcPr>
          <w:p w14:paraId="4A24FF71">
            <w:pPr>
              <w:jc w:val="center"/>
            </w:pPr>
          </w:p>
        </w:tc>
        <w:tc>
          <w:tcPr>
            <w:tcW w:w="876" w:type="dxa"/>
            <w:vMerge w:val="continue"/>
            <w:vAlign w:val="center"/>
          </w:tcPr>
          <w:p w14:paraId="086874E3"/>
        </w:tc>
      </w:tr>
      <w:tr w14:paraId="5EDD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40" w:type="dxa"/>
            <w:vMerge w:val="continue"/>
          </w:tcPr>
          <w:p w14:paraId="2B9639C5"/>
        </w:tc>
        <w:tc>
          <w:tcPr>
            <w:tcW w:w="1080" w:type="dxa"/>
            <w:vMerge w:val="continue"/>
          </w:tcPr>
          <w:p w14:paraId="3D330F63"/>
        </w:tc>
        <w:tc>
          <w:tcPr>
            <w:tcW w:w="720" w:type="dxa"/>
            <w:vMerge w:val="continue"/>
          </w:tcPr>
          <w:p w14:paraId="6AE2141E">
            <w:pPr>
              <w:spacing w:line="320" w:lineRule="exact"/>
            </w:pPr>
          </w:p>
        </w:tc>
        <w:tc>
          <w:tcPr>
            <w:tcW w:w="4500" w:type="dxa"/>
          </w:tcPr>
          <w:p w14:paraId="7E2AA3DA">
            <w:pPr>
              <w:adjustRightInd w:val="0"/>
              <w:snapToGrid w:val="0"/>
              <w:spacing w:line="240" w:lineRule="atLeast"/>
            </w:pPr>
            <w:r>
              <w:rPr>
                <w:rFonts w:hint="eastAsia"/>
              </w:rPr>
              <w:t>k）*如果适用的话，警告皮肤温度传感器不可作为肛门温度传感器使用。</w:t>
            </w:r>
          </w:p>
        </w:tc>
        <w:tc>
          <w:tcPr>
            <w:tcW w:w="1080" w:type="dxa"/>
            <w:vAlign w:val="center"/>
          </w:tcPr>
          <w:p w14:paraId="44DCE432">
            <w:pPr>
              <w:jc w:val="center"/>
            </w:pPr>
          </w:p>
        </w:tc>
        <w:tc>
          <w:tcPr>
            <w:tcW w:w="1080" w:type="dxa"/>
            <w:vMerge w:val="continue"/>
            <w:vAlign w:val="center"/>
          </w:tcPr>
          <w:p w14:paraId="692B31B2">
            <w:pPr>
              <w:jc w:val="center"/>
            </w:pPr>
          </w:p>
        </w:tc>
        <w:tc>
          <w:tcPr>
            <w:tcW w:w="876" w:type="dxa"/>
            <w:vMerge w:val="continue"/>
            <w:vAlign w:val="center"/>
          </w:tcPr>
          <w:p w14:paraId="391E6A35"/>
        </w:tc>
      </w:tr>
      <w:tr w14:paraId="0235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40" w:type="dxa"/>
            <w:vMerge w:val="continue"/>
          </w:tcPr>
          <w:p w14:paraId="69E0AF07"/>
        </w:tc>
        <w:tc>
          <w:tcPr>
            <w:tcW w:w="1080" w:type="dxa"/>
            <w:vMerge w:val="continue"/>
          </w:tcPr>
          <w:p w14:paraId="6BA7928E"/>
        </w:tc>
        <w:tc>
          <w:tcPr>
            <w:tcW w:w="720" w:type="dxa"/>
            <w:vMerge w:val="continue"/>
          </w:tcPr>
          <w:p w14:paraId="16AE4AD3">
            <w:pPr>
              <w:spacing w:line="320" w:lineRule="exact"/>
            </w:pPr>
          </w:p>
        </w:tc>
        <w:tc>
          <w:tcPr>
            <w:tcW w:w="4500" w:type="dxa"/>
          </w:tcPr>
          <w:p w14:paraId="3779303C">
            <w:pPr>
              <w:adjustRightInd w:val="0"/>
              <w:snapToGrid w:val="0"/>
              <w:spacing w:line="240" w:lineRule="atLeast"/>
            </w:pPr>
            <w:r>
              <w:rPr>
                <w:rFonts w:hint="eastAsia"/>
              </w:rPr>
              <w:t>l）*说明婴儿培养箱不能区分具有皮肤冷（发热）而体内温度高与体内和皮肤温度都低（低温）的差别，并推荐监控患者的温度。</w:t>
            </w:r>
          </w:p>
        </w:tc>
        <w:tc>
          <w:tcPr>
            <w:tcW w:w="1080" w:type="dxa"/>
            <w:vAlign w:val="center"/>
          </w:tcPr>
          <w:p w14:paraId="3F3C2E63">
            <w:pPr>
              <w:jc w:val="center"/>
            </w:pPr>
          </w:p>
        </w:tc>
        <w:tc>
          <w:tcPr>
            <w:tcW w:w="1080" w:type="dxa"/>
            <w:vMerge w:val="continue"/>
            <w:vAlign w:val="center"/>
          </w:tcPr>
          <w:p w14:paraId="02CC5579">
            <w:pPr>
              <w:jc w:val="center"/>
            </w:pPr>
          </w:p>
        </w:tc>
        <w:tc>
          <w:tcPr>
            <w:tcW w:w="876" w:type="dxa"/>
            <w:vMerge w:val="continue"/>
            <w:vAlign w:val="center"/>
          </w:tcPr>
          <w:p w14:paraId="73F7BDB3"/>
        </w:tc>
      </w:tr>
      <w:tr w14:paraId="6719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5581F36C">
            <w:pPr>
              <w:numPr>
                <w:ilvl w:val="0"/>
                <w:numId w:val="1"/>
              </w:numPr>
            </w:pPr>
          </w:p>
        </w:tc>
        <w:tc>
          <w:tcPr>
            <w:tcW w:w="1080" w:type="dxa"/>
          </w:tcPr>
          <w:p w14:paraId="75645FBC">
            <w:pPr>
              <w:snapToGrid w:val="0"/>
              <w:spacing w:line="240" w:lineRule="atLeast"/>
            </w:pPr>
            <w:r>
              <w:rPr>
                <w:rFonts w:hint="eastAsia"/>
              </w:rPr>
              <w:t>*启动程序</w:t>
            </w:r>
          </w:p>
          <w:p w14:paraId="26B9968D"/>
        </w:tc>
        <w:tc>
          <w:tcPr>
            <w:tcW w:w="720" w:type="dxa"/>
          </w:tcPr>
          <w:p w14:paraId="38D15E63">
            <w:pPr>
              <w:spacing w:line="320" w:lineRule="exact"/>
              <w:ind w:left="-105" w:leftChars="-50" w:right="-105" w:rightChars="-50"/>
              <w:jc w:val="center"/>
            </w:pPr>
            <w:r>
              <w:rPr>
                <w:rFonts w:hint="eastAsia"/>
              </w:rPr>
              <w:t>201.7.9.2.8</w:t>
            </w:r>
          </w:p>
        </w:tc>
        <w:tc>
          <w:tcPr>
            <w:tcW w:w="4500" w:type="dxa"/>
          </w:tcPr>
          <w:p w14:paraId="531EDA86">
            <w:pPr>
              <w:snapToGrid w:val="0"/>
              <w:spacing w:line="240" w:lineRule="atLeast"/>
            </w:pPr>
            <w:r>
              <w:rPr>
                <w:rFonts w:hint="eastAsia"/>
              </w:rPr>
              <w:t>增补：</w:t>
            </w:r>
          </w:p>
          <w:p w14:paraId="61B2295C">
            <w:pPr>
              <w:spacing w:line="340" w:lineRule="exact"/>
            </w:pPr>
            <w:r>
              <w:rPr>
                <w:rFonts w:hint="eastAsia"/>
              </w:rPr>
              <w:t>使用说明书中应另外包含：按201.12.1.107的规定所测得的婴儿培养箱升温时间指标。</w:t>
            </w:r>
          </w:p>
        </w:tc>
        <w:tc>
          <w:tcPr>
            <w:tcW w:w="1080" w:type="dxa"/>
            <w:vAlign w:val="center"/>
          </w:tcPr>
          <w:p w14:paraId="0AE990BB">
            <w:pPr>
              <w:jc w:val="center"/>
            </w:pPr>
          </w:p>
        </w:tc>
        <w:tc>
          <w:tcPr>
            <w:tcW w:w="1080" w:type="dxa"/>
            <w:vAlign w:val="center"/>
          </w:tcPr>
          <w:p w14:paraId="3D621566">
            <w:pPr>
              <w:jc w:val="center"/>
            </w:pPr>
          </w:p>
        </w:tc>
        <w:tc>
          <w:tcPr>
            <w:tcW w:w="876" w:type="dxa"/>
            <w:vMerge w:val="continue"/>
            <w:vAlign w:val="center"/>
          </w:tcPr>
          <w:p w14:paraId="76DBBE1F"/>
        </w:tc>
      </w:tr>
    </w:tbl>
    <w:p w14:paraId="5DAE932B">
      <w:pPr>
        <w:numPr>
          <w:ilvl w:val="0"/>
          <w:numId w:val="1"/>
        </w:numPr>
        <w:sectPr>
          <w:pgSz w:w="11906" w:h="16838"/>
          <w:pgMar w:top="1440" w:right="1134" w:bottom="1440" w:left="900" w:header="851" w:footer="992" w:gutter="0"/>
          <w:cols w:space="425" w:num="1"/>
          <w:docGrid w:type="lines" w:linePitch="312" w:charSpace="0"/>
        </w:sectPr>
      </w:pPr>
    </w:p>
    <w:tbl>
      <w:tblPr>
        <w:tblStyle w:val="4"/>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465B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0D50B755">
            <w:pPr>
              <w:numPr>
                <w:ilvl w:val="0"/>
                <w:numId w:val="1"/>
              </w:numPr>
            </w:pPr>
          </w:p>
        </w:tc>
        <w:tc>
          <w:tcPr>
            <w:tcW w:w="1080" w:type="dxa"/>
            <w:vMerge w:val="restart"/>
          </w:tcPr>
          <w:p w14:paraId="6C960221">
            <w:r>
              <w:rPr>
                <w:rFonts w:hint="eastAsia"/>
              </w:rPr>
              <w:t>*运行说明</w:t>
            </w:r>
          </w:p>
        </w:tc>
        <w:tc>
          <w:tcPr>
            <w:tcW w:w="720" w:type="dxa"/>
            <w:vMerge w:val="restart"/>
          </w:tcPr>
          <w:p w14:paraId="51DCAC6A">
            <w:pPr>
              <w:spacing w:line="320" w:lineRule="exact"/>
              <w:ind w:left="-105" w:leftChars="-50" w:right="-105" w:rightChars="-50"/>
              <w:jc w:val="center"/>
            </w:pPr>
            <w:r>
              <w:rPr>
                <w:rFonts w:hint="eastAsia"/>
              </w:rPr>
              <w:t>201.7.9.</w:t>
            </w:r>
          </w:p>
          <w:p w14:paraId="19CF453D">
            <w:pPr>
              <w:spacing w:line="320" w:lineRule="exact"/>
              <w:jc w:val="center"/>
            </w:pPr>
            <w:r>
              <w:rPr>
                <w:rFonts w:hint="eastAsia"/>
              </w:rPr>
              <w:t>2.9</w:t>
            </w:r>
          </w:p>
        </w:tc>
        <w:tc>
          <w:tcPr>
            <w:tcW w:w="4500" w:type="dxa"/>
          </w:tcPr>
          <w:p w14:paraId="3F9FE9C3">
            <w:pPr>
              <w:snapToGrid w:val="0"/>
              <w:spacing w:line="240" w:lineRule="atLeast"/>
            </w:pPr>
            <w:r>
              <w:rPr>
                <w:rFonts w:hint="eastAsia"/>
              </w:rPr>
              <w:t>增补：</w:t>
            </w:r>
          </w:p>
          <w:p w14:paraId="74D7A4F2">
            <w:pPr>
              <w:snapToGrid w:val="0"/>
              <w:spacing w:line="240" w:lineRule="atLeast"/>
            </w:pPr>
            <w:r>
              <w:rPr>
                <w:rFonts w:hint="eastAsia"/>
              </w:rPr>
              <w:t>使用说明书中还应包括下列内容：</w:t>
            </w:r>
          </w:p>
          <w:p w14:paraId="0FDFC038">
            <w:pPr>
              <w:spacing w:line="340" w:lineRule="exact"/>
            </w:pPr>
            <w:r>
              <w:rPr>
                <w:rFonts w:hint="eastAsia"/>
              </w:rPr>
              <w:t>a）推荐使用皮肤温度传感器的放置位置和使用方法。</w:t>
            </w:r>
          </w:p>
        </w:tc>
        <w:tc>
          <w:tcPr>
            <w:tcW w:w="1080" w:type="dxa"/>
            <w:vAlign w:val="center"/>
          </w:tcPr>
          <w:p w14:paraId="15DDD1D4">
            <w:pPr>
              <w:jc w:val="center"/>
            </w:pPr>
          </w:p>
        </w:tc>
        <w:tc>
          <w:tcPr>
            <w:tcW w:w="1080" w:type="dxa"/>
            <w:vMerge w:val="restart"/>
            <w:vAlign w:val="center"/>
          </w:tcPr>
          <w:p w14:paraId="79C76F4E">
            <w:pPr>
              <w:jc w:val="center"/>
            </w:pPr>
          </w:p>
        </w:tc>
        <w:tc>
          <w:tcPr>
            <w:tcW w:w="876" w:type="dxa"/>
            <w:vMerge w:val="restart"/>
            <w:vAlign w:val="center"/>
          </w:tcPr>
          <w:p w14:paraId="7305F380">
            <w:pPr>
              <w:jc w:val="center"/>
            </w:pPr>
          </w:p>
        </w:tc>
      </w:tr>
      <w:tr w14:paraId="445A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D469192">
            <w:pPr>
              <w:jc w:val="center"/>
            </w:pPr>
          </w:p>
        </w:tc>
        <w:tc>
          <w:tcPr>
            <w:tcW w:w="1080" w:type="dxa"/>
            <w:vMerge w:val="continue"/>
          </w:tcPr>
          <w:p w14:paraId="574B5BAA"/>
        </w:tc>
        <w:tc>
          <w:tcPr>
            <w:tcW w:w="720" w:type="dxa"/>
            <w:vMerge w:val="continue"/>
          </w:tcPr>
          <w:p w14:paraId="0108697F">
            <w:pPr>
              <w:spacing w:line="320" w:lineRule="exact"/>
              <w:jc w:val="center"/>
            </w:pPr>
          </w:p>
        </w:tc>
        <w:tc>
          <w:tcPr>
            <w:tcW w:w="4500" w:type="dxa"/>
          </w:tcPr>
          <w:p w14:paraId="3AC3CD5B">
            <w:pPr>
              <w:spacing w:line="340" w:lineRule="exact"/>
            </w:pPr>
            <w:r>
              <w:rPr>
                <w:rFonts w:hint="eastAsia"/>
              </w:rPr>
              <w:t>b）告知如何和何时检查报警系统功能的信息。</w:t>
            </w:r>
          </w:p>
        </w:tc>
        <w:tc>
          <w:tcPr>
            <w:tcW w:w="1080" w:type="dxa"/>
            <w:vAlign w:val="center"/>
          </w:tcPr>
          <w:p w14:paraId="04A9F9F3">
            <w:pPr>
              <w:jc w:val="center"/>
            </w:pPr>
          </w:p>
        </w:tc>
        <w:tc>
          <w:tcPr>
            <w:tcW w:w="1080" w:type="dxa"/>
            <w:vMerge w:val="continue"/>
            <w:vAlign w:val="center"/>
          </w:tcPr>
          <w:p w14:paraId="07E68EB6">
            <w:pPr>
              <w:jc w:val="center"/>
            </w:pPr>
          </w:p>
        </w:tc>
        <w:tc>
          <w:tcPr>
            <w:tcW w:w="876" w:type="dxa"/>
            <w:vMerge w:val="continue"/>
            <w:vAlign w:val="center"/>
          </w:tcPr>
          <w:p w14:paraId="32FD8EC5">
            <w:pPr>
              <w:jc w:val="center"/>
            </w:pPr>
          </w:p>
        </w:tc>
      </w:tr>
      <w:tr w14:paraId="14AC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6F4EF66B"/>
        </w:tc>
        <w:tc>
          <w:tcPr>
            <w:tcW w:w="1080" w:type="dxa"/>
            <w:vMerge w:val="continue"/>
          </w:tcPr>
          <w:p w14:paraId="43505757"/>
        </w:tc>
        <w:tc>
          <w:tcPr>
            <w:tcW w:w="720" w:type="dxa"/>
            <w:vMerge w:val="continue"/>
          </w:tcPr>
          <w:p w14:paraId="7C3370CE">
            <w:pPr>
              <w:spacing w:line="320" w:lineRule="exact"/>
            </w:pPr>
          </w:p>
        </w:tc>
        <w:tc>
          <w:tcPr>
            <w:tcW w:w="4500" w:type="dxa"/>
          </w:tcPr>
          <w:p w14:paraId="5C7B849F">
            <w:pPr>
              <w:spacing w:line="340" w:lineRule="exact"/>
            </w:pPr>
            <w:r>
              <w:rPr>
                <w:rFonts w:hint="eastAsia"/>
              </w:rPr>
              <w:t>c）婴儿培养箱的控制温度范围和相对湿度范围的信息。如果婴儿培养箱没有提供湿度控制装置，则应在使用说明书中说明。</w:t>
            </w:r>
          </w:p>
        </w:tc>
        <w:tc>
          <w:tcPr>
            <w:tcW w:w="1080" w:type="dxa"/>
            <w:vAlign w:val="center"/>
          </w:tcPr>
          <w:p w14:paraId="099BB649">
            <w:pPr>
              <w:jc w:val="center"/>
            </w:pPr>
          </w:p>
        </w:tc>
        <w:tc>
          <w:tcPr>
            <w:tcW w:w="1080" w:type="dxa"/>
            <w:vMerge w:val="continue"/>
            <w:vAlign w:val="center"/>
          </w:tcPr>
          <w:p w14:paraId="35ACBEED">
            <w:pPr>
              <w:jc w:val="center"/>
            </w:pPr>
          </w:p>
        </w:tc>
        <w:tc>
          <w:tcPr>
            <w:tcW w:w="876" w:type="dxa"/>
            <w:vMerge w:val="continue"/>
            <w:vAlign w:val="center"/>
          </w:tcPr>
          <w:p w14:paraId="3F254A9C"/>
        </w:tc>
      </w:tr>
      <w:tr w14:paraId="0DD2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2C106545"/>
        </w:tc>
        <w:tc>
          <w:tcPr>
            <w:tcW w:w="1080" w:type="dxa"/>
            <w:vMerge w:val="continue"/>
          </w:tcPr>
          <w:p w14:paraId="0C09CAC2"/>
        </w:tc>
        <w:tc>
          <w:tcPr>
            <w:tcW w:w="720" w:type="dxa"/>
            <w:vMerge w:val="continue"/>
          </w:tcPr>
          <w:p w14:paraId="6EB41AEA">
            <w:pPr>
              <w:spacing w:line="320" w:lineRule="exact"/>
            </w:pPr>
          </w:p>
        </w:tc>
        <w:tc>
          <w:tcPr>
            <w:tcW w:w="4500" w:type="dxa"/>
          </w:tcPr>
          <w:p w14:paraId="0E7963D2">
            <w:pPr>
              <w:spacing w:line="340" w:lineRule="exact"/>
            </w:pPr>
            <w:r>
              <w:rPr>
                <w:rFonts w:hint="eastAsia"/>
              </w:rPr>
              <w:t>d）说明能放在与婴儿培养箱相连的架上的辅助设备的最大允许重量。</w:t>
            </w:r>
          </w:p>
        </w:tc>
        <w:tc>
          <w:tcPr>
            <w:tcW w:w="1080" w:type="dxa"/>
            <w:vAlign w:val="center"/>
          </w:tcPr>
          <w:p w14:paraId="61F7167A">
            <w:pPr>
              <w:jc w:val="center"/>
            </w:pPr>
          </w:p>
        </w:tc>
        <w:tc>
          <w:tcPr>
            <w:tcW w:w="1080" w:type="dxa"/>
            <w:vMerge w:val="continue"/>
            <w:vAlign w:val="center"/>
          </w:tcPr>
          <w:p w14:paraId="5F262015">
            <w:pPr>
              <w:jc w:val="center"/>
            </w:pPr>
          </w:p>
        </w:tc>
        <w:tc>
          <w:tcPr>
            <w:tcW w:w="876" w:type="dxa"/>
            <w:vMerge w:val="continue"/>
            <w:vAlign w:val="center"/>
          </w:tcPr>
          <w:p w14:paraId="54A9B6B2"/>
        </w:tc>
      </w:tr>
      <w:tr w14:paraId="0841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658A9432">
            <w:pPr>
              <w:numPr>
                <w:ilvl w:val="0"/>
                <w:numId w:val="1"/>
              </w:numPr>
            </w:pPr>
          </w:p>
        </w:tc>
        <w:tc>
          <w:tcPr>
            <w:tcW w:w="1080" w:type="dxa"/>
          </w:tcPr>
          <w:p w14:paraId="106437CE">
            <w:pPr>
              <w:snapToGrid w:val="0"/>
              <w:spacing w:line="240" w:lineRule="atLeast"/>
            </w:pPr>
            <w:r>
              <w:rPr>
                <w:rFonts w:hint="eastAsia"/>
              </w:rPr>
              <w:t>技术说明书</w:t>
            </w:r>
          </w:p>
          <w:p w14:paraId="6FBD940D"/>
        </w:tc>
        <w:tc>
          <w:tcPr>
            <w:tcW w:w="720" w:type="dxa"/>
          </w:tcPr>
          <w:p w14:paraId="56E5BC18">
            <w:pPr>
              <w:spacing w:line="320" w:lineRule="exact"/>
              <w:ind w:left="-84" w:leftChars="-40" w:right="-105" w:rightChars="-50"/>
              <w:jc w:val="center"/>
            </w:pPr>
            <w:r>
              <w:rPr>
                <w:rFonts w:hint="eastAsia"/>
              </w:rPr>
              <w:t>201.7.9.3</w:t>
            </w:r>
          </w:p>
        </w:tc>
        <w:tc>
          <w:tcPr>
            <w:tcW w:w="4500" w:type="dxa"/>
          </w:tcPr>
          <w:p w14:paraId="466DCAD9">
            <w:pPr>
              <w:snapToGrid w:val="0"/>
              <w:spacing w:line="240" w:lineRule="atLeast"/>
            </w:pPr>
            <w:r>
              <w:rPr>
                <w:rFonts w:hint="eastAsia"/>
              </w:rPr>
              <w:t>201.7.9.3.1</w:t>
            </w:r>
            <w:r>
              <w:rPr>
                <w:rFonts w:hint="eastAsia"/>
              </w:rPr>
              <w:tab/>
            </w:r>
            <w:r>
              <w:rPr>
                <w:rFonts w:hint="eastAsia"/>
              </w:rPr>
              <w:t>概述</w:t>
            </w:r>
          </w:p>
          <w:p w14:paraId="7D0BB069">
            <w:pPr>
              <w:snapToGrid w:val="0"/>
              <w:spacing w:line="240" w:lineRule="atLeast"/>
            </w:pPr>
            <w:r>
              <w:rPr>
                <w:rFonts w:hint="eastAsia"/>
              </w:rPr>
              <w:t>增补：</w:t>
            </w:r>
          </w:p>
          <w:p w14:paraId="447B9438">
            <w:pPr>
              <w:spacing w:line="340" w:lineRule="exact"/>
            </w:pPr>
            <w:r>
              <w:t>——</w:t>
            </w:r>
            <w:r>
              <w:rPr>
                <w:rFonts w:hint="eastAsia"/>
              </w:rPr>
              <w:t>制造商应在随附文件中规定CO</w:t>
            </w:r>
            <w:r>
              <w:rPr>
                <w:rFonts w:hint="eastAsia"/>
                <w:vertAlign w:val="subscript"/>
              </w:rPr>
              <w:t>2</w:t>
            </w:r>
            <w:r>
              <w:rPr>
                <w:rFonts w:hint="eastAsia"/>
              </w:rPr>
              <w:t>浓度的最大值。（见201.12.4.2.101）</w:t>
            </w:r>
          </w:p>
        </w:tc>
        <w:tc>
          <w:tcPr>
            <w:tcW w:w="1080" w:type="dxa"/>
            <w:vAlign w:val="center"/>
          </w:tcPr>
          <w:p w14:paraId="53F20DB9">
            <w:pPr>
              <w:jc w:val="center"/>
            </w:pPr>
          </w:p>
        </w:tc>
        <w:tc>
          <w:tcPr>
            <w:tcW w:w="1080" w:type="dxa"/>
            <w:vAlign w:val="center"/>
          </w:tcPr>
          <w:p w14:paraId="080542D5">
            <w:pPr>
              <w:jc w:val="center"/>
            </w:pPr>
          </w:p>
        </w:tc>
        <w:tc>
          <w:tcPr>
            <w:tcW w:w="876" w:type="dxa"/>
            <w:vMerge w:val="continue"/>
            <w:vAlign w:val="center"/>
          </w:tcPr>
          <w:p w14:paraId="4CE1A9F0"/>
        </w:tc>
      </w:tr>
      <w:tr w14:paraId="0081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49EA8EE5">
            <w:pPr>
              <w:numPr>
                <w:ilvl w:val="0"/>
                <w:numId w:val="1"/>
              </w:numPr>
            </w:pPr>
          </w:p>
        </w:tc>
        <w:tc>
          <w:tcPr>
            <w:tcW w:w="1080" w:type="dxa"/>
          </w:tcPr>
          <w:p w14:paraId="4678BE1C">
            <w:r>
              <w:rPr>
                <w:rFonts w:hint="eastAsia"/>
              </w:rPr>
              <w:t>与运动部件相关的机械危险</w:t>
            </w:r>
          </w:p>
        </w:tc>
        <w:tc>
          <w:tcPr>
            <w:tcW w:w="720" w:type="dxa"/>
          </w:tcPr>
          <w:p w14:paraId="212206A0">
            <w:pPr>
              <w:spacing w:line="320" w:lineRule="exact"/>
              <w:ind w:left="-84" w:leftChars="-40" w:right="-105" w:rightChars="-50"/>
            </w:pPr>
            <w:r>
              <w:rPr>
                <w:rFonts w:hint="eastAsia"/>
              </w:rPr>
              <w:t>201.9.2</w:t>
            </w:r>
          </w:p>
        </w:tc>
        <w:tc>
          <w:tcPr>
            <w:tcW w:w="4500" w:type="dxa"/>
          </w:tcPr>
          <w:p w14:paraId="3164E26C">
            <w:pPr>
              <w:snapToGrid w:val="0"/>
              <w:spacing w:line="240" w:lineRule="atLeast"/>
            </w:pPr>
            <w:r>
              <w:rPr>
                <w:rFonts w:hint="eastAsia"/>
              </w:rPr>
              <w:t>201.9.2.1</w:t>
            </w:r>
            <w:r>
              <w:rPr>
                <w:rFonts w:hint="eastAsia"/>
              </w:rPr>
              <w:tab/>
            </w:r>
            <w:r>
              <w:rPr>
                <w:rFonts w:hint="eastAsia"/>
              </w:rPr>
              <w:t>概述</w:t>
            </w:r>
          </w:p>
          <w:p w14:paraId="064F08DA">
            <w:pPr>
              <w:snapToGrid w:val="0"/>
              <w:spacing w:line="240" w:lineRule="atLeast"/>
            </w:pPr>
            <w:r>
              <w:rPr>
                <w:rFonts w:hint="eastAsia"/>
              </w:rPr>
              <w:t>增补：</w:t>
            </w:r>
          </w:p>
          <w:p w14:paraId="21134ED7">
            <w:pPr>
              <w:spacing w:line="340" w:lineRule="exact"/>
            </w:pPr>
            <w:r>
              <w:rPr>
                <w:rFonts w:hint="eastAsia"/>
              </w:rPr>
              <w:t>如果空气循环用风扇只有在婴儿培养箱中无婴儿时和要拆除相应ME设备的部件进行清理时才能接触到，该条要求不适用。</w:t>
            </w:r>
          </w:p>
        </w:tc>
        <w:tc>
          <w:tcPr>
            <w:tcW w:w="1080" w:type="dxa"/>
            <w:vAlign w:val="center"/>
          </w:tcPr>
          <w:p w14:paraId="7CC4580E">
            <w:pPr>
              <w:jc w:val="center"/>
            </w:pPr>
          </w:p>
        </w:tc>
        <w:tc>
          <w:tcPr>
            <w:tcW w:w="1080" w:type="dxa"/>
            <w:vAlign w:val="center"/>
          </w:tcPr>
          <w:p w14:paraId="13731C02">
            <w:pPr>
              <w:jc w:val="center"/>
            </w:pPr>
          </w:p>
        </w:tc>
        <w:tc>
          <w:tcPr>
            <w:tcW w:w="876" w:type="dxa"/>
            <w:vMerge w:val="continue"/>
            <w:vAlign w:val="center"/>
          </w:tcPr>
          <w:p w14:paraId="42062336"/>
        </w:tc>
      </w:tr>
      <w:tr w14:paraId="6E94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091A02D3">
            <w:pPr>
              <w:numPr>
                <w:ilvl w:val="0"/>
                <w:numId w:val="1"/>
              </w:numPr>
            </w:pPr>
          </w:p>
        </w:tc>
        <w:tc>
          <w:tcPr>
            <w:tcW w:w="1080" w:type="dxa"/>
            <w:vMerge w:val="restart"/>
          </w:tcPr>
          <w:p w14:paraId="45EB2049">
            <w:pPr>
              <w:jc w:val="center"/>
            </w:pPr>
            <w:r>
              <w:rPr>
                <w:rFonts w:hint="eastAsia"/>
              </w:rPr>
              <w:t>声能</w:t>
            </w:r>
          </w:p>
        </w:tc>
        <w:tc>
          <w:tcPr>
            <w:tcW w:w="720" w:type="dxa"/>
            <w:vMerge w:val="restart"/>
          </w:tcPr>
          <w:p w14:paraId="6842685F">
            <w:pPr>
              <w:spacing w:line="320" w:lineRule="exact"/>
              <w:ind w:left="-84" w:leftChars="-40" w:right="-105" w:rightChars="-50"/>
              <w:jc w:val="center"/>
            </w:pPr>
            <w:r>
              <w:rPr>
                <w:rFonts w:hint="eastAsia"/>
              </w:rPr>
              <w:t>201.9.</w:t>
            </w:r>
          </w:p>
          <w:p w14:paraId="56AAF08F">
            <w:pPr>
              <w:spacing w:line="320" w:lineRule="exact"/>
              <w:ind w:left="-84" w:leftChars="-40" w:right="-105" w:rightChars="-50"/>
              <w:jc w:val="center"/>
            </w:pPr>
            <w:r>
              <w:rPr>
                <w:rFonts w:hint="eastAsia"/>
              </w:rPr>
              <w:t>6.2</w:t>
            </w:r>
          </w:p>
        </w:tc>
        <w:tc>
          <w:tcPr>
            <w:tcW w:w="4500" w:type="dxa"/>
          </w:tcPr>
          <w:p w14:paraId="76DB74F0">
            <w:pPr>
              <w:snapToGrid w:val="0"/>
              <w:spacing w:line="240" w:lineRule="atLeast"/>
            </w:pPr>
            <w:r>
              <w:rPr>
                <w:rFonts w:hint="eastAsia"/>
              </w:rPr>
              <w:t>201.9.6.2.1</w:t>
            </w:r>
            <w:r>
              <w:rPr>
                <w:rFonts w:hint="eastAsia"/>
              </w:rPr>
              <w:tab/>
            </w:r>
            <w:r>
              <w:rPr>
                <w:rFonts w:hint="eastAsia"/>
              </w:rPr>
              <w:t>可听声能</w:t>
            </w:r>
          </w:p>
          <w:p w14:paraId="5C2216F8">
            <w:pPr>
              <w:snapToGrid w:val="0"/>
              <w:spacing w:line="240" w:lineRule="atLeast"/>
            </w:pPr>
            <w:r>
              <w:rPr>
                <w:rFonts w:hint="eastAsia"/>
              </w:rPr>
              <w:t>增补：</w:t>
            </w:r>
          </w:p>
          <w:p w14:paraId="22D804A2">
            <w:pPr>
              <w:snapToGrid w:val="0"/>
              <w:spacing w:line="240" w:lineRule="atLeast"/>
            </w:pPr>
            <w:r>
              <w:rPr>
                <w:rFonts w:hint="eastAsia"/>
              </w:rPr>
              <w:t>201.9.6.2.1.101</w:t>
            </w:r>
            <w:r>
              <w:t xml:space="preserve"> </w:t>
            </w:r>
            <w:r>
              <w:rPr>
                <w:rFonts w:hint="eastAsia"/>
              </w:rPr>
              <w:t>*婴儿舱内的声压级</w:t>
            </w:r>
          </w:p>
          <w:p w14:paraId="54367AD7">
            <w:pPr>
              <w:spacing w:line="340" w:lineRule="exact"/>
            </w:pPr>
            <w:r>
              <w:rPr>
                <w:rFonts w:hint="eastAsia"/>
              </w:rPr>
              <w:t xml:space="preserve">在正常使用时，婴儿舱内声级除了201.9.6.2.1.103的规定外，不得超过60dB（A）声压级。 </w:t>
            </w:r>
            <w:r>
              <w:t xml:space="preserve">                   </w:t>
            </w:r>
            <w:r>
              <w:rPr>
                <w:rFonts w:hint="eastAsia"/>
              </w:rPr>
              <w:t>单位：dB（A）</w:t>
            </w:r>
          </w:p>
        </w:tc>
        <w:tc>
          <w:tcPr>
            <w:tcW w:w="1080" w:type="dxa"/>
            <w:vAlign w:val="center"/>
          </w:tcPr>
          <w:p w14:paraId="49136897">
            <w:pPr>
              <w:jc w:val="center"/>
            </w:pPr>
          </w:p>
        </w:tc>
        <w:tc>
          <w:tcPr>
            <w:tcW w:w="1080" w:type="dxa"/>
            <w:vMerge w:val="restart"/>
            <w:vAlign w:val="center"/>
          </w:tcPr>
          <w:p w14:paraId="08A04492">
            <w:pPr>
              <w:jc w:val="center"/>
            </w:pPr>
          </w:p>
        </w:tc>
        <w:tc>
          <w:tcPr>
            <w:tcW w:w="876" w:type="dxa"/>
            <w:vMerge w:val="continue"/>
            <w:vAlign w:val="center"/>
          </w:tcPr>
          <w:p w14:paraId="0773551B"/>
        </w:tc>
      </w:tr>
      <w:tr w14:paraId="47E3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58936E25"/>
        </w:tc>
        <w:tc>
          <w:tcPr>
            <w:tcW w:w="1080" w:type="dxa"/>
            <w:vMerge w:val="continue"/>
          </w:tcPr>
          <w:p w14:paraId="2AF56852"/>
        </w:tc>
        <w:tc>
          <w:tcPr>
            <w:tcW w:w="720" w:type="dxa"/>
            <w:vMerge w:val="continue"/>
          </w:tcPr>
          <w:p w14:paraId="23AFD454">
            <w:pPr>
              <w:spacing w:line="320" w:lineRule="exact"/>
            </w:pPr>
          </w:p>
        </w:tc>
        <w:tc>
          <w:tcPr>
            <w:tcW w:w="4500" w:type="dxa"/>
          </w:tcPr>
          <w:p w14:paraId="2B715962">
            <w:pPr>
              <w:snapToGrid w:val="0"/>
              <w:spacing w:line="240" w:lineRule="atLeast"/>
            </w:pPr>
            <w:r>
              <w:rPr>
                <w:rFonts w:hint="eastAsia"/>
              </w:rPr>
              <w:t>201.9.6.2.1.102</w:t>
            </w:r>
            <w:r>
              <w:t xml:space="preserve"> </w:t>
            </w:r>
            <w:r>
              <w:rPr>
                <w:rFonts w:hint="eastAsia"/>
              </w:rPr>
              <w:t>*声响报警声压级</w:t>
            </w:r>
          </w:p>
          <w:p w14:paraId="367EC74A">
            <w:pPr>
              <w:spacing w:line="340" w:lineRule="exact"/>
            </w:pPr>
            <w:r>
              <w:rPr>
                <w:rFonts w:hint="eastAsia"/>
              </w:rPr>
              <w:t>在反射室内，声响报警信号在控制装置正前方3m处的声级应至少为65dB（A），单位：dB（A）</w:t>
            </w:r>
          </w:p>
        </w:tc>
        <w:tc>
          <w:tcPr>
            <w:tcW w:w="1080" w:type="dxa"/>
            <w:vAlign w:val="center"/>
          </w:tcPr>
          <w:p w14:paraId="38B02EAF">
            <w:pPr>
              <w:jc w:val="center"/>
            </w:pPr>
          </w:p>
        </w:tc>
        <w:tc>
          <w:tcPr>
            <w:tcW w:w="1080" w:type="dxa"/>
            <w:vMerge w:val="continue"/>
            <w:vAlign w:val="center"/>
          </w:tcPr>
          <w:p w14:paraId="59FBD061">
            <w:pPr>
              <w:jc w:val="center"/>
            </w:pPr>
          </w:p>
        </w:tc>
        <w:tc>
          <w:tcPr>
            <w:tcW w:w="876" w:type="dxa"/>
            <w:vMerge w:val="continue"/>
            <w:vAlign w:val="center"/>
          </w:tcPr>
          <w:p w14:paraId="2C760D27"/>
        </w:tc>
      </w:tr>
      <w:tr w14:paraId="5FAF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7A8A1D86"/>
        </w:tc>
        <w:tc>
          <w:tcPr>
            <w:tcW w:w="1080" w:type="dxa"/>
            <w:vMerge w:val="continue"/>
          </w:tcPr>
          <w:p w14:paraId="1F9BA18E"/>
        </w:tc>
        <w:tc>
          <w:tcPr>
            <w:tcW w:w="720" w:type="dxa"/>
            <w:vMerge w:val="continue"/>
          </w:tcPr>
          <w:p w14:paraId="30919270">
            <w:pPr>
              <w:spacing w:line="320" w:lineRule="exact"/>
            </w:pPr>
          </w:p>
        </w:tc>
        <w:tc>
          <w:tcPr>
            <w:tcW w:w="4500" w:type="dxa"/>
          </w:tcPr>
          <w:p w14:paraId="5BABA1F6">
            <w:pPr>
              <w:spacing w:line="340" w:lineRule="exact"/>
            </w:pPr>
            <w:r>
              <w:rPr>
                <w:rFonts w:hint="eastAsia"/>
              </w:rPr>
              <w:t xml:space="preserve">声响报警可由操作者调节，但最低声级不应低于50dB（A）。 </w:t>
            </w:r>
            <w:r>
              <w:t xml:space="preserve">              </w:t>
            </w:r>
            <w:r>
              <w:rPr>
                <w:rFonts w:hint="eastAsia"/>
              </w:rPr>
              <w:t>单位：dB（A）</w:t>
            </w:r>
          </w:p>
        </w:tc>
        <w:tc>
          <w:tcPr>
            <w:tcW w:w="1080" w:type="dxa"/>
            <w:vAlign w:val="center"/>
          </w:tcPr>
          <w:p w14:paraId="62713AF3">
            <w:pPr>
              <w:jc w:val="center"/>
            </w:pPr>
          </w:p>
        </w:tc>
        <w:tc>
          <w:tcPr>
            <w:tcW w:w="1080" w:type="dxa"/>
            <w:vMerge w:val="continue"/>
            <w:vAlign w:val="center"/>
          </w:tcPr>
          <w:p w14:paraId="2CEF5B4A">
            <w:pPr>
              <w:jc w:val="center"/>
            </w:pPr>
          </w:p>
        </w:tc>
        <w:tc>
          <w:tcPr>
            <w:tcW w:w="876" w:type="dxa"/>
            <w:vMerge w:val="continue"/>
            <w:vAlign w:val="center"/>
          </w:tcPr>
          <w:p w14:paraId="758DE5A5"/>
        </w:tc>
      </w:tr>
      <w:tr w14:paraId="451E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786CF853"/>
        </w:tc>
        <w:tc>
          <w:tcPr>
            <w:tcW w:w="1080" w:type="dxa"/>
            <w:vMerge w:val="continue"/>
          </w:tcPr>
          <w:p w14:paraId="077F7B65"/>
        </w:tc>
        <w:tc>
          <w:tcPr>
            <w:tcW w:w="720" w:type="dxa"/>
            <w:vMerge w:val="continue"/>
          </w:tcPr>
          <w:p w14:paraId="40AD9341">
            <w:pPr>
              <w:spacing w:line="320" w:lineRule="exact"/>
            </w:pPr>
          </w:p>
        </w:tc>
        <w:tc>
          <w:tcPr>
            <w:tcW w:w="4500" w:type="dxa"/>
          </w:tcPr>
          <w:p w14:paraId="5DF6FBFA">
            <w:pPr>
              <w:spacing w:line="340" w:lineRule="exact"/>
            </w:pPr>
            <w:r>
              <w:rPr>
                <w:rFonts w:hint="eastAsia"/>
              </w:rPr>
              <w:t>如声响报警频率可供操作者调节，则这些要求都应适用于任一可供选择的频率。</w:t>
            </w:r>
          </w:p>
        </w:tc>
        <w:tc>
          <w:tcPr>
            <w:tcW w:w="1080" w:type="dxa"/>
            <w:vAlign w:val="center"/>
          </w:tcPr>
          <w:p w14:paraId="672D9E14">
            <w:pPr>
              <w:jc w:val="center"/>
            </w:pPr>
          </w:p>
        </w:tc>
        <w:tc>
          <w:tcPr>
            <w:tcW w:w="1080" w:type="dxa"/>
            <w:vMerge w:val="continue"/>
            <w:vAlign w:val="center"/>
          </w:tcPr>
          <w:p w14:paraId="5C16538F">
            <w:pPr>
              <w:jc w:val="center"/>
            </w:pPr>
          </w:p>
        </w:tc>
        <w:tc>
          <w:tcPr>
            <w:tcW w:w="876" w:type="dxa"/>
            <w:vMerge w:val="continue"/>
            <w:vAlign w:val="center"/>
          </w:tcPr>
          <w:p w14:paraId="5F907D2C"/>
        </w:tc>
      </w:tr>
      <w:tr w14:paraId="2B48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4F8C167B"/>
        </w:tc>
        <w:tc>
          <w:tcPr>
            <w:tcW w:w="1080" w:type="dxa"/>
            <w:vMerge w:val="continue"/>
          </w:tcPr>
          <w:p w14:paraId="4C475C7A"/>
        </w:tc>
        <w:tc>
          <w:tcPr>
            <w:tcW w:w="720" w:type="dxa"/>
            <w:vMerge w:val="continue"/>
          </w:tcPr>
          <w:p w14:paraId="68B38E75">
            <w:pPr>
              <w:spacing w:line="320" w:lineRule="exact"/>
            </w:pPr>
          </w:p>
        </w:tc>
        <w:tc>
          <w:tcPr>
            <w:tcW w:w="4500" w:type="dxa"/>
          </w:tcPr>
          <w:p w14:paraId="4B6D0C0C">
            <w:pPr>
              <w:snapToGrid w:val="0"/>
              <w:spacing w:line="240" w:lineRule="atLeast"/>
            </w:pPr>
            <w:r>
              <w:rPr>
                <w:rFonts w:hint="eastAsia"/>
              </w:rPr>
              <w:t>201.9.6.2.1.103</w:t>
            </w:r>
            <w:r>
              <w:t xml:space="preserve"> </w:t>
            </w:r>
            <w:r>
              <w:rPr>
                <w:rFonts w:hint="eastAsia"/>
              </w:rPr>
              <w:t>*婴儿舱内声响报警声压级</w:t>
            </w:r>
          </w:p>
          <w:p w14:paraId="317417A1">
            <w:pPr>
              <w:spacing w:line="340" w:lineRule="exact"/>
            </w:pPr>
            <w:r>
              <w:rPr>
                <w:rFonts w:hint="eastAsia"/>
              </w:rPr>
              <w:t>当婴儿培养箱的任何报警器报警时，婴儿舱内声级不应超过80dB（A）声压级。如果声响报警器的频率可供操作者调节，则这个要求应适用于任一可供选择的频率。</w:t>
            </w:r>
          </w:p>
          <w:p w14:paraId="4DBB4B36">
            <w:pPr>
              <w:spacing w:line="340" w:lineRule="exact"/>
              <w:jc w:val="right"/>
            </w:pPr>
            <w:r>
              <w:rPr>
                <w:rFonts w:hint="eastAsia"/>
              </w:rPr>
              <w:t>单位：dB（A）</w:t>
            </w:r>
          </w:p>
        </w:tc>
        <w:tc>
          <w:tcPr>
            <w:tcW w:w="1080" w:type="dxa"/>
            <w:vAlign w:val="center"/>
          </w:tcPr>
          <w:p w14:paraId="25413AA6">
            <w:pPr>
              <w:jc w:val="center"/>
            </w:pPr>
          </w:p>
        </w:tc>
        <w:tc>
          <w:tcPr>
            <w:tcW w:w="1080" w:type="dxa"/>
            <w:vMerge w:val="continue"/>
            <w:vAlign w:val="center"/>
          </w:tcPr>
          <w:p w14:paraId="5273B896">
            <w:pPr>
              <w:jc w:val="center"/>
            </w:pPr>
          </w:p>
        </w:tc>
        <w:tc>
          <w:tcPr>
            <w:tcW w:w="876" w:type="dxa"/>
            <w:vMerge w:val="continue"/>
            <w:vAlign w:val="center"/>
          </w:tcPr>
          <w:p w14:paraId="3C7D3ADE"/>
        </w:tc>
      </w:tr>
      <w:tr w14:paraId="55A5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0B9E5B67">
            <w:pPr>
              <w:numPr>
                <w:ilvl w:val="0"/>
                <w:numId w:val="1"/>
              </w:numPr>
            </w:pPr>
          </w:p>
        </w:tc>
        <w:tc>
          <w:tcPr>
            <w:tcW w:w="1080" w:type="dxa"/>
            <w:vMerge w:val="restart"/>
          </w:tcPr>
          <w:p w14:paraId="55254899">
            <w:r>
              <w:rPr>
                <w:rFonts w:hint="eastAsia"/>
              </w:rPr>
              <w:t>支承系统相关的机械危险</w:t>
            </w:r>
          </w:p>
        </w:tc>
        <w:tc>
          <w:tcPr>
            <w:tcW w:w="720" w:type="dxa"/>
            <w:vMerge w:val="restart"/>
          </w:tcPr>
          <w:p w14:paraId="125EE8AE">
            <w:pPr>
              <w:spacing w:line="320" w:lineRule="exact"/>
              <w:ind w:left="-84" w:leftChars="-40" w:right="-105" w:rightChars="-50"/>
              <w:jc w:val="center"/>
            </w:pPr>
            <w:r>
              <w:rPr>
                <w:rFonts w:hint="eastAsia"/>
              </w:rPr>
              <w:t>201.9.8</w:t>
            </w:r>
          </w:p>
        </w:tc>
        <w:tc>
          <w:tcPr>
            <w:tcW w:w="4500" w:type="dxa"/>
          </w:tcPr>
          <w:p w14:paraId="5E111F8B">
            <w:pPr>
              <w:snapToGrid w:val="0"/>
              <w:spacing w:line="240" w:lineRule="atLeast"/>
            </w:pPr>
            <w:r>
              <w:rPr>
                <w:rFonts w:hint="eastAsia"/>
              </w:rPr>
              <w:t>201.9.8.3患者或操作者支承或悬挂系统的强度要求</w:t>
            </w:r>
          </w:p>
          <w:p w14:paraId="51F40A83">
            <w:pPr>
              <w:snapToGrid w:val="0"/>
              <w:spacing w:line="240" w:lineRule="atLeast"/>
            </w:pPr>
            <w:r>
              <w:rPr>
                <w:rFonts w:hint="eastAsia"/>
              </w:rPr>
              <w:t>201.9.8.3.1</w:t>
            </w:r>
            <w:r>
              <w:t xml:space="preserve"> </w:t>
            </w:r>
            <w:r>
              <w:rPr>
                <w:rFonts w:hint="eastAsia"/>
              </w:rPr>
              <w:t>概述</w:t>
            </w:r>
          </w:p>
          <w:p w14:paraId="1A441677">
            <w:pPr>
              <w:snapToGrid w:val="0"/>
              <w:spacing w:line="240" w:lineRule="atLeast"/>
            </w:pPr>
            <w:r>
              <w:rPr>
                <w:rFonts w:hint="eastAsia"/>
              </w:rPr>
              <w:t>修改：</w:t>
            </w:r>
          </w:p>
          <w:p w14:paraId="411E82A9">
            <w:pPr>
              <w:spacing w:line="340" w:lineRule="exact"/>
            </w:pPr>
            <w:r>
              <w:rPr>
                <w:rFonts w:hint="eastAsia"/>
              </w:rPr>
              <w:t>一个婴儿的正常负载应少于10kg。</w:t>
            </w:r>
          </w:p>
        </w:tc>
        <w:tc>
          <w:tcPr>
            <w:tcW w:w="1080" w:type="dxa"/>
            <w:vAlign w:val="center"/>
          </w:tcPr>
          <w:p w14:paraId="4A876669">
            <w:pPr>
              <w:jc w:val="center"/>
            </w:pPr>
          </w:p>
        </w:tc>
        <w:tc>
          <w:tcPr>
            <w:tcW w:w="1080" w:type="dxa"/>
            <w:vMerge w:val="restart"/>
            <w:vAlign w:val="center"/>
          </w:tcPr>
          <w:p w14:paraId="47709BE4">
            <w:pPr>
              <w:jc w:val="center"/>
            </w:pPr>
          </w:p>
        </w:tc>
        <w:tc>
          <w:tcPr>
            <w:tcW w:w="876" w:type="dxa"/>
            <w:vMerge w:val="restart"/>
            <w:vAlign w:val="center"/>
          </w:tcPr>
          <w:p w14:paraId="46195A30">
            <w:pPr>
              <w:jc w:val="center"/>
            </w:pPr>
          </w:p>
        </w:tc>
      </w:tr>
      <w:tr w14:paraId="4B54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4FFF799F"/>
        </w:tc>
        <w:tc>
          <w:tcPr>
            <w:tcW w:w="1080" w:type="dxa"/>
            <w:vMerge w:val="continue"/>
          </w:tcPr>
          <w:p w14:paraId="16E9B795"/>
        </w:tc>
        <w:tc>
          <w:tcPr>
            <w:tcW w:w="720" w:type="dxa"/>
            <w:vMerge w:val="continue"/>
          </w:tcPr>
          <w:p w14:paraId="1F349B69">
            <w:pPr>
              <w:spacing w:line="320" w:lineRule="exact"/>
            </w:pPr>
          </w:p>
        </w:tc>
        <w:tc>
          <w:tcPr>
            <w:tcW w:w="4500" w:type="dxa"/>
          </w:tcPr>
          <w:p w14:paraId="403ABB2D">
            <w:pPr>
              <w:snapToGrid w:val="0"/>
              <w:spacing w:line="240" w:lineRule="atLeast"/>
            </w:pPr>
            <w:r>
              <w:rPr>
                <w:rFonts w:hint="eastAsia"/>
              </w:rPr>
              <w:t>增补：</w:t>
            </w:r>
          </w:p>
          <w:p w14:paraId="282B7162">
            <w:pPr>
              <w:snapToGrid w:val="0"/>
              <w:spacing w:line="240" w:lineRule="atLeast"/>
            </w:pPr>
            <w:r>
              <w:rPr>
                <w:rFonts w:hint="eastAsia"/>
              </w:rPr>
              <w:t>201.9.8.3.101</w:t>
            </w:r>
            <w:r>
              <w:t xml:space="preserve"> </w:t>
            </w:r>
            <w:r>
              <w:rPr>
                <w:rFonts w:hint="eastAsia"/>
              </w:rPr>
              <w:t>*档隔件</w:t>
            </w:r>
          </w:p>
          <w:p w14:paraId="25A993BF">
            <w:pPr>
              <w:spacing w:line="340" w:lineRule="exact"/>
            </w:pPr>
            <w:r>
              <w:rPr>
                <w:rFonts w:hint="eastAsia"/>
              </w:rPr>
              <w:t>使用墙壁、板壁等档隔，应使婴儿被安全地保留在婴儿舱内。如门、出入口等档隔预期能被打开或拆去以便接触婴儿时，它们在下述规定的试验条件下，应紧闭而不会被打开。当表现为扣住时，应不可能出现档隔关闭不紧或锁闭不牢的情况，在下述试验条件下，婴儿培养箱应保证其机械紧闭性。</w:t>
            </w:r>
          </w:p>
        </w:tc>
        <w:tc>
          <w:tcPr>
            <w:tcW w:w="1080" w:type="dxa"/>
            <w:vAlign w:val="center"/>
          </w:tcPr>
          <w:p w14:paraId="7595C360">
            <w:pPr>
              <w:jc w:val="center"/>
            </w:pPr>
          </w:p>
        </w:tc>
        <w:tc>
          <w:tcPr>
            <w:tcW w:w="1080" w:type="dxa"/>
            <w:vMerge w:val="continue"/>
            <w:vAlign w:val="center"/>
          </w:tcPr>
          <w:p w14:paraId="0D753489">
            <w:pPr>
              <w:jc w:val="center"/>
            </w:pPr>
          </w:p>
        </w:tc>
        <w:tc>
          <w:tcPr>
            <w:tcW w:w="876" w:type="dxa"/>
            <w:vMerge w:val="continue"/>
            <w:vAlign w:val="center"/>
          </w:tcPr>
          <w:p w14:paraId="646D2C95"/>
        </w:tc>
      </w:tr>
      <w:tr w14:paraId="7053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778A38E0"/>
        </w:tc>
        <w:tc>
          <w:tcPr>
            <w:tcW w:w="1080" w:type="dxa"/>
            <w:vMerge w:val="continue"/>
          </w:tcPr>
          <w:p w14:paraId="0CB4D3ED"/>
        </w:tc>
        <w:tc>
          <w:tcPr>
            <w:tcW w:w="720" w:type="dxa"/>
            <w:vMerge w:val="continue"/>
          </w:tcPr>
          <w:p w14:paraId="1032E9F7">
            <w:pPr>
              <w:spacing w:line="320" w:lineRule="exact"/>
            </w:pPr>
          </w:p>
        </w:tc>
        <w:tc>
          <w:tcPr>
            <w:tcW w:w="4500" w:type="dxa"/>
          </w:tcPr>
          <w:p w14:paraId="0C466B6C">
            <w:pPr>
              <w:snapToGrid w:val="0"/>
              <w:spacing w:line="240" w:lineRule="atLeast"/>
            </w:pPr>
            <w:r>
              <w:rPr>
                <w:rFonts w:hint="eastAsia"/>
              </w:rPr>
              <w:t>201.9.8.3.10</w:t>
            </w:r>
            <w:r>
              <w:t>2</w:t>
            </w:r>
            <w:r>
              <w:rPr>
                <w:rFonts w:hint="eastAsia"/>
              </w:rPr>
              <w:tab/>
            </w:r>
            <w:r>
              <w:rPr>
                <w:rFonts w:hint="eastAsia"/>
              </w:rPr>
              <w:t>床垫托盘</w:t>
            </w:r>
          </w:p>
          <w:p w14:paraId="0493B4AD">
            <w:pPr>
              <w:spacing w:line="340" w:lineRule="exact"/>
            </w:pPr>
            <w:r>
              <w:rPr>
                <w:rFonts w:hint="eastAsia"/>
              </w:rPr>
              <w:t>如果床垫托盘可以伸展到箱罩外，则应加以限值，以保证托盘与婴儿培养箱保持相连，并得到支撑，且在婴儿重量下不会翻到。</w:t>
            </w:r>
          </w:p>
        </w:tc>
        <w:tc>
          <w:tcPr>
            <w:tcW w:w="1080" w:type="dxa"/>
            <w:vAlign w:val="center"/>
          </w:tcPr>
          <w:p w14:paraId="31870B4B">
            <w:pPr>
              <w:jc w:val="center"/>
            </w:pPr>
          </w:p>
        </w:tc>
        <w:tc>
          <w:tcPr>
            <w:tcW w:w="1080" w:type="dxa"/>
            <w:vMerge w:val="continue"/>
            <w:vAlign w:val="center"/>
          </w:tcPr>
          <w:p w14:paraId="24C909CD">
            <w:pPr>
              <w:jc w:val="center"/>
            </w:pPr>
          </w:p>
        </w:tc>
        <w:tc>
          <w:tcPr>
            <w:tcW w:w="876" w:type="dxa"/>
            <w:vMerge w:val="continue"/>
            <w:vAlign w:val="center"/>
          </w:tcPr>
          <w:p w14:paraId="4F89B0DF"/>
        </w:tc>
      </w:tr>
      <w:tr w14:paraId="4D2D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469A78C7"/>
        </w:tc>
        <w:tc>
          <w:tcPr>
            <w:tcW w:w="1080" w:type="dxa"/>
            <w:vMerge w:val="continue"/>
          </w:tcPr>
          <w:p w14:paraId="2F183825"/>
        </w:tc>
        <w:tc>
          <w:tcPr>
            <w:tcW w:w="720" w:type="dxa"/>
            <w:vMerge w:val="continue"/>
          </w:tcPr>
          <w:p w14:paraId="4F2EB2B7">
            <w:pPr>
              <w:spacing w:line="320" w:lineRule="exact"/>
            </w:pPr>
          </w:p>
        </w:tc>
        <w:tc>
          <w:tcPr>
            <w:tcW w:w="4500" w:type="dxa"/>
          </w:tcPr>
          <w:p w14:paraId="4D8AF710">
            <w:pPr>
              <w:snapToGrid w:val="0"/>
              <w:spacing w:line="240" w:lineRule="atLeast"/>
            </w:pPr>
            <w:r>
              <w:rPr>
                <w:rFonts w:hint="eastAsia"/>
              </w:rPr>
              <w:t>201.9.8.101</w:t>
            </w:r>
            <w:r>
              <w:rPr>
                <w:rFonts w:hint="eastAsia"/>
              </w:rPr>
              <w:tab/>
            </w:r>
            <w:r>
              <w:rPr>
                <w:rFonts w:hint="eastAsia"/>
              </w:rPr>
              <w:t>附件用的支架和托架</w:t>
            </w:r>
          </w:p>
          <w:p w14:paraId="6734FFD2">
            <w:pPr>
              <w:spacing w:line="340" w:lineRule="exact"/>
            </w:pPr>
            <w:r>
              <w:rPr>
                <w:rFonts w:hint="eastAsia"/>
              </w:rPr>
              <w:t>附件用的支架和托架应合适，并按其用途有足够的强度。</w:t>
            </w:r>
          </w:p>
        </w:tc>
        <w:tc>
          <w:tcPr>
            <w:tcW w:w="1080" w:type="dxa"/>
            <w:vAlign w:val="center"/>
          </w:tcPr>
          <w:p w14:paraId="7747016A">
            <w:pPr>
              <w:jc w:val="center"/>
            </w:pPr>
          </w:p>
        </w:tc>
        <w:tc>
          <w:tcPr>
            <w:tcW w:w="1080" w:type="dxa"/>
            <w:vMerge w:val="continue"/>
            <w:vAlign w:val="center"/>
          </w:tcPr>
          <w:p w14:paraId="7A0E2F73">
            <w:pPr>
              <w:jc w:val="center"/>
            </w:pPr>
          </w:p>
        </w:tc>
        <w:tc>
          <w:tcPr>
            <w:tcW w:w="876" w:type="dxa"/>
            <w:vMerge w:val="continue"/>
            <w:vAlign w:val="center"/>
          </w:tcPr>
          <w:p w14:paraId="0D3F3702"/>
        </w:tc>
      </w:tr>
      <w:tr w14:paraId="27A8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761C61CE">
            <w:pPr>
              <w:numPr>
                <w:ilvl w:val="0"/>
                <w:numId w:val="1"/>
              </w:numPr>
            </w:pPr>
          </w:p>
        </w:tc>
        <w:tc>
          <w:tcPr>
            <w:tcW w:w="1080" w:type="dxa"/>
          </w:tcPr>
          <w:p w14:paraId="39E10782">
            <w:pPr>
              <w:jc w:val="center"/>
            </w:pPr>
            <w:r>
              <w:rPr>
                <w:rFonts w:hint="eastAsia"/>
              </w:rPr>
              <w:t>ME设备的超温</w:t>
            </w:r>
          </w:p>
        </w:tc>
        <w:tc>
          <w:tcPr>
            <w:tcW w:w="720" w:type="dxa"/>
          </w:tcPr>
          <w:p w14:paraId="08E9E0D2">
            <w:pPr>
              <w:spacing w:line="320" w:lineRule="exact"/>
              <w:ind w:left="-84" w:leftChars="-40" w:right="-105" w:rightChars="-50"/>
              <w:jc w:val="center"/>
            </w:pPr>
            <w:r>
              <w:rPr>
                <w:rFonts w:hint="eastAsia"/>
              </w:rPr>
              <w:t>201.11.1</w:t>
            </w:r>
          </w:p>
        </w:tc>
        <w:tc>
          <w:tcPr>
            <w:tcW w:w="4500" w:type="dxa"/>
          </w:tcPr>
          <w:p w14:paraId="0F627C8F">
            <w:pPr>
              <w:snapToGrid w:val="0"/>
              <w:spacing w:line="240" w:lineRule="atLeast"/>
            </w:pPr>
            <w:r>
              <w:rPr>
                <w:rFonts w:hint="eastAsia"/>
              </w:rPr>
              <w:t>201.11.1.2.2</w:t>
            </w:r>
            <w:r>
              <w:rPr>
                <w:rFonts w:hint="eastAsia"/>
              </w:rPr>
              <w:tab/>
            </w:r>
            <w:r>
              <w:rPr>
                <w:rFonts w:hint="eastAsia"/>
              </w:rPr>
              <w:t>不向患者提供热量的应用部分</w:t>
            </w:r>
          </w:p>
          <w:p w14:paraId="50512A21">
            <w:pPr>
              <w:snapToGrid w:val="0"/>
              <w:spacing w:line="240" w:lineRule="atLeast"/>
            </w:pPr>
            <w:r>
              <w:rPr>
                <w:rFonts w:hint="eastAsia"/>
              </w:rPr>
              <w:t>替换：</w:t>
            </w:r>
          </w:p>
          <w:p w14:paraId="54CA05F5">
            <w:pPr>
              <w:snapToGrid w:val="0"/>
              <w:spacing w:line="240" w:lineRule="atLeast"/>
            </w:pPr>
            <w:r>
              <w:rPr>
                <w:rFonts w:hint="eastAsia"/>
              </w:rPr>
              <w:t>预期要与患者接触的表面温度不应超过40℃，可能会接触到患者的其他表面温度，金属表面不应超过40℃，其他材料不应超过43℃。</w:t>
            </w:r>
          </w:p>
          <w:p w14:paraId="65537D44">
            <w:pPr>
              <w:snapToGrid w:val="0"/>
              <w:spacing w:line="240" w:lineRule="atLeast"/>
            </w:pPr>
            <w:r>
              <w:rPr>
                <w:rFonts w:hint="eastAsia"/>
              </w:rPr>
              <w:t>这些要求适用于正常状态和单一故障状态，包括：</w:t>
            </w:r>
          </w:p>
          <w:p w14:paraId="4EF97DCF">
            <w:pPr>
              <w:snapToGrid w:val="0"/>
              <w:spacing w:line="240" w:lineRule="atLeast"/>
            </w:pPr>
            <w:r>
              <w:t>——空气循环发生故障时；</w:t>
            </w:r>
          </w:p>
          <w:p w14:paraId="545C3B73">
            <w:pPr>
              <w:snapToGrid w:val="0"/>
              <w:spacing w:line="240" w:lineRule="atLeast"/>
            </w:pPr>
            <w:r>
              <w:t>——恒温器发生故障时；</w:t>
            </w:r>
          </w:p>
          <w:p w14:paraId="71618F07">
            <w:pPr>
              <w:spacing w:line="340" w:lineRule="exact"/>
            </w:pPr>
            <w:r>
              <w:t>——</w:t>
            </w:r>
            <w:r>
              <w:rPr>
                <w:rFonts w:hint="eastAsia"/>
              </w:rPr>
              <w:t>皮肤温度传感器断开时。</w:t>
            </w:r>
          </w:p>
        </w:tc>
        <w:tc>
          <w:tcPr>
            <w:tcW w:w="1080" w:type="dxa"/>
            <w:vAlign w:val="center"/>
          </w:tcPr>
          <w:p w14:paraId="46B90118">
            <w:pPr>
              <w:jc w:val="center"/>
            </w:pPr>
          </w:p>
        </w:tc>
        <w:tc>
          <w:tcPr>
            <w:tcW w:w="1080" w:type="dxa"/>
            <w:vAlign w:val="center"/>
          </w:tcPr>
          <w:p w14:paraId="426BD1CE">
            <w:pPr>
              <w:jc w:val="center"/>
            </w:pPr>
          </w:p>
        </w:tc>
        <w:tc>
          <w:tcPr>
            <w:tcW w:w="876" w:type="dxa"/>
            <w:vMerge w:val="continue"/>
            <w:vAlign w:val="center"/>
          </w:tcPr>
          <w:p w14:paraId="3D5CAEBE"/>
        </w:tc>
      </w:tr>
      <w:tr w14:paraId="7BA4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063E677B">
            <w:pPr>
              <w:numPr>
                <w:ilvl w:val="0"/>
                <w:numId w:val="1"/>
              </w:numPr>
            </w:pPr>
          </w:p>
        </w:tc>
        <w:tc>
          <w:tcPr>
            <w:tcW w:w="1080" w:type="dxa"/>
          </w:tcPr>
          <w:p w14:paraId="23148884">
            <w:pPr>
              <w:snapToGrid w:val="0"/>
              <w:spacing w:line="240" w:lineRule="atLeast"/>
            </w:pPr>
            <w:r>
              <w:rPr>
                <w:rFonts w:hint="eastAsia"/>
              </w:rPr>
              <w:t>*ME设备中的溢流</w:t>
            </w:r>
          </w:p>
          <w:p w14:paraId="65C5F795"/>
        </w:tc>
        <w:tc>
          <w:tcPr>
            <w:tcW w:w="720" w:type="dxa"/>
          </w:tcPr>
          <w:p w14:paraId="76B801D7">
            <w:pPr>
              <w:spacing w:line="320" w:lineRule="exact"/>
              <w:ind w:left="-84" w:leftChars="-40" w:right="-105" w:rightChars="-50"/>
              <w:jc w:val="center"/>
            </w:pPr>
            <w:r>
              <w:rPr>
                <w:rFonts w:hint="eastAsia"/>
              </w:rPr>
              <w:t>201.11.</w:t>
            </w:r>
          </w:p>
          <w:p w14:paraId="0C2B98D5">
            <w:pPr>
              <w:spacing w:line="320" w:lineRule="exact"/>
              <w:ind w:left="-84" w:leftChars="-40" w:right="-105" w:rightChars="-50"/>
              <w:jc w:val="center"/>
            </w:pPr>
            <w:r>
              <w:rPr>
                <w:rFonts w:hint="eastAsia"/>
              </w:rPr>
              <w:t>6.2</w:t>
            </w:r>
          </w:p>
        </w:tc>
        <w:tc>
          <w:tcPr>
            <w:tcW w:w="4500" w:type="dxa"/>
          </w:tcPr>
          <w:p w14:paraId="7F92E370">
            <w:pPr>
              <w:snapToGrid w:val="0"/>
              <w:spacing w:line="240" w:lineRule="atLeast"/>
            </w:pPr>
            <w:r>
              <w:rPr>
                <w:rFonts w:hint="eastAsia"/>
              </w:rPr>
              <w:t>增补：</w:t>
            </w:r>
          </w:p>
          <w:p w14:paraId="412C4B81">
            <w:pPr>
              <w:spacing w:line="340" w:lineRule="exact"/>
            </w:pPr>
            <w:r>
              <w:rPr>
                <w:rFonts w:hint="eastAsia"/>
              </w:rPr>
              <w:t>如果水箱是婴儿培养箱整体的一部分，如水箱中水位无法看得见，则应有“最高”和“最低”的水位指示装置，水箱应设计成不必让婴儿培养箱倾斜就可以排干水箱内的水。</w:t>
            </w:r>
          </w:p>
        </w:tc>
        <w:tc>
          <w:tcPr>
            <w:tcW w:w="1080" w:type="dxa"/>
            <w:vAlign w:val="center"/>
          </w:tcPr>
          <w:p w14:paraId="5B596B9A">
            <w:pPr>
              <w:jc w:val="center"/>
            </w:pPr>
          </w:p>
        </w:tc>
        <w:tc>
          <w:tcPr>
            <w:tcW w:w="1080" w:type="dxa"/>
            <w:vAlign w:val="center"/>
          </w:tcPr>
          <w:p w14:paraId="1081E7B0">
            <w:pPr>
              <w:jc w:val="center"/>
            </w:pPr>
          </w:p>
        </w:tc>
        <w:tc>
          <w:tcPr>
            <w:tcW w:w="876" w:type="dxa"/>
            <w:vMerge w:val="continue"/>
            <w:vAlign w:val="center"/>
          </w:tcPr>
          <w:p w14:paraId="62A1FE43"/>
        </w:tc>
      </w:tr>
      <w:tr w14:paraId="647A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6662BC51">
            <w:pPr>
              <w:numPr>
                <w:ilvl w:val="0"/>
                <w:numId w:val="1"/>
              </w:numPr>
            </w:pPr>
          </w:p>
        </w:tc>
        <w:tc>
          <w:tcPr>
            <w:tcW w:w="1080" w:type="dxa"/>
          </w:tcPr>
          <w:p w14:paraId="74DF6356">
            <w:r>
              <w:rPr>
                <w:rFonts w:hint="eastAsia"/>
              </w:rPr>
              <w:t>ME设备和ME系统中的液体泼洒</w:t>
            </w:r>
          </w:p>
        </w:tc>
        <w:tc>
          <w:tcPr>
            <w:tcW w:w="720" w:type="dxa"/>
          </w:tcPr>
          <w:p w14:paraId="38F2DA5F">
            <w:pPr>
              <w:spacing w:line="320" w:lineRule="exact"/>
              <w:ind w:left="-84" w:leftChars="-40" w:right="-105" w:rightChars="-50"/>
              <w:jc w:val="center"/>
            </w:pPr>
            <w:r>
              <w:rPr>
                <w:rFonts w:hint="eastAsia"/>
              </w:rPr>
              <w:t>201.11.</w:t>
            </w:r>
          </w:p>
          <w:p w14:paraId="57B0395D">
            <w:pPr>
              <w:spacing w:line="320" w:lineRule="exact"/>
              <w:ind w:left="-84" w:leftChars="-40" w:right="-105" w:rightChars="-50"/>
              <w:jc w:val="center"/>
            </w:pPr>
            <w:r>
              <w:rPr>
                <w:rFonts w:hint="eastAsia"/>
              </w:rPr>
              <w:t>6.3</w:t>
            </w:r>
          </w:p>
        </w:tc>
        <w:tc>
          <w:tcPr>
            <w:tcW w:w="4500" w:type="dxa"/>
          </w:tcPr>
          <w:p w14:paraId="1E95903C">
            <w:pPr>
              <w:snapToGrid w:val="0"/>
              <w:spacing w:line="240" w:lineRule="atLeast"/>
            </w:pPr>
            <w:r>
              <w:rPr>
                <w:rFonts w:hint="eastAsia"/>
              </w:rPr>
              <w:t>替换：</w:t>
            </w:r>
          </w:p>
          <w:p w14:paraId="6ACB1367">
            <w:pPr>
              <w:snapToGrid w:val="0"/>
              <w:spacing w:line="240" w:lineRule="atLeast"/>
            </w:pPr>
            <w:r>
              <w:rPr>
                <w:rFonts w:hint="eastAsia"/>
              </w:rPr>
              <w:t>婴儿培养箱应制作成液体泼洒时不会弄湿那些一旦受潮后可能产生安全方面危险的部件。</w:t>
            </w:r>
          </w:p>
          <w:p w14:paraId="0BB44CCF">
            <w:pPr>
              <w:spacing w:line="340" w:lineRule="exact"/>
            </w:pPr>
            <w:r>
              <w:rPr>
                <w:rFonts w:hint="eastAsia"/>
              </w:rPr>
              <w:t>这类液体泼洒被认为是单一故障状态。</w:t>
            </w:r>
          </w:p>
        </w:tc>
        <w:tc>
          <w:tcPr>
            <w:tcW w:w="1080" w:type="dxa"/>
            <w:vAlign w:val="center"/>
          </w:tcPr>
          <w:p w14:paraId="1EF35461">
            <w:pPr>
              <w:jc w:val="center"/>
            </w:pPr>
          </w:p>
        </w:tc>
        <w:tc>
          <w:tcPr>
            <w:tcW w:w="1080" w:type="dxa"/>
            <w:vAlign w:val="center"/>
          </w:tcPr>
          <w:p w14:paraId="77F8C309">
            <w:pPr>
              <w:jc w:val="center"/>
            </w:pPr>
          </w:p>
        </w:tc>
        <w:tc>
          <w:tcPr>
            <w:tcW w:w="876" w:type="dxa"/>
            <w:vMerge w:val="continue"/>
            <w:vAlign w:val="center"/>
          </w:tcPr>
          <w:p w14:paraId="1D5F1A25"/>
        </w:tc>
      </w:tr>
      <w:tr w14:paraId="53F9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55AD8D54">
            <w:pPr>
              <w:numPr>
                <w:ilvl w:val="0"/>
                <w:numId w:val="1"/>
              </w:numPr>
            </w:pPr>
          </w:p>
        </w:tc>
        <w:tc>
          <w:tcPr>
            <w:tcW w:w="1080" w:type="dxa"/>
          </w:tcPr>
          <w:p w14:paraId="7E13C36D">
            <w:pPr>
              <w:snapToGrid w:val="0"/>
              <w:spacing w:line="240" w:lineRule="atLeast"/>
            </w:pPr>
            <w:r>
              <w:rPr>
                <w:rFonts w:hint="eastAsia"/>
              </w:rPr>
              <w:t>*ME设备和ME系统的清洗和消毒</w:t>
            </w:r>
          </w:p>
          <w:p w14:paraId="573D2CB9"/>
        </w:tc>
        <w:tc>
          <w:tcPr>
            <w:tcW w:w="720" w:type="dxa"/>
          </w:tcPr>
          <w:p w14:paraId="60E9A66C">
            <w:pPr>
              <w:spacing w:line="320" w:lineRule="exact"/>
              <w:ind w:left="-84" w:leftChars="-40" w:right="-105" w:rightChars="-50"/>
              <w:jc w:val="center"/>
            </w:pPr>
            <w:r>
              <w:rPr>
                <w:rFonts w:hint="eastAsia"/>
              </w:rPr>
              <w:t>201.11.</w:t>
            </w:r>
          </w:p>
          <w:p w14:paraId="7EA268AE">
            <w:pPr>
              <w:spacing w:line="320" w:lineRule="exact"/>
              <w:ind w:left="-84" w:leftChars="-40" w:right="-105" w:rightChars="-50"/>
              <w:jc w:val="center"/>
            </w:pPr>
            <w:r>
              <w:rPr>
                <w:rFonts w:hint="eastAsia"/>
              </w:rPr>
              <w:t>6.6</w:t>
            </w:r>
          </w:p>
        </w:tc>
        <w:tc>
          <w:tcPr>
            <w:tcW w:w="4500" w:type="dxa"/>
          </w:tcPr>
          <w:p w14:paraId="3796C72F">
            <w:pPr>
              <w:snapToGrid w:val="0"/>
              <w:spacing w:line="240" w:lineRule="atLeast"/>
            </w:pPr>
            <w:r>
              <w:rPr>
                <w:rFonts w:hint="eastAsia"/>
              </w:rPr>
              <w:t>增补：</w:t>
            </w:r>
          </w:p>
          <w:p w14:paraId="2E64262D">
            <w:pPr>
              <w:spacing w:line="340" w:lineRule="exact"/>
            </w:pPr>
            <w:r>
              <w:rPr>
                <w:rFonts w:hint="eastAsia"/>
              </w:rPr>
              <w:t>如果装有湿化器，应将它设计成在使用之间的间隔期可清除微生物。</w:t>
            </w:r>
          </w:p>
        </w:tc>
        <w:tc>
          <w:tcPr>
            <w:tcW w:w="1080" w:type="dxa"/>
            <w:vAlign w:val="center"/>
          </w:tcPr>
          <w:p w14:paraId="5319467E">
            <w:pPr>
              <w:jc w:val="center"/>
              <w:rPr>
                <w:b/>
                <w:bCs/>
              </w:rPr>
            </w:pPr>
          </w:p>
        </w:tc>
        <w:tc>
          <w:tcPr>
            <w:tcW w:w="1080" w:type="dxa"/>
            <w:vAlign w:val="center"/>
          </w:tcPr>
          <w:p w14:paraId="0BB227D1">
            <w:pPr>
              <w:jc w:val="center"/>
            </w:pPr>
          </w:p>
        </w:tc>
        <w:tc>
          <w:tcPr>
            <w:tcW w:w="876" w:type="dxa"/>
            <w:vMerge w:val="restart"/>
            <w:vAlign w:val="center"/>
          </w:tcPr>
          <w:p w14:paraId="4CAE40CF">
            <w:pPr>
              <w:jc w:val="center"/>
            </w:pPr>
          </w:p>
        </w:tc>
      </w:tr>
      <w:tr w14:paraId="388B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1A6A2ECE">
            <w:pPr>
              <w:numPr>
                <w:ilvl w:val="0"/>
                <w:numId w:val="1"/>
              </w:numPr>
            </w:pPr>
          </w:p>
        </w:tc>
        <w:tc>
          <w:tcPr>
            <w:tcW w:w="1080" w:type="dxa"/>
          </w:tcPr>
          <w:p w14:paraId="76924204">
            <w:pPr>
              <w:snapToGrid w:val="0"/>
              <w:spacing w:line="240" w:lineRule="atLeast"/>
            </w:pPr>
            <w:r>
              <w:rPr>
                <w:rFonts w:hint="eastAsia"/>
              </w:rPr>
              <w:t>ME设备的供电电源/供电网中断</w:t>
            </w:r>
          </w:p>
          <w:p w14:paraId="63FB8199"/>
        </w:tc>
        <w:tc>
          <w:tcPr>
            <w:tcW w:w="720" w:type="dxa"/>
          </w:tcPr>
          <w:p w14:paraId="42A7A505">
            <w:pPr>
              <w:spacing w:line="320" w:lineRule="exact"/>
              <w:ind w:left="-84" w:leftChars="-40" w:right="-105" w:rightChars="-50"/>
              <w:jc w:val="center"/>
            </w:pPr>
            <w:r>
              <w:rPr>
                <w:rFonts w:hint="eastAsia"/>
              </w:rPr>
              <w:t>201.11.8</w:t>
            </w:r>
          </w:p>
        </w:tc>
        <w:tc>
          <w:tcPr>
            <w:tcW w:w="4500" w:type="dxa"/>
          </w:tcPr>
          <w:p w14:paraId="347293DF">
            <w:pPr>
              <w:snapToGrid w:val="0"/>
              <w:spacing w:line="240" w:lineRule="atLeast"/>
            </w:pPr>
            <w:r>
              <w:rPr>
                <w:rFonts w:hint="eastAsia"/>
              </w:rPr>
              <w:t>增补：</w:t>
            </w:r>
          </w:p>
          <w:p w14:paraId="2A9FB0CC">
            <w:pPr>
              <w:spacing w:line="340" w:lineRule="exact"/>
            </w:pPr>
            <w:r>
              <w:rPr>
                <w:rFonts w:hint="eastAsia"/>
              </w:rPr>
              <w:t>ME设备应设计成当在10min内供电电源中断又恢复后，不应引起控制温度或其他预置值的改变。</w:t>
            </w:r>
          </w:p>
        </w:tc>
        <w:tc>
          <w:tcPr>
            <w:tcW w:w="1080" w:type="dxa"/>
            <w:vAlign w:val="center"/>
          </w:tcPr>
          <w:p w14:paraId="4B4E5355">
            <w:pPr>
              <w:jc w:val="center"/>
            </w:pPr>
          </w:p>
        </w:tc>
        <w:tc>
          <w:tcPr>
            <w:tcW w:w="1080" w:type="dxa"/>
            <w:vAlign w:val="center"/>
          </w:tcPr>
          <w:p w14:paraId="16DFB9D3">
            <w:pPr>
              <w:jc w:val="center"/>
            </w:pPr>
          </w:p>
        </w:tc>
        <w:tc>
          <w:tcPr>
            <w:tcW w:w="876" w:type="dxa"/>
            <w:vMerge w:val="continue"/>
            <w:vAlign w:val="center"/>
          </w:tcPr>
          <w:p w14:paraId="1FE8943E"/>
        </w:tc>
      </w:tr>
      <w:tr w14:paraId="22B2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67EB65A6">
            <w:pPr>
              <w:numPr>
                <w:ilvl w:val="0"/>
                <w:numId w:val="1"/>
              </w:numPr>
            </w:pPr>
          </w:p>
        </w:tc>
        <w:tc>
          <w:tcPr>
            <w:tcW w:w="1080" w:type="dxa"/>
            <w:vMerge w:val="restart"/>
          </w:tcPr>
          <w:p w14:paraId="4CA77ABA">
            <w:pPr>
              <w:snapToGrid w:val="0"/>
              <w:spacing w:line="240" w:lineRule="atLeast"/>
            </w:pPr>
            <w:r>
              <w:rPr>
                <w:rFonts w:hint="eastAsia"/>
              </w:rPr>
              <w:t>控制器和仪表的准确性</w:t>
            </w:r>
          </w:p>
          <w:p w14:paraId="501C2136"/>
        </w:tc>
        <w:tc>
          <w:tcPr>
            <w:tcW w:w="720" w:type="dxa"/>
            <w:vMerge w:val="restart"/>
          </w:tcPr>
          <w:p w14:paraId="6233072E">
            <w:pPr>
              <w:spacing w:line="320" w:lineRule="exact"/>
              <w:ind w:left="-84" w:leftChars="-40" w:right="-105" w:rightChars="-50"/>
              <w:jc w:val="center"/>
            </w:pPr>
            <w:r>
              <w:rPr>
                <w:rFonts w:hint="eastAsia"/>
              </w:rPr>
              <w:t>201.12.1</w:t>
            </w:r>
          </w:p>
        </w:tc>
        <w:tc>
          <w:tcPr>
            <w:tcW w:w="4500" w:type="dxa"/>
          </w:tcPr>
          <w:p w14:paraId="5AA7657F">
            <w:pPr>
              <w:snapToGrid w:val="0"/>
              <w:spacing w:line="240" w:lineRule="atLeast"/>
            </w:pPr>
            <w:r>
              <w:rPr>
                <w:rFonts w:hint="eastAsia"/>
              </w:rPr>
              <w:t>增补：</w:t>
            </w:r>
          </w:p>
          <w:p w14:paraId="62EDA7A7">
            <w:pPr>
              <w:snapToGrid w:val="0"/>
              <w:spacing w:line="240" w:lineRule="atLeast"/>
            </w:pPr>
            <w:r>
              <w:rPr>
                <w:rFonts w:hint="eastAsia"/>
              </w:rPr>
              <w:t>201.12.1.101</w:t>
            </w:r>
            <w:r>
              <w:rPr>
                <w:rFonts w:hint="eastAsia"/>
              </w:rPr>
              <w:tab/>
            </w:r>
            <w:r>
              <w:rPr>
                <w:rFonts w:hint="eastAsia"/>
              </w:rPr>
              <w:t>*培养箱温度的稳定性</w:t>
            </w:r>
          </w:p>
          <w:p w14:paraId="5245AECC">
            <w:pPr>
              <w:spacing w:line="340" w:lineRule="exact"/>
            </w:pPr>
            <w:r>
              <w:rPr>
                <w:rFonts w:hint="eastAsia"/>
              </w:rPr>
              <w:t>在稳定温度状态，培养箱温度与平均培养箱温度之差，不应超过0.5℃。</w:t>
            </w:r>
          </w:p>
          <w:p w14:paraId="564FAEFC">
            <w:pPr>
              <w:spacing w:line="340" w:lineRule="exact"/>
              <w:jc w:val="right"/>
            </w:pPr>
            <w:r>
              <w:rPr>
                <w:rFonts w:hint="eastAsia"/>
              </w:rPr>
              <w:t>单位：℃</w:t>
            </w:r>
          </w:p>
        </w:tc>
        <w:tc>
          <w:tcPr>
            <w:tcW w:w="1080" w:type="dxa"/>
            <w:vAlign w:val="center"/>
          </w:tcPr>
          <w:p w14:paraId="49F8E272">
            <w:pPr>
              <w:jc w:val="center"/>
            </w:pPr>
          </w:p>
        </w:tc>
        <w:tc>
          <w:tcPr>
            <w:tcW w:w="1080" w:type="dxa"/>
            <w:vMerge w:val="restart"/>
            <w:vAlign w:val="center"/>
          </w:tcPr>
          <w:p w14:paraId="6C1414A4">
            <w:pPr>
              <w:jc w:val="center"/>
            </w:pPr>
          </w:p>
        </w:tc>
        <w:tc>
          <w:tcPr>
            <w:tcW w:w="876" w:type="dxa"/>
            <w:vMerge w:val="continue"/>
            <w:vAlign w:val="center"/>
          </w:tcPr>
          <w:p w14:paraId="5968C0A0"/>
        </w:tc>
      </w:tr>
      <w:tr w14:paraId="5E95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BB4906F"/>
        </w:tc>
        <w:tc>
          <w:tcPr>
            <w:tcW w:w="1080" w:type="dxa"/>
            <w:vMerge w:val="continue"/>
          </w:tcPr>
          <w:p w14:paraId="1915B7A3"/>
        </w:tc>
        <w:tc>
          <w:tcPr>
            <w:tcW w:w="720" w:type="dxa"/>
            <w:vMerge w:val="continue"/>
            <w:vAlign w:val="center"/>
          </w:tcPr>
          <w:p w14:paraId="71329C5D">
            <w:pPr>
              <w:spacing w:line="320" w:lineRule="exact"/>
            </w:pPr>
          </w:p>
        </w:tc>
        <w:tc>
          <w:tcPr>
            <w:tcW w:w="4500" w:type="dxa"/>
          </w:tcPr>
          <w:p w14:paraId="3DA585CF">
            <w:pPr>
              <w:snapToGrid w:val="0"/>
              <w:spacing w:line="240" w:lineRule="atLeast"/>
            </w:pPr>
            <w:r>
              <w:rPr>
                <w:rFonts w:hint="eastAsia"/>
              </w:rPr>
              <w:t>201.12.1.102</w:t>
            </w:r>
            <w:r>
              <w:rPr>
                <w:rFonts w:hint="eastAsia"/>
              </w:rPr>
              <w:tab/>
            </w:r>
            <w:r>
              <w:rPr>
                <w:rFonts w:hint="eastAsia"/>
              </w:rPr>
              <w:t>*培养箱温度的均匀性</w:t>
            </w:r>
          </w:p>
          <w:p w14:paraId="120B30F1">
            <w:pPr>
              <w:snapToGrid w:val="0"/>
              <w:spacing w:line="240" w:lineRule="atLeast"/>
            </w:pPr>
            <w:r>
              <w:rPr>
                <w:rFonts w:hint="eastAsia"/>
              </w:rPr>
              <w:t>在正常使用时，空气温度控制的婴儿培养箱，其控制温度置于范围内的任何温度时，试验说明中规定的A、B、C和D点每一处的平均温度与平均培养箱温度之差不应大于0.8℃。</w:t>
            </w:r>
          </w:p>
          <w:p w14:paraId="52613FC0">
            <w:pPr>
              <w:spacing w:line="340" w:lineRule="exact"/>
              <w:jc w:val="right"/>
            </w:pPr>
            <w:r>
              <w:rPr>
                <w:rFonts w:hint="eastAsia"/>
              </w:rPr>
              <w:t>单位：℃</w:t>
            </w:r>
          </w:p>
        </w:tc>
        <w:tc>
          <w:tcPr>
            <w:tcW w:w="1080" w:type="dxa"/>
            <w:vAlign w:val="center"/>
          </w:tcPr>
          <w:p w14:paraId="77D79D69">
            <w:pPr>
              <w:jc w:val="center"/>
            </w:pPr>
          </w:p>
        </w:tc>
        <w:tc>
          <w:tcPr>
            <w:tcW w:w="1080" w:type="dxa"/>
            <w:vMerge w:val="continue"/>
            <w:vAlign w:val="center"/>
          </w:tcPr>
          <w:p w14:paraId="25BEBE3B">
            <w:pPr>
              <w:jc w:val="center"/>
            </w:pPr>
          </w:p>
        </w:tc>
        <w:tc>
          <w:tcPr>
            <w:tcW w:w="876" w:type="dxa"/>
            <w:vMerge w:val="continue"/>
            <w:vAlign w:val="center"/>
          </w:tcPr>
          <w:p w14:paraId="2194A54B"/>
        </w:tc>
      </w:tr>
      <w:tr w14:paraId="306C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81DDB14"/>
        </w:tc>
        <w:tc>
          <w:tcPr>
            <w:tcW w:w="1080" w:type="dxa"/>
            <w:vMerge w:val="continue"/>
          </w:tcPr>
          <w:p w14:paraId="6C6A4F4D"/>
        </w:tc>
        <w:tc>
          <w:tcPr>
            <w:tcW w:w="720" w:type="dxa"/>
            <w:vMerge w:val="continue"/>
            <w:vAlign w:val="center"/>
          </w:tcPr>
          <w:p w14:paraId="4571304A">
            <w:pPr>
              <w:spacing w:line="320" w:lineRule="exact"/>
            </w:pPr>
          </w:p>
        </w:tc>
        <w:tc>
          <w:tcPr>
            <w:tcW w:w="4500" w:type="dxa"/>
          </w:tcPr>
          <w:p w14:paraId="22564F57">
            <w:pPr>
              <w:spacing w:line="340" w:lineRule="exact"/>
            </w:pPr>
            <w:r>
              <w:rPr>
                <w:rFonts w:hint="eastAsia"/>
              </w:rPr>
              <w:t>床垫倾斜在任一位置时，该值都不应大于1℃。</w:t>
            </w:r>
          </w:p>
          <w:p w14:paraId="642E88E1">
            <w:pPr>
              <w:spacing w:line="340" w:lineRule="exact"/>
              <w:jc w:val="right"/>
            </w:pPr>
            <w:r>
              <w:rPr>
                <w:rFonts w:hint="eastAsia"/>
              </w:rPr>
              <w:t>单位：℃</w:t>
            </w:r>
          </w:p>
        </w:tc>
        <w:tc>
          <w:tcPr>
            <w:tcW w:w="1080" w:type="dxa"/>
            <w:vAlign w:val="center"/>
          </w:tcPr>
          <w:p w14:paraId="68461C7E">
            <w:pPr>
              <w:jc w:val="center"/>
            </w:pPr>
          </w:p>
        </w:tc>
        <w:tc>
          <w:tcPr>
            <w:tcW w:w="1080" w:type="dxa"/>
            <w:vMerge w:val="continue"/>
            <w:vAlign w:val="center"/>
          </w:tcPr>
          <w:p w14:paraId="64BFF82B">
            <w:pPr>
              <w:jc w:val="center"/>
            </w:pPr>
          </w:p>
        </w:tc>
        <w:tc>
          <w:tcPr>
            <w:tcW w:w="876" w:type="dxa"/>
            <w:vMerge w:val="continue"/>
            <w:vAlign w:val="center"/>
          </w:tcPr>
          <w:p w14:paraId="33A08721"/>
        </w:tc>
      </w:tr>
      <w:tr w14:paraId="2ED9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5627A67A"/>
        </w:tc>
        <w:tc>
          <w:tcPr>
            <w:tcW w:w="1080" w:type="dxa"/>
            <w:vMerge w:val="continue"/>
          </w:tcPr>
          <w:p w14:paraId="4A2A7D6C"/>
        </w:tc>
        <w:tc>
          <w:tcPr>
            <w:tcW w:w="720" w:type="dxa"/>
            <w:vMerge w:val="continue"/>
          </w:tcPr>
          <w:p w14:paraId="5B1A6FAD">
            <w:pPr>
              <w:spacing w:line="320" w:lineRule="exact"/>
            </w:pPr>
          </w:p>
        </w:tc>
        <w:tc>
          <w:tcPr>
            <w:tcW w:w="4500" w:type="dxa"/>
          </w:tcPr>
          <w:p w14:paraId="203B18B7">
            <w:pPr>
              <w:snapToGrid w:val="0"/>
              <w:spacing w:line="240" w:lineRule="atLeast"/>
            </w:pPr>
            <w:r>
              <w:rPr>
                <w:rFonts w:hint="eastAsia"/>
              </w:rPr>
              <w:t>201.12.1.103</w:t>
            </w:r>
            <w:r>
              <w:rPr>
                <w:rFonts w:hint="eastAsia"/>
              </w:rPr>
              <w:tab/>
            </w:r>
            <w:r>
              <w:rPr>
                <w:rFonts w:hint="eastAsia"/>
              </w:rPr>
              <w:t>*皮肤温度传感器的准确性</w:t>
            </w:r>
          </w:p>
          <w:p w14:paraId="162FE84B">
            <w:pPr>
              <w:spacing w:line="340" w:lineRule="exact"/>
            </w:pPr>
            <w:r>
              <w:rPr>
                <w:rFonts w:hint="eastAsia"/>
              </w:rPr>
              <w:t>测量皮肤温度的皮肤温度传感器的精度应在±0.3℃内。</w:t>
            </w:r>
          </w:p>
          <w:p w14:paraId="46EF477C">
            <w:pPr>
              <w:spacing w:line="340" w:lineRule="exact"/>
              <w:jc w:val="right"/>
            </w:pPr>
            <w:r>
              <w:rPr>
                <w:rFonts w:hint="eastAsia"/>
              </w:rPr>
              <w:t>单位：℃</w:t>
            </w:r>
          </w:p>
        </w:tc>
        <w:tc>
          <w:tcPr>
            <w:tcW w:w="1080" w:type="dxa"/>
            <w:vAlign w:val="center"/>
          </w:tcPr>
          <w:p w14:paraId="64962966">
            <w:pPr>
              <w:jc w:val="center"/>
            </w:pPr>
          </w:p>
        </w:tc>
        <w:tc>
          <w:tcPr>
            <w:tcW w:w="1080" w:type="dxa"/>
            <w:vMerge w:val="continue"/>
            <w:vAlign w:val="center"/>
          </w:tcPr>
          <w:p w14:paraId="6FBF2796">
            <w:pPr>
              <w:jc w:val="center"/>
            </w:pPr>
          </w:p>
        </w:tc>
        <w:tc>
          <w:tcPr>
            <w:tcW w:w="876" w:type="dxa"/>
            <w:vMerge w:val="continue"/>
            <w:vAlign w:val="center"/>
          </w:tcPr>
          <w:p w14:paraId="135E9729"/>
        </w:tc>
      </w:tr>
      <w:tr w14:paraId="6156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73EDB0B6"/>
        </w:tc>
        <w:tc>
          <w:tcPr>
            <w:tcW w:w="1080" w:type="dxa"/>
            <w:vMerge w:val="continue"/>
          </w:tcPr>
          <w:p w14:paraId="00A12AA3"/>
        </w:tc>
        <w:tc>
          <w:tcPr>
            <w:tcW w:w="720" w:type="dxa"/>
            <w:vMerge w:val="continue"/>
          </w:tcPr>
          <w:p w14:paraId="41ED4DB6">
            <w:pPr>
              <w:spacing w:line="320" w:lineRule="exact"/>
            </w:pPr>
          </w:p>
        </w:tc>
        <w:tc>
          <w:tcPr>
            <w:tcW w:w="4500" w:type="dxa"/>
          </w:tcPr>
          <w:p w14:paraId="47CB162F">
            <w:pPr>
              <w:snapToGrid w:val="0"/>
              <w:spacing w:line="240" w:lineRule="atLeast"/>
            </w:pPr>
            <w:r>
              <w:rPr>
                <w:rFonts w:hint="eastAsia"/>
              </w:rPr>
              <w:t>201.12.1.104</w:t>
            </w:r>
            <w:r>
              <w:rPr>
                <w:rFonts w:hint="eastAsia"/>
              </w:rPr>
              <w:tab/>
            </w:r>
            <w:r>
              <w:rPr>
                <w:rFonts w:hint="eastAsia"/>
              </w:rPr>
              <w:t>*皮肤温度和控制温度之间的准确性</w:t>
            </w:r>
          </w:p>
          <w:p w14:paraId="551EF0ED">
            <w:pPr>
              <w:spacing w:line="340" w:lineRule="exact"/>
            </w:pPr>
            <w:r>
              <w:rPr>
                <w:rFonts w:hint="eastAsia"/>
              </w:rPr>
              <w:t>在稳定温度状态下，使婴儿培养箱工作在婴儿温度控制的培养箱方式，使床垫水平方向放置，由皮肤温度传感器测得的温度与控制温度之间差异不应大于0.7℃。</w:t>
            </w:r>
          </w:p>
          <w:p w14:paraId="1F0D8480">
            <w:pPr>
              <w:spacing w:line="340" w:lineRule="exact"/>
              <w:jc w:val="right"/>
            </w:pPr>
            <w:r>
              <w:rPr>
                <w:rFonts w:hint="eastAsia"/>
              </w:rPr>
              <w:t>单位：℃</w:t>
            </w:r>
          </w:p>
        </w:tc>
        <w:tc>
          <w:tcPr>
            <w:tcW w:w="1080" w:type="dxa"/>
            <w:vAlign w:val="center"/>
          </w:tcPr>
          <w:p w14:paraId="64A0D227">
            <w:pPr>
              <w:jc w:val="center"/>
            </w:pPr>
          </w:p>
        </w:tc>
        <w:tc>
          <w:tcPr>
            <w:tcW w:w="1080" w:type="dxa"/>
            <w:vMerge w:val="continue"/>
            <w:vAlign w:val="center"/>
          </w:tcPr>
          <w:p w14:paraId="08AB1017">
            <w:pPr>
              <w:jc w:val="center"/>
            </w:pPr>
          </w:p>
        </w:tc>
        <w:tc>
          <w:tcPr>
            <w:tcW w:w="876" w:type="dxa"/>
            <w:vMerge w:val="continue"/>
            <w:vAlign w:val="center"/>
          </w:tcPr>
          <w:p w14:paraId="259507BE"/>
        </w:tc>
      </w:tr>
      <w:tr w14:paraId="2F4A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57EFADFB"/>
        </w:tc>
        <w:tc>
          <w:tcPr>
            <w:tcW w:w="1080" w:type="dxa"/>
            <w:vMerge w:val="continue"/>
          </w:tcPr>
          <w:p w14:paraId="20F25139"/>
        </w:tc>
        <w:tc>
          <w:tcPr>
            <w:tcW w:w="720" w:type="dxa"/>
            <w:vMerge w:val="continue"/>
          </w:tcPr>
          <w:p w14:paraId="0B22C5C9">
            <w:pPr>
              <w:spacing w:line="320" w:lineRule="exact"/>
            </w:pPr>
          </w:p>
        </w:tc>
        <w:tc>
          <w:tcPr>
            <w:tcW w:w="4500" w:type="dxa"/>
          </w:tcPr>
          <w:p w14:paraId="500A6DD6">
            <w:pPr>
              <w:snapToGrid w:val="0"/>
              <w:spacing w:line="240" w:lineRule="atLeast"/>
            </w:pPr>
            <w:r>
              <w:rPr>
                <w:rFonts w:hint="eastAsia"/>
              </w:rPr>
              <w:t>201.12.1.105</w:t>
            </w:r>
            <w:r>
              <w:rPr>
                <w:rFonts w:hint="eastAsia"/>
              </w:rPr>
              <w:tab/>
            </w:r>
            <w:r>
              <w:rPr>
                <w:rFonts w:hint="eastAsia"/>
              </w:rPr>
              <w:t>*培养箱温度显示的准确性</w:t>
            </w:r>
          </w:p>
          <w:p w14:paraId="3B247EF6">
            <w:pPr>
              <w:snapToGrid w:val="0"/>
              <w:spacing w:line="240" w:lineRule="atLeast"/>
            </w:pPr>
            <w:r>
              <w:rPr>
                <w:rFonts w:hint="eastAsia"/>
              </w:rPr>
              <w:t>婴儿培养箱温度显示应由独立于任何培养箱温度控制用的装置来提供，它应专用于培养箱温度的显示，并放置在甚至当湿度设定为最大时也不必打开婴儿培养箱就能方便地读数的位置。</w:t>
            </w:r>
          </w:p>
          <w:p w14:paraId="02278381">
            <w:pPr>
              <w:spacing w:line="340" w:lineRule="exact"/>
            </w:pPr>
            <w:r>
              <w:rPr>
                <w:rFonts w:hint="eastAsia"/>
              </w:rPr>
              <w:t>不得使用水银温度计。</w:t>
            </w:r>
          </w:p>
        </w:tc>
        <w:tc>
          <w:tcPr>
            <w:tcW w:w="1080" w:type="dxa"/>
            <w:vAlign w:val="center"/>
          </w:tcPr>
          <w:p w14:paraId="40ECA110">
            <w:pPr>
              <w:jc w:val="center"/>
            </w:pPr>
          </w:p>
        </w:tc>
        <w:tc>
          <w:tcPr>
            <w:tcW w:w="1080" w:type="dxa"/>
            <w:vMerge w:val="continue"/>
            <w:vAlign w:val="center"/>
          </w:tcPr>
          <w:p w14:paraId="50EBBB4E">
            <w:pPr>
              <w:jc w:val="center"/>
            </w:pPr>
          </w:p>
        </w:tc>
        <w:tc>
          <w:tcPr>
            <w:tcW w:w="876" w:type="dxa"/>
            <w:vMerge w:val="continue"/>
            <w:vAlign w:val="center"/>
          </w:tcPr>
          <w:p w14:paraId="7E7D7DAB"/>
        </w:tc>
      </w:tr>
      <w:tr w14:paraId="7F5E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6AE2BBCB">
            <w:pPr>
              <w:jc w:val="center"/>
            </w:pPr>
            <w:r>
              <w:rPr>
                <w:rFonts w:hint="eastAsia"/>
              </w:rPr>
              <w:t>续1</w:t>
            </w:r>
            <w:r>
              <w:t>8</w:t>
            </w:r>
          </w:p>
        </w:tc>
        <w:tc>
          <w:tcPr>
            <w:tcW w:w="1080" w:type="dxa"/>
            <w:vMerge w:val="restart"/>
          </w:tcPr>
          <w:p w14:paraId="174B4D64">
            <w:pPr>
              <w:snapToGrid w:val="0"/>
              <w:spacing w:line="240" w:lineRule="atLeast"/>
              <w:jc w:val="center"/>
            </w:pPr>
            <w:r>
              <w:rPr>
                <w:rFonts w:hint="eastAsia"/>
              </w:rPr>
              <w:t>控制器和仪表的准确性</w:t>
            </w:r>
          </w:p>
          <w:p w14:paraId="3EE4A582">
            <w:pPr>
              <w:jc w:val="center"/>
            </w:pPr>
          </w:p>
        </w:tc>
        <w:tc>
          <w:tcPr>
            <w:tcW w:w="720" w:type="dxa"/>
            <w:vMerge w:val="restart"/>
          </w:tcPr>
          <w:p w14:paraId="64AE3E32">
            <w:pPr>
              <w:spacing w:line="320" w:lineRule="exact"/>
              <w:jc w:val="center"/>
            </w:pPr>
            <w:r>
              <w:rPr>
                <w:rFonts w:hint="eastAsia"/>
              </w:rPr>
              <w:t>201.12.1</w:t>
            </w:r>
          </w:p>
        </w:tc>
        <w:tc>
          <w:tcPr>
            <w:tcW w:w="4500" w:type="dxa"/>
          </w:tcPr>
          <w:p w14:paraId="0B94F96E">
            <w:pPr>
              <w:spacing w:line="340" w:lineRule="exact"/>
            </w:pPr>
            <w:r>
              <w:rPr>
                <w:rFonts w:hint="eastAsia"/>
              </w:rPr>
              <w:t>平均温度装置读数与标准温度计测得的平均培养箱温度之间的差异，扣去标准温度计的误差后，应不大于0.8℃。</w:t>
            </w:r>
          </w:p>
          <w:p w14:paraId="6D31AEB3">
            <w:pPr>
              <w:spacing w:line="340" w:lineRule="exact"/>
              <w:jc w:val="right"/>
            </w:pPr>
            <w:r>
              <w:rPr>
                <w:rFonts w:hint="eastAsia"/>
              </w:rPr>
              <w:t>单位：℃</w:t>
            </w:r>
          </w:p>
        </w:tc>
        <w:tc>
          <w:tcPr>
            <w:tcW w:w="1080" w:type="dxa"/>
            <w:vAlign w:val="center"/>
          </w:tcPr>
          <w:p w14:paraId="2607FCA5">
            <w:pPr>
              <w:jc w:val="center"/>
            </w:pPr>
          </w:p>
        </w:tc>
        <w:tc>
          <w:tcPr>
            <w:tcW w:w="1080" w:type="dxa"/>
            <w:vMerge w:val="restart"/>
            <w:vAlign w:val="center"/>
          </w:tcPr>
          <w:p w14:paraId="1B7403E9">
            <w:pPr>
              <w:jc w:val="center"/>
            </w:pPr>
          </w:p>
        </w:tc>
        <w:tc>
          <w:tcPr>
            <w:tcW w:w="876" w:type="dxa"/>
            <w:vMerge w:val="restart"/>
            <w:vAlign w:val="center"/>
          </w:tcPr>
          <w:p w14:paraId="4CC6BD70">
            <w:pPr>
              <w:jc w:val="center"/>
            </w:pPr>
          </w:p>
        </w:tc>
      </w:tr>
      <w:tr w14:paraId="3991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5F398F13"/>
        </w:tc>
        <w:tc>
          <w:tcPr>
            <w:tcW w:w="1080" w:type="dxa"/>
            <w:vMerge w:val="continue"/>
          </w:tcPr>
          <w:p w14:paraId="3E32C3B7"/>
        </w:tc>
        <w:tc>
          <w:tcPr>
            <w:tcW w:w="720" w:type="dxa"/>
            <w:vMerge w:val="continue"/>
          </w:tcPr>
          <w:p w14:paraId="3C8B07F7">
            <w:pPr>
              <w:spacing w:line="320" w:lineRule="exact"/>
            </w:pPr>
          </w:p>
        </w:tc>
        <w:tc>
          <w:tcPr>
            <w:tcW w:w="4500" w:type="dxa"/>
          </w:tcPr>
          <w:p w14:paraId="3CBD6952">
            <w:pPr>
              <w:spacing w:line="340" w:lineRule="exact"/>
            </w:pPr>
            <w:r>
              <w:rPr>
                <w:rFonts w:hint="eastAsia"/>
              </w:rPr>
              <w:t>标准温度计应精确到</w:t>
            </w:r>
            <w:r>
              <w:t>±0.05℃内，它的测量范围应至少为20℃~40℃。如果任何装置的敏感元件置于一空气温度始终与培养箱</w:t>
            </w:r>
            <w:r>
              <w:rPr>
                <w:rFonts w:hint="eastAsia"/>
              </w:rPr>
              <w:t>温度不同的点上，该装置可用一规定的偏量值进行专门校准，以满足上述要求。然而在此情况下，专门校准的细节，应在随机文件中规定。</w:t>
            </w:r>
          </w:p>
        </w:tc>
        <w:tc>
          <w:tcPr>
            <w:tcW w:w="1080" w:type="dxa"/>
            <w:vAlign w:val="center"/>
          </w:tcPr>
          <w:p w14:paraId="497E396B">
            <w:pPr>
              <w:jc w:val="center"/>
            </w:pPr>
          </w:p>
        </w:tc>
        <w:tc>
          <w:tcPr>
            <w:tcW w:w="1080" w:type="dxa"/>
            <w:vMerge w:val="continue"/>
            <w:vAlign w:val="center"/>
          </w:tcPr>
          <w:p w14:paraId="0A6D946B">
            <w:pPr>
              <w:jc w:val="center"/>
            </w:pPr>
          </w:p>
        </w:tc>
        <w:tc>
          <w:tcPr>
            <w:tcW w:w="876" w:type="dxa"/>
            <w:vMerge w:val="continue"/>
            <w:vAlign w:val="center"/>
          </w:tcPr>
          <w:p w14:paraId="28E3787B"/>
        </w:tc>
      </w:tr>
      <w:tr w14:paraId="3349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2ABB993C"/>
        </w:tc>
        <w:tc>
          <w:tcPr>
            <w:tcW w:w="1080" w:type="dxa"/>
            <w:vMerge w:val="continue"/>
          </w:tcPr>
          <w:p w14:paraId="79F2600B"/>
        </w:tc>
        <w:tc>
          <w:tcPr>
            <w:tcW w:w="720" w:type="dxa"/>
            <w:vMerge w:val="continue"/>
          </w:tcPr>
          <w:p w14:paraId="625B909D">
            <w:pPr>
              <w:spacing w:line="320" w:lineRule="exact"/>
            </w:pPr>
          </w:p>
        </w:tc>
        <w:tc>
          <w:tcPr>
            <w:tcW w:w="4500" w:type="dxa"/>
          </w:tcPr>
          <w:p w14:paraId="6DC7B25F">
            <w:pPr>
              <w:snapToGrid w:val="0"/>
              <w:spacing w:line="240" w:lineRule="atLeast"/>
            </w:pPr>
            <w:r>
              <w:rPr>
                <w:rFonts w:hint="eastAsia"/>
              </w:rPr>
              <w:t>201.12.1.106</w:t>
            </w:r>
            <w:r>
              <w:rPr>
                <w:rFonts w:hint="eastAsia"/>
              </w:rPr>
              <w:tab/>
            </w:r>
            <w:r>
              <w:rPr>
                <w:rFonts w:hint="eastAsia"/>
              </w:rPr>
              <w:t>*培养箱温度控制的准确性</w:t>
            </w:r>
          </w:p>
          <w:p w14:paraId="2112D076">
            <w:pPr>
              <w:spacing w:line="340" w:lineRule="exact"/>
            </w:pPr>
            <w:r>
              <w:rPr>
                <w:rFonts w:hint="eastAsia"/>
              </w:rPr>
              <w:t>婴儿培养箱以空气温度控制的培养箱方式工作时，平均培养箱温度与控制温度之间差异不应大于±1.5℃。</w:t>
            </w:r>
          </w:p>
          <w:p w14:paraId="69D412B6">
            <w:pPr>
              <w:spacing w:line="340" w:lineRule="exact"/>
              <w:jc w:val="right"/>
            </w:pPr>
            <w:r>
              <w:rPr>
                <w:rFonts w:hint="eastAsia"/>
              </w:rPr>
              <w:t>单位：℃</w:t>
            </w:r>
          </w:p>
        </w:tc>
        <w:tc>
          <w:tcPr>
            <w:tcW w:w="1080" w:type="dxa"/>
            <w:vAlign w:val="center"/>
          </w:tcPr>
          <w:p w14:paraId="07DEB3C7">
            <w:pPr>
              <w:jc w:val="center"/>
            </w:pPr>
          </w:p>
        </w:tc>
        <w:tc>
          <w:tcPr>
            <w:tcW w:w="1080" w:type="dxa"/>
            <w:vMerge w:val="continue"/>
            <w:vAlign w:val="center"/>
          </w:tcPr>
          <w:p w14:paraId="05A37CBD">
            <w:pPr>
              <w:jc w:val="center"/>
            </w:pPr>
          </w:p>
        </w:tc>
        <w:tc>
          <w:tcPr>
            <w:tcW w:w="876" w:type="dxa"/>
            <w:vMerge w:val="continue"/>
            <w:vAlign w:val="center"/>
          </w:tcPr>
          <w:p w14:paraId="6BF50EE9"/>
        </w:tc>
      </w:tr>
      <w:tr w14:paraId="7292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8ECD822"/>
        </w:tc>
        <w:tc>
          <w:tcPr>
            <w:tcW w:w="1080" w:type="dxa"/>
            <w:vMerge w:val="continue"/>
          </w:tcPr>
          <w:p w14:paraId="712C556F"/>
        </w:tc>
        <w:tc>
          <w:tcPr>
            <w:tcW w:w="720" w:type="dxa"/>
            <w:vMerge w:val="continue"/>
          </w:tcPr>
          <w:p w14:paraId="4CD66F4C">
            <w:pPr>
              <w:spacing w:line="320" w:lineRule="exact"/>
            </w:pPr>
          </w:p>
        </w:tc>
        <w:tc>
          <w:tcPr>
            <w:tcW w:w="4500" w:type="dxa"/>
          </w:tcPr>
          <w:p w14:paraId="597886B5">
            <w:pPr>
              <w:snapToGrid w:val="0"/>
              <w:spacing w:line="240" w:lineRule="atLeast"/>
            </w:pPr>
            <w:r>
              <w:rPr>
                <w:rFonts w:hint="eastAsia"/>
              </w:rPr>
              <w:t>201.12.1.107</w:t>
            </w:r>
            <w:r>
              <w:rPr>
                <w:rFonts w:hint="eastAsia"/>
              </w:rPr>
              <w:tab/>
            </w:r>
            <w:r>
              <w:rPr>
                <w:rFonts w:hint="eastAsia"/>
              </w:rPr>
              <w:t>*升温时间</w:t>
            </w:r>
          </w:p>
          <w:p w14:paraId="7FD4AE42">
            <w:pPr>
              <w:spacing w:line="340" w:lineRule="exact"/>
            </w:pPr>
            <w:r>
              <w:rPr>
                <w:rFonts w:hint="eastAsia"/>
              </w:rPr>
              <w:t>ME设备的升温时间不应偏离使用说明书中规定的升温时间的20%（见201.7.9.2.8）。</w:t>
            </w:r>
          </w:p>
          <w:p w14:paraId="1D2E1862">
            <w:pPr>
              <w:spacing w:line="340" w:lineRule="exact"/>
            </w:pPr>
            <w:r>
              <w:rPr>
                <w:rFonts w:hint="eastAsia"/>
              </w:rPr>
              <w:t>说明书要求：不大于3</w:t>
            </w:r>
            <w:r>
              <w:t>0</w:t>
            </w:r>
            <w:r>
              <w:rPr>
                <w:rFonts w:hint="eastAsia"/>
              </w:rPr>
              <w:t>分钟</w:t>
            </w:r>
          </w:p>
          <w:p w14:paraId="0C6A2B91">
            <w:pPr>
              <w:spacing w:line="340" w:lineRule="exact"/>
            </w:pPr>
          </w:p>
        </w:tc>
        <w:tc>
          <w:tcPr>
            <w:tcW w:w="1080" w:type="dxa"/>
            <w:vAlign w:val="center"/>
          </w:tcPr>
          <w:p w14:paraId="6016037C">
            <w:pPr>
              <w:jc w:val="center"/>
            </w:pPr>
          </w:p>
        </w:tc>
        <w:tc>
          <w:tcPr>
            <w:tcW w:w="1080" w:type="dxa"/>
            <w:vMerge w:val="continue"/>
            <w:vAlign w:val="center"/>
          </w:tcPr>
          <w:p w14:paraId="47909386">
            <w:pPr>
              <w:jc w:val="center"/>
            </w:pPr>
          </w:p>
        </w:tc>
        <w:tc>
          <w:tcPr>
            <w:tcW w:w="876" w:type="dxa"/>
            <w:vMerge w:val="continue"/>
            <w:vAlign w:val="center"/>
          </w:tcPr>
          <w:p w14:paraId="10784F9A"/>
        </w:tc>
      </w:tr>
      <w:tr w14:paraId="11C3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7AF335EF"/>
        </w:tc>
        <w:tc>
          <w:tcPr>
            <w:tcW w:w="1080" w:type="dxa"/>
            <w:vMerge w:val="continue"/>
          </w:tcPr>
          <w:p w14:paraId="5F690F54"/>
        </w:tc>
        <w:tc>
          <w:tcPr>
            <w:tcW w:w="720" w:type="dxa"/>
            <w:vMerge w:val="continue"/>
          </w:tcPr>
          <w:p w14:paraId="5C7DECF2">
            <w:pPr>
              <w:spacing w:line="320" w:lineRule="exact"/>
            </w:pPr>
          </w:p>
        </w:tc>
        <w:tc>
          <w:tcPr>
            <w:tcW w:w="4500" w:type="dxa"/>
          </w:tcPr>
          <w:p w14:paraId="65F7DB2D">
            <w:pPr>
              <w:snapToGrid w:val="0"/>
              <w:spacing w:line="240" w:lineRule="atLeast"/>
            </w:pPr>
            <w:r>
              <w:rPr>
                <w:rFonts w:hint="eastAsia"/>
              </w:rPr>
              <w:t>201.12.1.108</w:t>
            </w:r>
            <w:r>
              <w:rPr>
                <w:rFonts w:hint="eastAsia"/>
              </w:rPr>
              <w:tab/>
            </w:r>
            <w:r>
              <w:rPr>
                <w:rFonts w:hint="eastAsia"/>
              </w:rPr>
              <w:t>*培养箱温度的超调量</w:t>
            </w:r>
          </w:p>
          <w:p w14:paraId="70A03053">
            <w:pPr>
              <w:spacing w:line="340" w:lineRule="exact"/>
            </w:pPr>
            <w:r>
              <w:rPr>
                <w:rFonts w:hint="eastAsia"/>
              </w:rPr>
              <w:t>按下述试验中所述的状态调节控制温度后，培养箱温度的超调量不应大于2℃，而稳定温度状态应在15min内恢复。</w:t>
            </w:r>
          </w:p>
          <w:p w14:paraId="4C6ADE55">
            <w:pPr>
              <w:spacing w:line="340" w:lineRule="exact"/>
            </w:pPr>
          </w:p>
        </w:tc>
        <w:tc>
          <w:tcPr>
            <w:tcW w:w="1080" w:type="dxa"/>
            <w:vAlign w:val="center"/>
          </w:tcPr>
          <w:p w14:paraId="3AE03839">
            <w:pPr>
              <w:jc w:val="center"/>
            </w:pPr>
          </w:p>
        </w:tc>
        <w:tc>
          <w:tcPr>
            <w:tcW w:w="1080" w:type="dxa"/>
            <w:vMerge w:val="continue"/>
            <w:vAlign w:val="center"/>
          </w:tcPr>
          <w:p w14:paraId="46D9B846">
            <w:pPr>
              <w:jc w:val="center"/>
            </w:pPr>
          </w:p>
        </w:tc>
        <w:tc>
          <w:tcPr>
            <w:tcW w:w="876" w:type="dxa"/>
            <w:vMerge w:val="continue"/>
            <w:vAlign w:val="center"/>
          </w:tcPr>
          <w:p w14:paraId="297F3FE8"/>
        </w:tc>
      </w:tr>
      <w:tr w14:paraId="6088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F216EC8"/>
        </w:tc>
        <w:tc>
          <w:tcPr>
            <w:tcW w:w="1080" w:type="dxa"/>
            <w:vMerge w:val="continue"/>
          </w:tcPr>
          <w:p w14:paraId="10A39CF7"/>
        </w:tc>
        <w:tc>
          <w:tcPr>
            <w:tcW w:w="720" w:type="dxa"/>
            <w:vMerge w:val="continue"/>
          </w:tcPr>
          <w:p w14:paraId="6FC96CF2">
            <w:pPr>
              <w:spacing w:line="320" w:lineRule="exact"/>
            </w:pPr>
          </w:p>
        </w:tc>
        <w:tc>
          <w:tcPr>
            <w:tcW w:w="4500" w:type="dxa"/>
          </w:tcPr>
          <w:p w14:paraId="1D65691E">
            <w:pPr>
              <w:snapToGrid w:val="0"/>
              <w:spacing w:line="240" w:lineRule="atLeast"/>
            </w:pPr>
            <w:r>
              <w:rPr>
                <w:rFonts w:hint="eastAsia"/>
              </w:rPr>
              <w:t>201.12.1.109</w:t>
            </w:r>
            <w:r>
              <w:rPr>
                <w:rFonts w:hint="eastAsia"/>
              </w:rPr>
              <w:tab/>
            </w:r>
            <w:r>
              <w:rPr>
                <w:rFonts w:hint="eastAsia"/>
              </w:rPr>
              <w:t>*相对湿度显示的准确性</w:t>
            </w:r>
          </w:p>
          <w:p w14:paraId="567E5846">
            <w:pPr>
              <w:spacing w:line="340" w:lineRule="exact"/>
            </w:pPr>
            <w:r>
              <w:rPr>
                <w:rFonts w:hint="eastAsia"/>
              </w:rPr>
              <w:t>任何相对湿度指示值的精确度应在±</w:t>
            </w:r>
            <w:r>
              <w:t>1</w:t>
            </w:r>
            <w:r>
              <w:rPr>
                <w:rFonts w:hint="eastAsia"/>
              </w:rPr>
              <w:t>0%的相对湿度内。</w:t>
            </w:r>
          </w:p>
          <w:p w14:paraId="480D4DFF">
            <w:pPr>
              <w:spacing w:line="340" w:lineRule="exact"/>
            </w:pPr>
          </w:p>
        </w:tc>
        <w:tc>
          <w:tcPr>
            <w:tcW w:w="1080" w:type="dxa"/>
            <w:vAlign w:val="center"/>
          </w:tcPr>
          <w:p w14:paraId="4175FDF0">
            <w:pPr>
              <w:jc w:val="center"/>
            </w:pPr>
          </w:p>
        </w:tc>
        <w:tc>
          <w:tcPr>
            <w:tcW w:w="1080" w:type="dxa"/>
            <w:vMerge w:val="continue"/>
            <w:vAlign w:val="center"/>
          </w:tcPr>
          <w:p w14:paraId="669BB2E8">
            <w:pPr>
              <w:jc w:val="center"/>
            </w:pPr>
          </w:p>
        </w:tc>
        <w:tc>
          <w:tcPr>
            <w:tcW w:w="876" w:type="dxa"/>
            <w:vMerge w:val="continue"/>
            <w:vAlign w:val="center"/>
          </w:tcPr>
          <w:p w14:paraId="7E2B5C7F"/>
        </w:tc>
      </w:tr>
      <w:tr w14:paraId="4576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6F00929F"/>
        </w:tc>
        <w:tc>
          <w:tcPr>
            <w:tcW w:w="1080" w:type="dxa"/>
            <w:vMerge w:val="continue"/>
          </w:tcPr>
          <w:p w14:paraId="0405D31A"/>
        </w:tc>
        <w:tc>
          <w:tcPr>
            <w:tcW w:w="720" w:type="dxa"/>
            <w:vMerge w:val="continue"/>
          </w:tcPr>
          <w:p w14:paraId="6E80514D">
            <w:pPr>
              <w:spacing w:line="320" w:lineRule="exact"/>
            </w:pPr>
          </w:p>
        </w:tc>
        <w:tc>
          <w:tcPr>
            <w:tcW w:w="4500" w:type="dxa"/>
          </w:tcPr>
          <w:p w14:paraId="4BBBF467">
            <w:pPr>
              <w:snapToGrid w:val="0"/>
              <w:spacing w:line="240" w:lineRule="atLeast"/>
            </w:pPr>
            <w:r>
              <w:rPr>
                <w:rFonts w:hint="eastAsia"/>
              </w:rPr>
              <w:t>201.12.1.110</w:t>
            </w:r>
            <w:r>
              <w:rPr>
                <w:rFonts w:hint="eastAsia"/>
              </w:rPr>
              <w:tab/>
            </w:r>
            <w:r>
              <w:rPr>
                <w:rFonts w:hint="eastAsia"/>
              </w:rPr>
              <w:t>*氧气控制</w:t>
            </w:r>
          </w:p>
          <w:p w14:paraId="049BEFF5">
            <w:pPr>
              <w:snapToGrid w:val="0"/>
              <w:spacing w:line="240" w:lineRule="atLeast"/>
            </w:pPr>
            <w:r>
              <w:rPr>
                <w:rFonts w:hint="eastAsia"/>
              </w:rPr>
              <w:t>如果一台氧控仪作为婴儿培养箱的一个组成部分，应配备用于监测和控制氧气的独立传感器。</w:t>
            </w:r>
          </w:p>
          <w:p w14:paraId="6D5149FD">
            <w:pPr>
              <w:spacing w:line="340" w:lineRule="exact"/>
            </w:pPr>
            <w:r>
              <w:rPr>
                <w:rFonts w:hint="eastAsia"/>
              </w:rPr>
              <w:t>如果氧浓度显示值与控制设定值误差超过±5%O</w:t>
            </w:r>
            <w:r>
              <w:rPr>
                <w:rFonts w:hint="eastAsia"/>
                <w:vertAlign w:val="subscript"/>
              </w:rPr>
              <w:t>2</w:t>
            </w:r>
            <w:r>
              <w:rPr>
                <w:rFonts w:hint="eastAsia"/>
              </w:rPr>
              <w:t>体积浓度，应有声光报警。</w:t>
            </w:r>
          </w:p>
        </w:tc>
        <w:tc>
          <w:tcPr>
            <w:tcW w:w="1080" w:type="dxa"/>
            <w:vAlign w:val="center"/>
          </w:tcPr>
          <w:p w14:paraId="629073C2">
            <w:pPr>
              <w:jc w:val="center"/>
            </w:pPr>
          </w:p>
        </w:tc>
        <w:tc>
          <w:tcPr>
            <w:tcW w:w="1080" w:type="dxa"/>
            <w:vMerge w:val="continue"/>
            <w:vAlign w:val="center"/>
          </w:tcPr>
          <w:p w14:paraId="5AB5B543">
            <w:pPr>
              <w:jc w:val="center"/>
            </w:pPr>
          </w:p>
        </w:tc>
        <w:tc>
          <w:tcPr>
            <w:tcW w:w="876" w:type="dxa"/>
            <w:vMerge w:val="continue"/>
            <w:vAlign w:val="center"/>
          </w:tcPr>
          <w:p w14:paraId="07F7B8BD"/>
        </w:tc>
      </w:tr>
      <w:tr w14:paraId="226C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7D542973"/>
        </w:tc>
        <w:tc>
          <w:tcPr>
            <w:tcW w:w="1080" w:type="dxa"/>
            <w:vMerge w:val="continue"/>
          </w:tcPr>
          <w:p w14:paraId="20C72A6C"/>
        </w:tc>
        <w:tc>
          <w:tcPr>
            <w:tcW w:w="720" w:type="dxa"/>
            <w:vMerge w:val="continue"/>
          </w:tcPr>
          <w:p w14:paraId="13B33EA3">
            <w:pPr>
              <w:spacing w:line="320" w:lineRule="exact"/>
            </w:pPr>
          </w:p>
        </w:tc>
        <w:tc>
          <w:tcPr>
            <w:tcW w:w="4500" w:type="dxa"/>
          </w:tcPr>
          <w:p w14:paraId="5E76BF0A">
            <w:pPr>
              <w:snapToGrid w:val="0"/>
              <w:spacing w:line="240" w:lineRule="atLeast"/>
            </w:pPr>
            <w:r>
              <w:rPr>
                <w:rFonts w:hint="eastAsia"/>
              </w:rPr>
              <w:t>201.12.1.111</w:t>
            </w:r>
            <w:r>
              <w:rPr>
                <w:rFonts w:hint="eastAsia"/>
              </w:rPr>
              <w:tab/>
            </w:r>
            <w:r>
              <w:rPr>
                <w:rFonts w:hint="eastAsia"/>
              </w:rPr>
              <w:t>*空气流速</w:t>
            </w:r>
          </w:p>
          <w:p w14:paraId="0C8BDBF2">
            <w:pPr>
              <w:spacing w:line="340" w:lineRule="exact"/>
            </w:pPr>
            <w:r>
              <w:rPr>
                <w:rFonts w:hint="eastAsia"/>
              </w:rPr>
              <w:t>正常使用时，床垫上方的空气流速不应超过0.35m/s。</w:t>
            </w:r>
          </w:p>
          <w:p w14:paraId="6C81894F">
            <w:pPr>
              <w:spacing w:line="340" w:lineRule="exact"/>
              <w:jc w:val="right"/>
            </w:pPr>
            <w:r>
              <w:rPr>
                <w:rFonts w:hint="eastAsia"/>
              </w:rPr>
              <w:t>单位：m/s</w:t>
            </w:r>
          </w:p>
        </w:tc>
        <w:tc>
          <w:tcPr>
            <w:tcW w:w="1080" w:type="dxa"/>
            <w:vAlign w:val="center"/>
          </w:tcPr>
          <w:p w14:paraId="407D96F5">
            <w:pPr>
              <w:jc w:val="center"/>
            </w:pPr>
          </w:p>
        </w:tc>
        <w:tc>
          <w:tcPr>
            <w:tcW w:w="1080" w:type="dxa"/>
            <w:vMerge w:val="continue"/>
            <w:vAlign w:val="center"/>
          </w:tcPr>
          <w:p w14:paraId="2D150734">
            <w:pPr>
              <w:jc w:val="center"/>
            </w:pPr>
          </w:p>
        </w:tc>
        <w:tc>
          <w:tcPr>
            <w:tcW w:w="876" w:type="dxa"/>
            <w:vMerge w:val="continue"/>
            <w:vAlign w:val="center"/>
          </w:tcPr>
          <w:p w14:paraId="1AC21356"/>
        </w:tc>
      </w:tr>
      <w:tr w14:paraId="6122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36CF5123">
            <w:r>
              <w:rPr>
                <w:rFonts w:hint="eastAsia"/>
              </w:rPr>
              <w:t>续1</w:t>
            </w:r>
            <w:r>
              <w:t>8</w:t>
            </w:r>
          </w:p>
        </w:tc>
        <w:tc>
          <w:tcPr>
            <w:tcW w:w="1080" w:type="dxa"/>
          </w:tcPr>
          <w:p w14:paraId="4A688567">
            <w:pPr>
              <w:snapToGrid w:val="0"/>
              <w:spacing w:line="240" w:lineRule="atLeast"/>
              <w:jc w:val="center"/>
            </w:pPr>
            <w:r>
              <w:rPr>
                <w:rFonts w:hint="eastAsia"/>
              </w:rPr>
              <w:t>控制器和仪表的准确性</w:t>
            </w:r>
          </w:p>
          <w:p w14:paraId="26D2AA85"/>
        </w:tc>
        <w:tc>
          <w:tcPr>
            <w:tcW w:w="720" w:type="dxa"/>
          </w:tcPr>
          <w:p w14:paraId="7AE46B95">
            <w:pPr>
              <w:spacing w:line="320" w:lineRule="exact"/>
            </w:pPr>
            <w:r>
              <w:rPr>
                <w:rFonts w:hint="eastAsia"/>
              </w:rPr>
              <w:t>201.12.1</w:t>
            </w:r>
          </w:p>
        </w:tc>
        <w:tc>
          <w:tcPr>
            <w:tcW w:w="4500" w:type="dxa"/>
          </w:tcPr>
          <w:p w14:paraId="280026F8">
            <w:pPr>
              <w:snapToGrid w:val="0"/>
              <w:spacing w:line="240" w:lineRule="atLeast"/>
            </w:pPr>
            <w:r>
              <w:rPr>
                <w:rFonts w:hint="eastAsia"/>
              </w:rPr>
              <w:t>201.12.1.112</w:t>
            </w:r>
            <w:r>
              <w:rPr>
                <w:rFonts w:hint="eastAsia"/>
              </w:rPr>
              <w:tab/>
            </w:r>
            <w:r>
              <w:rPr>
                <w:rFonts w:hint="eastAsia"/>
              </w:rPr>
              <w:t>*重量秤</w:t>
            </w:r>
          </w:p>
          <w:p w14:paraId="28E3CB0B">
            <w:pPr>
              <w:snapToGrid w:val="0"/>
              <w:spacing w:line="240" w:lineRule="atLeast"/>
            </w:pPr>
            <w:r>
              <w:rPr>
                <w:rFonts w:hint="eastAsia"/>
              </w:rPr>
              <w:t>如果重量秤是作为婴儿培养箱的组成部分提供，或者是以婴儿培养箱专门配套使用的附件提供，那么在婴儿培养箱床垫处于水平状态下使用时的重量显示值与试验重量的差值，不应超过制造商在随附文件中的规定。每一测量值在任一测量周期结束时都应在显示器上显示，并能够被保持，直到操作者删除这一数据。如果重量秤在富氧环境中使用，应当符合通用标准中的6.5要求。</w:t>
            </w:r>
          </w:p>
          <w:p w14:paraId="45F11B65">
            <w:pPr>
              <w:spacing w:line="340" w:lineRule="exact"/>
            </w:pPr>
            <w:r>
              <w:rPr>
                <w:rFonts w:hint="eastAsia"/>
              </w:rPr>
              <w:t>注：操作者可以在使用过程中，对设备进行校准和和修正。</w:t>
            </w:r>
          </w:p>
        </w:tc>
        <w:tc>
          <w:tcPr>
            <w:tcW w:w="1080" w:type="dxa"/>
            <w:vAlign w:val="center"/>
          </w:tcPr>
          <w:p w14:paraId="4DB4C696">
            <w:pPr>
              <w:jc w:val="center"/>
            </w:pPr>
          </w:p>
        </w:tc>
        <w:tc>
          <w:tcPr>
            <w:tcW w:w="1080" w:type="dxa"/>
            <w:vAlign w:val="center"/>
          </w:tcPr>
          <w:p w14:paraId="2B333A9D">
            <w:pPr>
              <w:jc w:val="center"/>
            </w:pPr>
          </w:p>
        </w:tc>
        <w:tc>
          <w:tcPr>
            <w:tcW w:w="876" w:type="dxa"/>
            <w:vMerge w:val="restart"/>
            <w:vAlign w:val="center"/>
          </w:tcPr>
          <w:p w14:paraId="675C75DF">
            <w:pPr>
              <w:jc w:val="center"/>
            </w:pPr>
          </w:p>
        </w:tc>
      </w:tr>
      <w:tr w14:paraId="2AC5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0E5AAA61">
            <w:pPr>
              <w:numPr>
                <w:ilvl w:val="0"/>
                <w:numId w:val="1"/>
              </w:numPr>
            </w:pPr>
          </w:p>
        </w:tc>
        <w:tc>
          <w:tcPr>
            <w:tcW w:w="1080" w:type="dxa"/>
            <w:vMerge w:val="restart"/>
          </w:tcPr>
          <w:p w14:paraId="47470216">
            <w:pPr>
              <w:jc w:val="center"/>
            </w:pPr>
            <w:r>
              <w:rPr>
                <w:rFonts w:hint="eastAsia"/>
              </w:rPr>
              <w:t>可用性</w:t>
            </w:r>
          </w:p>
        </w:tc>
        <w:tc>
          <w:tcPr>
            <w:tcW w:w="720" w:type="dxa"/>
            <w:vMerge w:val="restart"/>
          </w:tcPr>
          <w:p w14:paraId="0A27DE56">
            <w:pPr>
              <w:spacing w:line="320" w:lineRule="exact"/>
              <w:ind w:left="-84" w:leftChars="-40" w:right="-105" w:rightChars="-50"/>
              <w:jc w:val="center"/>
            </w:pPr>
            <w:r>
              <w:rPr>
                <w:rFonts w:hint="eastAsia"/>
              </w:rPr>
              <w:t>201.12.2</w:t>
            </w:r>
          </w:p>
        </w:tc>
        <w:tc>
          <w:tcPr>
            <w:tcW w:w="4500" w:type="dxa"/>
          </w:tcPr>
          <w:p w14:paraId="368942A3">
            <w:pPr>
              <w:snapToGrid w:val="0"/>
              <w:spacing w:line="240" w:lineRule="atLeast"/>
            </w:pPr>
            <w:r>
              <w:rPr>
                <w:rFonts w:hint="eastAsia"/>
              </w:rPr>
              <w:t>增补：</w:t>
            </w:r>
          </w:p>
          <w:p w14:paraId="4ACE464C">
            <w:pPr>
              <w:snapToGrid w:val="0"/>
              <w:spacing w:line="240" w:lineRule="atLeast"/>
            </w:pPr>
            <w:r>
              <w:rPr>
                <w:rFonts w:hint="eastAsia"/>
              </w:rPr>
              <w:t>201.12.2.101</w:t>
            </w:r>
            <w:r>
              <w:rPr>
                <w:rFonts w:hint="eastAsia"/>
              </w:rPr>
              <w:tab/>
            </w:r>
            <w:r>
              <w:rPr>
                <w:rFonts w:hint="eastAsia"/>
              </w:rPr>
              <w:t>*皮肤温度的显示</w:t>
            </w:r>
          </w:p>
          <w:p w14:paraId="666BBEB4">
            <w:pPr>
              <w:spacing w:line="340" w:lineRule="exact"/>
            </w:pPr>
            <w:r>
              <w:rPr>
                <w:rFonts w:hint="eastAsia"/>
              </w:rPr>
              <w:t>婴儿温度控制的培养箱应设有皮肤温度传感器，传感器测得的温度应连续显示并清晰易见。另外，如果显示器还用来显示其他参数，则应仅当需要时，用瞬时动作的开关来实现。显示温度范围应至少为33℃~38℃。</w:t>
            </w:r>
          </w:p>
          <w:p w14:paraId="4E7FEB36">
            <w:pPr>
              <w:spacing w:line="340" w:lineRule="exact"/>
            </w:pPr>
          </w:p>
        </w:tc>
        <w:tc>
          <w:tcPr>
            <w:tcW w:w="1080" w:type="dxa"/>
            <w:vAlign w:val="center"/>
          </w:tcPr>
          <w:p w14:paraId="1C6F5F12"/>
        </w:tc>
        <w:tc>
          <w:tcPr>
            <w:tcW w:w="1080" w:type="dxa"/>
            <w:vMerge w:val="restart"/>
            <w:vAlign w:val="center"/>
          </w:tcPr>
          <w:p w14:paraId="779EF0F4">
            <w:pPr>
              <w:jc w:val="center"/>
            </w:pPr>
          </w:p>
        </w:tc>
        <w:tc>
          <w:tcPr>
            <w:tcW w:w="876" w:type="dxa"/>
            <w:vMerge w:val="continue"/>
            <w:vAlign w:val="center"/>
          </w:tcPr>
          <w:p w14:paraId="278EC26B"/>
        </w:tc>
      </w:tr>
      <w:tr w14:paraId="6DE3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6E381E2B"/>
        </w:tc>
        <w:tc>
          <w:tcPr>
            <w:tcW w:w="1080" w:type="dxa"/>
            <w:vMerge w:val="continue"/>
          </w:tcPr>
          <w:p w14:paraId="79EA5413"/>
        </w:tc>
        <w:tc>
          <w:tcPr>
            <w:tcW w:w="720" w:type="dxa"/>
            <w:vMerge w:val="continue"/>
          </w:tcPr>
          <w:p w14:paraId="2DA851DE">
            <w:pPr>
              <w:spacing w:line="320" w:lineRule="exact"/>
            </w:pPr>
          </w:p>
        </w:tc>
        <w:tc>
          <w:tcPr>
            <w:tcW w:w="4500" w:type="dxa"/>
          </w:tcPr>
          <w:p w14:paraId="2D5979F5">
            <w:pPr>
              <w:snapToGrid w:val="0"/>
              <w:spacing w:line="240" w:lineRule="atLeast"/>
            </w:pPr>
            <w:r>
              <w:rPr>
                <w:rFonts w:hint="eastAsia"/>
              </w:rPr>
              <w:t>201.12.2.102</w:t>
            </w:r>
            <w:r>
              <w:rPr>
                <w:rFonts w:hint="eastAsia"/>
              </w:rPr>
              <w:tab/>
            </w:r>
            <w:r>
              <w:rPr>
                <w:rFonts w:hint="eastAsia"/>
              </w:rPr>
              <w:t>*运行模式的显示</w:t>
            </w:r>
          </w:p>
          <w:p w14:paraId="5CA86A58">
            <w:pPr>
              <w:spacing w:line="340" w:lineRule="exact"/>
            </w:pPr>
            <w:r>
              <w:rPr>
                <w:rFonts w:hint="eastAsia"/>
              </w:rPr>
              <w:t>当婴儿温度控制的培养箱作为空气温度控制的培养箱运行时，应有明显的显示，指出其使用的工作模式。</w:t>
            </w:r>
          </w:p>
          <w:p w14:paraId="4404909A">
            <w:pPr>
              <w:spacing w:line="340" w:lineRule="exact"/>
            </w:pPr>
          </w:p>
        </w:tc>
        <w:tc>
          <w:tcPr>
            <w:tcW w:w="1080" w:type="dxa"/>
            <w:vAlign w:val="center"/>
          </w:tcPr>
          <w:p w14:paraId="7E2C4D97">
            <w:pPr>
              <w:jc w:val="center"/>
            </w:pPr>
          </w:p>
        </w:tc>
        <w:tc>
          <w:tcPr>
            <w:tcW w:w="1080" w:type="dxa"/>
            <w:vMerge w:val="continue"/>
            <w:vAlign w:val="center"/>
          </w:tcPr>
          <w:p w14:paraId="04A99E68">
            <w:pPr>
              <w:jc w:val="center"/>
            </w:pPr>
          </w:p>
        </w:tc>
        <w:tc>
          <w:tcPr>
            <w:tcW w:w="876" w:type="dxa"/>
            <w:vMerge w:val="continue"/>
            <w:vAlign w:val="center"/>
          </w:tcPr>
          <w:p w14:paraId="7A2EBBB1"/>
        </w:tc>
      </w:tr>
      <w:tr w14:paraId="4B6D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49C68B8B"/>
        </w:tc>
        <w:tc>
          <w:tcPr>
            <w:tcW w:w="1080" w:type="dxa"/>
            <w:vMerge w:val="continue"/>
          </w:tcPr>
          <w:p w14:paraId="60E4399F"/>
        </w:tc>
        <w:tc>
          <w:tcPr>
            <w:tcW w:w="720" w:type="dxa"/>
            <w:vMerge w:val="continue"/>
          </w:tcPr>
          <w:p w14:paraId="2E8378B5">
            <w:pPr>
              <w:spacing w:line="320" w:lineRule="exact"/>
            </w:pPr>
          </w:p>
        </w:tc>
        <w:tc>
          <w:tcPr>
            <w:tcW w:w="4500" w:type="dxa"/>
          </w:tcPr>
          <w:p w14:paraId="04BA7978">
            <w:pPr>
              <w:snapToGrid w:val="0"/>
              <w:spacing w:line="240" w:lineRule="atLeast"/>
            </w:pPr>
            <w:r>
              <w:rPr>
                <w:rFonts w:hint="eastAsia"/>
              </w:rPr>
              <w:t>201.12.2.103</w:t>
            </w:r>
            <w:r>
              <w:rPr>
                <w:rFonts w:hint="eastAsia"/>
              </w:rPr>
              <w:tab/>
            </w:r>
            <w:r>
              <w:rPr>
                <w:rFonts w:hint="eastAsia"/>
              </w:rPr>
              <w:t>温度控制</w:t>
            </w:r>
          </w:p>
          <w:p w14:paraId="00D2AF8A">
            <w:pPr>
              <w:spacing w:line="340" w:lineRule="exact"/>
            </w:pPr>
            <w:r>
              <w:rPr>
                <w:rFonts w:hint="eastAsia"/>
              </w:rPr>
              <w:t>每一旋转式温度控制器，应设计成顺时针方向旋转时使温度升高。</w:t>
            </w:r>
          </w:p>
          <w:p w14:paraId="2DA4E46D">
            <w:pPr>
              <w:spacing w:line="340" w:lineRule="exact"/>
            </w:pPr>
          </w:p>
        </w:tc>
        <w:tc>
          <w:tcPr>
            <w:tcW w:w="1080" w:type="dxa"/>
            <w:vAlign w:val="center"/>
          </w:tcPr>
          <w:p w14:paraId="29DBF248">
            <w:pPr>
              <w:jc w:val="center"/>
            </w:pPr>
          </w:p>
        </w:tc>
        <w:tc>
          <w:tcPr>
            <w:tcW w:w="1080" w:type="dxa"/>
            <w:vMerge w:val="continue"/>
            <w:vAlign w:val="center"/>
          </w:tcPr>
          <w:p w14:paraId="75EA7A79">
            <w:pPr>
              <w:jc w:val="center"/>
            </w:pPr>
          </w:p>
        </w:tc>
        <w:tc>
          <w:tcPr>
            <w:tcW w:w="876" w:type="dxa"/>
            <w:vMerge w:val="continue"/>
            <w:vAlign w:val="center"/>
          </w:tcPr>
          <w:p w14:paraId="3F697300"/>
        </w:tc>
      </w:tr>
      <w:tr w14:paraId="7D79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44B80CB2">
            <w:pPr>
              <w:numPr>
                <w:ilvl w:val="0"/>
                <w:numId w:val="1"/>
              </w:numPr>
            </w:pPr>
          </w:p>
        </w:tc>
        <w:tc>
          <w:tcPr>
            <w:tcW w:w="1080" w:type="dxa"/>
          </w:tcPr>
          <w:p w14:paraId="63CBE234">
            <w:pPr>
              <w:snapToGrid w:val="0"/>
              <w:spacing w:line="240" w:lineRule="atLeast"/>
            </w:pPr>
            <w:r>
              <w:rPr>
                <w:rFonts w:hint="eastAsia"/>
              </w:rPr>
              <w:t>报警系统</w:t>
            </w:r>
          </w:p>
          <w:p w14:paraId="1FB1C10E"/>
        </w:tc>
        <w:tc>
          <w:tcPr>
            <w:tcW w:w="720" w:type="dxa"/>
          </w:tcPr>
          <w:p w14:paraId="0147F99A">
            <w:pPr>
              <w:spacing w:line="320" w:lineRule="exact"/>
              <w:ind w:left="-84" w:leftChars="-40" w:right="-105" w:rightChars="-50"/>
              <w:jc w:val="center"/>
            </w:pPr>
            <w:r>
              <w:rPr>
                <w:rFonts w:hint="eastAsia"/>
              </w:rPr>
              <w:t>201.12.3</w:t>
            </w:r>
          </w:p>
        </w:tc>
        <w:tc>
          <w:tcPr>
            <w:tcW w:w="4500" w:type="dxa"/>
          </w:tcPr>
          <w:p w14:paraId="413F2F4F">
            <w:pPr>
              <w:snapToGrid w:val="0"/>
              <w:spacing w:line="240" w:lineRule="atLeast"/>
            </w:pPr>
            <w:r>
              <w:rPr>
                <w:rFonts w:hint="eastAsia"/>
              </w:rPr>
              <w:t>增补：</w:t>
            </w:r>
          </w:p>
          <w:p w14:paraId="3006C38A">
            <w:pPr>
              <w:snapToGrid w:val="0"/>
              <w:spacing w:line="240" w:lineRule="atLeast"/>
            </w:pPr>
            <w:r>
              <w:rPr>
                <w:rFonts w:hint="eastAsia"/>
              </w:rPr>
              <w:t>201.12.3.101</w:t>
            </w:r>
            <w:r>
              <w:rPr>
                <w:rFonts w:hint="eastAsia"/>
              </w:rPr>
              <w:tab/>
            </w:r>
            <w:r>
              <w:rPr>
                <w:rFonts w:hint="eastAsia"/>
              </w:rPr>
              <w:t>*空气循环风扇</w:t>
            </w:r>
          </w:p>
          <w:p w14:paraId="0E886246">
            <w:pPr>
              <w:snapToGrid w:val="0"/>
              <w:spacing w:line="240" w:lineRule="atLeast"/>
            </w:pPr>
            <w:r>
              <w:rPr>
                <w:rFonts w:hint="eastAsia"/>
              </w:rPr>
              <w:t>如果婴儿培养箱装有空气循环风扇，则应配备一个视觉可分辨的可听的报警器。当出现以下危险情况时，应切断加热器电源：</w:t>
            </w:r>
          </w:p>
          <w:p w14:paraId="212EC271">
            <w:pPr>
              <w:snapToGrid w:val="0"/>
              <w:spacing w:line="240" w:lineRule="atLeast"/>
            </w:pPr>
            <w:r>
              <w:rPr>
                <w:rFonts w:hint="eastAsia"/>
              </w:rPr>
              <w:t>—风扇转动故障，或</w:t>
            </w:r>
          </w:p>
          <w:p w14:paraId="19E62692">
            <w:pPr>
              <w:snapToGrid w:val="0"/>
              <w:spacing w:line="240" w:lineRule="atLeast"/>
            </w:pPr>
            <w:r>
              <w:rPr>
                <w:rFonts w:hint="eastAsia"/>
              </w:rPr>
              <w:t>—培养箱婴儿舱的空气出口堵塞，以及</w:t>
            </w:r>
          </w:p>
          <w:p w14:paraId="2D626763">
            <w:pPr>
              <w:snapToGrid w:val="0"/>
              <w:spacing w:line="240" w:lineRule="atLeast"/>
            </w:pPr>
            <w:r>
              <w:rPr>
                <w:rFonts w:hint="eastAsia"/>
              </w:rPr>
              <w:t>—空气入口可能的堵塞</w:t>
            </w:r>
          </w:p>
          <w:p w14:paraId="33250B38">
            <w:pPr>
              <w:spacing w:line="340" w:lineRule="exact"/>
            </w:pPr>
            <w:r>
              <w:rPr>
                <w:rFonts w:hint="eastAsia"/>
              </w:rPr>
              <w:t>当风扇出现故障时，ME设备不应射出火焰、熔化的金属或有毒或易燃的气体，并且婴儿可触及的部分不应超过本专用标准201.11.1.2.2中规定的温度。</w:t>
            </w:r>
          </w:p>
        </w:tc>
        <w:tc>
          <w:tcPr>
            <w:tcW w:w="1080" w:type="dxa"/>
            <w:vAlign w:val="center"/>
          </w:tcPr>
          <w:p w14:paraId="2F2C3D69">
            <w:pPr>
              <w:jc w:val="center"/>
            </w:pPr>
          </w:p>
        </w:tc>
        <w:tc>
          <w:tcPr>
            <w:tcW w:w="1080" w:type="dxa"/>
            <w:vAlign w:val="center"/>
          </w:tcPr>
          <w:p w14:paraId="4F3CA55C">
            <w:pPr>
              <w:jc w:val="center"/>
            </w:pPr>
          </w:p>
        </w:tc>
        <w:tc>
          <w:tcPr>
            <w:tcW w:w="876" w:type="dxa"/>
            <w:vMerge w:val="continue"/>
            <w:vAlign w:val="center"/>
          </w:tcPr>
          <w:p w14:paraId="64A08772"/>
        </w:tc>
      </w:tr>
      <w:tr w14:paraId="24B2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2952B12D">
            <w:pPr>
              <w:jc w:val="center"/>
            </w:pPr>
            <w:r>
              <w:rPr>
                <w:rFonts w:hint="eastAsia"/>
              </w:rPr>
              <w:t>续</w:t>
            </w:r>
            <w:r>
              <w:t>20</w:t>
            </w:r>
          </w:p>
        </w:tc>
        <w:tc>
          <w:tcPr>
            <w:tcW w:w="1080" w:type="dxa"/>
            <w:vMerge w:val="restart"/>
          </w:tcPr>
          <w:p w14:paraId="6463E662">
            <w:pPr>
              <w:snapToGrid w:val="0"/>
              <w:spacing w:line="240" w:lineRule="atLeast"/>
            </w:pPr>
            <w:r>
              <w:rPr>
                <w:rFonts w:hint="eastAsia"/>
              </w:rPr>
              <w:t>报警系统</w:t>
            </w:r>
          </w:p>
          <w:p w14:paraId="678A320A"/>
        </w:tc>
        <w:tc>
          <w:tcPr>
            <w:tcW w:w="720" w:type="dxa"/>
            <w:vMerge w:val="restart"/>
          </w:tcPr>
          <w:p w14:paraId="3BAE8DD0">
            <w:pPr>
              <w:spacing w:line="320" w:lineRule="exact"/>
              <w:jc w:val="center"/>
            </w:pPr>
            <w:r>
              <w:rPr>
                <w:rFonts w:hint="eastAsia"/>
              </w:rPr>
              <w:t>201.12.3</w:t>
            </w:r>
          </w:p>
        </w:tc>
        <w:tc>
          <w:tcPr>
            <w:tcW w:w="4500" w:type="dxa"/>
          </w:tcPr>
          <w:p w14:paraId="328338C8">
            <w:pPr>
              <w:snapToGrid w:val="0"/>
              <w:spacing w:line="240" w:lineRule="atLeast"/>
            </w:pPr>
            <w:r>
              <w:rPr>
                <w:rFonts w:hint="eastAsia"/>
              </w:rPr>
              <w:t>201.12.3.102</w:t>
            </w:r>
            <w:r>
              <w:rPr>
                <w:rFonts w:hint="eastAsia"/>
              </w:rPr>
              <w:tab/>
            </w:r>
            <w:r>
              <w:rPr>
                <w:rFonts w:hint="eastAsia"/>
              </w:rPr>
              <w:t>*皮肤温度传感器的连接器</w:t>
            </w:r>
          </w:p>
          <w:p w14:paraId="6F2630C9">
            <w:pPr>
              <w:snapToGrid w:val="0"/>
              <w:spacing w:line="240" w:lineRule="atLeast"/>
            </w:pPr>
            <w:r>
              <w:rPr>
                <w:rFonts w:hint="eastAsia"/>
              </w:rPr>
              <w:t>婴儿温度控制的培养箱应提供一个视觉可分辨的可听的报警器，当接至皮肤温度传感器的连接器出现以下情况时，报警器就报警。</w:t>
            </w:r>
          </w:p>
          <w:p w14:paraId="272A90F2">
            <w:pPr>
              <w:snapToGrid w:val="0"/>
              <w:spacing w:line="240" w:lineRule="atLeast"/>
            </w:pPr>
            <w:r>
              <w:rPr>
                <w:rFonts w:hint="eastAsia"/>
              </w:rPr>
              <w:t>—电气上不连接时；</w:t>
            </w:r>
          </w:p>
          <w:p w14:paraId="27076C8E">
            <w:pPr>
              <w:snapToGrid w:val="0"/>
              <w:spacing w:line="240" w:lineRule="atLeast"/>
            </w:pPr>
            <w:r>
              <w:rPr>
                <w:rFonts w:hint="eastAsia"/>
              </w:rPr>
              <w:t>—有开路的连线时，或</w:t>
            </w:r>
          </w:p>
          <w:p w14:paraId="62DC58DA">
            <w:pPr>
              <w:snapToGrid w:val="0"/>
              <w:spacing w:line="240" w:lineRule="atLeast"/>
            </w:pPr>
            <w:r>
              <w:rPr>
                <w:rFonts w:hint="eastAsia"/>
              </w:rPr>
              <w:t>—有短路连线时；</w:t>
            </w:r>
          </w:p>
          <w:p w14:paraId="3A499829">
            <w:pPr>
              <w:spacing w:line="340" w:lineRule="exact"/>
            </w:pPr>
            <w:r>
              <w:rPr>
                <w:rFonts w:hint="eastAsia"/>
              </w:rPr>
              <w:t>对加热器的供电应自动断开，或婴儿培养箱应自动切换到空气温度控制方式，而控制温度为36℃±0.5℃或为操作者所设定的控制温度。</w:t>
            </w:r>
          </w:p>
        </w:tc>
        <w:tc>
          <w:tcPr>
            <w:tcW w:w="1080" w:type="dxa"/>
            <w:vAlign w:val="center"/>
          </w:tcPr>
          <w:p w14:paraId="345F2520">
            <w:pPr>
              <w:jc w:val="center"/>
            </w:pPr>
          </w:p>
        </w:tc>
        <w:tc>
          <w:tcPr>
            <w:tcW w:w="1080" w:type="dxa"/>
            <w:vMerge w:val="restart"/>
            <w:vAlign w:val="center"/>
          </w:tcPr>
          <w:p w14:paraId="41201A5C">
            <w:pPr>
              <w:jc w:val="center"/>
            </w:pPr>
          </w:p>
        </w:tc>
        <w:tc>
          <w:tcPr>
            <w:tcW w:w="876" w:type="dxa"/>
            <w:vMerge w:val="restart"/>
            <w:vAlign w:val="center"/>
          </w:tcPr>
          <w:p w14:paraId="07A01E2E">
            <w:pPr>
              <w:jc w:val="center"/>
            </w:pPr>
          </w:p>
        </w:tc>
      </w:tr>
      <w:tr w14:paraId="6A81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70EFEE77"/>
        </w:tc>
        <w:tc>
          <w:tcPr>
            <w:tcW w:w="1080" w:type="dxa"/>
            <w:vMerge w:val="continue"/>
          </w:tcPr>
          <w:p w14:paraId="3F9C460A"/>
        </w:tc>
        <w:tc>
          <w:tcPr>
            <w:tcW w:w="720" w:type="dxa"/>
            <w:vMerge w:val="continue"/>
          </w:tcPr>
          <w:p w14:paraId="6937BC61">
            <w:pPr>
              <w:spacing w:line="320" w:lineRule="exact"/>
            </w:pPr>
          </w:p>
        </w:tc>
        <w:tc>
          <w:tcPr>
            <w:tcW w:w="4500" w:type="dxa"/>
          </w:tcPr>
          <w:p w14:paraId="1A42D1C6">
            <w:pPr>
              <w:snapToGrid w:val="0"/>
              <w:spacing w:line="240" w:lineRule="atLeast"/>
            </w:pPr>
            <w:r>
              <w:rPr>
                <w:rFonts w:hint="eastAsia"/>
              </w:rPr>
              <w:t>201.12.3.103</w:t>
            </w:r>
            <w:r>
              <w:rPr>
                <w:rFonts w:hint="eastAsia"/>
              </w:rPr>
              <w:tab/>
            </w:r>
            <w:r>
              <w:rPr>
                <w:rFonts w:hint="eastAsia"/>
              </w:rPr>
              <w:t>供电中断报警</w:t>
            </w:r>
          </w:p>
          <w:p w14:paraId="10764810">
            <w:pPr>
              <w:spacing w:line="340" w:lineRule="exact"/>
            </w:pPr>
            <w:r>
              <w:rPr>
                <w:rFonts w:hint="eastAsia"/>
              </w:rPr>
              <w:t>婴儿培养箱在供电中断时，应有可听报警和可见指示。</w:t>
            </w:r>
          </w:p>
          <w:p w14:paraId="24B74AF5">
            <w:pPr>
              <w:spacing w:line="340" w:lineRule="exact"/>
            </w:pPr>
          </w:p>
        </w:tc>
        <w:tc>
          <w:tcPr>
            <w:tcW w:w="1080" w:type="dxa"/>
            <w:vAlign w:val="center"/>
          </w:tcPr>
          <w:p w14:paraId="26C354E0">
            <w:pPr>
              <w:jc w:val="center"/>
            </w:pPr>
          </w:p>
        </w:tc>
        <w:tc>
          <w:tcPr>
            <w:tcW w:w="1080" w:type="dxa"/>
            <w:vMerge w:val="continue"/>
            <w:vAlign w:val="center"/>
          </w:tcPr>
          <w:p w14:paraId="2E9BCDDF">
            <w:pPr>
              <w:jc w:val="center"/>
            </w:pPr>
          </w:p>
        </w:tc>
        <w:tc>
          <w:tcPr>
            <w:tcW w:w="876" w:type="dxa"/>
            <w:vMerge w:val="continue"/>
            <w:vAlign w:val="center"/>
          </w:tcPr>
          <w:p w14:paraId="2A35BC34"/>
        </w:tc>
      </w:tr>
      <w:tr w14:paraId="60EA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14C97572"/>
        </w:tc>
        <w:tc>
          <w:tcPr>
            <w:tcW w:w="1080" w:type="dxa"/>
            <w:vMerge w:val="continue"/>
          </w:tcPr>
          <w:p w14:paraId="0FAB5C66"/>
        </w:tc>
        <w:tc>
          <w:tcPr>
            <w:tcW w:w="720" w:type="dxa"/>
            <w:vMerge w:val="continue"/>
          </w:tcPr>
          <w:p w14:paraId="3C04818F">
            <w:pPr>
              <w:spacing w:line="320" w:lineRule="exact"/>
            </w:pPr>
          </w:p>
        </w:tc>
        <w:tc>
          <w:tcPr>
            <w:tcW w:w="4500" w:type="dxa"/>
          </w:tcPr>
          <w:p w14:paraId="13EB0FE3">
            <w:pPr>
              <w:spacing w:line="340" w:lineRule="exact"/>
            </w:pPr>
            <w:r>
              <w:rPr>
                <w:rFonts w:hint="eastAsia"/>
              </w:rPr>
              <w:t>供电中断的可听报警和可见指示都应至少保持10min。</w:t>
            </w:r>
          </w:p>
          <w:p w14:paraId="3BCD2F23">
            <w:pPr>
              <w:spacing w:line="340" w:lineRule="exact"/>
              <w:jc w:val="right"/>
            </w:pPr>
            <w:r>
              <w:rPr>
                <w:rFonts w:hint="eastAsia"/>
              </w:rPr>
              <w:t>单位：min</w:t>
            </w:r>
          </w:p>
        </w:tc>
        <w:tc>
          <w:tcPr>
            <w:tcW w:w="1080" w:type="dxa"/>
            <w:vAlign w:val="center"/>
          </w:tcPr>
          <w:p w14:paraId="499629FB">
            <w:pPr>
              <w:jc w:val="center"/>
            </w:pPr>
          </w:p>
        </w:tc>
        <w:tc>
          <w:tcPr>
            <w:tcW w:w="1080" w:type="dxa"/>
            <w:vMerge w:val="continue"/>
            <w:vAlign w:val="center"/>
          </w:tcPr>
          <w:p w14:paraId="20D55AFA">
            <w:pPr>
              <w:jc w:val="center"/>
            </w:pPr>
          </w:p>
        </w:tc>
        <w:tc>
          <w:tcPr>
            <w:tcW w:w="876" w:type="dxa"/>
            <w:vMerge w:val="continue"/>
            <w:vAlign w:val="center"/>
          </w:tcPr>
          <w:p w14:paraId="340FE5AA"/>
        </w:tc>
      </w:tr>
      <w:tr w14:paraId="24B2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1D0254E2"/>
        </w:tc>
        <w:tc>
          <w:tcPr>
            <w:tcW w:w="1080" w:type="dxa"/>
            <w:vMerge w:val="continue"/>
          </w:tcPr>
          <w:p w14:paraId="7D7F126D"/>
        </w:tc>
        <w:tc>
          <w:tcPr>
            <w:tcW w:w="720" w:type="dxa"/>
            <w:vMerge w:val="continue"/>
          </w:tcPr>
          <w:p w14:paraId="0EF2E5DF">
            <w:pPr>
              <w:spacing w:line="320" w:lineRule="exact"/>
            </w:pPr>
          </w:p>
        </w:tc>
        <w:tc>
          <w:tcPr>
            <w:tcW w:w="4500" w:type="dxa"/>
          </w:tcPr>
          <w:p w14:paraId="176962AC">
            <w:pPr>
              <w:snapToGrid w:val="0"/>
              <w:spacing w:line="240" w:lineRule="atLeast"/>
            </w:pPr>
            <w:r>
              <w:rPr>
                <w:rFonts w:hint="eastAsia"/>
              </w:rPr>
              <w:t>201.12.3.104</w:t>
            </w:r>
            <w:r>
              <w:rPr>
                <w:rFonts w:hint="eastAsia"/>
              </w:rPr>
              <w:tab/>
            </w:r>
            <w:r>
              <w:rPr>
                <w:rFonts w:hint="eastAsia"/>
              </w:rPr>
              <w:t>报警声音暂停</w:t>
            </w:r>
          </w:p>
          <w:p w14:paraId="40FB1EFA">
            <w:pPr>
              <w:snapToGrid w:val="0"/>
              <w:spacing w:line="240" w:lineRule="atLeast"/>
            </w:pPr>
            <w:r>
              <w:rPr>
                <w:rFonts w:hint="eastAsia"/>
              </w:rPr>
              <w:t>故意将可听报警关掉，则可见指示应保持下去。</w:t>
            </w:r>
          </w:p>
          <w:p w14:paraId="7CE02306">
            <w:pPr>
              <w:snapToGrid w:val="0"/>
              <w:spacing w:line="240" w:lineRule="atLeast"/>
            </w:pPr>
            <w:r>
              <w:rPr>
                <w:rFonts w:hint="eastAsia"/>
              </w:rPr>
              <w:t>这类报警在制造商规定的时间内应能恢复它们的正常功能。</w:t>
            </w:r>
          </w:p>
          <w:p w14:paraId="3DACA4F3">
            <w:pPr>
              <w:spacing w:line="340" w:lineRule="exact"/>
            </w:pPr>
            <w:r>
              <w:rPr>
                <w:rFonts w:hint="eastAsia"/>
              </w:rPr>
              <w:t>婴儿培养箱从冷态开始预热的报警声音暂停时间，不超过30min。</w:t>
            </w:r>
          </w:p>
          <w:p w14:paraId="2340DD37">
            <w:pPr>
              <w:spacing w:line="340" w:lineRule="exact"/>
            </w:pPr>
          </w:p>
        </w:tc>
        <w:tc>
          <w:tcPr>
            <w:tcW w:w="1080" w:type="dxa"/>
            <w:vAlign w:val="center"/>
          </w:tcPr>
          <w:p w14:paraId="0A733FC8">
            <w:pPr>
              <w:jc w:val="center"/>
            </w:pPr>
          </w:p>
        </w:tc>
        <w:tc>
          <w:tcPr>
            <w:tcW w:w="1080" w:type="dxa"/>
            <w:vMerge w:val="continue"/>
            <w:vAlign w:val="center"/>
          </w:tcPr>
          <w:p w14:paraId="026282FF">
            <w:pPr>
              <w:jc w:val="center"/>
            </w:pPr>
          </w:p>
        </w:tc>
        <w:tc>
          <w:tcPr>
            <w:tcW w:w="876" w:type="dxa"/>
            <w:vMerge w:val="continue"/>
            <w:vAlign w:val="center"/>
          </w:tcPr>
          <w:p w14:paraId="184831FA"/>
        </w:tc>
      </w:tr>
      <w:tr w14:paraId="1903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5CA7ED6B"/>
        </w:tc>
        <w:tc>
          <w:tcPr>
            <w:tcW w:w="1080" w:type="dxa"/>
            <w:vMerge w:val="continue"/>
          </w:tcPr>
          <w:p w14:paraId="314C05FA"/>
        </w:tc>
        <w:tc>
          <w:tcPr>
            <w:tcW w:w="720" w:type="dxa"/>
            <w:vMerge w:val="continue"/>
          </w:tcPr>
          <w:p w14:paraId="4C8E1512">
            <w:pPr>
              <w:spacing w:line="320" w:lineRule="exact"/>
            </w:pPr>
          </w:p>
        </w:tc>
        <w:tc>
          <w:tcPr>
            <w:tcW w:w="4500" w:type="dxa"/>
          </w:tcPr>
          <w:p w14:paraId="01CB37CC">
            <w:pPr>
              <w:snapToGrid w:val="0"/>
              <w:spacing w:line="240" w:lineRule="atLeast"/>
            </w:pPr>
            <w:r>
              <w:rPr>
                <w:rFonts w:hint="eastAsia"/>
              </w:rPr>
              <w:t>201.12.3.105</w:t>
            </w:r>
            <w:r>
              <w:rPr>
                <w:rFonts w:hint="eastAsia"/>
              </w:rPr>
              <w:tab/>
            </w:r>
            <w:r>
              <w:rPr>
                <w:rFonts w:hint="eastAsia"/>
              </w:rPr>
              <w:t>报警功能测试</w:t>
            </w:r>
          </w:p>
          <w:p w14:paraId="6C2841EE">
            <w:pPr>
              <w:spacing w:line="340" w:lineRule="exact"/>
            </w:pPr>
            <w:r>
              <w:rPr>
                <w:rFonts w:hint="eastAsia"/>
              </w:rPr>
              <w:t>应提供校验听觉的和视觉的报警方法给操作者，这些方法应在使用说明书中进行描述。</w:t>
            </w:r>
          </w:p>
          <w:p w14:paraId="5F7649D6">
            <w:pPr>
              <w:spacing w:line="340" w:lineRule="exact"/>
            </w:pPr>
          </w:p>
        </w:tc>
        <w:tc>
          <w:tcPr>
            <w:tcW w:w="1080" w:type="dxa"/>
            <w:vAlign w:val="center"/>
          </w:tcPr>
          <w:p w14:paraId="57FB89C2">
            <w:pPr>
              <w:jc w:val="center"/>
            </w:pPr>
          </w:p>
        </w:tc>
        <w:tc>
          <w:tcPr>
            <w:tcW w:w="1080" w:type="dxa"/>
            <w:vMerge w:val="continue"/>
            <w:vAlign w:val="center"/>
          </w:tcPr>
          <w:p w14:paraId="67E0AA58">
            <w:pPr>
              <w:jc w:val="center"/>
            </w:pPr>
          </w:p>
        </w:tc>
        <w:tc>
          <w:tcPr>
            <w:tcW w:w="876" w:type="dxa"/>
            <w:vMerge w:val="continue"/>
            <w:vAlign w:val="center"/>
          </w:tcPr>
          <w:p w14:paraId="30F3EE20"/>
        </w:tc>
      </w:tr>
      <w:tr w14:paraId="5927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2721D754">
            <w:pPr>
              <w:numPr>
                <w:ilvl w:val="0"/>
                <w:numId w:val="1"/>
              </w:numPr>
            </w:pPr>
          </w:p>
        </w:tc>
        <w:tc>
          <w:tcPr>
            <w:tcW w:w="1080" w:type="dxa"/>
          </w:tcPr>
          <w:p w14:paraId="584E6B82">
            <w:pPr>
              <w:snapToGrid w:val="0"/>
              <w:spacing w:line="240" w:lineRule="atLeast"/>
            </w:pPr>
            <w:r>
              <w:rPr>
                <w:rFonts w:hint="eastAsia"/>
              </w:rPr>
              <w:t>有关安全参数的指示</w:t>
            </w:r>
          </w:p>
          <w:p w14:paraId="537F4AB1"/>
        </w:tc>
        <w:tc>
          <w:tcPr>
            <w:tcW w:w="720" w:type="dxa"/>
          </w:tcPr>
          <w:p w14:paraId="55615ACA">
            <w:pPr>
              <w:spacing w:line="320" w:lineRule="exact"/>
              <w:ind w:left="-84" w:leftChars="-40" w:right="-105" w:rightChars="-50"/>
              <w:jc w:val="center"/>
            </w:pPr>
            <w:r>
              <w:rPr>
                <w:rFonts w:hint="eastAsia"/>
              </w:rPr>
              <w:t>201.12.</w:t>
            </w:r>
          </w:p>
          <w:p w14:paraId="12E4E634">
            <w:pPr>
              <w:spacing w:line="320" w:lineRule="exact"/>
              <w:ind w:left="-84" w:leftChars="-40" w:right="-105" w:rightChars="-50"/>
              <w:jc w:val="center"/>
            </w:pPr>
            <w:r>
              <w:rPr>
                <w:rFonts w:hint="eastAsia"/>
              </w:rPr>
              <w:t>4.2</w:t>
            </w:r>
          </w:p>
        </w:tc>
        <w:tc>
          <w:tcPr>
            <w:tcW w:w="4500" w:type="dxa"/>
          </w:tcPr>
          <w:p w14:paraId="7260252A">
            <w:pPr>
              <w:snapToGrid w:val="0"/>
              <w:spacing w:line="240" w:lineRule="atLeast"/>
            </w:pPr>
            <w:r>
              <w:rPr>
                <w:rFonts w:hint="eastAsia"/>
              </w:rPr>
              <w:t>增补：</w:t>
            </w:r>
          </w:p>
          <w:p w14:paraId="6D7EB903">
            <w:pPr>
              <w:snapToGrid w:val="0"/>
              <w:spacing w:line="240" w:lineRule="atLeast"/>
            </w:pPr>
            <w:r>
              <w:rPr>
                <w:rFonts w:hint="eastAsia"/>
              </w:rPr>
              <w:t>201.12.4.2.101</w:t>
            </w:r>
            <w:r>
              <w:rPr>
                <w:rFonts w:hint="eastAsia"/>
              </w:rPr>
              <w:tab/>
            </w:r>
            <w:r>
              <w:rPr>
                <w:rFonts w:hint="eastAsia"/>
              </w:rPr>
              <w:t>*二氧化碳（CO</w:t>
            </w:r>
            <w:r>
              <w:rPr>
                <w:rFonts w:hint="eastAsia"/>
                <w:vertAlign w:val="subscript"/>
              </w:rPr>
              <w:t>2</w:t>
            </w:r>
            <w:r>
              <w:rPr>
                <w:rFonts w:hint="eastAsia"/>
              </w:rPr>
              <w:t>）浓度</w:t>
            </w:r>
          </w:p>
          <w:p w14:paraId="318C9290">
            <w:pPr>
              <w:spacing w:line="340" w:lineRule="exact"/>
            </w:pPr>
            <w:r>
              <w:rPr>
                <w:rFonts w:hint="eastAsia"/>
              </w:rPr>
              <w:t>制造商应公开在正常状态下婴儿舱内会出现的二氧化碳浓度最大值。</w:t>
            </w:r>
          </w:p>
          <w:p w14:paraId="78DF7C7F">
            <w:pPr>
              <w:spacing w:line="340" w:lineRule="exact"/>
            </w:pPr>
            <w:r>
              <w:rPr>
                <w:rFonts w:hint="eastAsia"/>
              </w:rPr>
              <w:t>要求：小于0</w:t>
            </w:r>
            <w:r>
              <w:t>.4</w:t>
            </w:r>
            <w:r>
              <w:rPr>
                <w:rFonts w:hint="eastAsia"/>
              </w:rPr>
              <w:t>%</w:t>
            </w:r>
          </w:p>
          <w:p w14:paraId="30B7FA57">
            <w:pPr>
              <w:spacing w:line="340" w:lineRule="exact"/>
            </w:pPr>
          </w:p>
        </w:tc>
        <w:tc>
          <w:tcPr>
            <w:tcW w:w="1080" w:type="dxa"/>
            <w:vAlign w:val="center"/>
          </w:tcPr>
          <w:p w14:paraId="1D0BAC28">
            <w:pPr>
              <w:jc w:val="center"/>
            </w:pPr>
          </w:p>
        </w:tc>
        <w:tc>
          <w:tcPr>
            <w:tcW w:w="1080" w:type="dxa"/>
            <w:vAlign w:val="center"/>
          </w:tcPr>
          <w:p w14:paraId="63D8381F">
            <w:pPr>
              <w:jc w:val="center"/>
            </w:pPr>
          </w:p>
        </w:tc>
        <w:tc>
          <w:tcPr>
            <w:tcW w:w="876" w:type="dxa"/>
            <w:vMerge w:val="continue"/>
            <w:vAlign w:val="center"/>
          </w:tcPr>
          <w:p w14:paraId="78EDE2F0"/>
        </w:tc>
      </w:tr>
      <w:tr w14:paraId="5B87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6E3BFD03">
            <w:pPr>
              <w:numPr>
                <w:ilvl w:val="0"/>
                <w:numId w:val="1"/>
              </w:numPr>
            </w:pPr>
          </w:p>
        </w:tc>
        <w:tc>
          <w:tcPr>
            <w:tcW w:w="1080" w:type="dxa"/>
          </w:tcPr>
          <w:p w14:paraId="0E663F26">
            <w:r>
              <w:rPr>
                <w:rFonts w:hint="eastAsia"/>
              </w:rPr>
              <w:t>*液体泄漏</w:t>
            </w:r>
          </w:p>
        </w:tc>
        <w:tc>
          <w:tcPr>
            <w:tcW w:w="720" w:type="dxa"/>
          </w:tcPr>
          <w:p w14:paraId="03914D61">
            <w:pPr>
              <w:spacing w:line="320" w:lineRule="exact"/>
              <w:ind w:left="-84" w:leftChars="-40" w:right="-105" w:rightChars="-50"/>
              <w:jc w:val="center"/>
            </w:pPr>
            <w:r>
              <w:rPr>
                <w:rFonts w:hint="eastAsia"/>
              </w:rPr>
              <w:t>201.13.2.6</w:t>
            </w:r>
          </w:p>
        </w:tc>
        <w:tc>
          <w:tcPr>
            <w:tcW w:w="4500" w:type="dxa"/>
          </w:tcPr>
          <w:p w14:paraId="78523B08">
            <w:pPr>
              <w:snapToGrid w:val="0"/>
              <w:spacing w:line="240" w:lineRule="atLeast"/>
            </w:pPr>
            <w:r>
              <w:rPr>
                <w:rFonts w:hint="eastAsia"/>
              </w:rPr>
              <w:t>增补：</w:t>
            </w:r>
          </w:p>
          <w:p w14:paraId="05AF95F9">
            <w:pPr>
              <w:snapToGrid w:val="0"/>
              <w:spacing w:line="240" w:lineRule="atLeast"/>
            </w:pPr>
            <w:r>
              <w:rPr>
                <w:rFonts w:hint="eastAsia"/>
              </w:rPr>
              <w:t>婴儿培养箱应制作成即使在婴儿舱内表面，包括婴儿托盘上沉聚液体时，也不会降低婴儿培养箱的安全性。</w:t>
            </w:r>
          </w:p>
          <w:p w14:paraId="3C1932DF">
            <w:pPr>
              <w:spacing w:line="340" w:lineRule="exact"/>
            </w:pPr>
            <w:r>
              <w:rPr>
                <w:rFonts w:hint="eastAsia"/>
              </w:rPr>
              <w:t>200mL的泄漏被认为是正常状态。</w:t>
            </w:r>
          </w:p>
          <w:p w14:paraId="2DC15E71">
            <w:pPr>
              <w:spacing w:line="340" w:lineRule="exact"/>
            </w:pPr>
          </w:p>
        </w:tc>
        <w:tc>
          <w:tcPr>
            <w:tcW w:w="1080" w:type="dxa"/>
            <w:vAlign w:val="center"/>
          </w:tcPr>
          <w:p w14:paraId="6E50EF30">
            <w:pPr>
              <w:jc w:val="center"/>
            </w:pPr>
          </w:p>
        </w:tc>
        <w:tc>
          <w:tcPr>
            <w:tcW w:w="1080" w:type="dxa"/>
            <w:vAlign w:val="center"/>
          </w:tcPr>
          <w:p w14:paraId="31F4F1FC">
            <w:pPr>
              <w:jc w:val="center"/>
            </w:pPr>
          </w:p>
        </w:tc>
        <w:tc>
          <w:tcPr>
            <w:tcW w:w="876" w:type="dxa"/>
            <w:vMerge w:val="continue"/>
            <w:vAlign w:val="center"/>
          </w:tcPr>
          <w:p w14:paraId="1CF4199B"/>
        </w:tc>
      </w:tr>
      <w:tr w14:paraId="3350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66154418">
            <w:pPr>
              <w:numPr>
                <w:ilvl w:val="0"/>
                <w:numId w:val="1"/>
              </w:numPr>
            </w:pPr>
          </w:p>
        </w:tc>
        <w:tc>
          <w:tcPr>
            <w:tcW w:w="1080" w:type="dxa"/>
            <w:vMerge w:val="restart"/>
          </w:tcPr>
          <w:p w14:paraId="58E23A1D">
            <w:r>
              <w:rPr>
                <w:rFonts w:hint="eastAsia"/>
              </w:rPr>
              <w:t>机械强度</w:t>
            </w:r>
          </w:p>
        </w:tc>
        <w:tc>
          <w:tcPr>
            <w:tcW w:w="720" w:type="dxa"/>
            <w:vMerge w:val="restart"/>
          </w:tcPr>
          <w:p w14:paraId="79DC4BDD">
            <w:pPr>
              <w:spacing w:line="320" w:lineRule="exact"/>
              <w:ind w:left="-84" w:leftChars="-40" w:right="-105" w:rightChars="-50"/>
              <w:jc w:val="center"/>
            </w:pPr>
            <w:r>
              <w:rPr>
                <w:rFonts w:hint="eastAsia"/>
              </w:rPr>
              <w:t>2</w:t>
            </w:r>
            <w:r>
              <w:t>01.15.3</w:t>
            </w:r>
          </w:p>
        </w:tc>
        <w:tc>
          <w:tcPr>
            <w:tcW w:w="4500" w:type="dxa"/>
          </w:tcPr>
          <w:p w14:paraId="13575B9E">
            <w:pPr>
              <w:snapToGrid w:val="0"/>
              <w:spacing w:line="240" w:lineRule="atLeast"/>
            </w:pPr>
            <w:r>
              <w:rPr>
                <w:rFonts w:hint="eastAsia"/>
              </w:rPr>
              <w:t>201.15.3.5</w:t>
            </w:r>
            <w:r>
              <w:t xml:space="preserve"> </w:t>
            </w:r>
            <w:r>
              <w:rPr>
                <w:rFonts w:hint="eastAsia"/>
              </w:rPr>
              <w:t>粗鲁搬运试验</w:t>
            </w:r>
          </w:p>
          <w:p w14:paraId="19627978">
            <w:pPr>
              <w:snapToGrid w:val="0"/>
              <w:spacing w:line="240" w:lineRule="atLeast"/>
            </w:pPr>
            <w:r>
              <w:rPr>
                <w:rFonts w:hint="eastAsia"/>
              </w:rPr>
              <w:t>增补：</w:t>
            </w:r>
          </w:p>
          <w:p w14:paraId="71DAA57E">
            <w:pPr>
              <w:spacing w:line="340" w:lineRule="exact"/>
            </w:pPr>
            <w:r>
              <w:rPr>
                <w:rFonts w:hint="eastAsia"/>
              </w:rPr>
              <w:t>通过上述试验后，婴儿培养箱应仍能正常使用，应确保婴儿培养箱的机械和结构完整；例如插销和门应保持紧闭，由制造商提供或可向制造商索取的辅助设备应保持牢固。</w:t>
            </w:r>
          </w:p>
        </w:tc>
        <w:tc>
          <w:tcPr>
            <w:tcW w:w="1080" w:type="dxa"/>
            <w:vAlign w:val="center"/>
          </w:tcPr>
          <w:p w14:paraId="6C0BB5C0">
            <w:pPr>
              <w:jc w:val="center"/>
            </w:pPr>
          </w:p>
        </w:tc>
        <w:tc>
          <w:tcPr>
            <w:tcW w:w="1080" w:type="dxa"/>
            <w:vMerge w:val="restart"/>
            <w:vAlign w:val="center"/>
          </w:tcPr>
          <w:p w14:paraId="18488502">
            <w:pPr>
              <w:jc w:val="center"/>
            </w:pPr>
          </w:p>
        </w:tc>
        <w:tc>
          <w:tcPr>
            <w:tcW w:w="876" w:type="dxa"/>
            <w:vMerge w:val="restart"/>
            <w:vAlign w:val="center"/>
          </w:tcPr>
          <w:p w14:paraId="312353C0">
            <w:pPr>
              <w:jc w:val="center"/>
            </w:pPr>
          </w:p>
        </w:tc>
      </w:tr>
      <w:tr w14:paraId="071E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CA8C2FC"/>
        </w:tc>
        <w:tc>
          <w:tcPr>
            <w:tcW w:w="1080" w:type="dxa"/>
            <w:vMerge w:val="continue"/>
          </w:tcPr>
          <w:p w14:paraId="314D1883"/>
        </w:tc>
        <w:tc>
          <w:tcPr>
            <w:tcW w:w="720" w:type="dxa"/>
            <w:vMerge w:val="continue"/>
            <w:vAlign w:val="center"/>
          </w:tcPr>
          <w:p w14:paraId="75B220B2">
            <w:pPr>
              <w:spacing w:line="320" w:lineRule="exact"/>
            </w:pPr>
          </w:p>
        </w:tc>
        <w:tc>
          <w:tcPr>
            <w:tcW w:w="4500" w:type="dxa"/>
          </w:tcPr>
          <w:p w14:paraId="4D9D34F7">
            <w:pPr>
              <w:snapToGrid w:val="0"/>
              <w:spacing w:line="240" w:lineRule="atLeast"/>
            </w:pPr>
            <w:r>
              <w:rPr>
                <w:rFonts w:hint="eastAsia"/>
              </w:rPr>
              <w:t>增补：</w:t>
            </w:r>
          </w:p>
          <w:p w14:paraId="2305BB94">
            <w:pPr>
              <w:snapToGrid w:val="0"/>
              <w:spacing w:line="240" w:lineRule="atLeast"/>
            </w:pPr>
            <w:r>
              <w:rPr>
                <w:rFonts w:hint="eastAsia"/>
              </w:rPr>
              <w:t>201.15.3.101</w:t>
            </w:r>
            <w:r>
              <w:rPr>
                <w:rFonts w:hint="eastAsia"/>
              </w:rPr>
              <w:tab/>
            </w:r>
            <w:r>
              <w:rPr>
                <w:rFonts w:hint="eastAsia"/>
              </w:rPr>
              <w:t>婴儿通道</w:t>
            </w:r>
          </w:p>
          <w:p w14:paraId="2DF9DA0F">
            <w:pPr>
              <w:spacing w:line="340" w:lineRule="exact"/>
            </w:pPr>
            <w:r>
              <w:rPr>
                <w:rFonts w:hint="eastAsia"/>
              </w:rPr>
              <w:t>婴儿培养箱应有一个不需要完全移开罩，就能从婴儿身上断开软管、电线、导联等类似物或可将婴儿送进或取出培养箱的装置。</w:t>
            </w:r>
          </w:p>
        </w:tc>
        <w:tc>
          <w:tcPr>
            <w:tcW w:w="1080" w:type="dxa"/>
            <w:vAlign w:val="center"/>
          </w:tcPr>
          <w:p w14:paraId="652F3B40">
            <w:pPr>
              <w:jc w:val="center"/>
            </w:pPr>
          </w:p>
        </w:tc>
        <w:tc>
          <w:tcPr>
            <w:tcW w:w="1080" w:type="dxa"/>
            <w:vMerge w:val="continue"/>
            <w:vAlign w:val="center"/>
          </w:tcPr>
          <w:p w14:paraId="6001033B">
            <w:pPr>
              <w:jc w:val="center"/>
            </w:pPr>
          </w:p>
        </w:tc>
        <w:tc>
          <w:tcPr>
            <w:tcW w:w="876" w:type="dxa"/>
            <w:vMerge w:val="continue"/>
            <w:vAlign w:val="center"/>
          </w:tcPr>
          <w:p w14:paraId="21E5C760"/>
        </w:tc>
      </w:tr>
      <w:tr w14:paraId="67F3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37078326">
            <w:pPr>
              <w:numPr>
                <w:ilvl w:val="0"/>
                <w:numId w:val="1"/>
              </w:numPr>
            </w:pPr>
          </w:p>
        </w:tc>
        <w:tc>
          <w:tcPr>
            <w:tcW w:w="1080" w:type="dxa"/>
          </w:tcPr>
          <w:p w14:paraId="363F1289">
            <w:r>
              <w:rPr>
                <w:rFonts w:hint="eastAsia"/>
              </w:rPr>
              <w:t>连接器的构造</w:t>
            </w:r>
          </w:p>
        </w:tc>
        <w:tc>
          <w:tcPr>
            <w:tcW w:w="720" w:type="dxa"/>
          </w:tcPr>
          <w:p w14:paraId="2CB6E16B">
            <w:pPr>
              <w:spacing w:line="320" w:lineRule="exact"/>
              <w:ind w:left="-84" w:leftChars="-40" w:right="-105" w:rightChars="-50"/>
              <w:jc w:val="center"/>
            </w:pPr>
            <w:r>
              <w:rPr>
                <w:rFonts w:hint="eastAsia"/>
              </w:rPr>
              <w:t>201.15.4.1</w:t>
            </w:r>
          </w:p>
        </w:tc>
        <w:tc>
          <w:tcPr>
            <w:tcW w:w="4500" w:type="dxa"/>
          </w:tcPr>
          <w:p w14:paraId="7EF2A2EE">
            <w:pPr>
              <w:snapToGrid w:val="0"/>
              <w:spacing w:line="240" w:lineRule="atLeast"/>
            </w:pPr>
            <w:r>
              <w:rPr>
                <w:rFonts w:hint="eastAsia"/>
              </w:rPr>
              <w:t>增补：</w:t>
            </w:r>
          </w:p>
          <w:p w14:paraId="3D61753A">
            <w:pPr>
              <w:snapToGrid w:val="0"/>
              <w:spacing w:line="240" w:lineRule="atLeast"/>
            </w:pPr>
            <w:r>
              <w:rPr>
                <w:rFonts w:hint="eastAsia"/>
              </w:rPr>
              <w:t>201.15.4.1.101</w:t>
            </w:r>
            <w:r>
              <w:rPr>
                <w:rFonts w:hint="eastAsia"/>
              </w:rPr>
              <w:tab/>
            </w:r>
            <w:r>
              <w:rPr>
                <w:rFonts w:hint="eastAsia"/>
              </w:rPr>
              <w:t>*温度传感器</w:t>
            </w:r>
          </w:p>
          <w:p w14:paraId="5EDB1A25">
            <w:pPr>
              <w:spacing w:line="340" w:lineRule="exact"/>
            </w:pPr>
            <w:r>
              <w:rPr>
                <w:rFonts w:hint="eastAsia"/>
              </w:rPr>
              <w:t>所有的温度传感器（包括皮肤温度传感器）应清楚地标明他们的预期功能。应不可能将传感器与ME设备上不适合的插座连接。</w:t>
            </w:r>
          </w:p>
        </w:tc>
        <w:tc>
          <w:tcPr>
            <w:tcW w:w="1080" w:type="dxa"/>
            <w:vAlign w:val="center"/>
          </w:tcPr>
          <w:p w14:paraId="1686E2BF">
            <w:pPr>
              <w:jc w:val="center"/>
            </w:pPr>
          </w:p>
        </w:tc>
        <w:tc>
          <w:tcPr>
            <w:tcW w:w="1080" w:type="dxa"/>
            <w:vAlign w:val="center"/>
          </w:tcPr>
          <w:p w14:paraId="4FB5830A">
            <w:pPr>
              <w:jc w:val="center"/>
            </w:pPr>
          </w:p>
        </w:tc>
        <w:tc>
          <w:tcPr>
            <w:tcW w:w="876" w:type="dxa"/>
            <w:vMerge w:val="continue"/>
            <w:vAlign w:val="center"/>
          </w:tcPr>
          <w:p w14:paraId="017105AE"/>
        </w:tc>
      </w:tr>
      <w:tr w14:paraId="17AF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2" w:hRule="atLeast"/>
          <w:jc w:val="center"/>
        </w:trPr>
        <w:tc>
          <w:tcPr>
            <w:tcW w:w="540" w:type="dxa"/>
            <w:vMerge w:val="restart"/>
          </w:tcPr>
          <w:p w14:paraId="0828BFF1">
            <w:pPr>
              <w:numPr>
                <w:ilvl w:val="0"/>
                <w:numId w:val="1"/>
              </w:numPr>
            </w:pPr>
          </w:p>
        </w:tc>
        <w:tc>
          <w:tcPr>
            <w:tcW w:w="1080" w:type="dxa"/>
            <w:vMerge w:val="restart"/>
          </w:tcPr>
          <w:p w14:paraId="1E582AD0">
            <w:pPr>
              <w:snapToGrid w:val="0"/>
              <w:spacing w:line="240" w:lineRule="atLeast"/>
            </w:pPr>
            <w:r>
              <w:rPr>
                <w:rFonts w:hint="eastAsia"/>
              </w:rPr>
              <w:t>温度和过载控制装置</w:t>
            </w:r>
          </w:p>
          <w:p w14:paraId="376F321F"/>
        </w:tc>
        <w:tc>
          <w:tcPr>
            <w:tcW w:w="720" w:type="dxa"/>
            <w:vMerge w:val="restart"/>
          </w:tcPr>
          <w:p w14:paraId="3FE2B0D2">
            <w:pPr>
              <w:spacing w:line="320" w:lineRule="exact"/>
              <w:ind w:left="-84" w:leftChars="-40" w:right="-105" w:rightChars="-50"/>
              <w:jc w:val="center"/>
            </w:pPr>
            <w:r>
              <w:rPr>
                <w:rFonts w:hint="eastAsia"/>
              </w:rPr>
              <w:t>201.15.4.2</w:t>
            </w:r>
          </w:p>
        </w:tc>
        <w:tc>
          <w:tcPr>
            <w:tcW w:w="4500" w:type="dxa"/>
          </w:tcPr>
          <w:p w14:paraId="76A62ECB">
            <w:pPr>
              <w:snapToGrid w:val="0"/>
              <w:spacing w:line="240" w:lineRule="atLeast"/>
            </w:pPr>
            <w:r>
              <w:rPr>
                <w:rFonts w:hint="eastAsia"/>
              </w:rPr>
              <w:t>201.15.4.2.1</w:t>
            </w:r>
            <w:r>
              <w:rPr>
                <w:rFonts w:hint="eastAsia"/>
              </w:rPr>
              <w:tab/>
            </w:r>
            <w:r>
              <w:rPr>
                <w:rFonts w:hint="eastAsia"/>
              </w:rPr>
              <w:t>应用</w:t>
            </w:r>
          </w:p>
          <w:p w14:paraId="605E1F06">
            <w:pPr>
              <w:snapToGrid w:val="0"/>
              <w:spacing w:line="240" w:lineRule="atLeast"/>
            </w:pPr>
            <w:r>
              <w:rPr>
                <w:rFonts w:hint="eastAsia"/>
              </w:rPr>
              <w:t>增补：</w:t>
            </w:r>
          </w:p>
          <w:p w14:paraId="15D91DFF">
            <w:pPr>
              <w:snapToGrid w:val="0"/>
              <w:spacing w:line="240" w:lineRule="atLeast"/>
            </w:pPr>
            <w:r>
              <w:rPr>
                <w:rFonts w:hint="eastAsia"/>
              </w:rPr>
              <w:t>aa）*空气温度控制的培养箱应设有热断路器，其动作应独立于所有恒温器，它应使培养箱温度不超过38℃时就能切断加热器的供电，并有可听和可见的报警。</w:t>
            </w:r>
          </w:p>
          <w:p w14:paraId="456079EE">
            <w:pPr>
              <w:spacing w:line="340" w:lineRule="exact"/>
            </w:pPr>
          </w:p>
        </w:tc>
        <w:tc>
          <w:tcPr>
            <w:tcW w:w="1080" w:type="dxa"/>
            <w:vAlign w:val="center"/>
          </w:tcPr>
          <w:p w14:paraId="21328571">
            <w:pPr>
              <w:jc w:val="center"/>
            </w:pPr>
          </w:p>
        </w:tc>
        <w:tc>
          <w:tcPr>
            <w:tcW w:w="1080" w:type="dxa"/>
            <w:vMerge w:val="restart"/>
            <w:vAlign w:val="center"/>
          </w:tcPr>
          <w:p w14:paraId="2A35FBB2">
            <w:pPr>
              <w:jc w:val="center"/>
            </w:pPr>
          </w:p>
        </w:tc>
        <w:tc>
          <w:tcPr>
            <w:tcW w:w="876" w:type="dxa"/>
            <w:vMerge w:val="continue"/>
            <w:vAlign w:val="center"/>
          </w:tcPr>
          <w:p w14:paraId="7405A59E"/>
        </w:tc>
      </w:tr>
      <w:tr w14:paraId="5C76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jc w:val="center"/>
        </w:trPr>
        <w:tc>
          <w:tcPr>
            <w:tcW w:w="540" w:type="dxa"/>
            <w:vMerge w:val="continue"/>
          </w:tcPr>
          <w:p w14:paraId="433F9B7D">
            <w:pPr>
              <w:numPr>
                <w:ilvl w:val="0"/>
                <w:numId w:val="1"/>
              </w:numPr>
            </w:pPr>
          </w:p>
        </w:tc>
        <w:tc>
          <w:tcPr>
            <w:tcW w:w="1080" w:type="dxa"/>
            <w:vMerge w:val="continue"/>
          </w:tcPr>
          <w:p w14:paraId="7A3CE3DF">
            <w:pPr>
              <w:snapToGrid w:val="0"/>
              <w:spacing w:line="240" w:lineRule="atLeast"/>
            </w:pPr>
          </w:p>
        </w:tc>
        <w:tc>
          <w:tcPr>
            <w:tcW w:w="720" w:type="dxa"/>
            <w:vMerge w:val="continue"/>
          </w:tcPr>
          <w:p w14:paraId="0CFEDD92">
            <w:pPr>
              <w:spacing w:line="320" w:lineRule="exact"/>
              <w:ind w:left="-84" w:leftChars="-40" w:right="-105" w:rightChars="-50"/>
              <w:jc w:val="center"/>
            </w:pPr>
          </w:p>
        </w:tc>
        <w:tc>
          <w:tcPr>
            <w:tcW w:w="4500" w:type="dxa"/>
          </w:tcPr>
          <w:p w14:paraId="2886F1BF">
            <w:pPr>
              <w:snapToGrid w:val="0"/>
              <w:spacing w:line="240" w:lineRule="atLeast"/>
            </w:pPr>
            <w:r>
              <w:rPr>
                <w:rFonts w:hint="eastAsia"/>
              </w:rPr>
              <w:t>按201.15.4.2.2.101，有控制温度越过并达到39℃的婴儿培养箱，应另配备在培养箱温度为40°C时动作的第二热断路器。在此情况下，38℃的热切断作用应能自动地或通过操作者的特别操作而停止。</w:t>
            </w:r>
          </w:p>
          <w:p w14:paraId="5BF4FFB5">
            <w:pPr>
              <w:spacing w:line="340" w:lineRule="exact"/>
            </w:pPr>
          </w:p>
        </w:tc>
        <w:tc>
          <w:tcPr>
            <w:tcW w:w="1080" w:type="dxa"/>
            <w:vAlign w:val="center"/>
          </w:tcPr>
          <w:p w14:paraId="61029BFE">
            <w:pPr>
              <w:jc w:val="center"/>
            </w:pPr>
          </w:p>
        </w:tc>
        <w:tc>
          <w:tcPr>
            <w:tcW w:w="1080" w:type="dxa"/>
            <w:vMerge w:val="continue"/>
            <w:vAlign w:val="center"/>
          </w:tcPr>
          <w:p w14:paraId="3C2745ED">
            <w:pPr>
              <w:jc w:val="center"/>
            </w:pPr>
          </w:p>
        </w:tc>
        <w:tc>
          <w:tcPr>
            <w:tcW w:w="876" w:type="dxa"/>
            <w:vMerge w:val="continue"/>
            <w:vAlign w:val="center"/>
          </w:tcPr>
          <w:p w14:paraId="49B26918"/>
        </w:tc>
      </w:tr>
      <w:tr w14:paraId="2335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40" w:type="dxa"/>
            <w:vMerge w:val="continue"/>
          </w:tcPr>
          <w:p w14:paraId="4A7093D7">
            <w:pPr>
              <w:numPr>
                <w:ilvl w:val="0"/>
                <w:numId w:val="1"/>
              </w:numPr>
            </w:pPr>
          </w:p>
        </w:tc>
        <w:tc>
          <w:tcPr>
            <w:tcW w:w="1080" w:type="dxa"/>
            <w:vMerge w:val="continue"/>
          </w:tcPr>
          <w:p w14:paraId="5BE47678">
            <w:pPr>
              <w:snapToGrid w:val="0"/>
              <w:spacing w:line="240" w:lineRule="atLeast"/>
            </w:pPr>
          </w:p>
        </w:tc>
        <w:tc>
          <w:tcPr>
            <w:tcW w:w="720" w:type="dxa"/>
            <w:vMerge w:val="continue"/>
          </w:tcPr>
          <w:p w14:paraId="66A1D1DA">
            <w:pPr>
              <w:spacing w:line="320" w:lineRule="exact"/>
              <w:ind w:left="-84" w:leftChars="-40" w:right="-105" w:rightChars="-50"/>
              <w:jc w:val="center"/>
            </w:pPr>
          </w:p>
        </w:tc>
        <w:tc>
          <w:tcPr>
            <w:tcW w:w="4500" w:type="dxa"/>
          </w:tcPr>
          <w:p w14:paraId="68FC867D">
            <w:pPr>
              <w:snapToGrid w:val="0"/>
              <w:spacing w:line="240" w:lineRule="atLeast"/>
            </w:pPr>
            <w:r>
              <w:rPr>
                <w:rFonts w:hint="eastAsia"/>
              </w:rPr>
              <w:t>热断路器：</w:t>
            </w:r>
          </w:p>
          <w:p w14:paraId="3AC051A3">
            <w:pPr>
              <w:snapToGrid w:val="0"/>
              <w:spacing w:line="240" w:lineRule="atLeast"/>
            </w:pPr>
            <w:r>
              <w:rPr>
                <w:rFonts w:hint="eastAsia"/>
              </w:rPr>
              <w:t>—应是非自动复位的，但可以手动复位；或</w:t>
            </w:r>
          </w:p>
          <w:p w14:paraId="7F08A716">
            <w:pPr>
              <w:spacing w:line="340" w:lineRule="exact"/>
            </w:pPr>
          </w:p>
        </w:tc>
        <w:tc>
          <w:tcPr>
            <w:tcW w:w="1080" w:type="dxa"/>
            <w:vAlign w:val="center"/>
          </w:tcPr>
          <w:p w14:paraId="09FF0523">
            <w:pPr>
              <w:jc w:val="center"/>
            </w:pPr>
          </w:p>
        </w:tc>
        <w:tc>
          <w:tcPr>
            <w:tcW w:w="1080" w:type="dxa"/>
            <w:vMerge w:val="continue"/>
            <w:vAlign w:val="center"/>
          </w:tcPr>
          <w:p w14:paraId="1774B2DC">
            <w:pPr>
              <w:jc w:val="center"/>
            </w:pPr>
          </w:p>
        </w:tc>
        <w:tc>
          <w:tcPr>
            <w:tcW w:w="876" w:type="dxa"/>
            <w:vMerge w:val="continue"/>
            <w:vAlign w:val="center"/>
          </w:tcPr>
          <w:p w14:paraId="72FE5CAA"/>
        </w:tc>
      </w:tr>
      <w:tr w14:paraId="1483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540" w:type="dxa"/>
            <w:vMerge w:val="continue"/>
          </w:tcPr>
          <w:p w14:paraId="625A076D">
            <w:pPr>
              <w:numPr>
                <w:ilvl w:val="0"/>
                <w:numId w:val="1"/>
              </w:numPr>
            </w:pPr>
          </w:p>
        </w:tc>
        <w:tc>
          <w:tcPr>
            <w:tcW w:w="1080" w:type="dxa"/>
            <w:vMerge w:val="continue"/>
          </w:tcPr>
          <w:p w14:paraId="32DBDA22">
            <w:pPr>
              <w:snapToGrid w:val="0"/>
              <w:spacing w:line="240" w:lineRule="atLeast"/>
            </w:pPr>
          </w:p>
        </w:tc>
        <w:tc>
          <w:tcPr>
            <w:tcW w:w="720" w:type="dxa"/>
            <w:vMerge w:val="continue"/>
          </w:tcPr>
          <w:p w14:paraId="374C15A8">
            <w:pPr>
              <w:spacing w:line="320" w:lineRule="exact"/>
              <w:ind w:left="-84" w:leftChars="-40" w:right="-105" w:rightChars="-50"/>
              <w:jc w:val="center"/>
            </w:pPr>
          </w:p>
        </w:tc>
        <w:tc>
          <w:tcPr>
            <w:tcW w:w="4500" w:type="dxa"/>
          </w:tcPr>
          <w:p w14:paraId="7CE7968F">
            <w:pPr>
              <w:spacing w:line="340" w:lineRule="exact"/>
            </w:pPr>
            <w:r>
              <w:rPr>
                <w:rFonts w:hint="eastAsia"/>
              </w:rPr>
              <w:t>—应在培养箱温度为34℃和39℃之间时，是自动复位的。同时报警应继续到手动复位时。</w:t>
            </w:r>
          </w:p>
        </w:tc>
        <w:tc>
          <w:tcPr>
            <w:tcW w:w="1080" w:type="dxa"/>
            <w:vAlign w:val="center"/>
          </w:tcPr>
          <w:p w14:paraId="5B87E58E">
            <w:pPr>
              <w:jc w:val="center"/>
            </w:pPr>
          </w:p>
        </w:tc>
        <w:tc>
          <w:tcPr>
            <w:tcW w:w="1080" w:type="dxa"/>
            <w:vMerge w:val="continue"/>
            <w:vAlign w:val="center"/>
          </w:tcPr>
          <w:p w14:paraId="077E714D">
            <w:pPr>
              <w:jc w:val="center"/>
            </w:pPr>
          </w:p>
        </w:tc>
        <w:tc>
          <w:tcPr>
            <w:tcW w:w="876" w:type="dxa"/>
            <w:vMerge w:val="continue"/>
            <w:vAlign w:val="center"/>
          </w:tcPr>
          <w:p w14:paraId="18CD3BFD"/>
        </w:tc>
      </w:tr>
      <w:tr w14:paraId="5750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540" w:type="dxa"/>
            <w:vMerge w:val="continue"/>
          </w:tcPr>
          <w:p w14:paraId="06B21346"/>
        </w:tc>
        <w:tc>
          <w:tcPr>
            <w:tcW w:w="1080" w:type="dxa"/>
            <w:vMerge w:val="continue"/>
          </w:tcPr>
          <w:p w14:paraId="789A10B6"/>
        </w:tc>
        <w:tc>
          <w:tcPr>
            <w:tcW w:w="720" w:type="dxa"/>
            <w:vMerge w:val="continue"/>
          </w:tcPr>
          <w:p w14:paraId="497FFD5E">
            <w:pPr>
              <w:spacing w:line="320" w:lineRule="exact"/>
            </w:pPr>
          </w:p>
        </w:tc>
        <w:tc>
          <w:tcPr>
            <w:tcW w:w="4500" w:type="dxa"/>
          </w:tcPr>
          <w:p w14:paraId="4E27E4AD">
            <w:pPr>
              <w:snapToGrid w:val="0"/>
              <w:spacing w:line="240" w:lineRule="atLeast"/>
            </w:pPr>
            <w:r>
              <w:rPr>
                <w:rFonts w:hint="eastAsia"/>
              </w:rPr>
              <w:t>bb)婴儿温度控制的婴儿培养箱应设有热断路器，其动作应独立于所有恒温器，它应使培养箱温度不超过40°C时就能切断加热器的供电，并有可听和可见的报警。</w:t>
            </w:r>
          </w:p>
        </w:tc>
        <w:tc>
          <w:tcPr>
            <w:tcW w:w="1080" w:type="dxa"/>
            <w:vAlign w:val="center"/>
          </w:tcPr>
          <w:p w14:paraId="6B7C9F68">
            <w:pPr>
              <w:jc w:val="center"/>
            </w:pPr>
          </w:p>
        </w:tc>
        <w:tc>
          <w:tcPr>
            <w:tcW w:w="1080" w:type="dxa"/>
            <w:vMerge w:val="continue"/>
            <w:vAlign w:val="center"/>
          </w:tcPr>
          <w:p w14:paraId="26FC3B77">
            <w:pPr>
              <w:jc w:val="center"/>
            </w:pPr>
          </w:p>
        </w:tc>
        <w:tc>
          <w:tcPr>
            <w:tcW w:w="876" w:type="dxa"/>
            <w:vMerge w:val="continue"/>
            <w:vAlign w:val="center"/>
          </w:tcPr>
          <w:p w14:paraId="35820040"/>
        </w:tc>
      </w:tr>
      <w:tr w14:paraId="75AF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40" w:type="dxa"/>
            <w:vMerge w:val="continue"/>
          </w:tcPr>
          <w:p w14:paraId="4126D286"/>
        </w:tc>
        <w:tc>
          <w:tcPr>
            <w:tcW w:w="1080" w:type="dxa"/>
            <w:vMerge w:val="continue"/>
          </w:tcPr>
          <w:p w14:paraId="09673141"/>
        </w:tc>
        <w:tc>
          <w:tcPr>
            <w:tcW w:w="720" w:type="dxa"/>
            <w:vMerge w:val="continue"/>
          </w:tcPr>
          <w:p w14:paraId="56D94488">
            <w:pPr>
              <w:spacing w:line="320" w:lineRule="exact"/>
            </w:pPr>
          </w:p>
        </w:tc>
        <w:tc>
          <w:tcPr>
            <w:tcW w:w="4500" w:type="dxa"/>
          </w:tcPr>
          <w:p w14:paraId="6826FEE7">
            <w:pPr>
              <w:snapToGrid w:val="0"/>
              <w:spacing w:line="240" w:lineRule="atLeast"/>
            </w:pPr>
            <w:r>
              <w:rPr>
                <w:rFonts w:hint="eastAsia"/>
              </w:rPr>
              <w:t>热断路器：</w:t>
            </w:r>
          </w:p>
          <w:p w14:paraId="3B0DDA88">
            <w:pPr>
              <w:snapToGrid w:val="0"/>
              <w:spacing w:line="240" w:lineRule="atLeast"/>
            </w:pPr>
            <w:r>
              <w:t>——应是非自动复位，但可以手动复位；或</w:t>
            </w:r>
          </w:p>
          <w:p w14:paraId="1D855B7D">
            <w:pPr>
              <w:snapToGrid w:val="0"/>
              <w:spacing w:line="240" w:lineRule="atLeast"/>
            </w:pPr>
          </w:p>
        </w:tc>
        <w:tc>
          <w:tcPr>
            <w:tcW w:w="1080" w:type="dxa"/>
            <w:vAlign w:val="center"/>
          </w:tcPr>
          <w:p w14:paraId="20139A36">
            <w:pPr>
              <w:jc w:val="center"/>
            </w:pPr>
          </w:p>
        </w:tc>
        <w:tc>
          <w:tcPr>
            <w:tcW w:w="1080" w:type="dxa"/>
            <w:vMerge w:val="continue"/>
            <w:vAlign w:val="center"/>
          </w:tcPr>
          <w:p w14:paraId="2B0FCE41">
            <w:pPr>
              <w:jc w:val="center"/>
            </w:pPr>
          </w:p>
        </w:tc>
        <w:tc>
          <w:tcPr>
            <w:tcW w:w="876" w:type="dxa"/>
            <w:vMerge w:val="continue"/>
            <w:vAlign w:val="center"/>
          </w:tcPr>
          <w:p w14:paraId="186855C7"/>
        </w:tc>
      </w:tr>
      <w:tr w14:paraId="4FEB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67426B80">
            <w:pPr>
              <w:jc w:val="center"/>
            </w:pPr>
            <w:r>
              <w:rPr>
                <w:rFonts w:hint="eastAsia"/>
              </w:rPr>
              <w:t>续2</w:t>
            </w:r>
            <w:r>
              <w:t>5</w:t>
            </w:r>
          </w:p>
        </w:tc>
        <w:tc>
          <w:tcPr>
            <w:tcW w:w="1080" w:type="dxa"/>
            <w:vMerge w:val="restart"/>
          </w:tcPr>
          <w:p w14:paraId="7A22FEDD">
            <w:pPr>
              <w:snapToGrid w:val="0"/>
              <w:spacing w:line="240" w:lineRule="atLeast"/>
            </w:pPr>
            <w:r>
              <w:rPr>
                <w:rFonts w:hint="eastAsia"/>
              </w:rPr>
              <w:t>温度和过载控制装置</w:t>
            </w:r>
          </w:p>
          <w:p w14:paraId="2B985DAC"/>
        </w:tc>
        <w:tc>
          <w:tcPr>
            <w:tcW w:w="720" w:type="dxa"/>
            <w:vMerge w:val="restart"/>
          </w:tcPr>
          <w:p w14:paraId="0F4E4CDB">
            <w:pPr>
              <w:spacing w:line="320" w:lineRule="exact"/>
            </w:pPr>
            <w:r>
              <w:rPr>
                <w:rFonts w:hint="eastAsia"/>
              </w:rPr>
              <w:t>201.15.4.2</w:t>
            </w:r>
          </w:p>
        </w:tc>
        <w:tc>
          <w:tcPr>
            <w:tcW w:w="4500" w:type="dxa"/>
          </w:tcPr>
          <w:p w14:paraId="49E717F8">
            <w:pPr>
              <w:snapToGrid w:val="0"/>
              <w:spacing w:line="240" w:lineRule="atLeast"/>
            </w:pPr>
            <w:r>
              <w:t>——应</w:t>
            </w:r>
            <w:r>
              <w:rPr>
                <w:rFonts w:hint="eastAsia"/>
              </w:rPr>
              <w:t>在培养箱温度为34℃和39℃之间时，是自动复位的。同时报警应继续到手动复位时。</w:t>
            </w:r>
          </w:p>
        </w:tc>
        <w:tc>
          <w:tcPr>
            <w:tcW w:w="1080" w:type="dxa"/>
            <w:vAlign w:val="center"/>
          </w:tcPr>
          <w:p w14:paraId="418F5797">
            <w:pPr>
              <w:jc w:val="center"/>
            </w:pPr>
          </w:p>
        </w:tc>
        <w:tc>
          <w:tcPr>
            <w:tcW w:w="1080" w:type="dxa"/>
            <w:vMerge w:val="restart"/>
            <w:vAlign w:val="center"/>
          </w:tcPr>
          <w:p w14:paraId="3320152C">
            <w:pPr>
              <w:jc w:val="center"/>
            </w:pPr>
          </w:p>
        </w:tc>
        <w:tc>
          <w:tcPr>
            <w:tcW w:w="876" w:type="dxa"/>
            <w:vMerge w:val="restart"/>
            <w:vAlign w:val="center"/>
          </w:tcPr>
          <w:p w14:paraId="70D9003D">
            <w:pPr>
              <w:jc w:val="center"/>
            </w:pPr>
          </w:p>
        </w:tc>
      </w:tr>
      <w:tr w14:paraId="2A3E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96086D0"/>
        </w:tc>
        <w:tc>
          <w:tcPr>
            <w:tcW w:w="1080" w:type="dxa"/>
            <w:vMerge w:val="continue"/>
          </w:tcPr>
          <w:p w14:paraId="57207F2D"/>
        </w:tc>
        <w:tc>
          <w:tcPr>
            <w:tcW w:w="720" w:type="dxa"/>
            <w:vMerge w:val="continue"/>
          </w:tcPr>
          <w:p w14:paraId="14BBC23C">
            <w:pPr>
              <w:spacing w:line="320" w:lineRule="exact"/>
            </w:pPr>
          </w:p>
        </w:tc>
        <w:tc>
          <w:tcPr>
            <w:tcW w:w="4500" w:type="dxa"/>
          </w:tcPr>
          <w:p w14:paraId="021725F5">
            <w:pPr>
              <w:snapToGrid w:val="0"/>
              <w:spacing w:line="240" w:lineRule="atLeast"/>
            </w:pPr>
            <w:r>
              <w:rPr>
                <w:rFonts w:hint="eastAsia"/>
              </w:rPr>
              <w:t>cc)婴儿温度控制的培养箱在正常状态下，用皮肤温度传感器测得的婴儿温度低于控制温度时，在热断路器未动作的条件下，应能达到稳定温度状态。</w:t>
            </w:r>
          </w:p>
          <w:p w14:paraId="4D17D748">
            <w:pPr>
              <w:spacing w:line="340" w:lineRule="exact"/>
            </w:pPr>
          </w:p>
        </w:tc>
        <w:tc>
          <w:tcPr>
            <w:tcW w:w="1080" w:type="dxa"/>
            <w:vAlign w:val="center"/>
          </w:tcPr>
          <w:p w14:paraId="26AAD69A">
            <w:pPr>
              <w:jc w:val="center"/>
            </w:pPr>
          </w:p>
        </w:tc>
        <w:tc>
          <w:tcPr>
            <w:tcW w:w="1080" w:type="dxa"/>
            <w:vMerge w:val="continue"/>
            <w:vAlign w:val="center"/>
          </w:tcPr>
          <w:p w14:paraId="02F79C94">
            <w:pPr>
              <w:jc w:val="center"/>
            </w:pPr>
          </w:p>
        </w:tc>
        <w:tc>
          <w:tcPr>
            <w:tcW w:w="876" w:type="dxa"/>
            <w:vMerge w:val="continue"/>
            <w:vAlign w:val="center"/>
          </w:tcPr>
          <w:p w14:paraId="703E89F1"/>
        </w:tc>
      </w:tr>
      <w:tr w14:paraId="020B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48601C71"/>
        </w:tc>
        <w:tc>
          <w:tcPr>
            <w:tcW w:w="1080" w:type="dxa"/>
            <w:vMerge w:val="continue"/>
          </w:tcPr>
          <w:p w14:paraId="2A2FFD0F"/>
        </w:tc>
        <w:tc>
          <w:tcPr>
            <w:tcW w:w="720" w:type="dxa"/>
            <w:vMerge w:val="continue"/>
          </w:tcPr>
          <w:p w14:paraId="0E0BF268">
            <w:pPr>
              <w:spacing w:line="320" w:lineRule="exact"/>
            </w:pPr>
          </w:p>
        </w:tc>
        <w:tc>
          <w:tcPr>
            <w:tcW w:w="4500" w:type="dxa"/>
          </w:tcPr>
          <w:p w14:paraId="7B5F3DF8">
            <w:pPr>
              <w:spacing w:line="340" w:lineRule="exact"/>
            </w:pPr>
            <w:r>
              <w:rPr>
                <w:rFonts w:hint="eastAsia"/>
              </w:rPr>
              <w:t>dd）*空气温度控制的培养箱在达到稳定温度状态后，显示的空气温度与控制温度间的温度偏差超过±3°C时，应使听觉和视觉报警动作。如果显示的空气温度超过控制温度3°C，ME设备加热器应被切断，如果显示的空气温度低于控制温度，则应继续保持加热。</w:t>
            </w:r>
          </w:p>
        </w:tc>
        <w:tc>
          <w:tcPr>
            <w:tcW w:w="1080" w:type="dxa"/>
            <w:vAlign w:val="center"/>
          </w:tcPr>
          <w:p w14:paraId="0FD94A28">
            <w:pPr>
              <w:jc w:val="center"/>
            </w:pPr>
          </w:p>
        </w:tc>
        <w:tc>
          <w:tcPr>
            <w:tcW w:w="1080" w:type="dxa"/>
            <w:vMerge w:val="continue"/>
            <w:vAlign w:val="center"/>
          </w:tcPr>
          <w:p w14:paraId="1DFEAC23">
            <w:pPr>
              <w:jc w:val="center"/>
            </w:pPr>
          </w:p>
        </w:tc>
        <w:tc>
          <w:tcPr>
            <w:tcW w:w="876" w:type="dxa"/>
            <w:vMerge w:val="continue"/>
            <w:vAlign w:val="center"/>
          </w:tcPr>
          <w:p w14:paraId="4E1E78C1"/>
        </w:tc>
      </w:tr>
      <w:tr w14:paraId="3A61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B6A90EF"/>
        </w:tc>
        <w:tc>
          <w:tcPr>
            <w:tcW w:w="1080" w:type="dxa"/>
            <w:vMerge w:val="continue"/>
          </w:tcPr>
          <w:p w14:paraId="1246D727"/>
        </w:tc>
        <w:tc>
          <w:tcPr>
            <w:tcW w:w="720" w:type="dxa"/>
            <w:vMerge w:val="continue"/>
          </w:tcPr>
          <w:p w14:paraId="42B8B1B9">
            <w:pPr>
              <w:spacing w:line="320" w:lineRule="exact"/>
            </w:pPr>
          </w:p>
        </w:tc>
        <w:tc>
          <w:tcPr>
            <w:tcW w:w="4500" w:type="dxa"/>
          </w:tcPr>
          <w:p w14:paraId="4286EA80">
            <w:pPr>
              <w:spacing w:line="340" w:lineRule="exact"/>
            </w:pPr>
            <w:r>
              <w:rPr>
                <w:rFonts w:hint="eastAsia"/>
              </w:rPr>
              <w:t>ee）*婴儿温度控制的培养箱在达到温度稳定状态后，显示的皮肤温度与控制温度间的偏差超过±1℃应使听觉和视觉报警工作。如显示皮肤温度超过控制温度1℃，ME设备加热器应被切断。</w:t>
            </w:r>
          </w:p>
        </w:tc>
        <w:tc>
          <w:tcPr>
            <w:tcW w:w="1080" w:type="dxa"/>
            <w:vAlign w:val="center"/>
          </w:tcPr>
          <w:p w14:paraId="4CDEFC07">
            <w:pPr>
              <w:jc w:val="center"/>
            </w:pPr>
          </w:p>
        </w:tc>
        <w:tc>
          <w:tcPr>
            <w:tcW w:w="1080" w:type="dxa"/>
            <w:vMerge w:val="continue"/>
            <w:vAlign w:val="center"/>
          </w:tcPr>
          <w:p w14:paraId="217775FB">
            <w:pPr>
              <w:jc w:val="center"/>
            </w:pPr>
          </w:p>
        </w:tc>
        <w:tc>
          <w:tcPr>
            <w:tcW w:w="876" w:type="dxa"/>
            <w:vMerge w:val="continue"/>
            <w:vAlign w:val="center"/>
          </w:tcPr>
          <w:p w14:paraId="7EF5E510"/>
        </w:tc>
      </w:tr>
      <w:tr w14:paraId="7397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4BF41152"/>
        </w:tc>
        <w:tc>
          <w:tcPr>
            <w:tcW w:w="1080" w:type="dxa"/>
            <w:vMerge w:val="continue"/>
          </w:tcPr>
          <w:p w14:paraId="6D496049"/>
        </w:tc>
        <w:tc>
          <w:tcPr>
            <w:tcW w:w="720" w:type="dxa"/>
            <w:vMerge w:val="continue"/>
          </w:tcPr>
          <w:p w14:paraId="32FFC722">
            <w:pPr>
              <w:spacing w:line="320" w:lineRule="exact"/>
            </w:pPr>
          </w:p>
        </w:tc>
        <w:tc>
          <w:tcPr>
            <w:tcW w:w="4500" w:type="dxa"/>
          </w:tcPr>
          <w:p w14:paraId="19872B83">
            <w:pPr>
              <w:snapToGrid w:val="0"/>
              <w:spacing w:line="240" w:lineRule="atLeast"/>
            </w:pPr>
            <w:r>
              <w:rPr>
                <w:rFonts w:hint="eastAsia"/>
              </w:rPr>
              <w:t>201.15.4.2.2</w:t>
            </w:r>
            <w:r>
              <w:rPr>
                <w:rFonts w:hint="eastAsia"/>
              </w:rPr>
              <w:tab/>
            </w:r>
            <w:r>
              <w:rPr>
                <w:rFonts w:hint="eastAsia"/>
              </w:rPr>
              <w:t>温度设置</w:t>
            </w:r>
          </w:p>
          <w:p w14:paraId="719CF0FE">
            <w:pPr>
              <w:snapToGrid w:val="0"/>
              <w:spacing w:line="240" w:lineRule="atLeast"/>
            </w:pPr>
            <w:r>
              <w:rPr>
                <w:rFonts w:hint="eastAsia"/>
              </w:rPr>
              <w:t>增补：</w:t>
            </w:r>
          </w:p>
          <w:p w14:paraId="2CD62727">
            <w:pPr>
              <w:snapToGrid w:val="0"/>
              <w:spacing w:line="240" w:lineRule="atLeast"/>
            </w:pPr>
            <w:r>
              <w:rPr>
                <w:rFonts w:hint="eastAsia"/>
              </w:rPr>
              <w:t>201.15.4.2.2.101</w:t>
            </w:r>
            <w:r>
              <w:rPr>
                <w:rFonts w:hint="eastAsia"/>
              </w:rPr>
              <w:tab/>
            </w:r>
            <w:r>
              <w:rPr>
                <w:rFonts w:hint="eastAsia"/>
              </w:rPr>
              <w:t>*空气温度控制范围</w:t>
            </w:r>
          </w:p>
          <w:p w14:paraId="2EA8C5C8">
            <w:pPr>
              <w:spacing w:line="340" w:lineRule="exact"/>
            </w:pPr>
            <w:r>
              <w:rPr>
                <w:rFonts w:hint="eastAsia"/>
              </w:rPr>
              <w:t>对空气温度控制的培养箱而言，控制温度范围应从30℃或更低到不超过37℃。除非通过操作者的特别操作才可超过。在此情况下最高控制温度不应超过39℃，该工作方式应用易于辨认的，包括或兼有有关温度范围指示的警示灯指示。控制温度的最高设定值不应低于36℃。</w:t>
            </w:r>
          </w:p>
        </w:tc>
        <w:tc>
          <w:tcPr>
            <w:tcW w:w="1080" w:type="dxa"/>
            <w:vAlign w:val="center"/>
          </w:tcPr>
          <w:p w14:paraId="1BB84F7E">
            <w:pPr>
              <w:jc w:val="center"/>
            </w:pPr>
          </w:p>
        </w:tc>
        <w:tc>
          <w:tcPr>
            <w:tcW w:w="1080" w:type="dxa"/>
            <w:vMerge w:val="continue"/>
            <w:vAlign w:val="center"/>
          </w:tcPr>
          <w:p w14:paraId="08CE5358">
            <w:pPr>
              <w:jc w:val="center"/>
            </w:pPr>
          </w:p>
        </w:tc>
        <w:tc>
          <w:tcPr>
            <w:tcW w:w="876" w:type="dxa"/>
            <w:vMerge w:val="continue"/>
            <w:vAlign w:val="center"/>
          </w:tcPr>
          <w:p w14:paraId="6E5FFDC7"/>
        </w:tc>
      </w:tr>
      <w:tr w14:paraId="0028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1F8502F0"/>
        </w:tc>
        <w:tc>
          <w:tcPr>
            <w:tcW w:w="1080" w:type="dxa"/>
            <w:vMerge w:val="continue"/>
          </w:tcPr>
          <w:p w14:paraId="4CCE6D81"/>
        </w:tc>
        <w:tc>
          <w:tcPr>
            <w:tcW w:w="720" w:type="dxa"/>
            <w:vMerge w:val="continue"/>
          </w:tcPr>
          <w:p w14:paraId="264BD02C">
            <w:pPr>
              <w:spacing w:line="320" w:lineRule="exact"/>
            </w:pPr>
          </w:p>
        </w:tc>
        <w:tc>
          <w:tcPr>
            <w:tcW w:w="4500" w:type="dxa"/>
          </w:tcPr>
          <w:p w14:paraId="457DE773">
            <w:pPr>
              <w:snapToGrid w:val="0"/>
              <w:spacing w:line="240" w:lineRule="atLeast"/>
            </w:pPr>
            <w:r>
              <w:rPr>
                <w:rFonts w:hint="eastAsia"/>
              </w:rPr>
              <w:t>201.15.4.2.2.102</w:t>
            </w:r>
            <w:r>
              <w:rPr>
                <w:rFonts w:hint="eastAsia"/>
              </w:rPr>
              <w:tab/>
            </w:r>
            <w:r>
              <w:rPr>
                <w:rFonts w:hint="eastAsia"/>
              </w:rPr>
              <w:t>*婴儿温度控制范围</w:t>
            </w:r>
          </w:p>
          <w:p w14:paraId="0A24FADA">
            <w:pPr>
              <w:spacing w:line="340" w:lineRule="exact"/>
            </w:pPr>
            <w:r>
              <w:rPr>
                <w:rFonts w:hint="eastAsia"/>
              </w:rPr>
              <w:t>对婴儿温度控制的培养箱而言，控制温度范围应从35℃或更低到不超过37.5℃。除非通过操作者的特别操作才可超过，在此情况下最高控制温度不应超过39℃，该工作方式应用易于辨认的，包括或兼有有关温度范围指示的警示灯指示。</w:t>
            </w:r>
          </w:p>
        </w:tc>
        <w:tc>
          <w:tcPr>
            <w:tcW w:w="1080" w:type="dxa"/>
            <w:vAlign w:val="center"/>
          </w:tcPr>
          <w:p w14:paraId="47B82907">
            <w:pPr>
              <w:jc w:val="center"/>
            </w:pPr>
          </w:p>
        </w:tc>
        <w:tc>
          <w:tcPr>
            <w:tcW w:w="1080" w:type="dxa"/>
            <w:vMerge w:val="continue"/>
            <w:vAlign w:val="center"/>
          </w:tcPr>
          <w:p w14:paraId="7F0AD558">
            <w:pPr>
              <w:jc w:val="center"/>
            </w:pPr>
          </w:p>
        </w:tc>
        <w:tc>
          <w:tcPr>
            <w:tcW w:w="876" w:type="dxa"/>
            <w:vMerge w:val="continue"/>
            <w:vAlign w:val="center"/>
          </w:tcPr>
          <w:p w14:paraId="5DA78F12"/>
        </w:tc>
      </w:tr>
      <w:tr w14:paraId="502C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30B64F5B">
            <w:pPr>
              <w:numPr>
                <w:ilvl w:val="0"/>
                <w:numId w:val="1"/>
              </w:numPr>
            </w:pPr>
          </w:p>
        </w:tc>
        <w:tc>
          <w:tcPr>
            <w:tcW w:w="1080" w:type="dxa"/>
          </w:tcPr>
          <w:p w14:paraId="5D0F15AC">
            <w:r>
              <w:rPr>
                <w:rFonts w:hint="eastAsia"/>
              </w:rPr>
              <w:t>电磁兼容性的要求和测试</w:t>
            </w:r>
          </w:p>
        </w:tc>
        <w:tc>
          <w:tcPr>
            <w:tcW w:w="720" w:type="dxa"/>
          </w:tcPr>
          <w:p w14:paraId="26BF57E1">
            <w:pPr>
              <w:spacing w:line="320" w:lineRule="exact"/>
            </w:pPr>
            <w:r>
              <w:rPr>
                <w:rFonts w:hint="eastAsia"/>
              </w:rPr>
              <w:t>2</w:t>
            </w:r>
            <w:r>
              <w:t>02</w:t>
            </w:r>
          </w:p>
        </w:tc>
        <w:tc>
          <w:tcPr>
            <w:tcW w:w="4500" w:type="dxa"/>
          </w:tcPr>
          <w:p w14:paraId="159B17E6">
            <w:pPr>
              <w:snapToGrid w:val="0"/>
              <w:spacing w:line="240" w:lineRule="atLeast"/>
            </w:pPr>
            <w:r>
              <w:rPr>
                <w:rFonts w:hint="eastAsia"/>
              </w:rPr>
              <w:t>除下述条款外，Y</w:t>
            </w:r>
            <w:r>
              <w:t>Y 9706.102</w:t>
            </w:r>
            <w:r>
              <w:rPr>
                <w:rFonts w:hint="eastAsia"/>
              </w:rPr>
              <w:t>适用。</w:t>
            </w:r>
          </w:p>
          <w:p w14:paraId="79F09F21">
            <w:pPr>
              <w:snapToGrid w:val="0"/>
              <w:spacing w:line="240" w:lineRule="atLeast"/>
            </w:pPr>
            <w:r>
              <w:rPr>
                <w:rFonts w:hint="eastAsia"/>
              </w:rPr>
              <w:t>2</w:t>
            </w:r>
            <w:r>
              <w:t xml:space="preserve">02.6.2.3 </w:t>
            </w:r>
            <w:r>
              <w:rPr>
                <w:rFonts w:hint="eastAsia"/>
              </w:rPr>
              <w:t>抗扰度测试等级</w:t>
            </w:r>
          </w:p>
          <w:p w14:paraId="1F15A742">
            <w:pPr>
              <w:snapToGrid w:val="0"/>
              <w:spacing w:line="240" w:lineRule="atLeast"/>
            </w:pPr>
            <w:r>
              <w:rPr>
                <w:rFonts w:hint="eastAsia"/>
              </w:rPr>
              <w:t>2</w:t>
            </w:r>
            <w:r>
              <w:t xml:space="preserve">02.6.2.3.1 </w:t>
            </w:r>
            <w:r>
              <w:rPr>
                <w:rFonts w:hint="eastAsia"/>
              </w:rPr>
              <w:t>要求</w:t>
            </w:r>
          </w:p>
          <w:p w14:paraId="1CBE429B">
            <w:pPr>
              <w:snapToGrid w:val="0"/>
              <w:spacing w:line="240" w:lineRule="atLeast"/>
            </w:pPr>
            <w:r>
              <w:rPr>
                <w:rFonts w:hint="eastAsia"/>
              </w:rPr>
              <w:t>替换：</w:t>
            </w:r>
          </w:p>
          <w:p w14:paraId="4A0DED8E">
            <w:pPr>
              <w:snapToGrid w:val="0"/>
              <w:spacing w:line="240" w:lineRule="atLeast"/>
            </w:pPr>
            <w:r>
              <w:rPr>
                <w:rFonts w:hint="eastAsia"/>
              </w:rPr>
              <w:t>在辐射射频电磁场中，婴儿培养箱和/或M</w:t>
            </w:r>
            <w:r>
              <w:t>E</w:t>
            </w:r>
            <w:r>
              <w:rPr>
                <w:rFonts w:hint="eastAsia"/>
              </w:rPr>
              <w:t>系统应：</w:t>
            </w:r>
          </w:p>
          <w:p w14:paraId="135F31BD">
            <w:pPr>
              <w:snapToGrid w:val="0"/>
              <w:spacing w:line="240" w:lineRule="atLeast"/>
            </w:pPr>
            <w:r>
              <w:rPr>
                <w:rFonts w:hint="eastAsia"/>
              </w:rPr>
              <w:t>a</w:t>
            </w:r>
            <w:r>
              <w:rPr>
                <w:rFonts w:hint="eastAsia"/>
                <w:b/>
                <w:bCs/>
              </w:rPr>
              <w:t>）</w:t>
            </w:r>
            <w:r>
              <w:rPr>
                <w:rFonts w:hint="eastAsia"/>
              </w:rPr>
              <w:t>在E</w:t>
            </w:r>
            <w:r>
              <w:t>MC</w:t>
            </w:r>
            <w:r>
              <w:rPr>
                <w:rFonts w:hint="eastAsia"/>
              </w:rPr>
              <w:t>并列标准中声称的高达3</w:t>
            </w:r>
            <w:r>
              <w:t>V/</w:t>
            </w:r>
            <w:r>
              <w:rPr>
                <w:rFonts w:hint="eastAsia"/>
              </w:rPr>
              <w:t>m的抗扰度试验电平上，继续执行制造商指定的预期功能。</w:t>
            </w:r>
          </w:p>
          <w:p w14:paraId="4603C845">
            <w:pPr>
              <w:snapToGrid w:val="0"/>
              <w:spacing w:line="240" w:lineRule="atLeast"/>
            </w:pPr>
            <w:r>
              <w:rPr>
                <w:rFonts w:hint="eastAsia"/>
              </w:rPr>
              <w:t>b）在E</w:t>
            </w:r>
            <w:r>
              <w:t>MC</w:t>
            </w:r>
            <w:r>
              <w:rPr>
                <w:rFonts w:hint="eastAsia"/>
              </w:rPr>
              <w:t>并列标准中声称的高达</w:t>
            </w:r>
            <w:r>
              <w:t>10V/</w:t>
            </w:r>
            <w:r>
              <w:rPr>
                <w:rFonts w:hint="eastAsia"/>
              </w:rPr>
              <w:t>m的抗扰度试验电平上，继续执行制造商指定的预期功能或出现不造成伤害的故障。失败而不造成伤害。</w:t>
            </w:r>
          </w:p>
        </w:tc>
        <w:tc>
          <w:tcPr>
            <w:tcW w:w="1080" w:type="dxa"/>
            <w:vAlign w:val="center"/>
          </w:tcPr>
          <w:p w14:paraId="1A26EA24">
            <w:pPr>
              <w:jc w:val="center"/>
            </w:pPr>
          </w:p>
        </w:tc>
        <w:tc>
          <w:tcPr>
            <w:tcW w:w="1080" w:type="dxa"/>
            <w:vAlign w:val="center"/>
          </w:tcPr>
          <w:p w14:paraId="61F13035">
            <w:pPr>
              <w:jc w:val="center"/>
            </w:pPr>
          </w:p>
        </w:tc>
        <w:tc>
          <w:tcPr>
            <w:tcW w:w="876" w:type="dxa"/>
            <w:vAlign w:val="center"/>
          </w:tcPr>
          <w:p w14:paraId="7CD345E1">
            <w:pPr>
              <w:jc w:val="center"/>
            </w:pPr>
          </w:p>
        </w:tc>
      </w:tr>
    </w:tbl>
    <w:p w14:paraId="752EACC5">
      <w:pPr>
        <w:tabs>
          <w:tab w:val="left" w:pos="420"/>
        </w:tabs>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03F21">
    <w:pPr>
      <w:pStyle w:val="3"/>
      <w:jc w:val="center"/>
      <w:rPr>
        <w:rFonts w:ascii="宋体" w:hAnsi="宋体"/>
        <w:b/>
        <w:sz w:val="36"/>
        <w:szCs w:val="36"/>
      </w:rPr>
    </w:pPr>
    <w:r>
      <w:rPr>
        <w:rFonts w:hint="eastAsia" w:ascii="宋体" w:hAnsi="宋体"/>
        <w:b/>
        <w:sz w:val="36"/>
        <w:szCs w:val="36"/>
      </w:rPr>
      <w:t>GB</w:t>
    </w:r>
    <w:r>
      <w:rPr>
        <w:rFonts w:ascii="宋体" w:hAnsi="宋体"/>
        <w:b/>
        <w:sz w:val="36"/>
        <w:szCs w:val="36"/>
      </w:rPr>
      <w:t xml:space="preserve"> 9706.219-202</w:t>
    </w:r>
    <w:r>
      <w:rPr>
        <w:rFonts w:hint="eastAsia" w:ascii="宋体" w:hAnsi="宋体"/>
        <w:b/>
        <w:sz w:val="36"/>
        <w:szCs w:val="36"/>
      </w:rPr>
      <w:t>1检验报告内容模板</w:t>
    </w:r>
  </w:p>
  <w:p w14:paraId="49E29979">
    <w:pPr>
      <w:pStyle w:val="3"/>
      <w:jc w:val="center"/>
      <w:rPr>
        <w:rFonts w:ascii="宋体" w:hAnsi="宋体"/>
        <w:b/>
        <w:sz w:val="21"/>
      </w:rPr>
    </w:pPr>
    <w:r>
      <w:rPr>
        <w:sz w:val="36"/>
      </w:rPr>
      <mc:AlternateContent>
        <mc:Choice Requires="wps">
          <w:drawing>
            <wp:anchor distT="0" distB="0" distL="114300" distR="114300" simplePos="0" relativeHeight="251660288" behindDoc="0" locked="0" layoutInCell="1" allowOverlap="1">
              <wp:simplePos x="0" y="0"/>
              <wp:positionH relativeFrom="margin">
                <wp:posOffset>4283710</wp:posOffset>
              </wp:positionH>
              <wp:positionV relativeFrom="paragraph">
                <wp:posOffset>325120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756AE">
                          <w:pPr>
                            <w:pStyle w:val="3"/>
                          </w:pPr>
                          <w:r>
                            <w:t xml:space="preserve">共 </w:t>
                          </w:r>
                          <w:r>
                            <w:fldChar w:fldCharType="begin"/>
                          </w:r>
                          <w:r>
                            <w:instrText xml:space="preserve"> NUMPAGES  \* MERGEFORMAT </w:instrText>
                          </w:r>
                          <w:r>
                            <w:fldChar w:fldCharType="separate"/>
                          </w:r>
                          <w:r>
                            <w:t>11</w:t>
                          </w:r>
                          <w:r>
                            <w:fldChar w:fldCharType="end"/>
                          </w:r>
                          <w:r>
                            <w:t xml:space="preserve"> 页</w:t>
                          </w:r>
                          <w:r>
                            <w:rPr>
                              <w:rFonts w:hint="eastAsia"/>
                            </w:rPr>
                            <w:t xml:space="preserve"> </w:t>
                          </w:r>
                          <w:r>
                            <w:t xml:space="preserve">第 </w:t>
                          </w:r>
                          <w:r>
                            <w:fldChar w:fldCharType="begin"/>
                          </w:r>
                          <w:r>
                            <w:instrText xml:space="preserve"> PAGE  \* MERGEFORMAT </w:instrText>
                          </w:r>
                          <w:r>
                            <w:fldChar w:fldCharType="separate"/>
                          </w:r>
                          <w:r>
                            <w:t>2</w:t>
                          </w:r>
                          <w:r>
                            <w:fldChar w:fldCharType="end"/>
                          </w:r>
                          <w:r>
                            <w:t xml:space="preserve"> 页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37.3pt;margin-top:25.6pt;height:144pt;width:144pt;mso-position-horizontal-relative:margin;mso-wrap-style:none;z-index:251660288;mso-width-relative:page;mso-height-relative:page;" filled="f" stroked="f" coordsize="21600,21600" o:gfxdata="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4Is2ZZ&#10;2Oqd5RE6Kubt6hggYKdrFKVXYtAK09Z1ZngZcZz/3HdRj3+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8hzJm2AAAAAoBAAAPAAAAAAAAAAEAIAAAACIAAABkcnMvZG93bnJldi54bWxQSwECFAAU&#10;AAAACACHTuJAjNcOfCoCAABVBAAADgAAAAAAAAABACAAAAAnAQAAZHJzL2Uyb0RvYy54bWxQSwUG&#10;AAAAAAYABgBZAQAAwwUAAAAA&#10;">
              <v:fill on="f" focussize="0,0"/>
              <v:stroke on="f" weight="0.5pt"/>
              <v:imagedata o:title=""/>
              <o:lock v:ext="edit" aspectratio="f"/>
              <v:textbox inset="0mm,0mm,0mm,0mm" style="mso-fit-shape-to-text:t;">
                <w:txbxContent>
                  <w:p w14:paraId="63E756AE">
                    <w:pPr>
                      <w:pStyle w:val="3"/>
                    </w:pPr>
                    <w:r>
                      <w:t xml:space="preserve">共 </w:t>
                    </w:r>
                    <w:r>
                      <w:fldChar w:fldCharType="begin"/>
                    </w:r>
                    <w:r>
                      <w:instrText xml:space="preserve"> NUMPAGES  \* MERGEFORMAT </w:instrText>
                    </w:r>
                    <w:r>
                      <w:fldChar w:fldCharType="separate"/>
                    </w:r>
                    <w:r>
                      <w:t>11</w:t>
                    </w:r>
                    <w:r>
                      <w:fldChar w:fldCharType="end"/>
                    </w:r>
                    <w:r>
                      <w:t xml:space="preserve"> 页</w:t>
                    </w:r>
                    <w:r>
                      <w:rPr>
                        <w:rFonts w:hint="eastAsia"/>
                      </w:rPr>
                      <w:t xml:space="preserve"> </w:t>
                    </w:r>
                    <w:r>
                      <w:t xml:space="preserve">第 </w:t>
                    </w:r>
                    <w:r>
                      <w:fldChar w:fldCharType="begin"/>
                    </w:r>
                    <w:r>
                      <w:instrText xml:space="preserve"> PAGE  \* MERGEFORMAT </w:instrText>
                    </w:r>
                    <w:r>
                      <w:fldChar w:fldCharType="separate"/>
                    </w:r>
                    <w:r>
                      <w:t>2</w:t>
                    </w:r>
                    <w:r>
                      <w:fldChar w:fldCharType="end"/>
                    </w:r>
                    <w:r>
                      <w:t xml:space="preserve"> 页 </w:t>
                    </w:r>
                  </w:p>
                </w:txbxContent>
              </v:textbox>
            </v:shape>
          </w:pict>
        </mc:Fallback>
      </mc:AlternateContent>
    </w:r>
    <w:r>
      <w:rPr>
        <w:rFonts w:hint="eastAsia" w:ascii="宋体" w:hAnsi="宋体" w:cs="宋体"/>
        <w:b/>
        <w:bCs/>
        <w:sz w:val="44"/>
        <w:szCs w:val="44"/>
      </w:rPr>
      <w:t>检 验 报 告</w:t>
    </w:r>
  </w:p>
  <w:tbl>
    <w:tblPr>
      <w:tblStyle w:val="4"/>
      <w:tblpPr w:leftFromText="181" w:rightFromText="181" w:vertAnchor="page" w:tblpXSpec="center" w:tblpY="22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1"/>
    </w:tblGrid>
    <w:tr w14:paraId="4C6C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exact"/>
        <w:tblHeader/>
      </w:trPr>
      <w:tc>
        <w:tcPr>
          <w:tcW w:w="540" w:type="dxa"/>
          <w:tcBorders>
            <w:top w:val="nil"/>
            <w:left w:val="nil"/>
            <w:right w:val="nil"/>
          </w:tcBorders>
          <w:vAlign w:val="center"/>
        </w:tcPr>
        <w:p w14:paraId="6264A301">
          <w:pPr>
            <w:jc w:val="center"/>
            <w:rPr>
              <w:rFonts w:ascii="仿宋" w:hAnsi="仿宋" w:eastAsia="仿宋"/>
            </w:rPr>
          </w:pPr>
        </w:p>
      </w:tc>
      <w:tc>
        <w:tcPr>
          <w:tcW w:w="1080" w:type="dxa"/>
          <w:tcBorders>
            <w:top w:val="nil"/>
            <w:left w:val="nil"/>
            <w:right w:val="nil"/>
          </w:tcBorders>
          <w:vAlign w:val="center"/>
        </w:tcPr>
        <w:p w14:paraId="49CE41EB">
          <w:pPr>
            <w:jc w:val="center"/>
            <w:rPr>
              <w:rFonts w:ascii="仿宋" w:hAnsi="仿宋" w:eastAsia="仿宋"/>
            </w:rPr>
          </w:pPr>
        </w:p>
      </w:tc>
      <w:tc>
        <w:tcPr>
          <w:tcW w:w="720" w:type="dxa"/>
          <w:tcBorders>
            <w:top w:val="nil"/>
            <w:left w:val="nil"/>
            <w:right w:val="nil"/>
          </w:tcBorders>
          <w:vAlign w:val="center"/>
        </w:tcPr>
        <w:p w14:paraId="08C3A513">
          <w:pPr>
            <w:jc w:val="center"/>
            <w:rPr>
              <w:rFonts w:ascii="仿宋" w:hAnsi="仿宋" w:eastAsia="仿宋"/>
            </w:rPr>
          </w:pPr>
        </w:p>
      </w:tc>
      <w:tc>
        <w:tcPr>
          <w:tcW w:w="4500" w:type="dxa"/>
          <w:tcBorders>
            <w:top w:val="nil"/>
            <w:left w:val="nil"/>
            <w:right w:val="nil"/>
          </w:tcBorders>
          <w:vAlign w:val="center"/>
        </w:tcPr>
        <w:p w14:paraId="54A06F11">
          <w:pPr>
            <w:jc w:val="center"/>
            <w:rPr>
              <w:rFonts w:ascii="仿宋" w:hAnsi="仿宋" w:eastAsia="仿宋"/>
            </w:rPr>
          </w:pPr>
        </w:p>
      </w:tc>
      <w:tc>
        <w:tcPr>
          <w:tcW w:w="1080" w:type="dxa"/>
          <w:tcBorders>
            <w:top w:val="nil"/>
            <w:left w:val="nil"/>
            <w:right w:val="nil"/>
          </w:tcBorders>
          <w:vAlign w:val="center"/>
        </w:tcPr>
        <w:p w14:paraId="29D1BC9D">
          <w:pPr>
            <w:jc w:val="center"/>
            <w:rPr>
              <w:rFonts w:ascii="仿宋" w:hAnsi="仿宋" w:eastAsia="仿宋"/>
            </w:rPr>
          </w:pPr>
        </w:p>
      </w:tc>
      <w:tc>
        <w:tcPr>
          <w:tcW w:w="1080" w:type="dxa"/>
          <w:tcBorders>
            <w:top w:val="nil"/>
            <w:left w:val="nil"/>
            <w:right w:val="nil"/>
          </w:tcBorders>
          <w:vAlign w:val="center"/>
        </w:tcPr>
        <w:p w14:paraId="6E3D99EA">
          <w:pPr>
            <w:jc w:val="center"/>
            <w:rPr>
              <w:rFonts w:ascii="仿宋" w:hAnsi="仿宋" w:eastAsia="仿宋"/>
            </w:rPr>
          </w:pPr>
        </w:p>
      </w:tc>
      <w:tc>
        <w:tcPr>
          <w:tcW w:w="871" w:type="dxa"/>
          <w:tcBorders>
            <w:top w:val="nil"/>
            <w:left w:val="nil"/>
            <w:right w:val="nil"/>
          </w:tcBorders>
          <w:vAlign w:val="center"/>
        </w:tcPr>
        <w:p w14:paraId="4C469FC4">
          <w:pPr>
            <w:jc w:val="center"/>
            <w:rPr>
              <w:rFonts w:ascii="仿宋" w:hAnsi="仿宋" w:eastAsia="仿宋"/>
            </w:rPr>
          </w:pPr>
        </w:p>
      </w:tc>
    </w:tr>
    <w:tr w14:paraId="4083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trPr>
      <w:tc>
        <w:tcPr>
          <w:tcW w:w="540" w:type="dxa"/>
          <w:tcBorders>
            <w:bottom w:val="nil"/>
          </w:tcBorders>
          <w:vAlign w:val="center"/>
        </w:tcPr>
        <w:p w14:paraId="66A8388B">
          <w:pPr>
            <w:jc w:val="center"/>
            <w:rPr>
              <w:rFonts w:ascii="仿宋" w:hAnsi="仿宋" w:eastAsia="仿宋"/>
            </w:rPr>
          </w:pPr>
          <w:r>
            <w:rPr>
              <w:rFonts w:hint="eastAsia" w:ascii="仿宋" w:hAnsi="仿宋" w:eastAsia="仿宋" w:cs="仿宋_GB2312"/>
            </w:rPr>
            <w:t>序号</w:t>
          </w:r>
        </w:p>
      </w:tc>
      <w:tc>
        <w:tcPr>
          <w:tcW w:w="1080" w:type="dxa"/>
          <w:tcBorders>
            <w:bottom w:val="nil"/>
          </w:tcBorders>
          <w:vAlign w:val="center"/>
        </w:tcPr>
        <w:p w14:paraId="5E8E231B">
          <w:pPr>
            <w:jc w:val="center"/>
            <w:rPr>
              <w:rFonts w:ascii="仿宋" w:hAnsi="仿宋" w:eastAsia="仿宋"/>
            </w:rPr>
          </w:pPr>
          <w:r>
            <w:rPr>
              <w:rFonts w:hint="eastAsia" w:ascii="仿宋" w:hAnsi="仿宋" w:eastAsia="仿宋" w:cs="仿宋_GB2312"/>
            </w:rPr>
            <w:t>检验</w:t>
          </w:r>
        </w:p>
        <w:p w14:paraId="0DE5B142">
          <w:pPr>
            <w:jc w:val="center"/>
            <w:rPr>
              <w:rFonts w:ascii="仿宋" w:hAnsi="仿宋" w:eastAsia="仿宋"/>
            </w:rPr>
          </w:pPr>
          <w:r>
            <w:rPr>
              <w:rFonts w:hint="eastAsia" w:ascii="仿宋" w:hAnsi="仿宋" w:eastAsia="仿宋" w:cs="仿宋_GB2312"/>
            </w:rPr>
            <w:t>项目</w:t>
          </w:r>
        </w:p>
      </w:tc>
      <w:tc>
        <w:tcPr>
          <w:tcW w:w="720" w:type="dxa"/>
          <w:tcBorders>
            <w:bottom w:val="nil"/>
          </w:tcBorders>
          <w:vAlign w:val="center"/>
        </w:tcPr>
        <w:p w14:paraId="3FCDDA6A">
          <w:pPr>
            <w:jc w:val="center"/>
            <w:rPr>
              <w:rFonts w:ascii="仿宋" w:hAnsi="仿宋" w:eastAsia="仿宋"/>
            </w:rPr>
          </w:pPr>
          <w:r>
            <w:rPr>
              <w:rFonts w:hint="eastAsia" w:ascii="仿宋" w:hAnsi="仿宋" w:eastAsia="仿宋" w:cs="仿宋_GB2312"/>
            </w:rPr>
            <w:t>标准条款</w:t>
          </w:r>
        </w:p>
      </w:tc>
      <w:tc>
        <w:tcPr>
          <w:tcW w:w="4500" w:type="dxa"/>
          <w:tcBorders>
            <w:bottom w:val="nil"/>
          </w:tcBorders>
          <w:vAlign w:val="center"/>
        </w:tcPr>
        <w:p w14:paraId="5740D924">
          <w:pPr>
            <w:jc w:val="center"/>
            <w:rPr>
              <w:rFonts w:ascii="仿宋" w:hAnsi="仿宋" w:eastAsia="仿宋"/>
            </w:rPr>
          </w:pPr>
          <w:r>
            <w:rPr>
              <w:rFonts w:hint="eastAsia" w:ascii="仿宋" w:hAnsi="仿宋" w:eastAsia="仿宋" w:cs="仿宋_GB2312"/>
            </w:rPr>
            <w:t>标准要求</w:t>
          </w:r>
          <w:r>
            <w:rPr>
              <w:rFonts w:hint="eastAsia" w:ascii="仿宋_GB2312" w:hAnsi="宋体" w:eastAsia="仿宋_GB2312" w:cs="仿宋_GB2312"/>
            </w:rPr>
            <w:t>（GB</w:t>
          </w:r>
          <w:r>
            <w:rPr>
              <w:rFonts w:ascii="仿宋_GB2312" w:hAnsi="宋体" w:eastAsia="仿宋_GB2312" w:cs="仿宋_GB2312"/>
            </w:rPr>
            <w:t xml:space="preserve"> </w:t>
          </w:r>
          <w:r>
            <w:rPr>
              <w:rFonts w:hint="eastAsia" w:ascii="仿宋_GB2312" w:hAnsi="宋体" w:eastAsia="仿宋_GB2312" w:cs="仿宋_GB2312"/>
            </w:rPr>
            <w:t>9706.</w:t>
          </w:r>
          <w:r>
            <w:rPr>
              <w:rFonts w:ascii="仿宋_GB2312" w:hAnsi="宋体" w:eastAsia="仿宋_GB2312" w:cs="仿宋_GB2312"/>
            </w:rPr>
            <w:t>219</w:t>
          </w:r>
          <w:r>
            <w:rPr>
              <w:rFonts w:hint="eastAsia" w:ascii="仿宋_GB2312" w:hAnsi="宋体" w:eastAsia="仿宋_GB2312" w:cs="仿宋_GB2312"/>
            </w:rPr>
            <w:t>-2021）</w:t>
          </w:r>
        </w:p>
      </w:tc>
      <w:tc>
        <w:tcPr>
          <w:tcW w:w="1080" w:type="dxa"/>
          <w:tcBorders>
            <w:bottom w:val="nil"/>
          </w:tcBorders>
          <w:vAlign w:val="center"/>
        </w:tcPr>
        <w:p w14:paraId="6DD7229A">
          <w:pPr>
            <w:jc w:val="center"/>
            <w:rPr>
              <w:rFonts w:ascii="仿宋" w:hAnsi="仿宋" w:eastAsia="仿宋"/>
            </w:rPr>
          </w:pPr>
          <w:r>
            <w:rPr>
              <w:rFonts w:hint="eastAsia" w:ascii="仿宋" w:hAnsi="仿宋" w:eastAsia="仿宋" w:cs="仿宋_GB2312"/>
            </w:rPr>
            <w:t>检验结果</w:t>
          </w:r>
        </w:p>
      </w:tc>
      <w:tc>
        <w:tcPr>
          <w:tcW w:w="1080" w:type="dxa"/>
          <w:tcBorders>
            <w:bottom w:val="nil"/>
          </w:tcBorders>
          <w:vAlign w:val="center"/>
        </w:tcPr>
        <w:p w14:paraId="715756B1">
          <w:pPr>
            <w:jc w:val="center"/>
            <w:rPr>
              <w:rFonts w:ascii="仿宋" w:hAnsi="仿宋" w:eastAsia="仿宋"/>
            </w:rPr>
          </w:pPr>
          <w:r>
            <w:rPr>
              <w:rFonts w:hint="eastAsia" w:ascii="仿宋" w:hAnsi="仿宋" w:eastAsia="仿宋" w:cs="仿宋_GB2312"/>
            </w:rPr>
            <w:t>单项</w:t>
          </w:r>
        </w:p>
        <w:p w14:paraId="3EA5C21B">
          <w:pPr>
            <w:jc w:val="center"/>
            <w:rPr>
              <w:rFonts w:ascii="仿宋" w:hAnsi="仿宋" w:eastAsia="仿宋"/>
            </w:rPr>
          </w:pPr>
          <w:r>
            <w:rPr>
              <w:rFonts w:hint="eastAsia" w:ascii="仿宋" w:hAnsi="仿宋" w:eastAsia="仿宋" w:cs="仿宋_GB2312"/>
            </w:rPr>
            <w:t>结论</w:t>
          </w:r>
        </w:p>
      </w:tc>
      <w:tc>
        <w:tcPr>
          <w:tcW w:w="871" w:type="dxa"/>
          <w:tcBorders>
            <w:bottom w:val="nil"/>
          </w:tcBorders>
          <w:vAlign w:val="center"/>
        </w:tcPr>
        <w:p w14:paraId="78145EBF">
          <w:pPr>
            <w:jc w:val="center"/>
            <w:rPr>
              <w:rFonts w:ascii="仿宋" w:hAnsi="仿宋" w:eastAsia="仿宋"/>
            </w:rPr>
          </w:pPr>
          <w:r>
            <w:rPr>
              <w:rFonts w:hint="eastAsia" w:ascii="仿宋" w:hAnsi="仿宋" w:eastAsia="仿宋" w:cs="仿宋_GB2312"/>
            </w:rPr>
            <w:t>备注</w:t>
          </w:r>
        </w:p>
      </w:tc>
    </w:tr>
  </w:tbl>
  <w:p w14:paraId="17FE3DAD">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0E120">
    <w:pPr>
      <w:pStyle w:val="3"/>
      <w:jc w:val="center"/>
      <w:rPr>
        <w:rFonts w:ascii="宋体" w:hAnsi="宋体"/>
        <w:b/>
        <w:sz w:val="36"/>
        <w:szCs w:val="36"/>
      </w:rPr>
    </w:pPr>
    <w:r>
      <w:rPr>
        <w:rFonts w:hint="eastAsia" w:ascii="宋体" w:hAnsi="宋体"/>
        <w:b/>
        <w:sz w:val="36"/>
        <w:szCs w:val="36"/>
      </w:rPr>
      <w:t>GB</w:t>
    </w:r>
    <w:r>
      <w:rPr>
        <w:rFonts w:ascii="宋体" w:hAnsi="宋体"/>
        <w:b/>
        <w:sz w:val="36"/>
        <w:szCs w:val="36"/>
      </w:rPr>
      <w:t xml:space="preserve"> 9706.219-202</w:t>
    </w:r>
    <w:r>
      <w:rPr>
        <w:rFonts w:hint="eastAsia" w:ascii="宋体" w:hAnsi="宋体"/>
        <w:b/>
        <w:sz w:val="36"/>
        <w:szCs w:val="36"/>
      </w:rPr>
      <w:t>1检验报告内容模板</w:t>
    </w:r>
  </w:p>
  <w:p w14:paraId="3F6942B2">
    <w:pPr>
      <w:pStyle w:val="3"/>
      <w:jc w:val="center"/>
      <w:rPr>
        <w:rFonts w:ascii="宋体" w:hAnsi="宋体"/>
        <w:b/>
        <w:sz w:val="21"/>
      </w:rPr>
    </w:pPr>
    <w:r>
      <w:rPr>
        <w:sz w:val="36"/>
      </w:rPr>
      <mc:AlternateContent>
        <mc:Choice Requires="wps">
          <w:drawing>
            <wp:anchor distT="0" distB="0" distL="114300" distR="114300" simplePos="0" relativeHeight="251659264" behindDoc="0" locked="0" layoutInCell="1" allowOverlap="1">
              <wp:simplePos x="0" y="0"/>
              <wp:positionH relativeFrom="margin">
                <wp:posOffset>4283710</wp:posOffset>
              </wp:positionH>
              <wp:positionV relativeFrom="paragraph">
                <wp:posOffset>325120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382DB">
                          <w:pPr>
                            <w:pStyle w:val="3"/>
                          </w:pPr>
                          <w:r>
                            <w:t xml:space="preserve">共 </w:t>
                          </w:r>
                          <w:r>
                            <w:fldChar w:fldCharType="begin"/>
                          </w:r>
                          <w:r>
                            <w:instrText xml:space="preserve"> NUMPAGES  \* MERGEFORMAT </w:instrText>
                          </w:r>
                          <w:r>
                            <w:fldChar w:fldCharType="separate"/>
                          </w:r>
                          <w:r>
                            <w:t>11</w:t>
                          </w:r>
                          <w:r>
                            <w:fldChar w:fldCharType="end"/>
                          </w:r>
                          <w:r>
                            <w:t xml:space="preserve"> 页</w:t>
                          </w:r>
                          <w:r>
                            <w:rPr>
                              <w:rFonts w:hint="eastAsia"/>
                            </w:rPr>
                            <w:t xml:space="preserve"> </w:t>
                          </w:r>
                          <w:r>
                            <w:t xml:space="preserve">第 </w:t>
                          </w:r>
                          <w:r>
                            <w:fldChar w:fldCharType="begin"/>
                          </w:r>
                          <w:r>
                            <w:instrText xml:space="preserve"> PAGE  \* MERGEFORMAT </w:instrText>
                          </w:r>
                          <w:r>
                            <w:fldChar w:fldCharType="separate"/>
                          </w:r>
                          <w:r>
                            <w:t>11</w:t>
                          </w:r>
                          <w:r>
                            <w:fldChar w:fldCharType="end"/>
                          </w:r>
                          <w:r>
                            <w:t xml:space="preserve"> 页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37.3pt;margin-top:25.6pt;height:144pt;width:144pt;mso-position-horizontal-relative:margin;mso-wrap-style:none;z-index:251659264;mso-width-relative:page;mso-height-relative:page;" filled="f" stroked="f" coordsize="21600,21600" o:gfxdata="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IcyZtgAAAAKAQAADwAAAAAAAAABACAAAAAiAAAAZHJzL2Rvd25yZXYueG1sUEsBAhQA&#10;FAAAAAgAh07iQAVhjD8rAgAAVQQAAA4AAAAAAAAAAQAgAAAAJwEAAGRycy9lMm9Eb2MueG1sUEsF&#10;BgAAAAAGAAYAWQEAAMQFAAAAAA==&#10;">
              <v:fill on="f" focussize="0,0"/>
              <v:stroke on="f" weight="0.5pt"/>
              <v:imagedata o:title=""/>
              <o:lock v:ext="edit" aspectratio="f"/>
              <v:textbox inset="0mm,0mm,0mm,0mm" style="mso-fit-shape-to-text:t;">
                <w:txbxContent>
                  <w:p w14:paraId="375382DB">
                    <w:pPr>
                      <w:pStyle w:val="3"/>
                    </w:pPr>
                    <w:r>
                      <w:t xml:space="preserve">共 </w:t>
                    </w:r>
                    <w:r>
                      <w:fldChar w:fldCharType="begin"/>
                    </w:r>
                    <w:r>
                      <w:instrText xml:space="preserve"> NUMPAGES  \* MERGEFORMAT </w:instrText>
                    </w:r>
                    <w:r>
                      <w:fldChar w:fldCharType="separate"/>
                    </w:r>
                    <w:r>
                      <w:t>11</w:t>
                    </w:r>
                    <w:r>
                      <w:fldChar w:fldCharType="end"/>
                    </w:r>
                    <w:r>
                      <w:t xml:space="preserve"> 页</w:t>
                    </w:r>
                    <w:r>
                      <w:rPr>
                        <w:rFonts w:hint="eastAsia"/>
                      </w:rPr>
                      <w:t xml:space="preserve"> </w:t>
                    </w:r>
                    <w:r>
                      <w:t xml:space="preserve">第 </w:t>
                    </w:r>
                    <w:r>
                      <w:fldChar w:fldCharType="begin"/>
                    </w:r>
                    <w:r>
                      <w:instrText xml:space="preserve"> PAGE  \* MERGEFORMAT </w:instrText>
                    </w:r>
                    <w:r>
                      <w:fldChar w:fldCharType="separate"/>
                    </w:r>
                    <w:r>
                      <w:t>11</w:t>
                    </w:r>
                    <w:r>
                      <w:fldChar w:fldCharType="end"/>
                    </w:r>
                    <w:r>
                      <w:t xml:space="preserve"> 页 </w:t>
                    </w:r>
                  </w:p>
                </w:txbxContent>
              </v:textbox>
            </v:shape>
          </w:pict>
        </mc:Fallback>
      </mc:AlternateContent>
    </w:r>
    <w:r>
      <w:rPr>
        <w:rFonts w:hint="eastAsia" w:ascii="宋体" w:hAnsi="宋体" w:cs="宋体"/>
        <w:b/>
        <w:bCs/>
        <w:sz w:val="44"/>
        <w:szCs w:val="44"/>
      </w:rPr>
      <w:t>检 验 报 告</w:t>
    </w:r>
  </w:p>
  <w:tbl>
    <w:tblPr>
      <w:tblStyle w:val="4"/>
      <w:tblpPr w:leftFromText="181" w:rightFromText="181" w:vertAnchor="page" w:horzAnchor="page" w:tblpXSpec="center" w:tblpY="221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1"/>
    </w:tblGrid>
    <w:tr w14:paraId="01F0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540" w:type="dxa"/>
          <w:tcBorders>
            <w:bottom w:val="nil"/>
          </w:tcBorders>
          <w:vAlign w:val="center"/>
        </w:tcPr>
        <w:p w14:paraId="443077BD">
          <w:pPr>
            <w:jc w:val="center"/>
            <w:rPr>
              <w:rFonts w:ascii="仿宋_GB2312" w:hAnsi="宋体" w:eastAsia="仿宋_GB2312"/>
            </w:rPr>
          </w:pPr>
          <w:r>
            <w:rPr>
              <w:rFonts w:hint="eastAsia" w:ascii="仿宋_GB2312" w:hAnsi="宋体" w:eastAsia="仿宋_GB2312" w:cs="仿宋_GB2312"/>
            </w:rPr>
            <w:t>序号</w:t>
          </w:r>
        </w:p>
      </w:tc>
      <w:tc>
        <w:tcPr>
          <w:tcW w:w="1080" w:type="dxa"/>
          <w:tcBorders>
            <w:bottom w:val="nil"/>
          </w:tcBorders>
          <w:vAlign w:val="center"/>
        </w:tcPr>
        <w:p w14:paraId="126E55AB">
          <w:pPr>
            <w:jc w:val="center"/>
            <w:rPr>
              <w:rFonts w:ascii="仿宋_GB2312" w:hAnsi="宋体" w:eastAsia="仿宋_GB2312"/>
            </w:rPr>
          </w:pPr>
          <w:r>
            <w:rPr>
              <w:rFonts w:hint="eastAsia" w:ascii="仿宋_GB2312" w:hAnsi="宋体" w:eastAsia="仿宋_GB2312" w:cs="仿宋_GB2312"/>
            </w:rPr>
            <w:t>检验</w:t>
          </w:r>
        </w:p>
        <w:p w14:paraId="2DD949F4">
          <w:pPr>
            <w:jc w:val="center"/>
            <w:rPr>
              <w:rFonts w:ascii="仿宋_GB2312" w:hAnsi="宋体" w:eastAsia="仿宋_GB2312"/>
            </w:rPr>
          </w:pPr>
          <w:r>
            <w:rPr>
              <w:rFonts w:hint="eastAsia" w:ascii="仿宋_GB2312" w:hAnsi="宋体" w:eastAsia="仿宋_GB2312" w:cs="仿宋_GB2312"/>
            </w:rPr>
            <w:t>项目</w:t>
          </w:r>
        </w:p>
      </w:tc>
      <w:tc>
        <w:tcPr>
          <w:tcW w:w="720" w:type="dxa"/>
          <w:tcBorders>
            <w:bottom w:val="nil"/>
          </w:tcBorders>
          <w:vAlign w:val="center"/>
        </w:tcPr>
        <w:p w14:paraId="03F6DE66">
          <w:pPr>
            <w:jc w:val="center"/>
            <w:rPr>
              <w:rFonts w:ascii="仿宋_GB2312" w:hAnsi="宋体" w:eastAsia="仿宋_GB2312"/>
            </w:rPr>
          </w:pPr>
          <w:r>
            <w:rPr>
              <w:rFonts w:hint="eastAsia" w:ascii="仿宋_GB2312" w:hAnsi="宋体" w:eastAsia="仿宋_GB2312" w:cs="仿宋_GB2312"/>
            </w:rPr>
            <w:t>标准条款</w:t>
          </w:r>
        </w:p>
      </w:tc>
      <w:tc>
        <w:tcPr>
          <w:tcW w:w="4500" w:type="dxa"/>
          <w:tcBorders>
            <w:bottom w:val="nil"/>
          </w:tcBorders>
          <w:vAlign w:val="center"/>
        </w:tcPr>
        <w:p w14:paraId="30BEB0D8">
          <w:pPr>
            <w:jc w:val="center"/>
            <w:rPr>
              <w:rFonts w:ascii="仿宋_GB2312" w:hAnsi="宋体" w:eastAsia="仿宋_GB2312"/>
            </w:rPr>
          </w:pPr>
          <w:r>
            <w:rPr>
              <w:rFonts w:hint="eastAsia" w:ascii="仿宋_GB2312" w:hAnsi="宋体" w:eastAsia="仿宋_GB2312" w:cs="仿宋_GB2312"/>
            </w:rPr>
            <w:t>标准要求（GB</w:t>
          </w:r>
          <w:r>
            <w:rPr>
              <w:rFonts w:ascii="仿宋_GB2312" w:hAnsi="宋体" w:eastAsia="仿宋_GB2312" w:cs="仿宋_GB2312"/>
            </w:rPr>
            <w:t xml:space="preserve"> </w:t>
          </w:r>
          <w:r>
            <w:rPr>
              <w:rFonts w:hint="eastAsia" w:ascii="仿宋_GB2312" w:hAnsi="宋体" w:eastAsia="仿宋_GB2312" w:cs="仿宋_GB2312"/>
            </w:rPr>
            <w:t>9706.</w:t>
          </w:r>
          <w:r>
            <w:rPr>
              <w:rFonts w:ascii="仿宋_GB2312" w:hAnsi="宋体" w:eastAsia="仿宋_GB2312" w:cs="仿宋_GB2312"/>
            </w:rPr>
            <w:t>219</w:t>
          </w:r>
          <w:r>
            <w:rPr>
              <w:rFonts w:hint="eastAsia" w:ascii="仿宋_GB2312" w:hAnsi="宋体" w:eastAsia="仿宋_GB2312" w:cs="仿宋_GB2312"/>
            </w:rPr>
            <w:t>-2021）</w:t>
          </w:r>
        </w:p>
      </w:tc>
      <w:tc>
        <w:tcPr>
          <w:tcW w:w="1080" w:type="dxa"/>
          <w:tcBorders>
            <w:bottom w:val="nil"/>
          </w:tcBorders>
          <w:vAlign w:val="center"/>
        </w:tcPr>
        <w:p w14:paraId="1E931461">
          <w:pPr>
            <w:jc w:val="center"/>
            <w:rPr>
              <w:rFonts w:ascii="仿宋_GB2312" w:hAnsi="宋体" w:eastAsia="仿宋_GB2312"/>
            </w:rPr>
          </w:pPr>
          <w:r>
            <w:rPr>
              <w:rFonts w:hint="eastAsia" w:ascii="仿宋_GB2312" w:hAnsi="宋体" w:eastAsia="仿宋_GB2312" w:cs="仿宋_GB2312"/>
            </w:rPr>
            <w:t>检验结果</w:t>
          </w:r>
        </w:p>
      </w:tc>
      <w:tc>
        <w:tcPr>
          <w:tcW w:w="1080" w:type="dxa"/>
          <w:tcBorders>
            <w:bottom w:val="nil"/>
          </w:tcBorders>
          <w:vAlign w:val="center"/>
        </w:tcPr>
        <w:p w14:paraId="0B8192C6">
          <w:pPr>
            <w:jc w:val="center"/>
            <w:rPr>
              <w:rFonts w:ascii="仿宋_GB2312" w:hAnsi="宋体" w:eastAsia="仿宋_GB2312"/>
            </w:rPr>
          </w:pPr>
          <w:r>
            <w:rPr>
              <w:rFonts w:hint="eastAsia" w:ascii="仿宋_GB2312" w:hAnsi="宋体" w:eastAsia="仿宋_GB2312" w:cs="仿宋_GB2312"/>
            </w:rPr>
            <w:t>单项</w:t>
          </w:r>
        </w:p>
        <w:p w14:paraId="04E87EFD">
          <w:pPr>
            <w:jc w:val="center"/>
            <w:rPr>
              <w:rFonts w:ascii="仿宋_GB2312" w:hAnsi="宋体" w:eastAsia="仿宋_GB2312"/>
            </w:rPr>
          </w:pPr>
          <w:r>
            <w:rPr>
              <w:rFonts w:hint="eastAsia" w:ascii="仿宋_GB2312" w:hAnsi="宋体" w:eastAsia="仿宋_GB2312" w:cs="仿宋_GB2312"/>
            </w:rPr>
            <w:t>结论</w:t>
          </w:r>
        </w:p>
      </w:tc>
      <w:tc>
        <w:tcPr>
          <w:tcW w:w="871" w:type="dxa"/>
          <w:tcBorders>
            <w:bottom w:val="nil"/>
          </w:tcBorders>
          <w:vAlign w:val="center"/>
        </w:tcPr>
        <w:p w14:paraId="665C6735">
          <w:pPr>
            <w:jc w:val="center"/>
            <w:rPr>
              <w:rFonts w:ascii="仿宋_GB2312" w:hAnsi="宋体" w:eastAsia="仿宋_GB2312"/>
            </w:rPr>
          </w:pPr>
          <w:r>
            <w:rPr>
              <w:rFonts w:hint="eastAsia" w:ascii="仿宋_GB2312" w:hAnsi="宋体" w:eastAsia="仿宋_GB2312" w:cs="仿宋_GB2312"/>
            </w:rPr>
            <w:t>备注</w:t>
          </w:r>
        </w:p>
      </w:tc>
    </w:tr>
  </w:tbl>
  <w:p w14:paraId="77A2C506">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781DC2"/>
    <w:multiLevelType w:val="multilevel"/>
    <w:tmpl w:val="29781DC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FlZmU0M2JmMmFjM2EwMzAwYjNhNThjYzc4YjYifQ=="/>
  </w:docVars>
  <w:rsids>
    <w:rsidRoot w:val="2DEF0066"/>
    <w:rsid w:val="0009460F"/>
    <w:rsid w:val="00287D9B"/>
    <w:rsid w:val="004F2320"/>
    <w:rsid w:val="006633B7"/>
    <w:rsid w:val="009A54F3"/>
    <w:rsid w:val="00A9123F"/>
    <w:rsid w:val="00F86C1C"/>
    <w:rsid w:val="2296424E"/>
    <w:rsid w:val="244975A0"/>
    <w:rsid w:val="2DEF0066"/>
    <w:rsid w:val="4B8F733B"/>
    <w:rsid w:val="68F33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qFormat/>
    <w:uiPriority w:val="99"/>
  </w:style>
  <w:style w:type="paragraph" w:customStyle="1" w:styleId="7">
    <w:name w:val="段"/>
    <w:basedOn w:val="1"/>
    <w:link w:val="8"/>
    <w:qFormat/>
    <w:uiPriority w:val="0"/>
    <w:pPr>
      <w:widowControl/>
      <w:autoSpaceDE w:val="0"/>
      <w:autoSpaceDN w:val="0"/>
      <w:ind w:firstLine="420" w:firstLineChars="200"/>
    </w:pPr>
    <w:rPr>
      <w:rFonts w:ascii="宋体" w:hAnsi="宋体" w:cs="宋体"/>
      <w:kern w:val="0"/>
    </w:rPr>
  </w:style>
  <w:style w:type="character" w:customStyle="1" w:styleId="8">
    <w:name w:val="段 Char"/>
    <w:link w:val="7"/>
    <w:uiPriority w:val="0"/>
    <w:rPr>
      <w:rFonts w:ascii="宋体" w:hAnsi="宋体" w:eastAsia="宋体" w:cs="宋体"/>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5673</Words>
  <Characters>6802</Characters>
  <Lines>54</Lines>
  <Paragraphs>15</Paragraphs>
  <TotalTime>14</TotalTime>
  <ScaleCrop>false</ScaleCrop>
  <LinksUpToDate>false</LinksUpToDate>
  <CharactersWithSpaces>6886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2023-03-20T02:12:00Z</dcterms:created>
  <dc:creator>遥望麦田</dc:creator>
  <cp:lastModifiedBy>太极箫客</cp:lastModifiedBy>
  <dcterms:modified xsi:type="dcterms:W3CDTF">2025-08-14T06:16:52Z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0BBA339BA86C48E78A706CBD628770F7</vt:lpwstr>
  </property>
  <property fmtid="{D5CDD505-2E9C-101B-9397-08002B2CF9AE}" pid="4" name="KSOTemplateDocerSaveRecord">
    <vt:lpwstr>eyJoZGlkIjoiMDJiMzI3ODBiNTFmMWRjNDUyMjM1ZmZjODY5NDc2MWMiLCJ1c2VySWQiOiI0NTQ4Nzg1NzAifQ==</vt:lpwstr>
  </property>
</Properties>
</file>