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6"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69A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1373E19B">
            <w:pPr>
              <w:numPr>
                <w:ilvl w:val="0"/>
                <w:numId w:val="1"/>
              </w:numPr>
              <w:ind w:right="-108"/>
              <w:jc w:val="center"/>
            </w:pPr>
            <w:bookmarkStart w:id="0" w:name="_GoBack"/>
            <w:bookmarkEnd w:id="0"/>
          </w:p>
        </w:tc>
        <w:tc>
          <w:tcPr>
            <w:tcW w:w="1080" w:type="dxa"/>
            <w:vMerge w:val="restart"/>
          </w:tcPr>
          <w:p w14:paraId="5FA2B400">
            <w:r>
              <w:t>通用要求</w:t>
            </w:r>
          </w:p>
        </w:tc>
        <w:tc>
          <w:tcPr>
            <w:tcW w:w="720" w:type="dxa"/>
            <w:vMerge w:val="restart"/>
          </w:tcPr>
          <w:p w14:paraId="7FE042C8">
            <w:pPr>
              <w:jc w:val="center"/>
            </w:pPr>
            <w:r>
              <w:rPr>
                <w:rFonts w:eastAsia="黑体"/>
              </w:rPr>
              <w:t>201.4</w:t>
            </w:r>
          </w:p>
        </w:tc>
        <w:tc>
          <w:tcPr>
            <w:tcW w:w="4500" w:type="dxa"/>
          </w:tcPr>
          <w:p w14:paraId="596EEA3E">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除下述内容外，通用标准的第4章适用。</w:t>
            </w:r>
          </w:p>
          <w:p w14:paraId="0F1D2278">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201.4.3 基本性能</w:t>
            </w:r>
          </w:p>
          <w:p w14:paraId="6BC0162E">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增补：</w:t>
            </w:r>
          </w:p>
          <w:p w14:paraId="431FD294">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201.4.3.101基本性能的补充要求</w:t>
            </w:r>
          </w:p>
          <w:p w14:paraId="36DE58F3">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ME设备应设有正确的能量级别显示（详见201.12.1.102）。</w:t>
            </w:r>
          </w:p>
          <w:p w14:paraId="0B072C4F">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ME设备应避免意外的冲击波释放（详见201.12.4.6）。</w:t>
            </w:r>
          </w:p>
        </w:tc>
        <w:tc>
          <w:tcPr>
            <w:tcW w:w="1080" w:type="dxa"/>
            <w:vAlign w:val="center"/>
          </w:tcPr>
          <w:p w14:paraId="2D3B97DC">
            <w:pPr>
              <w:jc w:val="center"/>
            </w:pPr>
          </w:p>
        </w:tc>
        <w:tc>
          <w:tcPr>
            <w:tcW w:w="1080" w:type="dxa"/>
            <w:vMerge w:val="restart"/>
            <w:vAlign w:val="center"/>
          </w:tcPr>
          <w:p w14:paraId="623D9F7F">
            <w:pPr>
              <w:jc w:val="center"/>
            </w:pPr>
          </w:p>
        </w:tc>
        <w:tc>
          <w:tcPr>
            <w:tcW w:w="876" w:type="dxa"/>
            <w:vMerge w:val="restart"/>
            <w:vAlign w:val="center"/>
          </w:tcPr>
          <w:p w14:paraId="711CBD66">
            <w:pPr>
              <w:jc w:val="center"/>
            </w:pPr>
          </w:p>
        </w:tc>
      </w:tr>
      <w:tr w14:paraId="234B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14F7F85">
            <w:pPr>
              <w:tabs>
                <w:tab w:val="left" w:pos="420"/>
              </w:tabs>
              <w:ind w:left="425" w:right="-108" w:hanging="425"/>
              <w:jc w:val="center"/>
            </w:pPr>
          </w:p>
        </w:tc>
        <w:tc>
          <w:tcPr>
            <w:tcW w:w="1080" w:type="dxa"/>
            <w:vMerge w:val="continue"/>
          </w:tcPr>
          <w:p w14:paraId="51DBE6A9"/>
        </w:tc>
        <w:tc>
          <w:tcPr>
            <w:tcW w:w="720" w:type="dxa"/>
            <w:vMerge w:val="continue"/>
          </w:tcPr>
          <w:p w14:paraId="7C2CB6F6">
            <w:pPr>
              <w:jc w:val="center"/>
              <w:rPr>
                <w:rFonts w:eastAsia="黑体"/>
              </w:rPr>
            </w:pPr>
          </w:p>
        </w:tc>
        <w:tc>
          <w:tcPr>
            <w:tcW w:w="4500" w:type="dxa"/>
          </w:tcPr>
          <w:p w14:paraId="5A73E5D7">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201.4.7 ME设备单一故障状态</w:t>
            </w:r>
          </w:p>
          <w:p w14:paraId="2B45474B">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增补：</w:t>
            </w:r>
          </w:p>
          <w:p w14:paraId="1BCCC816">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在压力脉冲释放的单一故障状态下应保证安全（避免有过失的释放），在电机定位时的单一故障状态下应保证安全（避免在压力脉冲释放过程中位置的无意改变和机械危险）。这些要求可有两个系统的互锁来满足，即锁住压力脉冲释放的单一故障状态来保证定位设备的安全；或锁住定位设备的单一故障状态来保证压力脉冲释放的安全。这种互锁方式在操作者深思熟虑的行为下可解锁。如结石的位置在监视情况下，按一个独立的开关来解锁。</w:t>
            </w:r>
          </w:p>
        </w:tc>
        <w:tc>
          <w:tcPr>
            <w:tcW w:w="1080" w:type="dxa"/>
            <w:vAlign w:val="center"/>
          </w:tcPr>
          <w:p w14:paraId="1A24C48B">
            <w:pPr>
              <w:jc w:val="center"/>
            </w:pPr>
          </w:p>
        </w:tc>
        <w:tc>
          <w:tcPr>
            <w:tcW w:w="1080" w:type="dxa"/>
            <w:vMerge w:val="continue"/>
            <w:vAlign w:val="center"/>
          </w:tcPr>
          <w:p w14:paraId="0F94C617">
            <w:pPr>
              <w:jc w:val="center"/>
            </w:pPr>
          </w:p>
        </w:tc>
        <w:tc>
          <w:tcPr>
            <w:tcW w:w="876" w:type="dxa"/>
            <w:vMerge w:val="continue"/>
          </w:tcPr>
          <w:p w14:paraId="59801FAB">
            <w:pPr>
              <w:jc w:val="center"/>
            </w:pPr>
          </w:p>
        </w:tc>
      </w:tr>
      <w:tr w14:paraId="6634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2E68BAD7">
            <w:pPr>
              <w:numPr>
                <w:ilvl w:val="0"/>
                <w:numId w:val="1"/>
              </w:numPr>
              <w:ind w:right="-108"/>
              <w:jc w:val="center"/>
            </w:pPr>
          </w:p>
        </w:tc>
        <w:tc>
          <w:tcPr>
            <w:tcW w:w="1080" w:type="dxa"/>
            <w:vMerge w:val="restart"/>
          </w:tcPr>
          <w:p w14:paraId="02D486CD">
            <w:r>
              <w:t>ME设备的标识、标记和文件</w:t>
            </w:r>
          </w:p>
        </w:tc>
        <w:tc>
          <w:tcPr>
            <w:tcW w:w="720" w:type="dxa"/>
            <w:vMerge w:val="restart"/>
          </w:tcPr>
          <w:p w14:paraId="2E441EE5">
            <w:pPr>
              <w:jc w:val="center"/>
            </w:pPr>
            <w:r>
              <w:t>201.7</w:t>
            </w:r>
          </w:p>
        </w:tc>
        <w:tc>
          <w:tcPr>
            <w:tcW w:w="4500" w:type="dxa"/>
          </w:tcPr>
          <w:p w14:paraId="0662086B">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除下述内容外，通用标准的第7章适用。</w:t>
            </w:r>
          </w:p>
          <w:p w14:paraId="79E9B773">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201.7.9.2 使用说明</w:t>
            </w:r>
          </w:p>
          <w:p w14:paraId="162FBB07">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增补：</w:t>
            </w:r>
          </w:p>
          <w:p w14:paraId="4026C5F2">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201.7.9.2.101 使用说明补充</w:t>
            </w:r>
          </w:p>
          <w:p w14:paraId="2A84BCEB">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使用说明应包括：</w:t>
            </w:r>
          </w:p>
          <w:p w14:paraId="41503B58">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a）描述用于避免危及安全如由于压力脉冲传送至包含气体的组织而导致的危险的有关安全预防措施；</w:t>
            </w:r>
          </w:p>
        </w:tc>
        <w:tc>
          <w:tcPr>
            <w:tcW w:w="1080" w:type="dxa"/>
            <w:vAlign w:val="center"/>
          </w:tcPr>
          <w:p w14:paraId="3E016CBF">
            <w:pPr>
              <w:jc w:val="center"/>
            </w:pPr>
          </w:p>
        </w:tc>
        <w:tc>
          <w:tcPr>
            <w:tcW w:w="1080" w:type="dxa"/>
            <w:vMerge w:val="restart"/>
            <w:vAlign w:val="center"/>
          </w:tcPr>
          <w:p w14:paraId="57B5A3B1">
            <w:pPr>
              <w:jc w:val="center"/>
            </w:pPr>
          </w:p>
        </w:tc>
        <w:tc>
          <w:tcPr>
            <w:tcW w:w="876" w:type="dxa"/>
            <w:vMerge w:val="continue"/>
          </w:tcPr>
          <w:p w14:paraId="6E55A200">
            <w:pPr>
              <w:jc w:val="center"/>
            </w:pPr>
          </w:p>
        </w:tc>
      </w:tr>
      <w:tr w14:paraId="5E64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55BC65D">
            <w:pPr>
              <w:tabs>
                <w:tab w:val="left" w:pos="420"/>
              </w:tabs>
              <w:ind w:left="425" w:right="-108" w:hanging="425"/>
              <w:jc w:val="center"/>
            </w:pPr>
          </w:p>
        </w:tc>
        <w:tc>
          <w:tcPr>
            <w:tcW w:w="1080" w:type="dxa"/>
            <w:vMerge w:val="continue"/>
          </w:tcPr>
          <w:p w14:paraId="7CD59C92"/>
        </w:tc>
        <w:tc>
          <w:tcPr>
            <w:tcW w:w="720" w:type="dxa"/>
            <w:vMerge w:val="continue"/>
          </w:tcPr>
          <w:p w14:paraId="29E4957C">
            <w:pPr>
              <w:rPr>
                <w:rFonts w:eastAsia="黑体"/>
              </w:rPr>
            </w:pPr>
          </w:p>
        </w:tc>
        <w:tc>
          <w:tcPr>
            <w:tcW w:w="4500" w:type="dxa"/>
          </w:tcPr>
          <w:p w14:paraId="4147870B">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b）压力脉冲可引起有害的心脏活动的警告；</w:t>
            </w:r>
          </w:p>
        </w:tc>
        <w:tc>
          <w:tcPr>
            <w:tcW w:w="1080" w:type="dxa"/>
            <w:vAlign w:val="center"/>
          </w:tcPr>
          <w:p w14:paraId="70149865">
            <w:pPr>
              <w:jc w:val="center"/>
            </w:pPr>
          </w:p>
        </w:tc>
        <w:tc>
          <w:tcPr>
            <w:tcW w:w="1080" w:type="dxa"/>
            <w:vMerge w:val="continue"/>
            <w:vAlign w:val="center"/>
          </w:tcPr>
          <w:p w14:paraId="61274E01">
            <w:pPr>
              <w:jc w:val="center"/>
            </w:pPr>
          </w:p>
        </w:tc>
        <w:tc>
          <w:tcPr>
            <w:tcW w:w="876" w:type="dxa"/>
            <w:vMerge w:val="continue"/>
          </w:tcPr>
          <w:p w14:paraId="3BE86B2F">
            <w:pPr>
              <w:jc w:val="center"/>
            </w:pPr>
          </w:p>
        </w:tc>
      </w:tr>
      <w:tr w14:paraId="77A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8B47116">
            <w:pPr>
              <w:tabs>
                <w:tab w:val="left" w:pos="420"/>
              </w:tabs>
              <w:ind w:left="425" w:right="-108" w:hanging="425"/>
              <w:jc w:val="center"/>
            </w:pPr>
          </w:p>
        </w:tc>
        <w:tc>
          <w:tcPr>
            <w:tcW w:w="1080" w:type="dxa"/>
            <w:vMerge w:val="continue"/>
          </w:tcPr>
          <w:p w14:paraId="1D634365"/>
        </w:tc>
        <w:tc>
          <w:tcPr>
            <w:tcW w:w="720" w:type="dxa"/>
            <w:vMerge w:val="continue"/>
          </w:tcPr>
          <w:p w14:paraId="041D2A79">
            <w:pPr>
              <w:rPr>
                <w:rFonts w:eastAsia="黑体"/>
              </w:rPr>
            </w:pPr>
          </w:p>
        </w:tc>
        <w:tc>
          <w:tcPr>
            <w:tcW w:w="4500" w:type="dxa"/>
          </w:tcPr>
          <w:p w14:paraId="6DF320F2">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c）当使用心电监护设备去触发压力脉冲的发生时，只能使用ME设备厂商指定的心电监护仪；</w:t>
            </w:r>
          </w:p>
        </w:tc>
        <w:tc>
          <w:tcPr>
            <w:tcW w:w="1080" w:type="dxa"/>
            <w:vAlign w:val="center"/>
          </w:tcPr>
          <w:p w14:paraId="2343DE93">
            <w:pPr>
              <w:jc w:val="center"/>
            </w:pPr>
          </w:p>
        </w:tc>
        <w:tc>
          <w:tcPr>
            <w:tcW w:w="1080" w:type="dxa"/>
            <w:vMerge w:val="continue"/>
            <w:vAlign w:val="center"/>
          </w:tcPr>
          <w:p w14:paraId="7DBE6E36">
            <w:pPr>
              <w:jc w:val="center"/>
            </w:pPr>
          </w:p>
        </w:tc>
        <w:tc>
          <w:tcPr>
            <w:tcW w:w="876" w:type="dxa"/>
            <w:vMerge w:val="continue"/>
          </w:tcPr>
          <w:p w14:paraId="0D971265">
            <w:pPr>
              <w:jc w:val="center"/>
            </w:pPr>
          </w:p>
        </w:tc>
      </w:tr>
      <w:tr w14:paraId="3A2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717AC17">
            <w:pPr>
              <w:tabs>
                <w:tab w:val="left" w:pos="420"/>
              </w:tabs>
              <w:ind w:left="425" w:right="-108" w:hanging="425"/>
              <w:jc w:val="center"/>
            </w:pPr>
          </w:p>
        </w:tc>
        <w:tc>
          <w:tcPr>
            <w:tcW w:w="1080" w:type="dxa"/>
            <w:vMerge w:val="continue"/>
          </w:tcPr>
          <w:p w14:paraId="2231AD39"/>
        </w:tc>
        <w:tc>
          <w:tcPr>
            <w:tcW w:w="720" w:type="dxa"/>
            <w:vMerge w:val="continue"/>
          </w:tcPr>
          <w:p w14:paraId="66CF2664">
            <w:pPr>
              <w:rPr>
                <w:rFonts w:eastAsia="黑体"/>
              </w:rPr>
            </w:pPr>
          </w:p>
        </w:tc>
        <w:tc>
          <w:tcPr>
            <w:tcW w:w="4500" w:type="dxa"/>
          </w:tcPr>
          <w:p w14:paraId="3400BD7E">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d）为保证正确地治疗，有必要警告操作者要经常性的检查结石位置；</w:t>
            </w:r>
          </w:p>
        </w:tc>
        <w:tc>
          <w:tcPr>
            <w:tcW w:w="1080" w:type="dxa"/>
            <w:vAlign w:val="center"/>
          </w:tcPr>
          <w:p w14:paraId="1B726B95">
            <w:pPr>
              <w:jc w:val="center"/>
            </w:pPr>
          </w:p>
        </w:tc>
        <w:tc>
          <w:tcPr>
            <w:tcW w:w="1080" w:type="dxa"/>
            <w:vMerge w:val="continue"/>
            <w:vAlign w:val="center"/>
          </w:tcPr>
          <w:p w14:paraId="0F9600AF">
            <w:pPr>
              <w:jc w:val="center"/>
            </w:pPr>
          </w:p>
        </w:tc>
        <w:tc>
          <w:tcPr>
            <w:tcW w:w="876" w:type="dxa"/>
            <w:vMerge w:val="continue"/>
          </w:tcPr>
          <w:p w14:paraId="08A4ECFB">
            <w:pPr>
              <w:jc w:val="center"/>
            </w:pPr>
          </w:p>
        </w:tc>
      </w:tr>
      <w:tr w14:paraId="0DD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1C1DB31">
            <w:pPr>
              <w:tabs>
                <w:tab w:val="left" w:pos="420"/>
              </w:tabs>
              <w:ind w:left="425" w:right="-108" w:hanging="425"/>
              <w:jc w:val="center"/>
            </w:pPr>
          </w:p>
        </w:tc>
        <w:tc>
          <w:tcPr>
            <w:tcW w:w="1080" w:type="dxa"/>
            <w:vMerge w:val="continue"/>
          </w:tcPr>
          <w:p w14:paraId="5502B4A6"/>
        </w:tc>
        <w:tc>
          <w:tcPr>
            <w:tcW w:w="720" w:type="dxa"/>
            <w:vMerge w:val="continue"/>
          </w:tcPr>
          <w:p w14:paraId="63D939F1">
            <w:pPr>
              <w:rPr>
                <w:rFonts w:eastAsia="黑体"/>
              </w:rPr>
            </w:pPr>
          </w:p>
        </w:tc>
        <w:tc>
          <w:tcPr>
            <w:tcW w:w="4500" w:type="dxa"/>
          </w:tcPr>
          <w:p w14:paraId="1F90B323">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e）描述常规性能检查的时间表和检查方法；</w:t>
            </w:r>
          </w:p>
        </w:tc>
        <w:tc>
          <w:tcPr>
            <w:tcW w:w="1080" w:type="dxa"/>
            <w:vAlign w:val="center"/>
          </w:tcPr>
          <w:p w14:paraId="0D34FE5D">
            <w:pPr>
              <w:jc w:val="center"/>
            </w:pPr>
          </w:p>
        </w:tc>
        <w:tc>
          <w:tcPr>
            <w:tcW w:w="1080" w:type="dxa"/>
            <w:vMerge w:val="continue"/>
            <w:vAlign w:val="center"/>
          </w:tcPr>
          <w:p w14:paraId="450EF58D">
            <w:pPr>
              <w:jc w:val="center"/>
            </w:pPr>
          </w:p>
        </w:tc>
        <w:tc>
          <w:tcPr>
            <w:tcW w:w="876" w:type="dxa"/>
            <w:vMerge w:val="continue"/>
          </w:tcPr>
          <w:p w14:paraId="69EEEBCD">
            <w:pPr>
              <w:jc w:val="center"/>
            </w:pPr>
          </w:p>
        </w:tc>
      </w:tr>
      <w:tr w14:paraId="58D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8D08329">
            <w:pPr>
              <w:tabs>
                <w:tab w:val="left" w:pos="420"/>
              </w:tabs>
              <w:ind w:left="425" w:right="-108" w:hanging="425"/>
              <w:jc w:val="center"/>
            </w:pPr>
          </w:p>
        </w:tc>
        <w:tc>
          <w:tcPr>
            <w:tcW w:w="1080" w:type="dxa"/>
            <w:vMerge w:val="continue"/>
          </w:tcPr>
          <w:p w14:paraId="5244ABE9"/>
        </w:tc>
        <w:tc>
          <w:tcPr>
            <w:tcW w:w="720" w:type="dxa"/>
            <w:vMerge w:val="continue"/>
          </w:tcPr>
          <w:p w14:paraId="2F83F8B1">
            <w:pPr>
              <w:rPr>
                <w:rFonts w:eastAsia="黑体"/>
              </w:rPr>
            </w:pPr>
          </w:p>
        </w:tc>
        <w:tc>
          <w:tcPr>
            <w:tcW w:w="4500" w:type="dxa"/>
          </w:tcPr>
          <w:p w14:paraId="74E8591E">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f）描述压力脉冲耦合的正确方法，包括没有气泡的警示；</w:t>
            </w:r>
          </w:p>
        </w:tc>
        <w:tc>
          <w:tcPr>
            <w:tcW w:w="1080" w:type="dxa"/>
            <w:vAlign w:val="center"/>
          </w:tcPr>
          <w:p w14:paraId="10AFC44B">
            <w:pPr>
              <w:jc w:val="center"/>
            </w:pPr>
          </w:p>
        </w:tc>
        <w:tc>
          <w:tcPr>
            <w:tcW w:w="1080" w:type="dxa"/>
            <w:vMerge w:val="continue"/>
            <w:vAlign w:val="center"/>
          </w:tcPr>
          <w:p w14:paraId="420A3668">
            <w:pPr>
              <w:jc w:val="center"/>
            </w:pPr>
          </w:p>
        </w:tc>
        <w:tc>
          <w:tcPr>
            <w:tcW w:w="876" w:type="dxa"/>
            <w:vMerge w:val="continue"/>
          </w:tcPr>
          <w:p w14:paraId="1CD6005C">
            <w:pPr>
              <w:jc w:val="center"/>
            </w:pPr>
          </w:p>
        </w:tc>
      </w:tr>
      <w:tr w14:paraId="43D6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7E56B12">
            <w:pPr>
              <w:tabs>
                <w:tab w:val="left" w:pos="420"/>
              </w:tabs>
              <w:ind w:left="425" w:right="-108" w:hanging="425"/>
              <w:jc w:val="center"/>
            </w:pPr>
          </w:p>
        </w:tc>
        <w:tc>
          <w:tcPr>
            <w:tcW w:w="1080" w:type="dxa"/>
            <w:vMerge w:val="continue"/>
          </w:tcPr>
          <w:p w14:paraId="074943D2"/>
        </w:tc>
        <w:tc>
          <w:tcPr>
            <w:tcW w:w="720" w:type="dxa"/>
            <w:vMerge w:val="continue"/>
          </w:tcPr>
          <w:p w14:paraId="20BB7E32">
            <w:pPr>
              <w:rPr>
                <w:rFonts w:eastAsia="黑体"/>
              </w:rPr>
            </w:pPr>
          </w:p>
        </w:tc>
        <w:tc>
          <w:tcPr>
            <w:tcW w:w="4500" w:type="dxa"/>
          </w:tcPr>
          <w:p w14:paraId="53E512C3">
            <w:pPr>
              <w:pStyle w:val="7"/>
              <w:tabs>
                <w:tab w:val="center" w:pos="4201"/>
                <w:tab w:val="right" w:leader="dot" w:pos="9298"/>
              </w:tabs>
              <w:ind w:firstLine="0" w:firstLineChars="0"/>
              <w:rPr>
                <w:rFonts w:ascii="Times New Roman" w:hAnsi="Times New Roman" w:cs="Times New Roman"/>
              </w:rPr>
            </w:pPr>
            <w:r>
              <w:rPr>
                <w:rFonts w:ascii="Times New Roman" w:hAnsi="Times New Roman" w:cs="Times New Roman"/>
              </w:rPr>
              <w:t>g）有压力脉冲通过肌肉组织被衰减，剩余能量被骨吸收的提示；</w:t>
            </w:r>
          </w:p>
        </w:tc>
        <w:tc>
          <w:tcPr>
            <w:tcW w:w="1080" w:type="dxa"/>
            <w:vAlign w:val="center"/>
          </w:tcPr>
          <w:p w14:paraId="160DB170">
            <w:pPr>
              <w:jc w:val="center"/>
            </w:pPr>
          </w:p>
        </w:tc>
        <w:tc>
          <w:tcPr>
            <w:tcW w:w="1080" w:type="dxa"/>
            <w:vMerge w:val="continue"/>
            <w:vAlign w:val="center"/>
          </w:tcPr>
          <w:p w14:paraId="265CCD10">
            <w:pPr>
              <w:jc w:val="center"/>
            </w:pPr>
          </w:p>
        </w:tc>
        <w:tc>
          <w:tcPr>
            <w:tcW w:w="876" w:type="dxa"/>
            <w:vMerge w:val="continue"/>
          </w:tcPr>
          <w:p w14:paraId="51339B34">
            <w:pPr>
              <w:jc w:val="center"/>
            </w:pPr>
          </w:p>
        </w:tc>
      </w:tr>
    </w:tbl>
    <w:p w14:paraId="044443F8">
      <w:pPr>
        <w:jc w:val="left"/>
      </w:pPr>
      <w:r>
        <w:rPr>
          <w:rFonts w:hint="eastAsia"/>
        </w:rPr>
        <w:br w:type="page"/>
      </w:r>
    </w:p>
    <w:tbl>
      <w:tblPr>
        <w:tblStyle w:val="4"/>
        <w:tblW w:w="9876"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974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49F02F2D">
            <w:pPr>
              <w:jc w:val="left"/>
            </w:pPr>
            <w:r>
              <w:rPr>
                <w:rFonts w:hint="eastAsia"/>
              </w:rPr>
              <w:t>续2</w:t>
            </w:r>
          </w:p>
        </w:tc>
        <w:tc>
          <w:tcPr>
            <w:tcW w:w="1080" w:type="dxa"/>
            <w:vMerge w:val="restart"/>
          </w:tcPr>
          <w:p w14:paraId="1E4EA006">
            <w:r>
              <w:t>ME设备的标识、标记和文件</w:t>
            </w:r>
          </w:p>
        </w:tc>
        <w:tc>
          <w:tcPr>
            <w:tcW w:w="720" w:type="dxa"/>
            <w:vMerge w:val="restart"/>
          </w:tcPr>
          <w:p w14:paraId="495DD561">
            <w:pPr>
              <w:jc w:val="center"/>
            </w:pPr>
            <w:r>
              <w:t>201.7</w:t>
            </w:r>
          </w:p>
        </w:tc>
        <w:tc>
          <w:tcPr>
            <w:tcW w:w="4500" w:type="dxa"/>
          </w:tcPr>
          <w:p w14:paraId="2FCFC3DB">
            <w:r>
              <w:t>h）即使安装了防冲撞设备，仍要提示操作员应始终注意任何移动，这会对患者或者操作员产生危险。</w:t>
            </w:r>
          </w:p>
        </w:tc>
        <w:tc>
          <w:tcPr>
            <w:tcW w:w="1080" w:type="dxa"/>
            <w:vAlign w:val="center"/>
          </w:tcPr>
          <w:p w14:paraId="50996553">
            <w:pPr>
              <w:jc w:val="center"/>
            </w:pPr>
          </w:p>
        </w:tc>
        <w:tc>
          <w:tcPr>
            <w:tcW w:w="1080" w:type="dxa"/>
            <w:vMerge w:val="restart"/>
            <w:vAlign w:val="center"/>
          </w:tcPr>
          <w:p w14:paraId="27D106E8">
            <w:pPr>
              <w:jc w:val="center"/>
            </w:pPr>
          </w:p>
        </w:tc>
        <w:tc>
          <w:tcPr>
            <w:tcW w:w="876" w:type="dxa"/>
            <w:vMerge w:val="restart"/>
            <w:vAlign w:val="center"/>
          </w:tcPr>
          <w:p w14:paraId="1902BF63">
            <w:pPr>
              <w:jc w:val="center"/>
            </w:pPr>
          </w:p>
        </w:tc>
      </w:tr>
      <w:tr w14:paraId="77BA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51862CD">
            <w:pPr>
              <w:tabs>
                <w:tab w:val="left" w:pos="420"/>
              </w:tabs>
              <w:ind w:left="425" w:right="-108" w:hanging="425"/>
              <w:jc w:val="center"/>
            </w:pPr>
          </w:p>
        </w:tc>
        <w:tc>
          <w:tcPr>
            <w:tcW w:w="1080" w:type="dxa"/>
            <w:vMerge w:val="continue"/>
          </w:tcPr>
          <w:p w14:paraId="03932DBD"/>
        </w:tc>
        <w:tc>
          <w:tcPr>
            <w:tcW w:w="720" w:type="dxa"/>
            <w:vMerge w:val="continue"/>
          </w:tcPr>
          <w:p w14:paraId="404E6847">
            <w:pPr>
              <w:rPr>
                <w:rFonts w:eastAsia="黑体"/>
              </w:rPr>
            </w:pPr>
          </w:p>
        </w:tc>
        <w:tc>
          <w:tcPr>
            <w:tcW w:w="4500" w:type="dxa"/>
          </w:tcPr>
          <w:p w14:paraId="1B03439D">
            <w:r>
              <w:t>201.7.9.3 *技术说明书</w:t>
            </w:r>
          </w:p>
          <w:p w14:paraId="67458D03">
            <w:r>
              <w:t>增补：</w:t>
            </w:r>
          </w:p>
          <w:p w14:paraId="723FA805">
            <w:r>
              <w:t>201.7.9.3.101 补充技术说明</w:t>
            </w:r>
          </w:p>
          <w:p w14:paraId="0F1DB24B">
            <w:r>
              <w:t>设备的技术说明应包括：</w:t>
            </w:r>
          </w:p>
          <w:p w14:paraId="014D9F12">
            <w:r>
              <w:t>a）目标标记相对于目标位置的定位精度；</w:t>
            </w:r>
          </w:p>
        </w:tc>
        <w:tc>
          <w:tcPr>
            <w:tcW w:w="1080" w:type="dxa"/>
            <w:vAlign w:val="center"/>
          </w:tcPr>
          <w:p w14:paraId="19DC3561">
            <w:pPr>
              <w:jc w:val="center"/>
            </w:pPr>
          </w:p>
        </w:tc>
        <w:tc>
          <w:tcPr>
            <w:tcW w:w="1080" w:type="dxa"/>
            <w:vMerge w:val="continue"/>
            <w:vAlign w:val="center"/>
          </w:tcPr>
          <w:p w14:paraId="2FF89ACA">
            <w:pPr>
              <w:jc w:val="center"/>
            </w:pPr>
          </w:p>
        </w:tc>
        <w:tc>
          <w:tcPr>
            <w:tcW w:w="876" w:type="dxa"/>
            <w:vMerge w:val="continue"/>
          </w:tcPr>
          <w:p w14:paraId="6F570079">
            <w:pPr>
              <w:jc w:val="center"/>
            </w:pPr>
          </w:p>
        </w:tc>
      </w:tr>
      <w:tr w14:paraId="3455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8F5B52D">
            <w:pPr>
              <w:tabs>
                <w:tab w:val="left" w:pos="420"/>
              </w:tabs>
              <w:ind w:left="425" w:right="-108" w:hanging="425"/>
              <w:jc w:val="center"/>
            </w:pPr>
          </w:p>
        </w:tc>
        <w:tc>
          <w:tcPr>
            <w:tcW w:w="1080" w:type="dxa"/>
            <w:vMerge w:val="continue"/>
          </w:tcPr>
          <w:p w14:paraId="45346447"/>
        </w:tc>
        <w:tc>
          <w:tcPr>
            <w:tcW w:w="720" w:type="dxa"/>
            <w:vMerge w:val="continue"/>
          </w:tcPr>
          <w:p w14:paraId="05F7C4F9">
            <w:pPr>
              <w:rPr>
                <w:rFonts w:eastAsia="黑体"/>
              </w:rPr>
            </w:pPr>
          </w:p>
        </w:tc>
        <w:tc>
          <w:tcPr>
            <w:tcW w:w="4500" w:type="dxa"/>
          </w:tcPr>
          <w:p w14:paraId="0D4C3B62">
            <w:r>
              <w:t>b）聚焦体相对于目标位置的位置及大小，包括最小的、典型的和最大的冲击波发生器输出能量的设置，并阐述沿着冲击波源焦点位置的横轴和纵轴形成-6dB压力值的区域（见附录BB）；</w:t>
            </w:r>
          </w:p>
        </w:tc>
        <w:tc>
          <w:tcPr>
            <w:tcW w:w="1080" w:type="dxa"/>
            <w:vAlign w:val="center"/>
          </w:tcPr>
          <w:p w14:paraId="408ED78C">
            <w:pPr>
              <w:jc w:val="center"/>
            </w:pPr>
          </w:p>
        </w:tc>
        <w:tc>
          <w:tcPr>
            <w:tcW w:w="1080" w:type="dxa"/>
            <w:vMerge w:val="continue"/>
            <w:vAlign w:val="center"/>
          </w:tcPr>
          <w:p w14:paraId="42EFF17F">
            <w:pPr>
              <w:jc w:val="center"/>
            </w:pPr>
          </w:p>
        </w:tc>
        <w:tc>
          <w:tcPr>
            <w:tcW w:w="876" w:type="dxa"/>
            <w:vMerge w:val="continue"/>
          </w:tcPr>
          <w:p w14:paraId="0A107499">
            <w:pPr>
              <w:jc w:val="center"/>
            </w:pPr>
          </w:p>
        </w:tc>
      </w:tr>
      <w:tr w14:paraId="05AE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BD146F6">
            <w:pPr>
              <w:tabs>
                <w:tab w:val="left" w:pos="420"/>
              </w:tabs>
              <w:ind w:left="425" w:right="-108" w:hanging="425"/>
              <w:jc w:val="center"/>
            </w:pPr>
          </w:p>
        </w:tc>
        <w:tc>
          <w:tcPr>
            <w:tcW w:w="1080" w:type="dxa"/>
            <w:vMerge w:val="continue"/>
          </w:tcPr>
          <w:p w14:paraId="069C35B2"/>
        </w:tc>
        <w:tc>
          <w:tcPr>
            <w:tcW w:w="720" w:type="dxa"/>
            <w:vMerge w:val="continue"/>
          </w:tcPr>
          <w:p w14:paraId="31C4977A">
            <w:pPr>
              <w:rPr>
                <w:rFonts w:eastAsia="黑体"/>
              </w:rPr>
            </w:pPr>
          </w:p>
        </w:tc>
        <w:tc>
          <w:tcPr>
            <w:tcW w:w="4500" w:type="dxa"/>
          </w:tcPr>
          <w:p w14:paraId="5DF3E46E">
            <w:r>
              <w:t>c）压缩和膨胀声压峰值在最小的，典型的和最大的输出能量的设置；</w:t>
            </w:r>
          </w:p>
        </w:tc>
        <w:tc>
          <w:tcPr>
            <w:tcW w:w="1080" w:type="dxa"/>
            <w:vAlign w:val="center"/>
          </w:tcPr>
          <w:p w14:paraId="708F4A3E">
            <w:pPr>
              <w:jc w:val="center"/>
            </w:pPr>
          </w:p>
        </w:tc>
        <w:tc>
          <w:tcPr>
            <w:tcW w:w="1080" w:type="dxa"/>
            <w:vMerge w:val="continue"/>
            <w:vAlign w:val="center"/>
          </w:tcPr>
          <w:p w14:paraId="44201725">
            <w:pPr>
              <w:jc w:val="center"/>
            </w:pPr>
          </w:p>
        </w:tc>
        <w:tc>
          <w:tcPr>
            <w:tcW w:w="876" w:type="dxa"/>
            <w:vMerge w:val="continue"/>
          </w:tcPr>
          <w:p w14:paraId="1E24D291">
            <w:pPr>
              <w:jc w:val="center"/>
            </w:pPr>
          </w:p>
        </w:tc>
      </w:tr>
      <w:tr w14:paraId="66D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B799ABB">
            <w:pPr>
              <w:tabs>
                <w:tab w:val="left" w:pos="420"/>
              </w:tabs>
              <w:ind w:left="425" w:right="-108" w:hanging="425"/>
              <w:jc w:val="center"/>
            </w:pPr>
          </w:p>
        </w:tc>
        <w:tc>
          <w:tcPr>
            <w:tcW w:w="1080" w:type="dxa"/>
            <w:vMerge w:val="continue"/>
          </w:tcPr>
          <w:p w14:paraId="2331AE7C"/>
        </w:tc>
        <w:tc>
          <w:tcPr>
            <w:tcW w:w="720" w:type="dxa"/>
            <w:vMerge w:val="continue"/>
          </w:tcPr>
          <w:p w14:paraId="43FF8784">
            <w:pPr>
              <w:rPr>
                <w:rFonts w:eastAsia="黑体"/>
              </w:rPr>
            </w:pPr>
          </w:p>
        </w:tc>
        <w:tc>
          <w:tcPr>
            <w:tcW w:w="4500" w:type="dxa"/>
          </w:tcPr>
          <w:p w14:paraId="3CFE9CD5">
            <w:r>
              <w:t>d）能流密度最小的，典型的和最大的输出能量的设置，包括时间积分限的技术参数；</w:t>
            </w:r>
          </w:p>
        </w:tc>
        <w:tc>
          <w:tcPr>
            <w:tcW w:w="1080" w:type="dxa"/>
            <w:vAlign w:val="center"/>
          </w:tcPr>
          <w:p w14:paraId="0ED374F8">
            <w:pPr>
              <w:jc w:val="center"/>
            </w:pPr>
          </w:p>
        </w:tc>
        <w:tc>
          <w:tcPr>
            <w:tcW w:w="1080" w:type="dxa"/>
            <w:vMerge w:val="continue"/>
            <w:vAlign w:val="center"/>
          </w:tcPr>
          <w:p w14:paraId="613AFC8C">
            <w:pPr>
              <w:jc w:val="center"/>
            </w:pPr>
          </w:p>
        </w:tc>
        <w:tc>
          <w:tcPr>
            <w:tcW w:w="876" w:type="dxa"/>
            <w:vMerge w:val="continue"/>
          </w:tcPr>
          <w:p w14:paraId="2EF77861">
            <w:pPr>
              <w:jc w:val="center"/>
            </w:pPr>
          </w:p>
        </w:tc>
      </w:tr>
      <w:tr w14:paraId="4A94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BEB55DE">
            <w:pPr>
              <w:tabs>
                <w:tab w:val="left" w:pos="420"/>
              </w:tabs>
              <w:ind w:left="425" w:right="-108" w:hanging="425"/>
              <w:jc w:val="center"/>
            </w:pPr>
          </w:p>
        </w:tc>
        <w:tc>
          <w:tcPr>
            <w:tcW w:w="1080" w:type="dxa"/>
            <w:vMerge w:val="continue"/>
          </w:tcPr>
          <w:p w14:paraId="2E49F72C"/>
        </w:tc>
        <w:tc>
          <w:tcPr>
            <w:tcW w:w="720" w:type="dxa"/>
            <w:vMerge w:val="continue"/>
          </w:tcPr>
          <w:p w14:paraId="669C1E6F">
            <w:pPr>
              <w:rPr>
                <w:rFonts w:eastAsia="黑体"/>
              </w:rPr>
            </w:pPr>
          </w:p>
        </w:tc>
        <w:tc>
          <w:tcPr>
            <w:tcW w:w="4500" w:type="dxa"/>
          </w:tcPr>
          <w:p w14:paraId="0E488528">
            <w:r>
              <w:t>e）单一脉冲能量最小的，典型的和最大的输出能量的设置包括时间积分限以及所选半径为R的圆形横截面积的规格参数。</w:t>
            </w:r>
          </w:p>
        </w:tc>
        <w:tc>
          <w:tcPr>
            <w:tcW w:w="1080" w:type="dxa"/>
            <w:vAlign w:val="center"/>
          </w:tcPr>
          <w:p w14:paraId="0F291A8A">
            <w:pPr>
              <w:jc w:val="center"/>
            </w:pPr>
          </w:p>
        </w:tc>
        <w:tc>
          <w:tcPr>
            <w:tcW w:w="1080" w:type="dxa"/>
            <w:vMerge w:val="continue"/>
            <w:vAlign w:val="center"/>
          </w:tcPr>
          <w:p w14:paraId="36EBCCCA">
            <w:pPr>
              <w:jc w:val="center"/>
            </w:pPr>
          </w:p>
        </w:tc>
        <w:tc>
          <w:tcPr>
            <w:tcW w:w="876" w:type="dxa"/>
            <w:vMerge w:val="continue"/>
          </w:tcPr>
          <w:p w14:paraId="0F1C451E">
            <w:pPr>
              <w:jc w:val="center"/>
            </w:pPr>
          </w:p>
        </w:tc>
      </w:tr>
      <w:tr w14:paraId="37BB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38DBB32">
            <w:pPr>
              <w:numPr>
                <w:ilvl w:val="0"/>
                <w:numId w:val="1"/>
              </w:numPr>
              <w:ind w:right="-108"/>
              <w:jc w:val="center"/>
            </w:pPr>
          </w:p>
        </w:tc>
        <w:tc>
          <w:tcPr>
            <w:tcW w:w="1080" w:type="dxa"/>
            <w:vMerge w:val="restart"/>
          </w:tcPr>
          <w:p w14:paraId="5F53467A">
            <w:r>
              <w:rPr>
                <w:rFonts w:hint="eastAsia"/>
              </w:rPr>
              <w:t>ME设备对电击危险的防护</w:t>
            </w:r>
          </w:p>
        </w:tc>
        <w:tc>
          <w:tcPr>
            <w:tcW w:w="720" w:type="dxa"/>
            <w:vMerge w:val="restart"/>
          </w:tcPr>
          <w:p w14:paraId="18C3A3F1">
            <w:r>
              <w:rPr>
                <w:rFonts w:hint="eastAsia"/>
              </w:rPr>
              <w:t>201.8</w:t>
            </w:r>
          </w:p>
        </w:tc>
        <w:tc>
          <w:tcPr>
            <w:tcW w:w="4500" w:type="dxa"/>
          </w:tcPr>
          <w:p w14:paraId="2475246D">
            <w:r>
              <w:t>除下述内容外，通用标准的第8章适用。</w:t>
            </w:r>
          </w:p>
          <w:p w14:paraId="3D033533">
            <w:r>
              <w:t>201.8.7 漏电和患者辅助电流</w:t>
            </w:r>
          </w:p>
          <w:p w14:paraId="3F1CC9EE">
            <w:r>
              <w:t>201.8.7.1 *通用要求</w:t>
            </w:r>
          </w:p>
          <w:p w14:paraId="4E7B9896">
            <w:r>
              <w:t>患者漏电流不宜在压力脉冲释放期间测量。</w:t>
            </w:r>
          </w:p>
        </w:tc>
        <w:tc>
          <w:tcPr>
            <w:tcW w:w="1080" w:type="dxa"/>
            <w:vAlign w:val="center"/>
          </w:tcPr>
          <w:p w14:paraId="76998642">
            <w:pPr>
              <w:jc w:val="center"/>
            </w:pPr>
          </w:p>
        </w:tc>
        <w:tc>
          <w:tcPr>
            <w:tcW w:w="1080" w:type="dxa"/>
            <w:vMerge w:val="restart"/>
            <w:vAlign w:val="center"/>
          </w:tcPr>
          <w:p w14:paraId="7AC09506">
            <w:pPr>
              <w:jc w:val="center"/>
            </w:pPr>
          </w:p>
        </w:tc>
        <w:tc>
          <w:tcPr>
            <w:tcW w:w="876" w:type="dxa"/>
            <w:vMerge w:val="continue"/>
          </w:tcPr>
          <w:p w14:paraId="4921FB8B">
            <w:pPr>
              <w:jc w:val="center"/>
            </w:pPr>
          </w:p>
        </w:tc>
      </w:tr>
      <w:tr w14:paraId="2F6B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DAB37F7">
            <w:pPr>
              <w:tabs>
                <w:tab w:val="left" w:pos="420"/>
              </w:tabs>
              <w:ind w:left="425" w:right="-108" w:hanging="425"/>
              <w:jc w:val="center"/>
            </w:pPr>
          </w:p>
        </w:tc>
        <w:tc>
          <w:tcPr>
            <w:tcW w:w="1080" w:type="dxa"/>
            <w:vMerge w:val="continue"/>
          </w:tcPr>
          <w:p w14:paraId="6C8EDA5E"/>
        </w:tc>
        <w:tc>
          <w:tcPr>
            <w:tcW w:w="720" w:type="dxa"/>
            <w:vMerge w:val="continue"/>
          </w:tcPr>
          <w:p w14:paraId="3F5C279C">
            <w:pPr>
              <w:rPr>
                <w:rFonts w:eastAsia="黑体"/>
              </w:rPr>
            </w:pPr>
          </w:p>
        </w:tc>
        <w:tc>
          <w:tcPr>
            <w:tcW w:w="4500" w:type="dxa"/>
          </w:tcPr>
          <w:p w14:paraId="4D684F08">
            <w:r>
              <w:t>201.8.8.3电介质强度</w:t>
            </w:r>
          </w:p>
          <w:p w14:paraId="35ACCB0F">
            <w:r>
              <w:t>表6 构成防护措施的固体绝缘的试验电压</w:t>
            </w:r>
          </w:p>
          <w:p w14:paraId="40F6E088">
            <w:r>
              <w:t>增补：</w:t>
            </w:r>
          </w:p>
          <w:p w14:paraId="5A109254">
            <w:r>
              <w:t>高于14140V的电压应以1.2倍试验。</w:t>
            </w:r>
          </w:p>
          <w:p w14:paraId="48CA80F3">
            <w:r>
              <w:t>表7 对操作者的防护措施的试验电压</w:t>
            </w:r>
          </w:p>
          <w:p w14:paraId="1BC1BB5A">
            <w:r>
              <w:t>增补：</w:t>
            </w:r>
          </w:p>
          <w:p w14:paraId="723D33B3">
            <w:r>
              <w:t>高于10000V的电压应以1.2倍试验。</w:t>
            </w:r>
          </w:p>
        </w:tc>
        <w:tc>
          <w:tcPr>
            <w:tcW w:w="1080" w:type="dxa"/>
            <w:vAlign w:val="center"/>
          </w:tcPr>
          <w:p w14:paraId="30F54939">
            <w:pPr>
              <w:jc w:val="center"/>
            </w:pPr>
          </w:p>
        </w:tc>
        <w:tc>
          <w:tcPr>
            <w:tcW w:w="1080" w:type="dxa"/>
            <w:vMerge w:val="continue"/>
            <w:vAlign w:val="center"/>
          </w:tcPr>
          <w:p w14:paraId="4D06D876">
            <w:pPr>
              <w:jc w:val="center"/>
            </w:pPr>
          </w:p>
        </w:tc>
        <w:tc>
          <w:tcPr>
            <w:tcW w:w="876" w:type="dxa"/>
            <w:vMerge w:val="continue"/>
          </w:tcPr>
          <w:p w14:paraId="1AAB0F05">
            <w:pPr>
              <w:jc w:val="center"/>
            </w:pPr>
          </w:p>
        </w:tc>
      </w:tr>
      <w:tr w14:paraId="3B5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5C31BD1A">
            <w:pPr>
              <w:numPr>
                <w:ilvl w:val="0"/>
                <w:numId w:val="1"/>
              </w:numPr>
              <w:ind w:right="-108"/>
              <w:jc w:val="center"/>
            </w:pPr>
          </w:p>
        </w:tc>
        <w:tc>
          <w:tcPr>
            <w:tcW w:w="1080" w:type="dxa"/>
          </w:tcPr>
          <w:p w14:paraId="7B307DDC">
            <w:r>
              <w:rPr>
                <w:rFonts w:hint="eastAsia"/>
              </w:rPr>
              <w:t>ME设备对机械危险的保护</w:t>
            </w:r>
          </w:p>
        </w:tc>
        <w:tc>
          <w:tcPr>
            <w:tcW w:w="720" w:type="dxa"/>
          </w:tcPr>
          <w:p w14:paraId="0E5964F3">
            <w:r>
              <w:rPr>
                <w:rFonts w:hint="eastAsia"/>
              </w:rPr>
              <w:t>201.9</w:t>
            </w:r>
          </w:p>
        </w:tc>
        <w:tc>
          <w:tcPr>
            <w:tcW w:w="4500" w:type="dxa"/>
          </w:tcPr>
          <w:p w14:paraId="168273DB">
            <w:r>
              <w:t>除下述内容外，通用标准的第9章适用。</w:t>
            </w:r>
          </w:p>
          <w:p w14:paraId="25A3472A">
            <w:r>
              <w:t>201.9.2.2.5 连续开动</w:t>
            </w:r>
          </w:p>
          <w:p w14:paraId="03EDEF5A">
            <w:r>
              <w:t>增补：</w:t>
            </w:r>
          </w:p>
          <w:p w14:paraId="5A04020C">
            <w:r>
              <w:t>具有动力运动的系统应设计成避免施加过多的力给患者。应防止ME设备在挤压过程中可能危及患者的动作。</w:t>
            </w:r>
          </w:p>
          <w:p w14:paraId="66CF6298">
            <w:r>
              <w:t>在操作运动定位过程中应防止附件脱落。</w:t>
            </w:r>
          </w:p>
        </w:tc>
        <w:tc>
          <w:tcPr>
            <w:tcW w:w="1080" w:type="dxa"/>
            <w:vAlign w:val="center"/>
          </w:tcPr>
          <w:p w14:paraId="3D065210">
            <w:pPr>
              <w:jc w:val="center"/>
            </w:pPr>
          </w:p>
        </w:tc>
        <w:tc>
          <w:tcPr>
            <w:tcW w:w="1080" w:type="dxa"/>
            <w:vAlign w:val="center"/>
          </w:tcPr>
          <w:p w14:paraId="3686F86B">
            <w:pPr>
              <w:jc w:val="center"/>
            </w:pPr>
          </w:p>
        </w:tc>
        <w:tc>
          <w:tcPr>
            <w:tcW w:w="876" w:type="dxa"/>
            <w:vMerge w:val="continue"/>
          </w:tcPr>
          <w:p w14:paraId="72F4FB15">
            <w:pPr>
              <w:jc w:val="center"/>
            </w:pPr>
          </w:p>
        </w:tc>
      </w:tr>
      <w:tr w14:paraId="468E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86FD54D">
            <w:r>
              <w:rPr>
                <w:rFonts w:hint="eastAsia"/>
              </w:rPr>
              <w:t>续4</w:t>
            </w:r>
          </w:p>
        </w:tc>
        <w:tc>
          <w:tcPr>
            <w:tcW w:w="1080" w:type="dxa"/>
            <w:vMerge w:val="restart"/>
          </w:tcPr>
          <w:p w14:paraId="3556C20A">
            <w:r>
              <w:rPr>
                <w:rFonts w:hint="eastAsia"/>
              </w:rPr>
              <w:t>ME设备对机械危险的保护</w:t>
            </w:r>
          </w:p>
        </w:tc>
        <w:tc>
          <w:tcPr>
            <w:tcW w:w="720" w:type="dxa"/>
            <w:vMerge w:val="restart"/>
          </w:tcPr>
          <w:p w14:paraId="5C5ED605">
            <w:r>
              <w:rPr>
                <w:rFonts w:hint="eastAsia"/>
              </w:rPr>
              <w:t>201.9</w:t>
            </w:r>
          </w:p>
        </w:tc>
        <w:tc>
          <w:tcPr>
            <w:tcW w:w="4500" w:type="dxa"/>
          </w:tcPr>
          <w:p w14:paraId="3D45563B">
            <w:r>
              <w:t>201.9.4.2.4.3 越过门槛的运动</w:t>
            </w:r>
          </w:p>
          <w:p w14:paraId="2809FC29">
            <w:r>
              <w:t>替换符合性声明：</w:t>
            </w:r>
          </w:p>
          <w:p w14:paraId="221B8BDC">
            <w:r>
              <w:t>通过以下测试来检查合规性：在平面上平放一个横截面为矩形的固定障碍物，其尺寸高度为10mm、宽度为80mm,移动式ME设备应尽可能靠近地面向前移动，移动速度由厂商规定，但不能超过0.1m/s.在此测试后ME设备能正常运行。</w:t>
            </w:r>
          </w:p>
        </w:tc>
        <w:tc>
          <w:tcPr>
            <w:tcW w:w="1080" w:type="dxa"/>
            <w:vAlign w:val="center"/>
          </w:tcPr>
          <w:p w14:paraId="15D13E08">
            <w:pPr>
              <w:jc w:val="center"/>
            </w:pPr>
          </w:p>
        </w:tc>
        <w:tc>
          <w:tcPr>
            <w:tcW w:w="1080" w:type="dxa"/>
            <w:vMerge w:val="restart"/>
            <w:vAlign w:val="center"/>
          </w:tcPr>
          <w:p w14:paraId="17457AD9">
            <w:pPr>
              <w:jc w:val="center"/>
            </w:pPr>
          </w:p>
        </w:tc>
        <w:tc>
          <w:tcPr>
            <w:tcW w:w="876" w:type="dxa"/>
            <w:vMerge w:val="restart"/>
            <w:vAlign w:val="center"/>
          </w:tcPr>
          <w:p w14:paraId="5F868450">
            <w:pPr>
              <w:jc w:val="center"/>
            </w:pPr>
          </w:p>
        </w:tc>
      </w:tr>
      <w:tr w14:paraId="4D8D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08360A5">
            <w:pPr>
              <w:tabs>
                <w:tab w:val="left" w:pos="420"/>
              </w:tabs>
              <w:ind w:left="425" w:right="-108" w:hanging="425"/>
              <w:jc w:val="center"/>
            </w:pPr>
          </w:p>
        </w:tc>
        <w:tc>
          <w:tcPr>
            <w:tcW w:w="1080" w:type="dxa"/>
            <w:vMerge w:val="continue"/>
          </w:tcPr>
          <w:p w14:paraId="7B1F96EB"/>
        </w:tc>
        <w:tc>
          <w:tcPr>
            <w:tcW w:w="720" w:type="dxa"/>
            <w:vMerge w:val="continue"/>
          </w:tcPr>
          <w:p w14:paraId="05EDB4AE">
            <w:pPr>
              <w:rPr>
                <w:rFonts w:eastAsia="黑体"/>
              </w:rPr>
            </w:pPr>
          </w:p>
        </w:tc>
        <w:tc>
          <w:tcPr>
            <w:tcW w:w="4500" w:type="dxa"/>
          </w:tcPr>
          <w:p w14:paraId="0B391BB4">
            <w:r>
              <w:t>201.9.6.2.1 *可听声能：</w:t>
            </w:r>
          </w:p>
          <w:p w14:paraId="28E88D7A">
            <w:r>
              <w:t>用以下两个破折号替换第一个破折号：</w:t>
            </w:r>
          </w:p>
          <w:p w14:paraId="7C8846ED">
            <w:r>
              <w:t>——在24h内累积曝露8h为90dBA,在24h内将累积曝露的时间减半，将增加3dBA的偏移量（例如24h内4个小时为93dBA）；</w:t>
            </w:r>
          </w:p>
          <w:p w14:paraId="1315E87D">
            <w:pPr>
              <w:ind w:firstLine="2940" w:firstLineChars="1400"/>
            </w:pPr>
            <w:r>
              <w:rPr>
                <w:rFonts w:hint="eastAsia"/>
              </w:rPr>
              <w:t>单位：</w:t>
            </w:r>
            <w:r>
              <w:t>dB</w:t>
            </w:r>
            <w:r>
              <w:rPr>
                <w:rFonts w:hint="eastAsia"/>
              </w:rPr>
              <w:t>（</w:t>
            </w:r>
            <w:r>
              <w:t>A</w:t>
            </w:r>
            <w:r>
              <w:rPr>
                <w:rFonts w:hint="eastAsia"/>
              </w:rPr>
              <w:t>）</w:t>
            </w:r>
          </w:p>
        </w:tc>
        <w:tc>
          <w:tcPr>
            <w:tcW w:w="1080" w:type="dxa"/>
            <w:vAlign w:val="center"/>
          </w:tcPr>
          <w:p w14:paraId="4A84B696">
            <w:pPr>
              <w:jc w:val="center"/>
            </w:pPr>
          </w:p>
        </w:tc>
        <w:tc>
          <w:tcPr>
            <w:tcW w:w="1080" w:type="dxa"/>
            <w:vMerge w:val="continue"/>
            <w:vAlign w:val="center"/>
          </w:tcPr>
          <w:p w14:paraId="605D74A7">
            <w:pPr>
              <w:jc w:val="center"/>
            </w:pPr>
          </w:p>
        </w:tc>
        <w:tc>
          <w:tcPr>
            <w:tcW w:w="876" w:type="dxa"/>
            <w:vMerge w:val="continue"/>
          </w:tcPr>
          <w:p w14:paraId="7C51148A">
            <w:pPr>
              <w:jc w:val="center"/>
            </w:pPr>
          </w:p>
        </w:tc>
      </w:tr>
      <w:tr w14:paraId="7B3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79F958C">
            <w:pPr>
              <w:tabs>
                <w:tab w:val="left" w:pos="420"/>
              </w:tabs>
              <w:ind w:left="425" w:right="-108" w:hanging="425"/>
              <w:jc w:val="center"/>
            </w:pPr>
          </w:p>
        </w:tc>
        <w:tc>
          <w:tcPr>
            <w:tcW w:w="1080" w:type="dxa"/>
            <w:vMerge w:val="continue"/>
          </w:tcPr>
          <w:p w14:paraId="2038ED89"/>
        </w:tc>
        <w:tc>
          <w:tcPr>
            <w:tcW w:w="720" w:type="dxa"/>
            <w:vMerge w:val="continue"/>
          </w:tcPr>
          <w:p w14:paraId="42FD53CC">
            <w:pPr>
              <w:rPr>
                <w:rFonts w:eastAsia="黑体"/>
              </w:rPr>
            </w:pPr>
          </w:p>
        </w:tc>
        <w:tc>
          <w:tcPr>
            <w:tcW w:w="4500" w:type="dxa"/>
          </w:tcPr>
          <w:p w14:paraId="0B848757">
            <w:r>
              <w:t>——在24h内累积曝露1h为105dBA,在24h内将累积曝露量的时间减半，将增加3dBA的偏移量（例如24h内1/2h为108dBA）。</w:t>
            </w:r>
          </w:p>
        </w:tc>
        <w:tc>
          <w:tcPr>
            <w:tcW w:w="1080" w:type="dxa"/>
            <w:vAlign w:val="center"/>
          </w:tcPr>
          <w:p w14:paraId="7648B9FE">
            <w:pPr>
              <w:jc w:val="center"/>
            </w:pPr>
          </w:p>
        </w:tc>
        <w:tc>
          <w:tcPr>
            <w:tcW w:w="1080" w:type="dxa"/>
            <w:vMerge w:val="continue"/>
            <w:vAlign w:val="center"/>
          </w:tcPr>
          <w:p w14:paraId="5F14379D">
            <w:pPr>
              <w:jc w:val="center"/>
            </w:pPr>
          </w:p>
        </w:tc>
        <w:tc>
          <w:tcPr>
            <w:tcW w:w="876" w:type="dxa"/>
            <w:vMerge w:val="continue"/>
          </w:tcPr>
          <w:p w14:paraId="25A66312">
            <w:pPr>
              <w:jc w:val="center"/>
            </w:pPr>
          </w:p>
        </w:tc>
      </w:tr>
      <w:tr w14:paraId="1891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DCEC540">
            <w:pPr>
              <w:tabs>
                <w:tab w:val="left" w:pos="420"/>
              </w:tabs>
              <w:ind w:left="425" w:right="-108" w:hanging="425"/>
              <w:jc w:val="center"/>
            </w:pPr>
          </w:p>
        </w:tc>
        <w:tc>
          <w:tcPr>
            <w:tcW w:w="1080" w:type="dxa"/>
            <w:vMerge w:val="continue"/>
          </w:tcPr>
          <w:p w14:paraId="00721A85"/>
        </w:tc>
        <w:tc>
          <w:tcPr>
            <w:tcW w:w="720" w:type="dxa"/>
            <w:vMerge w:val="continue"/>
          </w:tcPr>
          <w:p w14:paraId="347013F1">
            <w:pPr>
              <w:rPr>
                <w:rFonts w:eastAsia="黑体"/>
              </w:rPr>
            </w:pPr>
          </w:p>
        </w:tc>
        <w:tc>
          <w:tcPr>
            <w:tcW w:w="4500" w:type="dxa"/>
          </w:tcPr>
          <w:p w14:paraId="4AB9E429">
            <w:r>
              <w:t>在符合性声明之前增补：</w:t>
            </w:r>
          </w:p>
          <w:p w14:paraId="5872D58B">
            <w:r>
              <w:t>如果加权声压等级超过80dBA,则应考虑噪声保护措施。</w:t>
            </w:r>
          </w:p>
        </w:tc>
        <w:tc>
          <w:tcPr>
            <w:tcW w:w="1080" w:type="dxa"/>
            <w:vAlign w:val="center"/>
          </w:tcPr>
          <w:p w14:paraId="48771328">
            <w:pPr>
              <w:jc w:val="center"/>
            </w:pPr>
          </w:p>
        </w:tc>
        <w:tc>
          <w:tcPr>
            <w:tcW w:w="1080" w:type="dxa"/>
            <w:vMerge w:val="continue"/>
            <w:vAlign w:val="center"/>
          </w:tcPr>
          <w:p w14:paraId="1B26C152">
            <w:pPr>
              <w:jc w:val="center"/>
            </w:pPr>
          </w:p>
        </w:tc>
        <w:tc>
          <w:tcPr>
            <w:tcW w:w="876" w:type="dxa"/>
            <w:vMerge w:val="continue"/>
          </w:tcPr>
          <w:p w14:paraId="38D32DD2">
            <w:pPr>
              <w:jc w:val="center"/>
            </w:pPr>
          </w:p>
        </w:tc>
      </w:tr>
      <w:tr w14:paraId="353E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87E55BB">
            <w:pPr>
              <w:tabs>
                <w:tab w:val="left" w:pos="420"/>
              </w:tabs>
              <w:ind w:left="425" w:right="-108" w:hanging="425"/>
              <w:jc w:val="center"/>
            </w:pPr>
          </w:p>
        </w:tc>
        <w:tc>
          <w:tcPr>
            <w:tcW w:w="1080" w:type="dxa"/>
            <w:vMerge w:val="continue"/>
          </w:tcPr>
          <w:p w14:paraId="11ABA3DA"/>
        </w:tc>
        <w:tc>
          <w:tcPr>
            <w:tcW w:w="720" w:type="dxa"/>
            <w:vMerge w:val="continue"/>
          </w:tcPr>
          <w:p w14:paraId="00B9AF87">
            <w:pPr>
              <w:rPr>
                <w:rFonts w:eastAsia="黑体"/>
              </w:rPr>
            </w:pPr>
          </w:p>
        </w:tc>
        <w:tc>
          <w:tcPr>
            <w:tcW w:w="4500" w:type="dxa"/>
          </w:tcPr>
          <w:p w14:paraId="6E8F6C89">
            <w:r>
              <w:t>201.9.8.4.1 概述</w:t>
            </w:r>
          </w:p>
          <w:p w14:paraId="0F43C134">
            <w:r>
              <w:t>增补：</w:t>
            </w:r>
          </w:p>
          <w:p w14:paraId="3557A974">
            <w:r>
              <w:t>与其他的绳索，链条或皮带平行运行的绳索，链条或皮带如果在操作过程中保持卸载状态，则可视为防坠落安全装置。钢丝绳如果有定期检查时可以用作防坠落装置。</w:t>
            </w:r>
          </w:p>
        </w:tc>
        <w:tc>
          <w:tcPr>
            <w:tcW w:w="1080" w:type="dxa"/>
            <w:vAlign w:val="center"/>
          </w:tcPr>
          <w:p w14:paraId="7F0C9E81">
            <w:pPr>
              <w:jc w:val="center"/>
            </w:pPr>
          </w:p>
        </w:tc>
        <w:tc>
          <w:tcPr>
            <w:tcW w:w="1080" w:type="dxa"/>
            <w:vMerge w:val="continue"/>
            <w:vAlign w:val="center"/>
          </w:tcPr>
          <w:p w14:paraId="2229B320">
            <w:pPr>
              <w:jc w:val="center"/>
            </w:pPr>
          </w:p>
        </w:tc>
        <w:tc>
          <w:tcPr>
            <w:tcW w:w="876" w:type="dxa"/>
            <w:vMerge w:val="continue"/>
          </w:tcPr>
          <w:p w14:paraId="34C99AA2">
            <w:pPr>
              <w:jc w:val="center"/>
            </w:pPr>
          </w:p>
        </w:tc>
      </w:tr>
      <w:tr w14:paraId="6AB6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26D35F55">
            <w:pPr>
              <w:numPr>
                <w:ilvl w:val="0"/>
                <w:numId w:val="1"/>
              </w:numPr>
              <w:ind w:right="-108"/>
              <w:jc w:val="center"/>
            </w:pPr>
          </w:p>
        </w:tc>
        <w:tc>
          <w:tcPr>
            <w:tcW w:w="1080" w:type="dxa"/>
            <w:vMerge w:val="restart"/>
          </w:tcPr>
          <w:p w14:paraId="15FD01AB">
            <w:r>
              <w:rPr>
                <w:rFonts w:hint="eastAsia"/>
              </w:rPr>
              <w:t>对超温和其他危险的防护</w:t>
            </w:r>
          </w:p>
        </w:tc>
        <w:tc>
          <w:tcPr>
            <w:tcW w:w="720" w:type="dxa"/>
            <w:vMerge w:val="restart"/>
          </w:tcPr>
          <w:p w14:paraId="2635C308">
            <w:r>
              <w:rPr>
                <w:rFonts w:hint="eastAsia"/>
              </w:rPr>
              <w:t>201.11</w:t>
            </w:r>
          </w:p>
        </w:tc>
        <w:tc>
          <w:tcPr>
            <w:tcW w:w="4500" w:type="dxa"/>
          </w:tcPr>
          <w:p w14:paraId="7787CF70">
            <w:r>
              <w:t>除下述内容外，通用标准的第11章适用。</w:t>
            </w:r>
          </w:p>
          <w:p w14:paraId="302DEB1B">
            <w:r>
              <w:t>201.11.1.2.1 *为患者提供热量的应用部分</w:t>
            </w:r>
          </w:p>
          <w:p w14:paraId="6CA1488B">
            <w:r>
              <w:t>增补：</w:t>
            </w:r>
          </w:p>
          <w:p w14:paraId="0268DF41">
            <w:r>
              <w:t>厂商规定的预热时间后，应用部分的表面温度不得低于环境温度5℃。</w:t>
            </w:r>
          </w:p>
        </w:tc>
        <w:tc>
          <w:tcPr>
            <w:tcW w:w="1080" w:type="dxa"/>
            <w:vAlign w:val="center"/>
          </w:tcPr>
          <w:p w14:paraId="0C4983AD">
            <w:pPr>
              <w:jc w:val="center"/>
            </w:pPr>
          </w:p>
        </w:tc>
        <w:tc>
          <w:tcPr>
            <w:tcW w:w="1080" w:type="dxa"/>
            <w:vMerge w:val="restart"/>
            <w:vAlign w:val="center"/>
          </w:tcPr>
          <w:p w14:paraId="7B4D4D20">
            <w:pPr>
              <w:jc w:val="center"/>
            </w:pPr>
          </w:p>
        </w:tc>
        <w:tc>
          <w:tcPr>
            <w:tcW w:w="876" w:type="dxa"/>
            <w:vMerge w:val="continue"/>
          </w:tcPr>
          <w:p w14:paraId="5F94CE2F">
            <w:pPr>
              <w:jc w:val="center"/>
            </w:pPr>
          </w:p>
        </w:tc>
      </w:tr>
      <w:tr w14:paraId="4909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FBD2E36">
            <w:pPr>
              <w:tabs>
                <w:tab w:val="left" w:pos="420"/>
              </w:tabs>
              <w:ind w:left="425" w:right="-108" w:hanging="425"/>
              <w:jc w:val="center"/>
            </w:pPr>
          </w:p>
        </w:tc>
        <w:tc>
          <w:tcPr>
            <w:tcW w:w="1080" w:type="dxa"/>
            <w:vMerge w:val="continue"/>
          </w:tcPr>
          <w:p w14:paraId="17A2BF23"/>
        </w:tc>
        <w:tc>
          <w:tcPr>
            <w:tcW w:w="720" w:type="dxa"/>
            <w:vMerge w:val="continue"/>
          </w:tcPr>
          <w:p w14:paraId="598B5C62">
            <w:pPr>
              <w:rPr>
                <w:rFonts w:eastAsia="黑体"/>
              </w:rPr>
            </w:pPr>
          </w:p>
        </w:tc>
        <w:tc>
          <w:tcPr>
            <w:tcW w:w="4500" w:type="dxa"/>
          </w:tcPr>
          <w:p w14:paraId="5263FE0E">
            <w:r>
              <w:t>201.11.7 ME设备和ME系统的生物相容性</w:t>
            </w:r>
          </w:p>
          <w:p w14:paraId="611652D9">
            <w:r>
              <w:t>增补：</w:t>
            </w:r>
          </w:p>
          <w:p w14:paraId="30754106">
            <w:r>
              <w:t>如果使用耦合液体（例如超声耦合剂，油，等），那么这种液体被认为是与生物组织，细胞或体液直接或间接接触的附件。</w:t>
            </w:r>
          </w:p>
        </w:tc>
        <w:tc>
          <w:tcPr>
            <w:tcW w:w="1080" w:type="dxa"/>
            <w:vAlign w:val="center"/>
          </w:tcPr>
          <w:p w14:paraId="1D4C5621">
            <w:pPr>
              <w:jc w:val="center"/>
            </w:pPr>
          </w:p>
        </w:tc>
        <w:tc>
          <w:tcPr>
            <w:tcW w:w="1080" w:type="dxa"/>
            <w:vMerge w:val="continue"/>
            <w:vAlign w:val="center"/>
          </w:tcPr>
          <w:p w14:paraId="1490E664">
            <w:pPr>
              <w:jc w:val="center"/>
            </w:pPr>
          </w:p>
        </w:tc>
        <w:tc>
          <w:tcPr>
            <w:tcW w:w="876" w:type="dxa"/>
            <w:vMerge w:val="continue"/>
          </w:tcPr>
          <w:p w14:paraId="15E338DD">
            <w:pPr>
              <w:jc w:val="center"/>
            </w:pPr>
          </w:p>
        </w:tc>
      </w:tr>
      <w:tr w14:paraId="0548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E6BDCD4"/>
        </w:tc>
        <w:tc>
          <w:tcPr>
            <w:tcW w:w="1080" w:type="dxa"/>
            <w:vMerge w:val="continue"/>
          </w:tcPr>
          <w:p w14:paraId="0B03B33F"/>
        </w:tc>
        <w:tc>
          <w:tcPr>
            <w:tcW w:w="720" w:type="dxa"/>
            <w:vMerge w:val="continue"/>
          </w:tcPr>
          <w:p w14:paraId="28001FAD"/>
        </w:tc>
        <w:tc>
          <w:tcPr>
            <w:tcW w:w="4500" w:type="dxa"/>
          </w:tcPr>
          <w:p w14:paraId="27CBF4A2">
            <w:pPr>
              <w:spacing w:line="280" w:lineRule="exact"/>
            </w:pPr>
            <w:r>
              <w:t>201.11.8 ME设备的供电电源/供电网中断</w:t>
            </w:r>
          </w:p>
          <w:p w14:paraId="5674BAF3">
            <w:pPr>
              <w:spacing w:line="280" w:lineRule="exact"/>
            </w:pPr>
            <w:r>
              <w:t>增补：</w:t>
            </w:r>
          </w:p>
          <w:p w14:paraId="5734DCC9">
            <w:pPr>
              <w:pStyle w:val="7"/>
              <w:tabs>
                <w:tab w:val="center" w:pos="4201"/>
                <w:tab w:val="right" w:leader="dot" w:pos="9298"/>
              </w:tabs>
              <w:autoSpaceDE/>
              <w:autoSpaceDN/>
              <w:spacing w:line="280" w:lineRule="exact"/>
              <w:ind w:firstLine="0" w:firstLineChars="0"/>
              <w:rPr>
                <w:rFonts w:ascii="Times New Roman" w:hAnsi="Times New Roman" w:cs="Times New Roman"/>
              </w:rPr>
            </w:pPr>
            <w:r>
              <w:rPr>
                <w:rFonts w:ascii="Times New Roman" w:hAnsi="Times New Roman" w:cs="Times New Roman"/>
              </w:rPr>
              <w:t>当供电电源恢复时，要求一个审慎的动作，比如再按按钮，启动压力脉冲释放。</w:t>
            </w:r>
          </w:p>
        </w:tc>
        <w:tc>
          <w:tcPr>
            <w:tcW w:w="1080" w:type="dxa"/>
            <w:vAlign w:val="center"/>
          </w:tcPr>
          <w:p w14:paraId="2206E310">
            <w:pPr>
              <w:jc w:val="center"/>
            </w:pPr>
          </w:p>
        </w:tc>
        <w:tc>
          <w:tcPr>
            <w:tcW w:w="1080" w:type="dxa"/>
            <w:vMerge w:val="continue"/>
            <w:vAlign w:val="center"/>
          </w:tcPr>
          <w:p w14:paraId="7D41A0B2">
            <w:pPr>
              <w:jc w:val="center"/>
            </w:pPr>
          </w:p>
        </w:tc>
        <w:tc>
          <w:tcPr>
            <w:tcW w:w="876" w:type="dxa"/>
            <w:vMerge w:val="continue"/>
            <w:vAlign w:val="center"/>
          </w:tcPr>
          <w:p w14:paraId="59BEBC3B">
            <w:pPr>
              <w:jc w:val="center"/>
            </w:pPr>
          </w:p>
        </w:tc>
      </w:tr>
      <w:tr w14:paraId="4402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8785953">
            <w:pPr>
              <w:numPr>
                <w:ilvl w:val="0"/>
                <w:numId w:val="1"/>
              </w:numPr>
              <w:ind w:right="-108"/>
              <w:jc w:val="center"/>
            </w:pPr>
          </w:p>
        </w:tc>
        <w:tc>
          <w:tcPr>
            <w:tcW w:w="1080" w:type="dxa"/>
            <w:vMerge w:val="restart"/>
          </w:tcPr>
          <w:p w14:paraId="7C0788CF">
            <w:r>
              <w:rPr>
                <w:rFonts w:hint="eastAsia"/>
              </w:rPr>
              <w:t>控制和仪器的准确性和危险输出的防护</w:t>
            </w:r>
          </w:p>
        </w:tc>
        <w:tc>
          <w:tcPr>
            <w:tcW w:w="720" w:type="dxa"/>
            <w:vMerge w:val="restart"/>
          </w:tcPr>
          <w:p w14:paraId="48186E3A">
            <w:r>
              <w:rPr>
                <w:rFonts w:hint="eastAsia"/>
              </w:rPr>
              <w:t>201.12</w:t>
            </w:r>
          </w:p>
        </w:tc>
        <w:tc>
          <w:tcPr>
            <w:tcW w:w="4500" w:type="dxa"/>
          </w:tcPr>
          <w:p w14:paraId="6C4978D1">
            <w:pPr>
              <w:spacing w:line="280" w:lineRule="exact"/>
              <w:rPr>
                <w:rFonts w:ascii="宋体" w:hAnsi="宋体" w:cs="宋体"/>
              </w:rPr>
            </w:pPr>
            <w:r>
              <w:rPr>
                <w:rFonts w:hint="eastAsia" w:ascii="宋体" w:hAnsi="宋体" w:cs="宋体"/>
              </w:rPr>
              <w:t>除下述内容外，通用标准的第12章适用。</w:t>
            </w:r>
          </w:p>
          <w:p w14:paraId="59ACCA48">
            <w:pPr>
              <w:spacing w:line="280" w:lineRule="exact"/>
              <w:rPr>
                <w:rFonts w:ascii="宋体" w:hAnsi="宋体" w:cs="宋体"/>
              </w:rPr>
            </w:pPr>
            <w:r>
              <w:rPr>
                <w:rFonts w:hint="eastAsia" w:ascii="宋体" w:hAnsi="宋体" w:cs="宋体"/>
              </w:rPr>
              <w:t>201.12.1 控制器和仪表的准确性</w:t>
            </w:r>
          </w:p>
          <w:p w14:paraId="54D91CC6">
            <w:pPr>
              <w:spacing w:line="280" w:lineRule="exact"/>
              <w:rPr>
                <w:rFonts w:ascii="宋体" w:hAnsi="宋体" w:cs="宋体"/>
              </w:rPr>
            </w:pPr>
            <w:r>
              <w:rPr>
                <w:rFonts w:hint="eastAsia" w:ascii="宋体" w:hAnsi="宋体" w:cs="宋体"/>
              </w:rPr>
              <w:t>增补：</w:t>
            </w:r>
          </w:p>
          <w:p w14:paraId="2831B1FF">
            <w:pPr>
              <w:spacing w:line="280" w:lineRule="exact"/>
              <w:rPr>
                <w:rFonts w:ascii="宋体" w:hAnsi="宋体" w:cs="宋体"/>
              </w:rPr>
            </w:pPr>
            <w:r>
              <w:rPr>
                <w:rFonts w:hint="eastAsia" w:ascii="宋体" w:hAnsi="宋体" w:cs="宋体"/>
              </w:rPr>
              <w:t>201.12.1.101 目标标记和目标位置的精度</w:t>
            </w:r>
          </w:p>
          <w:p w14:paraId="158643DA">
            <w:pPr>
              <w:spacing w:line="280" w:lineRule="exact"/>
              <w:rPr>
                <w:rFonts w:ascii="宋体" w:hAnsi="宋体" w:cs="宋体"/>
              </w:rPr>
            </w:pPr>
            <w:r>
              <w:rPr>
                <w:rFonts w:hint="eastAsia" w:ascii="宋体" w:hAnsi="宋体" w:cs="宋体"/>
              </w:rPr>
              <w:t>厂商在使用说明书中应提供测试目标标记和目标位置对精度的测试方法规范，包括允许的偏差。</w:t>
            </w:r>
          </w:p>
        </w:tc>
        <w:tc>
          <w:tcPr>
            <w:tcW w:w="1080" w:type="dxa"/>
            <w:vAlign w:val="center"/>
          </w:tcPr>
          <w:p w14:paraId="5AE5CF38">
            <w:pPr>
              <w:jc w:val="center"/>
            </w:pPr>
          </w:p>
        </w:tc>
        <w:tc>
          <w:tcPr>
            <w:tcW w:w="1080" w:type="dxa"/>
            <w:vMerge w:val="restart"/>
            <w:vAlign w:val="center"/>
          </w:tcPr>
          <w:p w14:paraId="3D4B8D0E">
            <w:pPr>
              <w:jc w:val="center"/>
            </w:pPr>
          </w:p>
        </w:tc>
        <w:tc>
          <w:tcPr>
            <w:tcW w:w="876" w:type="dxa"/>
            <w:vMerge w:val="continue"/>
          </w:tcPr>
          <w:p w14:paraId="166F39A4">
            <w:pPr>
              <w:jc w:val="center"/>
            </w:pPr>
          </w:p>
        </w:tc>
      </w:tr>
      <w:tr w14:paraId="1C5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1B4B4F3">
            <w:pPr>
              <w:tabs>
                <w:tab w:val="left" w:pos="420"/>
              </w:tabs>
              <w:ind w:left="425" w:right="-108" w:hanging="425"/>
              <w:jc w:val="center"/>
            </w:pPr>
          </w:p>
        </w:tc>
        <w:tc>
          <w:tcPr>
            <w:tcW w:w="1080" w:type="dxa"/>
            <w:vMerge w:val="continue"/>
          </w:tcPr>
          <w:p w14:paraId="4C8E9456"/>
        </w:tc>
        <w:tc>
          <w:tcPr>
            <w:tcW w:w="720" w:type="dxa"/>
            <w:vMerge w:val="continue"/>
          </w:tcPr>
          <w:p w14:paraId="14DD7AB7">
            <w:pPr>
              <w:rPr>
                <w:rFonts w:eastAsia="黑体"/>
              </w:rPr>
            </w:pPr>
          </w:p>
        </w:tc>
        <w:tc>
          <w:tcPr>
            <w:tcW w:w="4500" w:type="dxa"/>
          </w:tcPr>
          <w:p w14:paraId="0FB97F4C">
            <w:pPr>
              <w:spacing w:line="280" w:lineRule="exact"/>
              <w:rPr>
                <w:rFonts w:ascii="宋体" w:hAnsi="宋体" w:cs="宋体"/>
              </w:rPr>
            </w:pPr>
            <w:r>
              <w:rPr>
                <w:rFonts w:hint="eastAsia" w:ascii="宋体" w:hAnsi="宋体" w:cs="宋体"/>
              </w:rPr>
              <w:t>201.12.1.102 检测规程识别任何偏差</w:t>
            </w:r>
          </w:p>
          <w:p w14:paraId="5A553EA8">
            <w:pPr>
              <w:spacing w:line="280" w:lineRule="exact"/>
              <w:rPr>
                <w:rFonts w:ascii="宋体" w:hAnsi="宋体" w:cs="宋体"/>
              </w:rPr>
            </w:pPr>
            <w:r>
              <w:rPr>
                <w:rFonts w:hint="eastAsia" w:ascii="宋体" w:hAnsi="宋体" w:cs="宋体"/>
              </w:rPr>
              <w:t>厂商应提供识别会引起增加患者危险的任何物理量变偏差的检测规程。</w:t>
            </w:r>
          </w:p>
        </w:tc>
        <w:tc>
          <w:tcPr>
            <w:tcW w:w="1080" w:type="dxa"/>
            <w:vAlign w:val="center"/>
          </w:tcPr>
          <w:p w14:paraId="135187C7">
            <w:pPr>
              <w:jc w:val="center"/>
            </w:pPr>
          </w:p>
        </w:tc>
        <w:tc>
          <w:tcPr>
            <w:tcW w:w="1080" w:type="dxa"/>
            <w:vMerge w:val="continue"/>
            <w:vAlign w:val="center"/>
          </w:tcPr>
          <w:p w14:paraId="39D2A17A">
            <w:pPr>
              <w:jc w:val="center"/>
            </w:pPr>
          </w:p>
        </w:tc>
        <w:tc>
          <w:tcPr>
            <w:tcW w:w="876" w:type="dxa"/>
            <w:vMerge w:val="continue"/>
          </w:tcPr>
          <w:p w14:paraId="6089AA66">
            <w:pPr>
              <w:jc w:val="center"/>
            </w:pPr>
          </w:p>
        </w:tc>
      </w:tr>
      <w:tr w14:paraId="5E97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63CD4AA">
            <w:pPr>
              <w:tabs>
                <w:tab w:val="left" w:pos="420"/>
              </w:tabs>
              <w:ind w:left="425" w:right="-108" w:hanging="425"/>
              <w:jc w:val="center"/>
            </w:pPr>
          </w:p>
        </w:tc>
        <w:tc>
          <w:tcPr>
            <w:tcW w:w="1080" w:type="dxa"/>
            <w:vMerge w:val="continue"/>
          </w:tcPr>
          <w:p w14:paraId="46B75DD1"/>
        </w:tc>
        <w:tc>
          <w:tcPr>
            <w:tcW w:w="720" w:type="dxa"/>
            <w:vMerge w:val="continue"/>
          </w:tcPr>
          <w:p w14:paraId="0396EF86">
            <w:pPr>
              <w:rPr>
                <w:rFonts w:eastAsia="黑体"/>
              </w:rPr>
            </w:pPr>
          </w:p>
        </w:tc>
        <w:tc>
          <w:tcPr>
            <w:tcW w:w="4500" w:type="dxa"/>
          </w:tcPr>
          <w:p w14:paraId="506F9DED">
            <w:pPr>
              <w:spacing w:line="280" w:lineRule="exact"/>
              <w:rPr>
                <w:rFonts w:ascii="宋体" w:hAnsi="宋体" w:cs="宋体"/>
              </w:rPr>
            </w:pPr>
            <w:r>
              <w:rPr>
                <w:rFonts w:hint="eastAsia" w:ascii="宋体" w:hAnsi="宋体" w:cs="宋体"/>
              </w:rPr>
              <w:t>201.12.1.103 始终一致的测试方法</w:t>
            </w:r>
          </w:p>
          <w:p w14:paraId="650A7A6B">
            <w:pPr>
              <w:spacing w:line="280" w:lineRule="exact"/>
              <w:rPr>
                <w:rFonts w:ascii="宋体" w:hAnsi="宋体" w:cs="宋体"/>
              </w:rPr>
            </w:pPr>
            <w:r>
              <w:rPr>
                <w:rFonts w:hint="eastAsia" w:ascii="宋体" w:hAnsi="宋体" w:cs="宋体"/>
              </w:rPr>
              <w:t>厂商应对始终一致的测试方法负责，包括对最初的ME设备质量控制测试方法和对整个寿命期间ME设备的测试方法。</w:t>
            </w:r>
          </w:p>
        </w:tc>
        <w:tc>
          <w:tcPr>
            <w:tcW w:w="1080" w:type="dxa"/>
            <w:vAlign w:val="center"/>
          </w:tcPr>
          <w:p w14:paraId="5E07353C">
            <w:pPr>
              <w:jc w:val="center"/>
            </w:pPr>
          </w:p>
        </w:tc>
        <w:tc>
          <w:tcPr>
            <w:tcW w:w="1080" w:type="dxa"/>
            <w:vMerge w:val="continue"/>
            <w:vAlign w:val="center"/>
          </w:tcPr>
          <w:p w14:paraId="55921AE2">
            <w:pPr>
              <w:jc w:val="center"/>
            </w:pPr>
          </w:p>
        </w:tc>
        <w:tc>
          <w:tcPr>
            <w:tcW w:w="876" w:type="dxa"/>
            <w:vMerge w:val="continue"/>
          </w:tcPr>
          <w:p w14:paraId="611E3301">
            <w:pPr>
              <w:jc w:val="center"/>
            </w:pPr>
          </w:p>
        </w:tc>
      </w:tr>
      <w:tr w14:paraId="42B0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A9174DD">
            <w:pPr>
              <w:tabs>
                <w:tab w:val="left" w:pos="420"/>
              </w:tabs>
              <w:ind w:left="425" w:right="-108" w:hanging="425"/>
              <w:jc w:val="center"/>
            </w:pPr>
          </w:p>
        </w:tc>
        <w:tc>
          <w:tcPr>
            <w:tcW w:w="1080" w:type="dxa"/>
            <w:vMerge w:val="continue"/>
          </w:tcPr>
          <w:p w14:paraId="393D3DD8"/>
        </w:tc>
        <w:tc>
          <w:tcPr>
            <w:tcW w:w="720" w:type="dxa"/>
            <w:vMerge w:val="continue"/>
          </w:tcPr>
          <w:p w14:paraId="7D7A4F2C">
            <w:pPr>
              <w:rPr>
                <w:rFonts w:eastAsia="黑体"/>
              </w:rPr>
            </w:pPr>
          </w:p>
        </w:tc>
        <w:tc>
          <w:tcPr>
            <w:tcW w:w="4500" w:type="dxa"/>
          </w:tcPr>
          <w:p w14:paraId="583C44AB">
            <w:pPr>
              <w:spacing w:line="280" w:lineRule="exact"/>
              <w:rPr>
                <w:rFonts w:ascii="宋体" w:hAnsi="宋体" w:cs="宋体"/>
              </w:rPr>
            </w:pPr>
            <w:r>
              <w:rPr>
                <w:rFonts w:hint="eastAsia" w:ascii="宋体" w:hAnsi="宋体" w:cs="宋体"/>
              </w:rPr>
              <w:t>201.12.4.3 过量输出值的意外选择</w:t>
            </w:r>
          </w:p>
          <w:p w14:paraId="1B232D5D">
            <w:pPr>
              <w:spacing w:line="280" w:lineRule="exact"/>
              <w:rPr>
                <w:rFonts w:ascii="宋体" w:hAnsi="宋体" w:cs="宋体"/>
              </w:rPr>
            </w:pPr>
            <w:r>
              <w:rPr>
                <w:rFonts w:hint="eastAsia" w:ascii="宋体" w:hAnsi="宋体" w:cs="宋体"/>
              </w:rPr>
              <w:t>增补：</w:t>
            </w:r>
          </w:p>
          <w:p w14:paraId="2F900913">
            <w:pPr>
              <w:spacing w:line="280" w:lineRule="exact"/>
              <w:rPr>
                <w:rFonts w:ascii="宋体" w:hAnsi="宋体" w:cs="宋体"/>
              </w:rPr>
            </w:pPr>
            <w:r>
              <w:rPr>
                <w:rFonts w:hint="eastAsia" w:ascii="宋体" w:hAnsi="宋体" w:cs="宋体"/>
              </w:rPr>
              <w:t>在单一故障状态下，预防患者不受意外压力脉冲时的保护应安全可靠。</w:t>
            </w:r>
          </w:p>
        </w:tc>
        <w:tc>
          <w:tcPr>
            <w:tcW w:w="1080" w:type="dxa"/>
            <w:vAlign w:val="center"/>
          </w:tcPr>
          <w:p w14:paraId="43B8F1E6">
            <w:pPr>
              <w:jc w:val="center"/>
            </w:pPr>
          </w:p>
        </w:tc>
        <w:tc>
          <w:tcPr>
            <w:tcW w:w="1080" w:type="dxa"/>
            <w:vMerge w:val="continue"/>
            <w:vAlign w:val="center"/>
          </w:tcPr>
          <w:p w14:paraId="2924CFC9">
            <w:pPr>
              <w:jc w:val="center"/>
            </w:pPr>
          </w:p>
        </w:tc>
        <w:tc>
          <w:tcPr>
            <w:tcW w:w="876" w:type="dxa"/>
            <w:vMerge w:val="continue"/>
          </w:tcPr>
          <w:p w14:paraId="04441396">
            <w:pPr>
              <w:jc w:val="center"/>
            </w:pPr>
          </w:p>
        </w:tc>
      </w:tr>
      <w:tr w14:paraId="10B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7C26408">
            <w:pPr>
              <w:tabs>
                <w:tab w:val="left" w:pos="420"/>
              </w:tabs>
              <w:ind w:left="425" w:right="-108" w:hanging="425"/>
              <w:jc w:val="center"/>
            </w:pPr>
          </w:p>
        </w:tc>
        <w:tc>
          <w:tcPr>
            <w:tcW w:w="1080" w:type="dxa"/>
            <w:vMerge w:val="continue"/>
          </w:tcPr>
          <w:p w14:paraId="77847533"/>
        </w:tc>
        <w:tc>
          <w:tcPr>
            <w:tcW w:w="720" w:type="dxa"/>
            <w:vMerge w:val="continue"/>
          </w:tcPr>
          <w:p w14:paraId="2F910DC1">
            <w:pPr>
              <w:rPr>
                <w:rFonts w:eastAsia="黑体"/>
              </w:rPr>
            </w:pPr>
          </w:p>
        </w:tc>
        <w:tc>
          <w:tcPr>
            <w:tcW w:w="4500" w:type="dxa"/>
          </w:tcPr>
          <w:p w14:paraId="6AC97210">
            <w:pPr>
              <w:spacing w:line="280" w:lineRule="exact"/>
              <w:rPr>
                <w:rFonts w:ascii="宋体" w:hAnsi="宋体" w:cs="宋体"/>
              </w:rPr>
            </w:pPr>
            <w:r>
              <w:rPr>
                <w:rFonts w:hint="eastAsia" w:ascii="宋体" w:hAnsi="宋体" w:cs="宋体"/>
              </w:rPr>
              <w:t>201.12.4.4 不正确的输出</w:t>
            </w:r>
          </w:p>
          <w:p w14:paraId="4D29BE8E">
            <w:pPr>
              <w:spacing w:line="280" w:lineRule="exact"/>
              <w:rPr>
                <w:rFonts w:ascii="宋体" w:hAnsi="宋体" w:cs="宋体"/>
              </w:rPr>
            </w:pPr>
            <w:r>
              <w:rPr>
                <w:rFonts w:hint="eastAsia" w:ascii="宋体" w:hAnsi="宋体" w:cs="宋体"/>
              </w:rPr>
              <w:t>增补：</w:t>
            </w:r>
          </w:p>
          <w:p w14:paraId="55803968">
            <w:pPr>
              <w:spacing w:line="280" w:lineRule="exact"/>
              <w:rPr>
                <w:rFonts w:ascii="宋体" w:hAnsi="宋体" w:cs="宋体"/>
              </w:rPr>
            </w:pPr>
            <w:r>
              <w:rPr>
                <w:rFonts w:hint="eastAsia" w:ascii="宋体" w:hAnsi="宋体" w:cs="宋体"/>
              </w:rPr>
              <w:t>如果压力脉冲控制装置可以由多个装置控制，则这些装置应互锁。</w:t>
            </w:r>
          </w:p>
        </w:tc>
        <w:tc>
          <w:tcPr>
            <w:tcW w:w="1080" w:type="dxa"/>
            <w:vAlign w:val="center"/>
          </w:tcPr>
          <w:p w14:paraId="3327333B">
            <w:pPr>
              <w:jc w:val="center"/>
            </w:pPr>
          </w:p>
        </w:tc>
        <w:tc>
          <w:tcPr>
            <w:tcW w:w="1080" w:type="dxa"/>
            <w:vMerge w:val="continue"/>
            <w:vAlign w:val="center"/>
          </w:tcPr>
          <w:p w14:paraId="01E54038">
            <w:pPr>
              <w:jc w:val="center"/>
            </w:pPr>
          </w:p>
        </w:tc>
        <w:tc>
          <w:tcPr>
            <w:tcW w:w="876" w:type="dxa"/>
            <w:vMerge w:val="continue"/>
          </w:tcPr>
          <w:p w14:paraId="52DD5964">
            <w:pPr>
              <w:jc w:val="center"/>
            </w:pPr>
          </w:p>
        </w:tc>
      </w:tr>
      <w:tr w14:paraId="5A8D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AE95176">
            <w:pPr>
              <w:tabs>
                <w:tab w:val="left" w:pos="420"/>
              </w:tabs>
              <w:ind w:left="425" w:right="-108" w:hanging="425"/>
              <w:jc w:val="center"/>
            </w:pPr>
          </w:p>
        </w:tc>
        <w:tc>
          <w:tcPr>
            <w:tcW w:w="1080" w:type="dxa"/>
            <w:vMerge w:val="continue"/>
          </w:tcPr>
          <w:p w14:paraId="63E70F41"/>
        </w:tc>
        <w:tc>
          <w:tcPr>
            <w:tcW w:w="720" w:type="dxa"/>
            <w:vMerge w:val="continue"/>
          </w:tcPr>
          <w:p w14:paraId="32412654">
            <w:pPr>
              <w:rPr>
                <w:rFonts w:eastAsia="黑体"/>
              </w:rPr>
            </w:pPr>
          </w:p>
        </w:tc>
        <w:tc>
          <w:tcPr>
            <w:tcW w:w="4500" w:type="dxa"/>
          </w:tcPr>
          <w:p w14:paraId="086825B5">
            <w:pPr>
              <w:spacing w:line="280" w:lineRule="exact"/>
              <w:rPr>
                <w:rFonts w:ascii="宋体" w:hAnsi="宋体" w:cs="宋体"/>
              </w:rPr>
            </w:pPr>
            <w:r>
              <w:rPr>
                <w:rFonts w:hint="eastAsia" w:ascii="宋体" w:hAnsi="宋体" w:cs="宋体"/>
              </w:rPr>
              <w:t>201.12.4.6 *诊断或治疗用声压</w:t>
            </w:r>
          </w:p>
          <w:p w14:paraId="1E7B4548">
            <w:pPr>
              <w:spacing w:line="280" w:lineRule="exact"/>
              <w:rPr>
                <w:rFonts w:ascii="宋体" w:hAnsi="宋体" w:cs="宋体"/>
              </w:rPr>
            </w:pPr>
            <w:r>
              <w:rPr>
                <w:rFonts w:hint="eastAsia" w:ascii="宋体" w:hAnsi="宋体" w:cs="宋体"/>
              </w:rPr>
              <w:t>增补：</w:t>
            </w:r>
          </w:p>
          <w:p w14:paraId="7A1D9B4B">
            <w:pPr>
              <w:spacing w:line="280" w:lineRule="exact"/>
              <w:rPr>
                <w:rFonts w:ascii="宋体" w:hAnsi="宋体" w:cs="宋体"/>
              </w:rPr>
            </w:pPr>
            <w:r>
              <w:rPr>
                <w:rFonts w:hint="eastAsia" w:ascii="宋体" w:hAnsi="宋体" w:cs="宋体"/>
              </w:rPr>
              <w:t>压力脉冲的释放应由操作人员通过审慎的和持续的行动来控制。</w:t>
            </w:r>
          </w:p>
        </w:tc>
        <w:tc>
          <w:tcPr>
            <w:tcW w:w="1080" w:type="dxa"/>
            <w:vAlign w:val="center"/>
          </w:tcPr>
          <w:p w14:paraId="5CDB78AA">
            <w:pPr>
              <w:jc w:val="center"/>
            </w:pPr>
          </w:p>
        </w:tc>
        <w:tc>
          <w:tcPr>
            <w:tcW w:w="1080" w:type="dxa"/>
            <w:vMerge w:val="continue"/>
            <w:vAlign w:val="center"/>
          </w:tcPr>
          <w:p w14:paraId="6AB10BAA">
            <w:pPr>
              <w:jc w:val="center"/>
            </w:pPr>
          </w:p>
        </w:tc>
        <w:tc>
          <w:tcPr>
            <w:tcW w:w="876" w:type="dxa"/>
            <w:vMerge w:val="continue"/>
          </w:tcPr>
          <w:p w14:paraId="251966E8">
            <w:pPr>
              <w:jc w:val="center"/>
            </w:pPr>
          </w:p>
        </w:tc>
      </w:tr>
      <w:tr w14:paraId="0CA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02627460">
            <w:pPr>
              <w:numPr>
                <w:ilvl w:val="0"/>
                <w:numId w:val="1"/>
              </w:numPr>
              <w:ind w:right="-108"/>
              <w:jc w:val="center"/>
            </w:pPr>
          </w:p>
        </w:tc>
        <w:tc>
          <w:tcPr>
            <w:tcW w:w="1080" w:type="dxa"/>
          </w:tcPr>
          <w:p w14:paraId="1617478A">
            <w:r>
              <w:rPr>
                <w:rFonts w:hint="eastAsia"/>
              </w:rPr>
              <w:t>ME设备的结构</w:t>
            </w:r>
          </w:p>
        </w:tc>
        <w:tc>
          <w:tcPr>
            <w:tcW w:w="720" w:type="dxa"/>
          </w:tcPr>
          <w:p w14:paraId="1620499C">
            <w:r>
              <w:rPr>
                <w:rFonts w:hint="eastAsia"/>
              </w:rPr>
              <w:t>201.15</w:t>
            </w:r>
          </w:p>
        </w:tc>
        <w:tc>
          <w:tcPr>
            <w:tcW w:w="4500" w:type="dxa"/>
          </w:tcPr>
          <w:p w14:paraId="6FB4B34C">
            <w:pPr>
              <w:spacing w:line="280" w:lineRule="exact"/>
            </w:pPr>
            <w:r>
              <w:t>除下述内容外，通用标准的第15章适用。</w:t>
            </w:r>
          </w:p>
          <w:p w14:paraId="024F4B59">
            <w:pPr>
              <w:spacing w:line="280" w:lineRule="exact"/>
            </w:pPr>
            <w:r>
              <w:t>201.15.4.7.1 机械强度</w:t>
            </w:r>
          </w:p>
          <w:p w14:paraId="370A35A1">
            <w:pPr>
              <w:spacing w:line="280" w:lineRule="exact"/>
            </w:pPr>
            <w:r>
              <w:t>增补：</w:t>
            </w:r>
          </w:p>
          <w:p w14:paraId="1DB81FFC">
            <w:pPr>
              <w:spacing w:line="280" w:lineRule="exact"/>
            </w:pPr>
            <w:r>
              <w:t>使用脚踏开关需要的力应不小于10N。</w:t>
            </w:r>
          </w:p>
          <w:p w14:paraId="3BAFBD65">
            <w:pPr>
              <w:spacing w:line="280" w:lineRule="exact"/>
              <w:ind w:firstLine="3360" w:firstLineChars="1600"/>
            </w:pPr>
            <w:r>
              <w:rPr>
                <w:rFonts w:hint="eastAsia"/>
              </w:rPr>
              <w:t>单位：N</w:t>
            </w:r>
          </w:p>
        </w:tc>
        <w:tc>
          <w:tcPr>
            <w:tcW w:w="1080" w:type="dxa"/>
            <w:vAlign w:val="center"/>
          </w:tcPr>
          <w:p w14:paraId="6001A408">
            <w:pPr>
              <w:jc w:val="center"/>
            </w:pPr>
          </w:p>
        </w:tc>
        <w:tc>
          <w:tcPr>
            <w:tcW w:w="1080" w:type="dxa"/>
            <w:vAlign w:val="center"/>
          </w:tcPr>
          <w:p w14:paraId="39FEA6AA">
            <w:pPr>
              <w:jc w:val="center"/>
            </w:pPr>
          </w:p>
        </w:tc>
        <w:tc>
          <w:tcPr>
            <w:tcW w:w="876" w:type="dxa"/>
            <w:vMerge w:val="continue"/>
          </w:tcPr>
          <w:p w14:paraId="794CA6D7">
            <w:pPr>
              <w:jc w:val="center"/>
            </w:pPr>
          </w:p>
        </w:tc>
      </w:tr>
      <w:tr w14:paraId="2B0B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5BB55759">
            <w:pPr>
              <w:numPr>
                <w:ilvl w:val="0"/>
                <w:numId w:val="1"/>
              </w:numPr>
              <w:ind w:right="-108"/>
              <w:jc w:val="center"/>
            </w:pPr>
          </w:p>
        </w:tc>
        <w:tc>
          <w:tcPr>
            <w:tcW w:w="1080" w:type="dxa"/>
          </w:tcPr>
          <w:p w14:paraId="56E4D9C8">
            <w:r>
              <w:rPr>
                <w:rFonts w:hint="eastAsia"/>
              </w:rPr>
              <w:t>电磁兼容性——要求和试验</w:t>
            </w:r>
          </w:p>
        </w:tc>
        <w:tc>
          <w:tcPr>
            <w:tcW w:w="720" w:type="dxa"/>
          </w:tcPr>
          <w:p w14:paraId="2483AF71">
            <w:r>
              <w:rPr>
                <w:rFonts w:hint="eastAsia"/>
              </w:rPr>
              <w:t>202</w:t>
            </w:r>
          </w:p>
        </w:tc>
        <w:tc>
          <w:tcPr>
            <w:tcW w:w="4500" w:type="dxa"/>
          </w:tcPr>
          <w:p w14:paraId="6AEE3719">
            <w:pPr>
              <w:spacing w:line="280" w:lineRule="exact"/>
            </w:pPr>
            <w:r>
              <w:t>除下述内容外，YY 9706.102-2021 适用。</w:t>
            </w:r>
          </w:p>
          <w:p w14:paraId="4FC4AB00">
            <w:pPr>
              <w:spacing w:line="280" w:lineRule="exact"/>
            </w:pPr>
            <w:r>
              <w:t>增补：</w:t>
            </w:r>
          </w:p>
          <w:p w14:paraId="46E0EEA6">
            <w:pPr>
              <w:spacing w:line="280" w:lineRule="exact"/>
            </w:pPr>
            <w:r>
              <w:t>除了压力脉冲释放的触发和产生周期以外，保持符合YY 9706.102-2021。</w:t>
            </w:r>
          </w:p>
        </w:tc>
        <w:tc>
          <w:tcPr>
            <w:tcW w:w="1080" w:type="dxa"/>
            <w:vAlign w:val="center"/>
          </w:tcPr>
          <w:p w14:paraId="3E30335E">
            <w:pPr>
              <w:jc w:val="center"/>
            </w:pPr>
          </w:p>
        </w:tc>
        <w:tc>
          <w:tcPr>
            <w:tcW w:w="1080" w:type="dxa"/>
            <w:vAlign w:val="center"/>
          </w:tcPr>
          <w:p w14:paraId="5A2F678D">
            <w:pPr>
              <w:jc w:val="center"/>
            </w:pPr>
          </w:p>
        </w:tc>
        <w:tc>
          <w:tcPr>
            <w:tcW w:w="876" w:type="dxa"/>
            <w:vMerge w:val="continue"/>
          </w:tcPr>
          <w:p w14:paraId="67A47439">
            <w:pPr>
              <w:jc w:val="center"/>
            </w:pPr>
          </w:p>
        </w:tc>
      </w:tr>
    </w:tbl>
    <w:p w14:paraId="752EACC5">
      <w:pPr>
        <w:tabs>
          <w:tab w:val="left" w:pos="420"/>
        </w:tabs>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E120">
    <w:pPr>
      <w:pStyle w:val="3"/>
      <w:jc w:val="center"/>
      <w:rPr>
        <w:rFonts w:ascii="宋体" w:hAnsi="宋体"/>
        <w:b/>
        <w:sz w:val="36"/>
        <w:szCs w:val="36"/>
      </w:rPr>
    </w:pPr>
    <w:r>
      <w:rPr>
        <w:rFonts w:hint="eastAsia" w:ascii="宋体" w:hAnsi="宋体"/>
        <w:b/>
        <w:sz w:val="36"/>
        <w:szCs w:val="36"/>
      </w:rPr>
      <w:t>GB</w:t>
    </w:r>
    <w:r>
      <w:rPr>
        <w:rFonts w:ascii="宋体" w:hAnsi="宋体"/>
        <w:b/>
        <w:sz w:val="36"/>
        <w:szCs w:val="36"/>
      </w:rPr>
      <w:t xml:space="preserve"> 9706.2</w:t>
    </w:r>
    <w:r>
      <w:rPr>
        <w:rFonts w:hint="eastAsia" w:ascii="宋体" w:hAnsi="宋体"/>
        <w:b/>
        <w:sz w:val="36"/>
        <w:szCs w:val="36"/>
      </w:rPr>
      <w:t>36</w:t>
    </w:r>
    <w:r>
      <w:rPr>
        <w:rFonts w:ascii="宋体" w:hAnsi="宋体"/>
        <w:b/>
        <w:sz w:val="36"/>
        <w:szCs w:val="36"/>
      </w:rPr>
      <w:t>-202</w:t>
    </w:r>
    <w:r>
      <w:rPr>
        <w:rFonts w:hint="eastAsia" w:ascii="宋体" w:hAnsi="宋体"/>
        <w:b/>
        <w:sz w:val="36"/>
        <w:szCs w:val="36"/>
      </w:rPr>
      <w:t>1检验报告内容模板</w:t>
    </w:r>
  </w:p>
  <w:p w14:paraId="3F6942B2">
    <w:pPr>
      <w:pStyle w:val="3"/>
      <w:jc w:val="center"/>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pPr>
                            <w:pStyle w:val="3"/>
                          </w:pPr>
                          <w:r>
                            <w:t xml:space="preserve">共 </w:t>
                          </w:r>
                          <w:r>
                            <w:fldChar w:fldCharType="begin"/>
                          </w:r>
                          <w:r>
                            <w:instrText xml:space="preserve"> NUMPAGES  \* MERGEFORMAT </w:instrText>
                          </w:r>
                          <w:r>
                            <w:fldChar w:fldCharType="separate"/>
                          </w:r>
                          <w:r>
                            <w:t>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3</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59264;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IcyZt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75382DB">
                    <w:pPr>
                      <w:pStyle w:val="3"/>
                    </w:pPr>
                    <w:r>
                      <w:t xml:space="preserve">共 </w:t>
                    </w:r>
                    <w:r>
                      <w:fldChar w:fldCharType="begin"/>
                    </w:r>
                    <w:r>
                      <w:instrText xml:space="preserve"> NUMPAGES  \* MERGEFORMAT </w:instrText>
                    </w:r>
                    <w:r>
                      <w:fldChar w:fldCharType="separate"/>
                    </w:r>
                    <w:r>
                      <w:t>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3</w:t>
                    </w:r>
                    <w:r>
                      <w:fldChar w:fldCharType="end"/>
                    </w:r>
                    <w:r>
                      <w:t xml:space="preserve"> 页 </w:t>
                    </w:r>
                  </w:p>
                </w:txbxContent>
              </v:textbox>
            </v:shape>
          </w:pict>
        </mc:Fallback>
      </mc:AlternateContent>
    </w:r>
  </w:p>
  <w:tbl>
    <w:tblPr>
      <w:tblStyle w:val="4"/>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01F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443077BD">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126E55AB">
          <w:pPr>
            <w:jc w:val="center"/>
            <w:rPr>
              <w:rFonts w:ascii="仿宋_GB2312" w:hAnsi="宋体" w:eastAsia="仿宋_GB2312"/>
            </w:rPr>
          </w:pPr>
          <w:r>
            <w:rPr>
              <w:rFonts w:hint="eastAsia" w:ascii="仿宋_GB2312" w:hAnsi="宋体" w:eastAsia="仿宋_GB2312" w:cs="仿宋_GB2312"/>
            </w:rPr>
            <w:t>检验</w:t>
          </w:r>
        </w:p>
        <w:p w14:paraId="2DD949F4">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03F6DE66">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0BEB0D8">
          <w:pPr>
            <w:jc w:val="center"/>
            <w:rPr>
              <w:rFonts w:ascii="仿宋_GB2312" w:hAnsi="宋体" w:eastAsia="仿宋_GB2312"/>
            </w:rPr>
          </w:pPr>
          <w:r>
            <w:rPr>
              <w:rFonts w:hint="eastAsia" w:ascii="仿宋_GB2312" w:hAnsi="宋体" w:eastAsia="仿宋_GB2312" w:cs="仿宋_GB2312"/>
            </w:rPr>
            <w:t>标准要求（GB</w:t>
          </w:r>
          <w:r>
            <w:rPr>
              <w:rFonts w:ascii="仿宋_GB2312" w:hAnsi="宋体" w:eastAsia="仿宋_GB2312" w:cs="仿宋_GB2312"/>
            </w:rPr>
            <w:t xml:space="preserve"> </w:t>
          </w:r>
          <w:r>
            <w:rPr>
              <w:rFonts w:hint="eastAsia" w:ascii="仿宋_GB2312" w:hAnsi="宋体" w:eastAsia="仿宋_GB2312" w:cs="仿宋_GB2312"/>
            </w:rPr>
            <w:t>9706.236-2021）</w:t>
          </w:r>
        </w:p>
      </w:tc>
      <w:tc>
        <w:tcPr>
          <w:tcW w:w="1080" w:type="dxa"/>
          <w:tcBorders>
            <w:bottom w:val="nil"/>
          </w:tcBorders>
          <w:vAlign w:val="center"/>
        </w:tcPr>
        <w:p w14:paraId="1E931461">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0B8192C6">
          <w:pPr>
            <w:jc w:val="center"/>
            <w:rPr>
              <w:rFonts w:ascii="仿宋_GB2312" w:hAnsi="宋体" w:eastAsia="仿宋_GB2312"/>
            </w:rPr>
          </w:pPr>
          <w:r>
            <w:rPr>
              <w:rFonts w:hint="eastAsia" w:ascii="仿宋_GB2312" w:hAnsi="宋体" w:eastAsia="仿宋_GB2312" w:cs="仿宋_GB2312"/>
            </w:rPr>
            <w:t>单项</w:t>
          </w:r>
        </w:p>
        <w:p w14:paraId="04E87EFD">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65C6735">
          <w:pPr>
            <w:jc w:val="center"/>
            <w:rPr>
              <w:rFonts w:ascii="仿宋_GB2312" w:hAnsi="宋体" w:eastAsia="仿宋_GB2312"/>
            </w:rPr>
          </w:pPr>
          <w:r>
            <w:rPr>
              <w:rFonts w:hint="eastAsia" w:ascii="仿宋_GB2312" w:hAnsi="宋体" w:eastAsia="仿宋_GB2312" w:cs="仿宋_GB2312"/>
            </w:rPr>
            <w:t>备注</w:t>
          </w:r>
        </w:p>
      </w:tc>
    </w:tr>
  </w:tbl>
  <w:p w14:paraId="77A2C50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C62D2"/>
    <w:multiLevelType w:val="singleLevel"/>
    <w:tmpl w:val="338C62D2"/>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9460F"/>
    <w:rsid w:val="00191077"/>
    <w:rsid w:val="00287D9B"/>
    <w:rsid w:val="002F3DA0"/>
    <w:rsid w:val="006633B7"/>
    <w:rsid w:val="2296424E"/>
    <w:rsid w:val="244975A0"/>
    <w:rsid w:val="2DEF0066"/>
    <w:rsid w:val="44B01426"/>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99"/>
  </w:style>
  <w:style w:type="paragraph" w:customStyle="1" w:styleId="7">
    <w:name w:val="段"/>
    <w:basedOn w:val="1"/>
    <w:qFormat/>
    <w:uiPriority w:val="0"/>
    <w:pPr>
      <w:widowControl/>
      <w:autoSpaceDE w:val="0"/>
      <w:autoSpaceDN w:val="0"/>
      <w:ind w:firstLine="420" w:firstLineChars="200"/>
    </w:pPr>
    <w:rPr>
      <w:rFonts w:ascii="宋体" w:hAnsi="宋体"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2105</Words>
  <Characters>2535</Characters>
  <Lines>20</Lines>
  <Paragraphs>5</Paragraphs>
  <TotalTime>6</TotalTime>
  <ScaleCrop>false</ScaleCrop>
  <LinksUpToDate>false</LinksUpToDate>
  <CharactersWithSpaces>2563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2025-08-14T06:16:48Z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