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133E30B7">
      <w:pPr>
        <w:spacing w:after="156"/>
        <w:jc w:val="center"/>
        <w:rPr>
          <w:rFonts w:ascii="仿宋" w:hAnsi="仿宋" w:eastAsia="仿宋"/>
          <w:b/>
          <w:sz w:val="44"/>
        </w:rPr>
      </w:pPr>
      <w:bookmarkStart w:id="0" w:name="_GoBack"/>
      <w:bookmarkEnd w:id="0"/>
      <w:r>
        <w:rPr>
          <w:rFonts w:ascii="仿宋" w:hAnsi="仿宋" w:eastAsia="仿宋"/>
          <w:sz w:val="36"/>
        </w:rPr>
        <w:t>GB 9706.205-2020</w:t>
      </w:r>
      <w:r>
        <w:rPr>
          <w:rFonts w:hint="eastAsia" w:ascii="仿宋" w:hAnsi="仿宋" w:eastAsia="仿宋"/>
          <w:sz w:val="36"/>
        </w:rPr>
        <w:t>检验报告内容模板</w:t>
      </w:r>
    </w:p>
    <w:p w14:paraId="4C568407">
      <w:pPr>
        <w:ind w:firstLine="5250" w:firstLineChars="25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   </w:t>
      </w:r>
      <w:r>
        <w:rPr>
          <w:rFonts w:ascii="仿宋" w:hAnsi="仿宋" w:eastAsia="仿宋"/>
        </w:rPr>
        <w:t xml:space="preserve">  </w:t>
      </w:r>
      <w:r>
        <w:rPr>
          <w:rFonts w:hint="eastAsia" w:ascii="仿宋" w:hAnsi="仿宋" w:eastAsia="仿宋"/>
        </w:rPr>
        <w:t xml:space="preserve">   </w:t>
      </w:r>
      <w:r>
        <w:rPr>
          <w:rFonts w:ascii="仿宋" w:hAnsi="仿宋" w:eastAsia="仿宋"/>
        </w:rPr>
        <w:t xml:space="preserve">     </w:t>
      </w:r>
      <w:r>
        <w:rPr>
          <w:rFonts w:hint="eastAsia" w:ascii="仿宋" w:hAnsi="仿宋" w:eastAsia="仿宋"/>
        </w:rPr>
        <w:t xml:space="preserve">     </w:t>
      </w:r>
      <w:r>
        <w:rPr>
          <w:rFonts w:ascii="仿宋" w:hAnsi="仿宋" w:eastAsia="仿宋"/>
        </w:rPr>
        <w:t xml:space="preserve">   </w:t>
      </w:r>
      <w:r>
        <w:rPr>
          <w:rFonts w:hint="eastAsia" w:ascii="仿宋" w:hAnsi="仿宋" w:eastAsia="仿宋"/>
        </w:rPr>
        <w:t xml:space="preserve">       共4页  第</w:t>
      </w:r>
      <w:r>
        <w:rPr>
          <w:rFonts w:hint="eastAsia" w:ascii="仿宋" w:hAnsi="仿宋" w:eastAsia="仿宋"/>
          <w:szCs w:val="21"/>
        </w:rPr>
        <w:t>1</w:t>
      </w:r>
      <w:r>
        <w:rPr>
          <w:rFonts w:hint="eastAsia" w:ascii="仿宋" w:hAnsi="仿宋" w:eastAsia="仿宋"/>
        </w:rPr>
        <w:t>页</w:t>
      </w:r>
    </w:p>
    <w:tbl>
      <w:tblPr>
        <w:tblStyle w:val="21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134"/>
        <w:gridCol w:w="1918"/>
        <w:gridCol w:w="3860"/>
        <w:gridCol w:w="1134"/>
        <w:gridCol w:w="906"/>
        <w:gridCol w:w="795"/>
      </w:tblGrid>
      <w:tr w14:paraId="5FACA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54" w:type="dxa"/>
            <w:vAlign w:val="center"/>
          </w:tcPr>
          <w:p w14:paraId="195DB62F">
            <w:pPr>
              <w:spacing w:line="0" w:lineRule="atLeast"/>
              <w:ind w:left="-77" w:leftChars="-37" w:right="-111" w:rightChars="-53" w:hanging="1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14:paraId="5D153D9F"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检验项目</w:t>
            </w:r>
          </w:p>
        </w:tc>
        <w:tc>
          <w:tcPr>
            <w:tcW w:w="1918" w:type="dxa"/>
            <w:vAlign w:val="center"/>
          </w:tcPr>
          <w:p w14:paraId="5512B477"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标准条款</w:t>
            </w:r>
          </w:p>
        </w:tc>
        <w:tc>
          <w:tcPr>
            <w:tcW w:w="3860" w:type="dxa"/>
            <w:vAlign w:val="center"/>
          </w:tcPr>
          <w:p w14:paraId="5C54F424"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标准要求</w:t>
            </w:r>
          </w:p>
        </w:tc>
        <w:tc>
          <w:tcPr>
            <w:tcW w:w="1134" w:type="dxa"/>
            <w:vAlign w:val="center"/>
          </w:tcPr>
          <w:p w14:paraId="4CC1700F">
            <w:pPr>
              <w:spacing w:line="0" w:lineRule="atLeast"/>
              <w:ind w:left="-103" w:leftChars="-49" w:right="-109" w:rightChars="-52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检验结果</w:t>
            </w:r>
          </w:p>
        </w:tc>
        <w:tc>
          <w:tcPr>
            <w:tcW w:w="906" w:type="dxa"/>
            <w:vAlign w:val="center"/>
          </w:tcPr>
          <w:p w14:paraId="12820C9C">
            <w:pPr>
              <w:spacing w:line="0" w:lineRule="atLeast"/>
              <w:ind w:left="-103" w:leftChars="-49" w:right="-105" w:rightChars="-5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单项结论</w:t>
            </w:r>
          </w:p>
        </w:tc>
        <w:tc>
          <w:tcPr>
            <w:tcW w:w="795" w:type="dxa"/>
            <w:vAlign w:val="center"/>
          </w:tcPr>
          <w:p w14:paraId="1DC8569E"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备注</w:t>
            </w:r>
          </w:p>
        </w:tc>
      </w:tr>
      <w:tr w14:paraId="75EBF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  <w:jc w:val="center"/>
        </w:trPr>
        <w:tc>
          <w:tcPr>
            <w:tcW w:w="454" w:type="dxa"/>
            <w:vMerge w:val="restart"/>
            <w:vAlign w:val="center"/>
          </w:tcPr>
          <w:p w14:paraId="642BF94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182AB61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医用电气设备或医用电气设备部件的外部标记</w:t>
            </w:r>
          </w:p>
        </w:tc>
        <w:tc>
          <w:tcPr>
            <w:tcW w:w="1918" w:type="dxa"/>
            <w:vMerge w:val="restart"/>
            <w:vAlign w:val="center"/>
          </w:tcPr>
          <w:p w14:paraId="3B0957E7"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GB 9706.205-2020</w:t>
            </w:r>
          </w:p>
          <w:p w14:paraId="272B17B5"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201.7.2.101 a)</w:t>
            </w:r>
          </w:p>
        </w:tc>
        <w:tc>
          <w:tcPr>
            <w:tcW w:w="3860" w:type="dxa"/>
            <w:vAlign w:val="center"/>
          </w:tcPr>
          <w:p w14:paraId="03F6CBB6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装置型号的特殊标记</w:t>
            </w:r>
          </w:p>
          <w:p w14:paraId="2A8C8EF4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设备的发生器应另外附加下列标记：</w:t>
            </w:r>
          </w:p>
          <w:p w14:paraId="45ABF9A1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</w:rPr>
              <w:t>——以MHz为单位的声工作频率（低于1MHz，以kHz 为单位）</w:t>
            </w:r>
          </w:p>
        </w:tc>
        <w:tc>
          <w:tcPr>
            <w:tcW w:w="1134" w:type="dxa"/>
            <w:vAlign w:val="center"/>
          </w:tcPr>
          <w:p w14:paraId="2256723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06" w:type="dxa"/>
            <w:vMerge w:val="restart"/>
            <w:vAlign w:val="center"/>
          </w:tcPr>
          <w:p w14:paraId="33BD1FE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5" w:type="dxa"/>
            <w:vMerge w:val="restart"/>
            <w:vAlign w:val="center"/>
          </w:tcPr>
          <w:p w14:paraId="3762F51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A26B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454" w:type="dxa"/>
            <w:vMerge w:val="continue"/>
            <w:vAlign w:val="center"/>
          </w:tcPr>
          <w:p w14:paraId="45E9066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9E81F2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18" w:type="dxa"/>
            <w:vMerge w:val="continue"/>
            <w:vAlign w:val="center"/>
          </w:tcPr>
          <w:p w14:paraId="04BE5838"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860" w:type="dxa"/>
            <w:vAlign w:val="center"/>
          </w:tcPr>
          <w:p w14:paraId="27C8F752"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——波形[连续、幅度调制(或脉冲)]</w:t>
            </w:r>
          </w:p>
        </w:tc>
        <w:tc>
          <w:tcPr>
            <w:tcW w:w="1134" w:type="dxa"/>
            <w:vAlign w:val="center"/>
          </w:tcPr>
          <w:p w14:paraId="24C28F3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06" w:type="dxa"/>
            <w:vMerge w:val="continue"/>
            <w:vAlign w:val="center"/>
          </w:tcPr>
          <w:p w14:paraId="747A045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5" w:type="dxa"/>
            <w:vMerge w:val="continue"/>
            <w:vAlign w:val="center"/>
          </w:tcPr>
          <w:p w14:paraId="0E64987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098D3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454" w:type="dxa"/>
            <w:vMerge w:val="continue"/>
            <w:vAlign w:val="center"/>
          </w:tcPr>
          <w:p w14:paraId="0C14B51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2A29B2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18" w:type="dxa"/>
            <w:vMerge w:val="continue"/>
            <w:vAlign w:val="center"/>
          </w:tcPr>
          <w:p w14:paraId="573E6B95"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860" w:type="dxa"/>
            <w:vAlign w:val="center"/>
          </w:tcPr>
          <w:p w14:paraId="221E78B1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——若是幅度调制波（或脉冲波），对每一项调制设置条件，提供输出波形的描述或图示，及脉冲持续时间、脉冲重复周期和占空比的数值。</w:t>
            </w:r>
          </w:p>
        </w:tc>
        <w:tc>
          <w:tcPr>
            <w:tcW w:w="1134" w:type="dxa"/>
            <w:vAlign w:val="center"/>
          </w:tcPr>
          <w:p w14:paraId="55ADC6B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06" w:type="dxa"/>
            <w:vMerge w:val="continue"/>
            <w:vAlign w:val="center"/>
          </w:tcPr>
          <w:p w14:paraId="53FF7ED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5" w:type="dxa"/>
            <w:vMerge w:val="continue"/>
            <w:vAlign w:val="center"/>
          </w:tcPr>
          <w:p w14:paraId="151990A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546E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454" w:type="dxa"/>
            <w:vMerge w:val="continue"/>
            <w:vAlign w:val="center"/>
          </w:tcPr>
          <w:p w14:paraId="15E60DC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60695D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7081292C"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GB 9706.205-2020</w:t>
            </w:r>
          </w:p>
          <w:p w14:paraId="519BA37F"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201.7.2.101 b)</w:t>
            </w:r>
          </w:p>
        </w:tc>
        <w:tc>
          <w:tcPr>
            <w:tcW w:w="3860" w:type="dxa"/>
            <w:vAlign w:val="center"/>
          </w:tcPr>
          <w:p w14:paraId="421A26EC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发生器应附有永久性的铭牌，并给出唯一性的序列号以便于独立识别。</w:t>
            </w:r>
          </w:p>
        </w:tc>
        <w:tc>
          <w:tcPr>
            <w:tcW w:w="1134" w:type="dxa"/>
            <w:vAlign w:val="center"/>
          </w:tcPr>
          <w:p w14:paraId="3D8D7C1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06" w:type="dxa"/>
            <w:vMerge w:val="continue"/>
            <w:vAlign w:val="center"/>
          </w:tcPr>
          <w:p w14:paraId="5DF9F57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5" w:type="dxa"/>
            <w:vMerge w:val="continue"/>
            <w:vAlign w:val="center"/>
          </w:tcPr>
          <w:p w14:paraId="073AAB7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86C0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454" w:type="dxa"/>
            <w:vMerge w:val="continue"/>
            <w:vAlign w:val="center"/>
          </w:tcPr>
          <w:p w14:paraId="0267772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B745E2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373E6E62"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GB 9706.205-2020</w:t>
            </w:r>
          </w:p>
          <w:p w14:paraId="26629318"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201.7.2.101 c)</w:t>
            </w:r>
          </w:p>
        </w:tc>
        <w:tc>
          <w:tcPr>
            <w:tcW w:w="3860" w:type="dxa"/>
            <w:vAlign w:val="center"/>
          </w:tcPr>
          <w:p w14:paraId="61D9B30D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治疗头上应标注以W为单位的额定输出功率，以c</w:t>
            </w:r>
            <w:r>
              <w:rPr>
                <w:rFonts w:ascii="仿宋" w:hAnsi="仿宋" w:eastAsia="仿宋"/>
                <w:szCs w:val="21"/>
              </w:rPr>
              <w:t>m</w:t>
            </w:r>
            <w:r>
              <w:rPr>
                <w:rFonts w:ascii="仿宋" w:hAnsi="仿宋" w:eastAsia="仿宋"/>
                <w:szCs w:val="21"/>
                <w:vertAlign w:val="superscript"/>
              </w:rPr>
              <w:t>2</w:t>
            </w:r>
            <w:r>
              <w:rPr>
                <w:rFonts w:hint="eastAsia" w:ascii="仿宋" w:hAnsi="仿宋" w:eastAsia="仿宋"/>
                <w:szCs w:val="21"/>
              </w:rPr>
              <w:t>为单位的有效辐射面积,波束不均匀性系数,波束类型，预期的治疗头与设备特定发生器的匹配(若适用,见201.7.9.2.1的最后一项）和其唯一性的序列号。</w:t>
            </w:r>
          </w:p>
        </w:tc>
        <w:tc>
          <w:tcPr>
            <w:tcW w:w="1134" w:type="dxa"/>
            <w:vAlign w:val="center"/>
          </w:tcPr>
          <w:p w14:paraId="434174E9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06" w:type="dxa"/>
            <w:vMerge w:val="continue"/>
            <w:vAlign w:val="center"/>
          </w:tcPr>
          <w:p w14:paraId="1053BDFF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5" w:type="dxa"/>
            <w:vMerge w:val="continue"/>
            <w:vAlign w:val="center"/>
          </w:tcPr>
          <w:p w14:paraId="48CDB33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03F9F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  <w:jc w:val="center"/>
        </w:trPr>
        <w:tc>
          <w:tcPr>
            <w:tcW w:w="454" w:type="dxa"/>
            <w:vAlign w:val="center"/>
          </w:tcPr>
          <w:p w14:paraId="4B53BB0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0A879DE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使用说明书</w:t>
            </w:r>
          </w:p>
        </w:tc>
        <w:tc>
          <w:tcPr>
            <w:tcW w:w="1918" w:type="dxa"/>
            <w:vAlign w:val="center"/>
          </w:tcPr>
          <w:p w14:paraId="549007D9"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GB 9706.205-2020</w:t>
            </w:r>
          </w:p>
          <w:p w14:paraId="3E709DF9"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201.7.9.2</w:t>
            </w:r>
          </w:p>
        </w:tc>
        <w:tc>
          <w:tcPr>
            <w:tcW w:w="3860" w:type="dxa"/>
            <w:vAlign w:val="center"/>
          </w:tcPr>
          <w:p w14:paraId="45A4AAB2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说明书应包括下列内容：</w:t>
            </w:r>
          </w:p>
          <w:p w14:paraId="48916E36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——任何治疗头或附加头，以 kHz 或以 MHz 为单位的声工作频率，以平方厘米为单位的有效辐射面积的信息； </w:t>
            </w:r>
          </w:p>
          <w:p w14:paraId="15F1F112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——提示使用者关注周期性维护的需求，尤其是：用户进行常规性能试验和校准的间隔；</w:t>
            </w:r>
          </w:p>
          <w:p w14:paraId="2333EE8A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对可能造成导电液渗入的治疗头裂纹的检查；</w:t>
            </w:r>
          </w:p>
          <w:p w14:paraId="7FD22538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治疗头电缆和附加接头的检查；   </w:t>
            </w:r>
          </w:p>
          <w:p w14:paraId="6E25BB5D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——对安全操作必要步骤的建议，在应用部分是 B 型时，着重强调不适当的电气安装可能导致的安全危险</w:t>
            </w:r>
          </w:p>
          <w:p w14:paraId="3E52FE3C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——对设备可安全连接的电气安装类型，包括任何等电位导体连接的建议；</w:t>
            </w:r>
          </w:p>
          <w:p w14:paraId="01FFBE37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——建议使用者细心使用，避免粗鲁操作可能对治疗头性能特性造成不可逆的后果；</w:t>
            </w:r>
          </w:p>
          <w:p w14:paraId="3C43B90C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——治疗头异常处置情况一览表；</w:t>
            </w:r>
          </w:p>
          <w:p w14:paraId="313F12B2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——慎重使用声明；</w:t>
            </w:r>
          </w:p>
          <w:p w14:paraId="21D3559D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——可选配治疗头的信息；</w:t>
            </w:r>
          </w:p>
          <w:p w14:paraId="72FF7071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——治疗头采用互换式设计，不可能规定专用发生器的，应声明，并应描述实现互换的方法。</w:t>
            </w:r>
          </w:p>
        </w:tc>
        <w:tc>
          <w:tcPr>
            <w:tcW w:w="1134" w:type="dxa"/>
            <w:vAlign w:val="center"/>
          </w:tcPr>
          <w:p w14:paraId="74E533E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06" w:type="dxa"/>
            <w:vAlign w:val="center"/>
          </w:tcPr>
          <w:p w14:paraId="6115C37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5" w:type="dxa"/>
            <w:vAlign w:val="center"/>
          </w:tcPr>
          <w:p w14:paraId="4F5AC5E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 w14:paraId="6ADCCC2B">
      <w:pPr>
        <w:spacing w:line="360" w:lineRule="auto"/>
        <w:jc w:val="center"/>
        <w:rPr>
          <w:rFonts w:ascii="仿宋" w:hAnsi="仿宋" w:eastAsia="仿宋"/>
          <w:b/>
          <w:sz w:val="44"/>
        </w:rPr>
      </w:pPr>
      <w:r>
        <w:rPr>
          <w:rFonts w:ascii="仿宋" w:hAnsi="仿宋" w:eastAsia="仿宋"/>
          <w:sz w:val="30"/>
        </w:rPr>
        <w:br w:type="page"/>
      </w:r>
      <w:r>
        <w:rPr>
          <w:rFonts w:hint="eastAsia" w:ascii="仿宋" w:hAnsi="仿宋" w:eastAsia="仿宋"/>
          <w:sz w:val="36"/>
        </w:rPr>
        <w:t>GB 9706.205-2020检验报告内容模板</w:t>
      </w:r>
    </w:p>
    <w:p w14:paraId="78B4121D">
      <w:pPr>
        <w:jc w:val="righ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                 共4页  第</w:t>
      </w:r>
      <w:r>
        <w:rPr>
          <w:rFonts w:hint="eastAsia" w:ascii="仿宋" w:hAnsi="仿宋" w:eastAsia="仿宋"/>
          <w:szCs w:val="21"/>
        </w:rPr>
        <w:t>2</w:t>
      </w:r>
      <w:r>
        <w:rPr>
          <w:rFonts w:hint="eastAsia" w:ascii="仿宋" w:hAnsi="仿宋" w:eastAsia="仿宋"/>
        </w:rPr>
        <w:t>页</w:t>
      </w:r>
    </w:p>
    <w:tbl>
      <w:tblPr>
        <w:tblStyle w:val="21"/>
        <w:tblW w:w="101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130"/>
        <w:gridCol w:w="1891"/>
        <w:gridCol w:w="3872"/>
        <w:gridCol w:w="1130"/>
        <w:gridCol w:w="890"/>
        <w:gridCol w:w="771"/>
      </w:tblGrid>
      <w:tr w14:paraId="1F11E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50" w:type="dxa"/>
            <w:vAlign w:val="center"/>
          </w:tcPr>
          <w:p w14:paraId="4CED7FC9">
            <w:pPr>
              <w:ind w:left="-77" w:leftChars="-37" w:right="-111" w:rightChars="-53" w:hanging="1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序号</w:t>
            </w:r>
          </w:p>
        </w:tc>
        <w:tc>
          <w:tcPr>
            <w:tcW w:w="1130" w:type="dxa"/>
            <w:vAlign w:val="center"/>
          </w:tcPr>
          <w:p w14:paraId="035FC87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检验项目</w:t>
            </w:r>
          </w:p>
        </w:tc>
        <w:tc>
          <w:tcPr>
            <w:tcW w:w="1891" w:type="dxa"/>
            <w:vAlign w:val="center"/>
          </w:tcPr>
          <w:p w14:paraId="42DB0E8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标准条款</w:t>
            </w:r>
          </w:p>
        </w:tc>
        <w:tc>
          <w:tcPr>
            <w:tcW w:w="3872" w:type="dxa"/>
            <w:vAlign w:val="center"/>
          </w:tcPr>
          <w:p w14:paraId="246A26F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标准要求</w:t>
            </w:r>
          </w:p>
        </w:tc>
        <w:tc>
          <w:tcPr>
            <w:tcW w:w="1130" w:type="dxa"/>
            <w:vAlign w:val="center"/>
          </w:tcPr>
          <w:p w14:paraId="5604E86A">
            <w:pPr>
              <w:ind w:left="-103" w:leftChars="-49" w:right="-109" w:rightChars="-52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检验结果</w:t>
            </w:r>
          </w:p>
        </w:tc>
        <w:tc>
          <w:tcPr>
            <w:tcW w:w="890" w:type="dxa"/>
            <w:vAlign w:val="center"/>
          </w:tcPr>
          <w:p w14:paraId="5CE31312">
            <w:pPr>
              <w:ind w:left="-103" w:leftChars="-49" w:right="-105" w:rightChars="-5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单项结论</w:t>
            </w:r>
          </w:p>
        </w:tc>
        <w:tc>
          <w:tcPr>
            <w:tcW w:w="771" w:type="dxa"/>
            <w:vAlign w:val="center"/>
          </w:tcPr>
          <w:p w14:paraId="016885C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备注</w:t>
            </w:r>
          </w:p>
        </w:tc>
      </w:tr>
      <w:tr w14:paraId="12FEF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450" w:type="dxa"/>
            <w:vAlign w:val="center"/>
          </w:tcPr>
          <w:p w14:paraId="0004932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130" w:type="dxa"/>
            <w:vAlign w:val="center"/>
          </w:tcPr>
          <w:p w14:paraId="36AC721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患者辅助电流的测量</w:t>
            </w:r>
          </w:p>
        </w:tc>
        <w:tc>
          <w:tcPr>
            <w:tcW w:w="1891" w:type="dxa"/>
            <w:vAlign w:val="center"/>
          </w:tcPr>
          <w:p w14:paraId="21C7696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GB 9706.205-2020</w:t>
            </w:r>
          </w:p>
          <w:p w14:paraId="270DD97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201.8.7.4.8</w:t>
            </w:r>
          </w:p>
        </w:tc>
        <w:tc>
          <w:tcPr>
            <w:tcW w:w="3872" w:type="dxa"/>
            <w:vAlign w:val="center"/>
          </w:tcPr>
          <w:p w14:paraId="3F2FA591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换能器组件试验时，应用部分应浸入0.9%的盐溶液中。</w:t>
            </w:r>
          </w:p>
        </w:tc>
        <w:tc>
          <w:tcPr>
            <w:tcW w:w="1130" w:type="dxa"/>
            <w:vAlign w:val="center"/>
          </w:tcPr>
          <w:p w14:paraId="7A93D60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90" w:type="dxa"/>
            <w:vAlign w:val="center"/>
          </w:tcPr>
          <w:p w14:paraId="3BC306BF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1" w:type="dxa"/>
            <w:vAlign w:val="center"/>
          </w:tcPr>
          <w:p w14:paraId="160F730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70FC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450" w:type="dxa"/>
            <w:vAlign w:val="center"/>
          </w:tcPr>
          <w:p w14:paraId="3594938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1130" w:type="dxa"/>
            <w:vAlign w:val="center"/>
          </w:tcPr>
          <w:p w14:paraId="3561E07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电介质强度</w:t>
            </w:r>
          </w:p>
        </w:tc>
        <w:tc>
          <w:tcPr>
            <w:tcW w:w="1891" w:type="dxa"/>
            <w:vAlign w:val="center"/>
          </w:tcPr>
          <w:p w14:paraId="3168797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GB 9706.205-2020</w:t>
            </w:r>
          </w:p>
          <w:p w14:paraId="74DD536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201.8.</w:t>
            </w:r>
            <w:r>
              <w:rPr>
                <w:rFonts w:hint="eastAsia" w:ascii="仿宋" w:hAnsi="仿宋" w:eastAsia="仿宋"/>
                <w:szCs w:val="21"/>
              </w:rPr>
              <w:t>8.3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aa)</w:t>
            </w:r>
          </w:p>
        </w:tc>
        <w:tc>
          <w:tcPr>
            <w:tcW w:w="3872" w:type="dxa"/>
            <w:vAlign w:val="center"/>
          </w:tcPr>
          <w:p w14:paraId="4CF8182A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换能器组件试验时，应用部分应浸入0.9%的盐溶液中。</w:t>
            </w:r>
          </w:p>
        </w:tc>
        <w:tc>
          <w:tcPr>
            <w:tcW w:w="1130" w:type="dxa"/>
            <w:vAlign w:val="center"/>
          </w:tcPr>
          <w:p w14:paraId="231FEDF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90" w:type="dxa"/>
            <w:vAlign w:val="center"/>
          </w:tcPr>
          <w:p w14:paraId="07A2AF97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1" w:type="dxa"/>
            <w:vAlign w:val="center"/>
          </w:tcPr>
          <w:p w14:paraId="7373F73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F194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450" w:type="dxa"/>
            <w:vMerge w:val="restart"/>
            <w:vAlign w:val="center"/>
          </w:tcPr>
          <w:p w14:paraId="5BBB49E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</w:t>
            </w:r>
          </w:p>
        </w:tc>
        <w:tc>
          <w:tcPr>
            <w:tcW w:w="1130" w:type="dxa"/>
            <w:vMerge w:val="restart"/>
            <w:vAlign w:val="center"/>
          </w:tcPr>
          <w:p w14:paraId="5171870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对不需要的或过量辐射危险的防护</w:t>
            </w:r>
          </w:p>
        </w:tc>
        <w:tc>
          <w:tcPr>
            <w:tcW w:w="1891" w:type="dxa"/>
            <w:vAlign w:val="center"/>
          </w:tcPr>
          <w:p w14:paraId="61EE5B6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GB 9706.205-2020</w:t>
            </w:r>
          </w:p>
          <w:p w14:paraId="76D46E1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201.10.101</w:t>
            </w:r>
          </w:p>
        </w:tc>
        <w:tc>
          <w:tcPr>
            <w:tcW w:w="3872" w:type="dxa"/>
            <w:vAlign w:val="center"/>
          </w:tcPr>
          <w:p w14:paraId="17FAB1F1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超声能量</w:t>
            </w:r>
          </w:p>
          <w:p w14:paraId="782FD84B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制造商应按照本标准规定的风险管理程序，公布与超声能量相关的风险。通过对风险管理文件的检查来核实是否符合要求。</w:t>
            </w:r>
          </w:p>
        </w:tc>
        <w:tc>
          <w:tcPr>
            <w:tcW w:w="1130" w:type="dxa"/>
            <w:vAlign w:val="center"/>
          </w:tcPr>
          <w:p w14:paraId="62DD531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90" w:type="dxa"/>
            <w:vMerge w:val="restart"/>
            <w:vAlign w:val="center"/>
          </w:tcPr>
          <w:p w14:paraId="7DE0B1B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1" w:type="dxa"/>
            <w:vMerge w:val="restart"/>
            <w:vAlign w:val="center"/>
          </w:tcPr>
          <w:p w14:paraId="7A47ABE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2730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450" w:type="dxa"/>
            <w:vMerge w:val="continue"/>
            <w:vAlign w:val="center"/>
          </w:tcPr>
          <w:p w14:paraId="02AC521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263309F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15AB09C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GB 9706.205-2020</w:t>
            </w:r>
          </w:p>
          <w:p w14:paraId="679AB23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201.10.102</w:t>
            </w:r>
          </w:p>
        </w:tc>
        <w:tc>
          <w:tcPr>
            <w:tcW w:w="3872" w:type="dxa"/>
            <w:vAlign w:val="center"/>
          </w:tcPr>
          <w:p w14:paraId="23CFDCD2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不需要的超声辐射</w:t>
            </w:r>
          </w:p>
          <w:p w14:paraId="13499787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在下述条件进行测量时，预期手持使用的治疗头，不需要的超声辐射的空间峰值时间平均声强（见YY/T 0865.1）应小于100mW/cm</w:t>
            </w:r>
            <w:r>
              <w:rPr>
                <w:rFonts w:hint="eastAsia" w:ascii="仿宋" w:hAnsi="仿宋" w:eastAsia="仿宋"/>
                <w:szCs w:val="21"/>
                <w:vertAlign w:val="superscript"/>
              </w:rPr>
              <w:t>2</w:t>
            </w:r>
            <w:r>
              <w:rPr>
                <w:rFonts w:hint="eastAsia" w:ascii="仿宋" w:hAnsi="仿宋" w:eastAsia="仿宋"/>
                <w:szCs w:val="21"/>
              </w:rPr>
              <w:t>。</w:t>
            </w:r>
          </w:p>
        </w:tc>
        <w:tc>
          <w:tcPr>
            <w:tcW w:w="1130" w:type="dxa"/>
            <w:vAlign w:val="center"/>
          </w:tcPr>
          <w:p w14:paraId="4FFCE369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90" w:type="dxa"/>
            <w:vMerge w:val="continue"/>
            <w:vAlign w:val="center"/>
          </w:tcPr>
          <w:p w14:paraId="67710A8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1" w:type="dxa"/>
            <w:vMerge w:val="continue"/>
            <w:vAlign w:val="center"/>
          </w:tcPr>
          <w:p w14:paraId="2D1E4D3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6B3B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450" w:type="dxa"/>
            <w:vMerge w:val="restart"/>
            <w:vAlign w:val="center"/>
          </w:tcPr>
          <w:p w14:paraId="464292C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</w:t>
            </w:r>
          </w:p>
        </w:tc>
        <w:tc>
          <w:tcPr>
            <w:tcW w:w="1130" w:type="dxa"/>
            <w:vMerge w:val="restart"/>
            <w:vAlign w:val="center"/>
          </w:tcPr>
          <w:p w14:paraId="14195E1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对超温和其他危险的防护</w:t>
            </w:r>
          </w:p>
        </w:tc>
        <w:tc>
          <w:tcPr>
            <w:tcW w:w="1891" w:type="dxa"/>
            <w:vMerge w:val="restart"/>
            <w:vAlign w:val="center"/>
          </w:tcPr>
          <w:p w14:paraId="7779CD2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GB 9706.205-2020</w:t>
            </w:r>
          </w:p>
          <w:p w14:paraId="426A428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201.11.1.2.2</w:t>
            </w:r>
          </w:p>
        </w:tc>
        <w:tc>
          <w:tcPr>
            <w:tcW w:w="3872" w:type="dxa"/>
            <w:vAlign w:val="center"/>
          </w:tcPr>
          <w:p w14:paraId="57446F8B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不向患者提供热量的应用部分</w:t>
            </w:r>
          </w:p>
          <w:p w14:paraId="008046AC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在正常情况下，按试验条件 201.11.1.3.101.1 进行测量时，作用于患者的治疗头，其表面温度应不超过43℃。(℃</w:t>
            </w:r>
            <w:r>
              <w:rPr>
                <w:rFonts w:ascii="仿宋" w:hAnsi="仿宋" w:eastAsia="仿宋"/>
                <w:szCs w:val="21"/>
              </w:rPr>
              <w:t>)</w:t>
            </w:r>
          </w:p>
        </w:tc>
        <w:tc>
          <w:tcPr>
            <w:tcW w:w="1130" w:type="dxa"/>
            <w:vAlign w:val="center"/>
          </w:tcPr>
          <w:p w14:paraId="30FE3CCB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90" w:type="dxa"/>
            <w:vMerge w:val="restart"/>
            <w:vAlign w:val="center"/>
          </w:tcPr>
          <w:p w14:paraId="48593EB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1" w:type="dxa"/>
            <w:vMerge w:val="restart"/>
            <w:vAlign w:val="center"/>
          </w:tcPr>
          <w:p w14:paraId="7A9CCC5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AE65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450" w:type="dxa"/>
            <w:vMerge w:val="continue"/>
            <w:vAlign w:val="center"/>
          </w:tcPr>
          <w:p w14:paraId="6AB60D7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409DD22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1" w:type="dxa"/>
            <w:vMerge w:val="continue"/>
            <w:vAlign w:val="center"/>
          </w:tcPr>
          <w:p w14:paraId="3DE6A39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872" w:type="dxa"/>
            <w:vAlign w:val="center"/>
          </w:tcPr>
          <w:p w14:paraId="3D80B6D5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按试验条件201.11.1.3.101.2 进行测量时，作用于患者的治疗头，其表面温度应不超过 50℃。(℃</w:t>
            </w:r>
            <w:r>
              <w:rPr>
                <w:rFonts w:ascii="仿宋" w:hAnsi="仿宋" w:eastAsia="仿宋"/>
                <w:szCs w:val="21"/>
              </w:rPr>
              <w:t>)</w:t>
            </w:r>
          </w:p>
        </w:tc>
        <w:tc>
          <w:tcPr>
            <w:tcW w:w="1130" w:type="dxa"/>
            <w:vAlign w:val="center"/>
          </w:tcPr>
          <w:p w14:paraId="6B2D3099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90" w:type="dxa"/>
            <w:vMerge w:val="continue"/>
            <w:vAlign w:val="center"/>
          </w:tcPr>
          <w:p w14:paraId="537D985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1" w:type="dxa"/>
            <w:vMerge w:val="continue"/>
            <w:vAlign w:val="center"/>
          </w:tcPr>
          <w:p w14:paraId="32B5750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4A05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450" w:type="dxa"/>
            <w:vMerge w:val="restart"/>
            <w:vAlign w:val="center"/>
          </w:tcPr>
          <w:p w14:paraId="7FC1D83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</w:t>
            </w:r>
          </w:p>
        </w:tc>
        <w:tc>
          <w:tcPr>
            <w:tcW w:w="1130" w:type="dxa"/>
            <w:vMerge w:val="restart"/>
            <w:vAlign w:val="center"/>
          </w:tcPr>
          <w:p w14:paraId="738B413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医用电气设备和医用电气系统的防水和防尘</w:t>
            </w:r>
          </w:p>
        </w:tc>
        <w:tc>
          <w:tcPr>
            <w:tcW w:w="1891" w:type="dxa"/>
            <w:vAlign w:val="center"/>
          </w:tcPr>
          <w:p w14:paraId="527A6BD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GB 9706.205-2020</w:t>
            </w:r>
          </w:p>
          <w:p w14:paraId="49A0C06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201.11.6.5.101</w:t>
            </w:r>
          </w:p>
        </w:tc>
        <w:tc>
          <w:tcPr>
            <w:tcW w:w="3872" w:type="dxa"/>
            <w:vAlign w:val="center"/>
          </w:tcPr>
          <w:p w14:paraId="1D1D815C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对治疗头进液的防护</w:t>
            </w:r>
          </w:p>
          <w:p w14:paraId="7F98E622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设备的治疗头应符合GB 4208 的IPX7。</w:t>
            </w:r>
          </w:p>
        </w:tc>
        <w:tc>
          <w:tcPr>
            <w:tcW w:w="1130" w:type="dxa"/>
            <w:vAlign w:val="center"/>
          </w:tcPr>
          <w:p w14:paraId="127F0F6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90" w:type="dxa"/>
            <w:vMerge w:val="restart"/>
            <w:vAlign w:val="center"/>
          </w:tcPr>
          <w:p w14:paraId="127F711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1" w:type="dxa"/>
            <w:vMerge w:val="restart"/>
            <w:vAlign w:val="center"/>
          </w:tcPr>
          <w:p w14:paraId="519EB0B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1F5D8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450" w:type="dxa"/>
            <w:vMerge w:val="continue"/>
            <w:vAlign w:val="center"/>
          </w:tcPr>
          <w:p w14:paraId="747EE33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2BBCBB2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5C06D63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GB 9706.205-2020</w:t>
            </w:r>
          </w:p>
          <w:p w14:paraId="42932B8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201.11.6.5.102</w:t>
            </w:r>
          </w:p>
        </w:tc>
        <w:tc>
          <w:tcPr>
            <w:tcW w:w="3872" w:type="dxa"/>
            <w:vAlign w:val="center"/>
          </w:tcPr>
          <w:p w14:paraId="770BC82A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对水压按摩头进液的防护</w:t>
            </w:r>
          </w:p>
          <w:p w14:paraId="0DB51B27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超声治疗用治疗头兼有水压按摩功能的，应能承受在治疗时所产生的最大压力。</w:t>
            </w:r>
          </w:p>
        </w:tc>
        <w:tc>
          <w:tcPr>
            <w:tcW w:w="1130" w:type="dxa"/>
            <w:vAlign w:val="center"/>
          </w:tcPr>
          <w:p w14:paraId="1BA5C19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90" w:type="dxa"/>
            <w:vMerge w:val="continue"/>
            <w:vAlign w:val="center"/>
          </w:tcPr>
          <w:p w14:paraId="79F1BE1F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1" w:type="dxa"/>
            <w:vMerge w:val="continue"/>
            <w:vAlign w:val="center"/>
          </w:tcPr>
          <w:p w14:paraId="5EB6A55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C7A7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450" w:type="dxa"/>
            <w:vMerge w:val="restart"/>
            <w:vAlign w:val="center"/>
          </w:tcPr>
          <w:p w14:paraId="7AF0C26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8</w:t>
            </w:r>
          </w:p>
        </w:tc>
        <w:tc>
          <w:tcPr>
            <w:tcW w:w="1130" w:type="dxa"/>
            <w:vMerge w:val="restart"/>
            <w:vAlign w:val="center"/>
          </w:tcPr>
          <w:p w14:paraId="5AE35AC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控制器件和仪表的准确性</w:t>
            </w:r>
          </w:p>
        </w:tc>
        <w:tc>
          <w:tcPr>
            <w:tcW w:w="1891" w:type="dxa"/>
            <w:vAlign w:val="center"/>
          </w:tcPr>
          <w:p w14:paraId="4DDB634C"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GB 9706.205-2020</w:t>
            </w:r>
          </w:p>
          <w:p w14:paraId="637AB8F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201.12.1</w:t>
            </w:r>
          </w:p>
        </w:tc>
        <w:tc>
          <w:tcPr>
            <w:tcW w:w="3872" w:type="dxa"/>
            <w:vAlign w:val="center"/>
          </w:tcPr>
          <w:p w14:paraId="5F8E4BB3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应规定涉及声输出数据和控制器的准确性。</w:t>
            </w:r>
          </w:p>
        </w:tc>
        <w:tc>
          <w:tcPr>
            <w:tcW w:w="1130" w:type="dxa"/>
            <w:vAlign w:val="center"/>
          </w:tcPr>
          <w:p w14:paraId="6A184809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90" w:type="dxa"/>
            <w:vMerge w:val="restart"/>
            <w:vAlign w:val="center"/>
          </w:tcPr>
          <w:p w14:paraId="29E78C2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1" w:type="dxa"/>
            <w:vMerge w:val="restart"/>
            <w:vAlign w:val="center"/>
          </w:tcPr>
          <w:p w14:paraId="6941074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09E05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450" w:type="dxa"/>
            <w:vMerge w:val="continue"/>
            <w:vAlign w:val="center"/>
          </w:tcPr>
          <w:p w14:paraId="7A800C7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070AF0F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1" w:type="dxa"/>
            <w:vMerge w:val="restart"/>
            <w:vAlign w:val="center"/>
          </w:tcPr>
          <w:p w14:paraId="6251A1D2"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GB 9706.205-2020</w:t>
            </w:r>
          </w:p>
          <w:p w14:paraId="6BAEE0F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201.12.1.101</w:t>
            </w:r>
          </w:p>
        </w:tc>
        <w:tc>
          <w:tcPr>
            <w:tcW w:w="3872" w:type="dxa"/>
            <w:vAlign w:val="center"/>
          </w:tcPr>
          <w:p w14:paraId="395758C8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应以仪表或校准的控制输出器件的形式，在控制面板上提供定量的指示装置，其应能直接读数或显示：</w:t>
            </w:r>
          </w:p>
          <w:p w14:paraId="5B3870F7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a)在连续波工作模式下，输出功率和有效声强，和；</w:t>
            </w:r>
          </w:p>
        </w:tc>
        <w:tc>
          <w:tcPr>
            <w:tcW w:w="1130" w:type="dxa"/>
            <w:vAlign w:val="center"/>
          </w:tcPr>
          <w:p w14:paraId="65F7CC0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90" w:type="dxa"/>
            <w:vMerge w:val="continue"/>
            <w:vAlign w:val="center"/>
          </w:tcPr>
          <w:p w14:paraId="04159AEB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1" w:type="dxa"/>
            <w:vMerge w:val="continue"/>
            <w:vAlign w:val="center"/>
          </w:tcPr>
          <w:p w14:paraId="44C631A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F8CC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450" w:type="dxa"/>
            <w:vMerge w:val="continue"/>
            <w:vAlign w:val="center"/>
          </w:tcPr>
          <w:p w14:paraId="552C728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4C3AB78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1" w:type="dxa"/>
            <w:vMerge w:val="continue"/>
            <w:vAlign w:val="center"/>
          </w:tcPr>
          <w:p w14:paraId="2F7F680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872" w:type="dxa"/>
            <w:vAlign w:val="center"/>
          </w:tcPr>
          <w:p w14:paraId="1D653E1E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b)在幅度调制工作模式下，时间最大声强和时间最大输出功率。</w:t>
            </w:r>
          </w:p>
        </w:tc>
        <w:tc>
          <w:tcPr>
            <w:tcW w:w="1130" w:type="dxa"/>
            <w:vAlign w:val="center"/>
          </w:tcPr>
          <w:p w14:paraId="1793CF8B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90" w:type="dxa"/>
            <w:vMerge w:val="continue"/>
            <w:vAlign w:val="center"/>
          </w:tcPr>
          <w:p w14:paraId="6C6B585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1" w:type="dxa"/>
            <w:vMerge w:val="continue"/>
            <w:vAlign w:val="center"/>
          </w:tcPr>
          <w:p w14:paraId="7B76DB9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 w14:paraId="36DA76B8">
      <w:pPr>
        <w:spacing w:line="360" w:lineRule="auto"/>
        <w:jc w:val="center"/>
        <w:rPr>
          <w:rFonts w:ascii="仿宋" w:hAnsi="仿宋" w:eastAsia="仿宋"/>
          <w:b/>
          <w:sz w:val="44"/>
        </w:rPr>
      </w:pPr>
      <w:r>
        <w:rPr>
          <w:rFonts w:ascii="仿宋" w:hAnsi="仿宋" w:eastAsia="仿宋"/>
          <w:sz w:val="30"/>
        </w:rPr>
        <w:br w:type="page"/>
      </w:r>
      <w:r>
        <w:rPr>
          <w:rFonts w:hint="eastAsia" w:ascii="仿宋" w:hAnsi="仿宋" w:eastAsia="仿宋"/>
          <w:sz w:val="36"/>
        </w:rPr>
        <w:t>GB 9706.205-2020检验报告内容模板</w:t>
      </w:r>
    </w:p>
    <w:p w14:paraId="6BE60D69">
      <w:pPr>
        <w:jc w:val="righ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               共4页  第</w:t>
      </w:r>
      <w:r>
        <w:rPr>
          <w:rFonts w:hint="eastAsia" w:ascii="仿宋" w:hAnsi="仿宋" w:eastAsia="仿宋"/>
          <w:szCs w:val="21"/>
        </w:rPr>
        <w:t>3</w:t>
      </w:r>
      <w:r>
        <w:rPr>
          <w:rFonts w:hint="eastAsia" w:ascii="仿宋" w:hAnsi="仿宋" w:eastAsia="仿宋"/>
        </w:rPr>
        <w:t>页</w:t>
      </w:r>
    </w:p>
    <w:tbl>
      <w:tblPr>
        <w:tblStyle w:val="21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120"/>
        <w:gridCol w:w="1896"/>
        <w:gridCol w:w="3840"/>
        <w:gridCol w:w="1114"/>
        <w:gridCol w:w="992"/>
        <w:gridCol w:w="709"/>
      </w:tblGrid>
      <w:tr w14:paraId="7B1EF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30" w:type="dxa"/>
            <w:vAlign w:val="center"/>
          </w:tcPr>
          <w:p w14:paraId="22DEF052">
            <w:pPr>
              <w:ind w:left="-77" w:leftChars="-37" w:right="-111" w:rightChars="-53" w:hanging="1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序号</w:t>
            </w:r>
          </w:p>
        </w:tc>
        <w:tc>
          <w:tcPr>
            <w:tcW w:w="1120" w:type="dxa"/>
            <w:vAlign w:val="center"/>
          </w:tcPr>
          <w:p w14:paraId="22A30C7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检验项目</w:t>
            </w:r>
          </w:p>
        </w:tc>
        <w:tc>
          <w:tcPr>
            <w:tcW w:w="1896" w:type="dxa"/>
            <w:vAlign w:val="center"/>
          </w:tcPr>
          <w:p w14:paraId="1296CF3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标准条款</w:t>
            </w:r>
          </w:p>
        </w:tc>
        <w:tc>
          <w:tcPr>
            <w:tcW w:w="3840" w:type="dxa"/>
            <w:vAlign w:val="center"/>
          </w:tcPr>
          <w:p w14:paraId="444FC81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标准要求</w:t>
            </w:r>
          </w:p>
        </w:tc>
        <w:tc>
          <w:tcPr>
            <w:tcW w:w="1114" w:type="dxa"/>
            <w:vAlign w:val="center"/>
          </w:tcPr>
          <w:p w14:paraId="6BB13613">
            <w:pPr>
              <w:ind w:left="-103" w:leftChars="-49" w:right="-109" w:rightChars="-52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检验结果</w:t>
            </w:r>
          </w:p>
        </w:tc>
        <w:tc>
          <w:tcPr>
            <w:tcW w:w="992" w:type="dxa"/>
            <w:vAlign w:val="center"/>
          </w:tcPr>
          <w:p w14:paraId="0829B7F1">
            <w:pPr>
              <w:ind w:left="-103" w:leftChars="-49" w:right="-105" w:rightChars="-5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单项结论</w:t>
            </w:r>
          </w:p>
        </w:tc>
        <w:tc>
          <w:tcPr>
            <w:tcW w:w="709" w:type="dxa"/>
            <w:vAlign w:val="center"/>
          </w:tcPr>
          <w:p w14:paraId="6EC43CE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备注</w:t>
            </w:r>
          </w:p>
        </w:tc>
      </w:tr>
      <w:tr w14:paraId="50018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530" w:type="dxa"/>
            <w:vMerge w:val="restart"/>
            <w:vAlign w:val="center"/>
          </w:tcPr>
          <w:p w14:paraId="65A2E8F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8</w:t>
            </w:r>
          </w:p>
        </w:tc>
        <w:tc>
          <w:tcPr>
            <w:tcW w:w="1120" w:type="dxa"/>
            <w:vMerge w:val="restart"/>
            <w:vAlign w:val="center"/>
          </w:tcPr>
          <w:p w14:paraId="2A44F47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控制器件和仪表的准确性</w:t>
            </w:r>
          </w:p>
        </w:tc>
        <w:tc>
          <w:tcPr>
            <w:tcW w:w="1896" w:type="dxa"/>
            <w:vAlign w:val="center"/>
          </w:tcPr>
          <w:p w14:paraId="1C1AA085"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GB 9706.205-2020</w:t>
            </w:r>
          </w:p>
          <w:p w14:paraId="2B31137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201.12.1.102</w:t>
            </w:r>
          </w:p>
        </w:tc>
        <w:tc>
          <w:tcPr>
            <w:tcW w:w="3840" w:type="dxa"/>
            <w:vAlign w:val="center"/>
          </w:tcPr>
          <w:p w14:paraId="1FFB004F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在 201.12.1.101 中所述的任何指示装置具有两个或更多的测量量程时，应提供一个清晰和可靠的量程指示。</w:t>
            </w:r>
          </w:p>
        </w:tc>
        <w:tc>
          <w:tcPr>
            <w:tcW w:w="1114" w:type="dxa"/>
            <w:vAlign w:val="center"/>
          </w:tcPr>
          <w:p w14:paraId="33A6AA3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9C1A36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758D4E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D77E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" w:hRule="atLeast"/>
          <w:jc w:val="center"/>
        </w:trPr>
        <w:tc>
          <w:tcPr>
            <w:tcW w:w="530" w:type="dxa"/>
            <w:vMerge w:val="continue"/>
            <w:vAlign w:val="center"/>
          </w:tcPr>
          <w:p w14:paraId="42A2AE0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0" w:type="dxa"/>
            <w:vMerge w:val="continue"/>
            <w:vAlign w:val="center"/>
          </w:tcPr>
          <w:p w14:paraId="0E355F3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6" w:type="dxa"/>
            <w:vAlign w:val="center"/>
          </w:tcPr>
          <w:p w14:paraId="1E2C600E"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GB 9706.205-2020</w:t>
            </w:r>
          </w:p>
          <w:p w14:paraId="4E16EC1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201.12.1.103</w:t>
            </w:r>
          </w:p>
        </w:tc>
        <w:tc>
          <w:tcPr>
            <w:tcW w:w="3840" w:type="dxa"/>
            <w:vAlign w:val="center"/>
          </w:tcPr>
          <w:p w14:paraId="5231D221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在 201.12.1.101 中所述的任何输出功率指示与实际值的偏差，应在实际值的±20%范围。</w:t>
            </w:r>
          </w:p>
        </w:tc>
        <w:tc>
          <w:tcPr>
            <w:tcW w:w="1114" w:type="dxa"/>
            <w:vAlign w:val="center"/>
          </w:tcPr>
          <w:p w14:paraId="7564735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CE29551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092CF4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48A5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" w:hRule="atLeast"/>
          <w:jc w:val="center"/>
        </w:trPr>
        <w:tc>
          <w:tcPr>
            <w:tcW w:w="530" w:type="dxa"/>
            <w:vMerge w:val="continue"/>
            <w:vAlign w:val="center"/>
          </w:tcPr>
          <w:p w14:paraId="5B2A076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0" w:type="dxa"/>
            <w:vMerge w:val="continue"/>
            <w:vAlign w:val="center"/>
          </w:tcPr>
          <w:p w14:paraId="54B6536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6" w:type="dxa"/>
            <w:vAlign w:val="center"/>
          </w:tcPr>
          <w:p w14:paraId="574BBA72"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GB 9706.205-2020</w:t>
            </w:r>
          </w:p>
          <w:p w14:paraId="043760D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201.12.1.10</w:t>
            </w:r>
            <w:r>
              <w:rPr>
                <w:rFonts w:ascii="仿宋" w:hAnsi="仿宋" w:eastAsia="仿宋"/>
                <w:szCs w:val="21"/>
              </w:rPr>
              <w:t>4</w:t>
            </w:r>
          </w:p>
        </w:tc>
        <w:tc>
          <w:tcPr>
            <w:tcW w:w="3840" w:type="dxa"/>
            <w:vAlign w:val="center"/>
          </w:tcPr>
          <w:p w14:paraId="4F2AD038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在 201.12.1.101 中所述的任何有效声强指示与实际值的偏差，应在实际值的±30%范围内。</w:t>
            </w:r>
          </w:p>
        </w:tc>
        <w:tc>
          <w:tcPr>
            <w:tcW w:w="1114" w:type="dxa"/>
            <w:vAlign w:val="center"/>
          </w:tcPr>
          <w:p w14:paraId="4CE013F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2AFD5743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E1F6DB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0B299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530" w:type="dxa"/>
            <w:vMerge w:val="continue"/>
            <w:vAlign w:val="center"/>
          </w:tcPr>
          <w:p w14:paraId="177BFF6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0" w:type="dxa"/>
            <w:vMerge w:val="continue"/>
            <w:vAlign w:val="center"/>
          </w:tcPr>
          <w:p w14:paraId="42291DC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6" w:type="dxa"/>
            <w:vAlign w:val="center"/>
          </w:tcPr>
          <w:p w14:paraId="33690F4A"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GB 9706.205-2020</w:t>
            </w:r>
          </w:p>
          <w:p w14:paraId="3EBAEC4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201.12.1.10</w:t>
            </w:r>
            <w:r>
              <w:rPr>
                <w:rFonts w:ascii="仿宋" w:hAnsi="仿宋" w:eastAsia="仿宋"/>
                <w:szCs w:val="21"/>
              </w:rPr>
              <w:t>5</w:t>
            </w:r>
          </w:p>
        </w:tc>
        <w:tc>
          <w:tcPr>
            <w:tcW w:w="3840" w:type="dxa"/>
            <w:vAlign w:val="center"/>
          </w:tcPr>
          <w:p w14:paraId="653F3B10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在201.7.2.101c)中所述的有效辐射面积与实际值的偏差，应在实际值的±20%范围内。  </w:t>
            </w:r>
          </w:p>
        </w:tc>
        <w:tc>
          <w:tcPr>
            <w:tcW w:w="1114" w:type="dxa"/>
            <w:vAlign w:val="center"/>
          </w:tcPr>
          <w:p w14:paraId="57CEFF8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371737C9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E0EC73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D9C3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530" w:type="dxa"/>
            <w:vAlign w:val="center"/>
          </w:tcPr>
          <w:p w14:paraId="2BB5DCD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9</w:t>
            </w:r>
          </w:p>
        </w:tc>
        <w:tc>
          <w:tcPr>
            <w:tcW w:w="1120" w:type="dxa"/>
            <w:vAlign w:val="center"/>
          </w:tcPr>
          <w:p w14:paraId="2261491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不正确的输出</w:t>
            </w:r>
          </w:p>
        </w:tc>
        <w:tc>
          <w:tcPr>
            <w:tcW w:w="1896" w:type="dxa"/>
            <w:vAlign w:val="center"/>
          </w:tcPr>
          <w:p w14:paraId="179599D4"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GB 9706.205-2020</w:t>
            </w:r>
          </w:p>
          <w:p w14:paraId="326D58F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201.12.4.4</w:t>
            </w:r>
          </w:p>
        </w:tc>
        <w:tc>
          <w:tcPr>
            <w:tcW w:w="3840" w:type="dxa"/>
            <w:vAlign w:val="center"/>
          </w:tcPr>
          <w:p w14:paraId="09FA9CA2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制造商提供的任何治疗头或附加头的最大有效声强应不超过 3W/cm</w:t>
            </w:r>
            <w:r>
              <w:rPr>
                <w:rFonts w:hint="eastAsia" w:ascii="仿宋" w:hAnsi="仿宋" w:eastAsia="仿宋"/>
                <w:szCs w:val="21"/>
                <w:vertAlign w:val="superscript"/>
              </w:rPr>
              <w:t>2</w:t>
            </w:r>
            <w:r>
              <w:rPr>
                <w:rFonts w:hint="eastAsia" w:ascii="仿宋" w:hAnsi="仿宋" w:eastAsia="仿宋"/>
                <w:szCs w:val="21"/>
              </w:rPr>
              <w:t>，本要求适用于正常状态和任何单一故障状态。</w:t>
            </w:r>
          </w:p>
        </w:tc>
        <w:tc>
          <w:tcPr>
            <w:tcW w:w="1114" w:type="dxa"/>
            <w:vAlign w:val="center"/>
          </w:tcPr>
          <w:p w14:paraId="293D24C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92" w:type="dxa"/>
            <w:vAlign w:val="center"/>
          </w:tcPr>
          <w:p w14:paraId="6CD02B1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9" w:type="dxa"/>
            <w:vAlign w:val="center"/>
          </w:tcPr>
          <w:p w14:paraId="7024AE1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8791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530" w:type="dxa"/>
            <w:vAlign w:val="center"/>
          </w:tcPr>
          <w:p w14:paraId="4541F0D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  <w:r>
              <w:rPr>
                <w:rFonts w:ascii="仿宋" w:hAnsi="仿宋" w:eastAsia="仿宋"/>
                <w:szCs w:val="21"/>
              </w:rPr>
              <w:t>0</w:t>
            </w:r>
          </w:p>
        </w:tc>
        <w:tc>
          <w:tcPr>
            <w:tcW w:w="1120" w:type="dxa"/>
            <w:vAlign w:val="center"/>
          </w:tcPr>
          <w:p w14:paraId="674926F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输出控制装置</w:t>
            </w:r>
          </w:p>
        </w:tc>
        <w:tc>
          <w:tcPr>
            <w:tcW w:w="1896" w:type="dxa"/>
            <w:vAlign w:val="center"/>
          </w:tcPr>
          <w:p w14:paraId="700AE2A0"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GB 9706.205-2020</w:t>
            </w:r>
          </w:p>
          <w:p w14:paraId="13FDD8D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201.12.4.4.101</w:t>
            </w:r>
          </w:p>
        </w:tc>
        <w:tc>
          <w:tcPr>
            <w:tcW w:w="3840" w:type="dxa"/>
            <w:vAlign w:val="center"/>
          </w:tcPr>
          <w:p w14:paraId="205A4C94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设备应配备有一种方式（一种输出控制装置），来确保将输出功率降至额定输出功率的 5%以下。</w:t>
            </w:r>
          </w:p>
        </w:tc>
        <w:tc>
          <w:tcPr>
            <w:tcW w:w="1114" w:type="dxa"/>
            <w:vAlign w:val="center"/>
          </w:tcPr>
          <w:p w14:paraId="3EA7EC6B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92" w:type="dxa"/>
            <w:vAlign w:val="center"/>
          </w:tcPr>
          <w:p w14:paraId="12BE970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9" w:type="dxa"/>
            <w:vAlign w:val="center"/>
          </w:tcPr>
          <w:p w14:paraId="5735250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1CC7C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530" w:type="dxa"/>
            <w:vAlign w:val="center"/>
          </w:tcPr>
          <w:p w14:paraId="5DDF2AE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11</w:t>
            </w:r>
          </w:p>
        </w:tc>
        <w:tc>
          <w:tcPr>
            <w:tcW w:w="1120" w:type="dxa"/>
            <w:vAlign w:val="center"/>
          </w:tcPr>
          <w:p w14:paraId="51D0E24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电源波动时的输出稳定性</w:t>
            </w:r>
          </w:p>
        </w:tc>
        <w:tc>
          <w:tcPr>
            <w:tcW w:w="1896" w:type="dxa"/>
            <w:vAlign w:val="center"/>
          </w:tcPr>
          <w:p w14:paraId="37AE839D"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GB 9706.205-2020</w:t>
            </w:r>
          </w:p>
          <w:p w14:paraId="4F734FF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201.12.4.4.102</w:t>
            </w:r>
          </w:p>
        </w:tc>
        <w:tc>
          <w:tcPr>
            <w:tcW w:w="3840" w:type="dxa"/>
            <w:vAlign w:val="center"/>
          </w:tcPr>
          <w:p w14:paraId="73ECEBC4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电网电压波动±10%时，输出功率的变化应在±20%范围内。不允许通过对设备的再次手动调节来满足该要求。</w:t>
            </w:r>
          </w:p>
        </w:tc>
        <w:tc>
          <w:tcPr>
            <w:tcW w:w="1114" w:type="dxa"/>
            <w:vAlign w:val="center"/>
          </w:tcPr>
          <w:p w14:paraId="2F3DCF21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92" w:type="dxa"/>
            <w:vAlign w:val="center"/>
          </w:tcPr>
          <w:p w14:paraId="3C1ABA5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9" w:type="dxa"/>
            <w:vAlign w:val="center"/>
          </w:tcPr>
          <w:p w14:paraId="5131D1C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0A9C4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530" w:type="dxa"/>
            <w:vAlign w:val="center"/>
          </w:tcPr>
          <w:p w14:paraId="1E0574B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12</w:t>
            </w:r>
          </w:p>
        </w:tc>
        <w:tc>
          <w:tcPr>
            <w:tcW w:w="1120" w:type="dxa"/>
            <w:vAlign w:val="center"/>
          </w:tcPr>
          <w:p w14:paraId="4352C54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定时器</w:t>
            </w:r>
          </w:p>
        </w:tc>
        <w:tc>
          <w:tcPr>
            <w:tcW w:w="1896" w:type="dxa"/>
            <w:vAlign w:val="center"/>
          </w:tcPr>
          <w:p w14:paraId="415F2C4A"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GB 9706.205-2020</w:t>
            </w:r>
          </w:p>
          <w:p w14:paraId="2F20543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201.12.4.4.103</w:t>
            </w:r>
          </w:p>
        </w:tc>
        <w:tc>
          <w:tcPr>
            <w:tcW w:w="3840" w:type="dxa"/>
            <w:vAlign w:val="center"/>
          </w:tcPr>
          <w:p w14:paraId="5ED54C32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设备应配备有可调定时器，在预定时间到达后断开输出。定时器的量程应不超过30min，准确度要在设定值的±10%范围内。</w:t>
            </w:r>
          </w:p>
        </w:tc>
        <w:tc>
          <w:tcPr>
            <w:tcW w:w="1114" w:type="dxa"/>
            <w:vAlign w:val="center"/>
          </w:tcPr>
          <w:p w14:paraId="0EB044AB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92" w:type="dxa"/>
            <w:vAlign w:val="center"/>
          </w:tcPr>
          <w:p w14:paraId="3EBF19F1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9" w:type="dxa"/>
            <w:vAlign w:val="center"/>
          </w:tcPr>
          <w:p w14:paraId="4F9C348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11A8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530" w:type="dxa"/>
            <w:vAlign w:val="center"/>
          </w:tcPr>
          <w:p w14:paraId="49FBCF1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13</w:t>
            </w:r>
          </w:p>
        </w:tc>
        <w:tc>
          <w:tcPr>
            <w:tcW w:w="1120" w:type="dxa"/>
            <w:vAlign w:val="center"/>
          </w:tcPr>
          <w:p w14:paraId="76BA54F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辐射场的均匀性</w:t>
            </w:r>
          </w:p>
        </w:tc>
        <w:tc>
          <w:tcPr>
            <w:tcW w:w="1896" w:type="dxa"/>
            <w:vAlign w:val="center"/>
          </w:tcPr>
          <w:p w14:paraId="024E873A"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GB 9706.205-2020</w:t>
            </w:r>
          </w:p>
          <w:p w14:paraId="76E3833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201.12.4.4.104</w:t>
            </w:r>
          </w:p>
        </w:tc>
        <w:tc>
          <w:tcPr>
            <w:tcW w:w="3840" w:type="dxa"/>
            <w:vAlign w:val="center"/>
          </w:tcPr>
          <w:p w14:paraId="64CA5E16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制造商提供的任何治疗头或附加头的波束不均匀性系数应不超过8.0。</w:t>
            </w:r>
          </w:p>
        </w:tc>
        <w:tc>
          <w:tcPr>
            <w:tcW w:w="1114" w:type="dxa"/>
            <w:vAlign w:val="center"/>
          </w:tcPr>
          <w:p w14:paraId="110C79C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92" w:type="dxa"/>
            <w:vAlign w:val="center"/>
          </w:tcPr>
          <w:p w14:paraId="2BB2D79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9" w:type="dxa"/>
            <w:vAlign w:val="center"/>
          </w:tcPr>
          <w:p w14:paraId="3BBC40A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353F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530" w:type="dxa"/>
            <w:vAlign w:val="center"/>
          </w:tcPr>
          <w:p w14:paraId="4DE770F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14</w:t>
            </w:r>
          </w:p>
        </w:tc>
        <w:tc>
          <w:tcPr>
            <w:tcW w:w="1120" w:type="dxa"/>
            <w:vAlign w:val="center"/>
          </w:tcPr>
          <w:p w14:paraId="6C552C8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输出的时间稳定性</w:t>
            </w:r>
          </w:p>
        </w:tc>
        <w:tc>
          <w:tcPr>
            <w:tcW w:w="1896" w:type="dxa"/>
            <w:vAlign w:val="center"/>
          </w:tcPr>
          <w:p w14:paraId="6C664EB4"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GB 9706.205-2020</w:t>
            </w:r>
          </w:p>
          <w:p w14:paraId="606ED85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201.12.4.4.105</w:t>
            </w:r>
          </w:p>
        </w:tc>
        <w:tc>
          <w:tcPr>
            <w:tcW w:w="3840" w:type="dxa"/>
            <w:vAlign w:val="center"/>
          </w:tcPr>
          <w:p w14:paraId="73387001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在最大输出功率和额定电网电压，23℃±3℃水温条件下，连续工作 30min的期间内，输出功率应稳定在其初始值±20%的范围内。</w:t>
            </w:r>
          </w:p>
        </w:tc>
        <w:tc>
          <w:tcPr>
            <w:tcW w:w="1114" w:type="dxa"/>
            <w:vAlign w:val="center"/>
          </w:tcPr>
          <w:p w14:paraId="5CA03D33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92" w:type="dxa"/>
            <w:vAlign w:val="center"/>
          </w:tcPr>
          <w:p w14:paraId="4562EF3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9" w:type="dxa"/>
            <w:vAlign w:val="center"/>
          </w:tcPr>
          <w:p w14:paraId="024BB99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144B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530" w:type="dxa"/>
            <w:vAlign w:val="center"/>
          </w:tcPr>
          <w:p w14:paraId="0E46380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15</w:t>
            </w:r>
          </w:p>
        </w:tc>
        <w:tc>
          <w:tcPr>
            <w:tcW w:w="1120" w:type="dxa"/>
            <w:vAlign w:val="center"/>
          </w:tcPr>
          <w:p w14:paraId="09D7312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声工作频率</w:t>
            </w:r>
          </w:p>
        </w:tc>
        <w:tc>
          <w:tcPr>
            <w:tcW w:w="1896" w:type="dxa"/>
            <w:vAlign w:val="center"/>
          </w:tcPr>
          <w:p w14:paraId="2CD5D8B0"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GB 9706.205-2020</w:t>
            </w:r>
          </w:p>
          <w:p w14:paraId="312D26C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201.12.4.4.106</w:t>
            </w:r>
          </w:p>
        </w:tc>
        <w:tc>
          <w:tcPr>
            <w:tcW w:w="3840" w:type="dxa"/>
            <w:vAlign w:val="center"/>
          </w:tcPr>
          <w:p w14:paraId="5E755FDA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声工作频率应符合YY/T 0750-2009的要求。</w:t>
            </w:r>
          </w:p>
        </w:tc>
        <w:tc>
          <w:tcPr>
            <w:tcW w:w="1114" w:type="dxa"/>
            <w:vAlign w:val="center"/>
          </w:tcPr>
          <w:p w14:paraId="6FD0733F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92" w:type="dxa"/>
            <w:vAlign w:val="center"/>
          </w:tcPr>
          <w:p w14:paraId="18FE0F39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9" w:type="dxa"/>
            <w:vAlign w:val="center"/>
          </w:tcPr>
          <w:p w14:paraId="4426BB5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B65E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530" w:type="dxa"/>
            <w:vAlign w:val="center"/>
          </w:tcPr>
          <w:p w14:paraId="2F1C10D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16</w:t>
            </w:r>
          </w:p>
        </w:tc>
        <w:tc>
          <w:tcPr>
            <w:tcW w:w="1120" w:type="dxa"/>
            <w:vAlign w:val="center"/>
          </w:tcPr>
          <w:p w14:paraId="3686E19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组合式设备</w:t>
            </w:r>
          </w:p>
        </w:tc>
        <w:tc>
          <w:tcPr>
            <w:tcW w:w="1896" w:type="dxa"/>
            <w:vAlign w:val="center"/>
          </w:tcPr>
          <w:p w14:paraId="452B2D2E"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GB 9706.205-2020</w:t>
            </w:r>
          </w:p>
          <w:p w14:paraId="5DB2422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201.13.101</w:t>
            </w:r>
          </w:p>
        </w:tc>
        <w:tc>
          <w:tcPr>
            <w:tcW w:w="3840" w:type="dxa"/>
            <w:vAlign w:val="center"/>
          </w:tcPr>
          <w:p w14:paraId="1952F95C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在组合式设备的情况下（例如，设备另外增加了电刺激的功能或应用部分），这类设备也应符合所增加功能安全要求所涉及的专用标准的规定。</w:t>
            </w:r>
          </w:p>
        </w:tc>
        <w:tc>
          <w:tcPr>
            <w:tcW w:w="1114" w:type="dxa"/>
            <w:vAlign w:val="center"/>
          </w:tcPr>
          <w:p w14:paraId="3960736F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92" w:type="dxa"/>
            <w:vAlign w:val="center"/>
          </w:tcPr>
          <w:p w14:paraId="337D4BF9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9" w:type="dxa"/>
            <w:vAlign w:val="center"/>
          </w:tcPr>
          <w:p w14:paraId="1C78498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E616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530" w:type="dxa"/>
            <w:vAlign w:val="center"/>
          </w:tcPr>
          <w:p w14:paraId="3AF1CFA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17</w:t>
            </w:r>
          </w:p>
        </w:tc>
        <w:tc>
          <w:tcPr>
            <w:tcW w:w="1120" w:type="dxa"/>
            <w:vAlign w:val="center"/>
          </w:tcPr>
          <w:p w14:paraId="257ACB3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连接器的结构</w:t>
            </w:r>
          </w:p>
        </w:tc>
        <w:tc>
          <w:tcPr>
            <w:tcW w:w="1896" w:type="dxa"/>
            <w:vAlign w:val="center"/>
          </w:tcPr>
          <w:p w14:paraId="26839785"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GB 9706.205-2020</w:t>
            </w:r>
          </w:p>
          <w:p w14:paraId="642106A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201.15.4.1 aa)</w:t>
            </w:r>
          </w:p>
        </w:tc>
        <w:tc>
          <w:tcPr>
            <w:tcW w:w="3840" w:type="dxa"/>
            <w:vAlign w:val="center"/>
          </w:tcPr>
          <w:p w14:paraId="2597CF08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治疗头的连接电缆，分别在连接治疗头和设备的接头处，或连接插头处，应具备防护过度弯曲的能力。</w:t>
            </w:r>
          </w:p>
        </w:tc>
        <w:tc>
          <w:tcPr>
            <w:tcW w:w="1114" w:type="dxa"/>
            <w:vAlign w:val="center"/>
          </w:tcPr>
          <w:p w14:paraId="30E81EB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92" w:type="dxa"/>
            <w:vAlign w:val="center"/>
          </w:tcPr>
          <w:p w14:paraId="5D19723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9" w:type="dxa"/>
            <w:vAlign w:val="center"/>
          </w:tcPr>
          <w:p w14:paraId="49DB420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 w14:paraId="6646E556">
      <w:pPr>
        <w:widowControl/>
        <w:jc w:val="left"/>
        <w:rPr>
          <w:rFonts w:ascii="仿宋" w:hAnsi="仿宋" w:eastAsia="仿宋"/>
          <w:sz w:val="30"/>
        </w:rPr>
      </w:pPr>
    </w:p>
    <w:p w14:paraId="69613DFE">
      <w:pPr>
        <w:spacing w:after="156"/>
        <w:jc w:val="center"/>
        <w:rPr>
          <w:rFonts w:hint="eastAsia" w:eastAsia="宋体"/>
          <w:lang w:eastAsia="zh-CN"/>
        </w:rPr>
      </w:pPr>
    </w:p>
    <w:p w14:paraId="5582E04F">
      <w:pPr>
        <w:spacing w:after="156"/>
        <w:jc w:val="center"/>
        <w:rPr>
          <w:rFonts w:hint="eastAsia" w:eastAsia="宋体"/>
          <w:lang w:eastAsia="zh-CN"/>
        </w:rPr>
      </w:pPr>
    </w:p>
    <w:p w14:paraId="3DAAD12F">
      <w:pPr>
        <w:spacing w:after="156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7" w:h="16840"/>
      <w:pgMar w:top="1134" w:right="907" w:bottom="284" w:left="907" w:header="567" w:footer="567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0A15CD"/>
    <w:multiLevelType w:val="multilevel"/>
    <w:tmpl w:val="040A15CD"/>
    <w:lvl w:ilvl="0" w:tentative="0">
      <w:start w:val="1"/>
      <w:numFmt w:val="lowerLetter"/>
      <w:lvlText w:val="%1)"/>
      <w:lvlJc w:val="left"/>
      <w:pPr>
        <w:tabs>
          <w:tab w:val="left" w:pos="420"/>
        </w:tabs>
        <w:ind w:left="420" w:hanging="420"/>
      </w:pPr>
      <w:rPr>
        <w:rFonts w:hint="eastAsia"/>
        <w:b w:val="0"/>
        <w:i w:val="0"/>
        <w:sz w:val="21"/>
      </w:rPr>
    </w:lvl>
    <w:lvl w:ilvl="1" w:tentative="0">
      <w:start w:val="1"/>
      <w:numFmt w:val="decimal"/>
      <w:isLgl/>
      <w:suff w:val="nothing"/>
      <w:lvlText w:val="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69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65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66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67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68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">
    <w:nsid w:val="12AE5373"/>
    <w:multiLevelType w:val="multilevel"/>
    <w:tmpl w:val="12AE5373"/>
    <w:lvl w:ilvl="0" w:tentative="0">
      <w:start w:val="1"/>
      <w:numFmt w:val="lowerLetter"/>
      <w:suff w:val="space"/>
      <w:lvlText w:val="%1）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pStyle w:val="85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74F3A6E"/>
    <w:multiLevelType w:val="multilevel"/>
    <w:tmpl w:val="274F3A6E"/>
    <w:lvl w:ilvl="0" w:tentative="0">
      <w:start w:val="1"/>
      <w:numFmt w:val="lowerLetter"/>
      <w:pStyle w:val="80"/>
      <w:lvlText w:val="%1)"/>
      <w:lvlJc w:val="left"/>
      <w:pPr>
        <w:ind w:left="313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33" w:hanging="420"/>
      </w:pPr>
    </w:lvl>
    <w:lvl w:ilvl="2" w:tentative="0">
      <w:start w:val="1"/>
      <w:numFmt w:val="lowerRoman"/>
      <w:lvlText w:val="%3."/>
      <w:lvlJc w:val="right"/>
      <w:pPr>
        <w:ind w:left="1153" w:hanging="420"/>
      </w:pPr>
    </w:lvl>
    <w:lvl w:ilvl="3" w:tentative="0">
      <w:start w:val="1"/>
      <w:numFmt w:val="decimal"/>
      <w:lvlText w:val="%4."/>
      <w:lvlJc w:val="left"/>
      <w:pPr>
        <w:ind w:left="1573" w:hanging="420"/>
      </w:pPr>
    </w:lvl>
    <w:lvl w:ilvl="4" w:tentative="0">
      <w:start w:val="1"/>
      <w:numFmt w:val="lowerLetter"/>
      <w:lvlText w:val="%5)"/>
      <w:lvlJc w:val="left"/>
      <w:pPr>
        <w:ind w:left="1993" w:hanging="420"/>
      </w:pPr>
    </w:lvl>
    <w:lvl w:ilvl="5" w:tentative="0">
      <w:start w:val="1"/>
      <w:numFmt w:val="lowerRoman"/>
      <w:lvlText w:val="%6."/>
      <w:lvlJc w:val="right"/>
      <w:pPr>
        <w:ind w:left="2413" w:hanging="420"/>
      </w:pPr>
    </w:lvl>
    <w:lvl w:ilvl="6" w:tentative="0">
      <w:start w:val="1"/>
      <w:numFmt w:val="decimal"/>
      <w:lvlText w:val="%7."/>
      <w:lvlJc w:val="left"/>
      <w:pPr>
        <w:ind w:left="2833" w:hanging="420"/>
      </w:pPr>
    </w:lvl>
    <w:lvl w:ilvl="7" w:tentative="0">
      <w:start w:val="1"/>
      <w:numFmt w:val="lowerLetter"/>
      <w:lvlText w:val="%8)"/>
      <w:lvlJc w:val="left"/>
      <w:pPr>
        <w:ind w:left="3253" w:hanging="420"/>
      </w:pPr>
    </w:lvl>
    <w:lvl w:ilvl="8" w:tentative="0">
      <w:start w:val="1"/>
      <w:numFmt w:val="lowerRoman"/>
      <w:lvlText w:val="%9."/>
      <w:lvlJc w:val="right"/>
      <w:pPr>
        <w:ind w:left="3673" w:hanging="420"/>
      </w:pPr>
    </w:lvl>
  </w:abstractNum>
  <w:abstractNum w:abstractNumId="3">
    <w:nsid w:val="29531665"/>
    <w:multiLevelType w:val="multilevel"/>
    <w:tmpl w:val="29531665"/>
    <w:lvl w:ilvl="0" w:tentative="0">
      <w:start w:val="1"/>
      <w:numFmt w:val="lowerLetter"/>
      <w:pStyle w:val="78"/>
      <w:lvlText w:val="%1)"/>
      <w:lvlJc w:val="left"/>
      <w:pPr>
        <w:ind w:left="313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33" w:hanging="420"/>
      </w:pPr>
    </w:lvl>
    <w:lvl w:ilvl="2" w:tentative="0">
      <w:start w:val="1"/>
      <w:numFmt w:val="lowerRoman"/>
      <w:lvlText w:val="%3."/>
      <w:lvlJc w:val="right"/>
      <w:pPr>
        <w:ind w:left="1153" w:hanging="420"/>
      </w:pPr>
    </w:lvl>
    <w:lvl w:ilvl="3" w:tentative="0">
      <w:start w:val="1"/>
      <w:numFmt w:val="decimal"/>
      <w:lvlText w:val="%4."/>
      <w:lvlJc w:val="left"/>
      <w:pPr>
        <w:ind w:left="1573" w:hanging="420"/>
      </w:pPr>
    </w:lvl>
    <w:lvl w:ilvl="4" w:tentative="0">
      <w:start w:val="1"/>
      <w:numFmt w:val="lowerLetter"/>
      <w:lvlText w:val="%5)"/>
      <w:lvlJc w:val="left"/>
      <w:pPr>
        <w:ind w:left="1993" w:hanging="420"/>
      </w:pPr>
    </w:lvl>
    <w:lvl w:ilvl="5" w:tentative="0">
      <w:start w:val="1"/>
      <w:numFmt w:val="lowerRoman"/>
      <w:lvlText w:val="%6."/>
      <w:lvlJc w:val="right"/>
      <w:pPr>
        <w:ind w:left="2413" w:hanging="420"/>
      </w:pPr>
    </w:lvl>
    <w:lvl w:ilvl="6" w:tentative="0">
      <w:start w:val="1"/>
      <w:numFmt w:val="decimal"/>
      <w:lvlText w:val="%7."/>
      <w:lvlJc w:val="left"/>
      <w:pPr>
        <w:ind w:left="2833" w:hanging="420"/>
      </w:pPr>
    </w:lvl>
    <w:lvl w:ilvl="7" w:tentative="0">
      <w:start w:val="1"/>
      <w:numFmt w:val="lowerLetter"/>
      <w:lvlText w:val="%8)"/>
      <w:lvlJc w:val="left"/>
      <w:pPr>
        <w:ind w:left="3253" w:hanging="420"/>
      </w:pPr>
    </w:lvl>
    <w:lvl w:ilvl="8" w:tentative="0">
      <w:start w:val="1"/>
      <w:numFmt w:val="lowerRoman"/>
      <w:lvlText w:val="%9."/>
      <w:lvlJc w:val="right"/>
      <w:pPr>
        <w:ind w:left="3673" w:hanging="420"/>
      </w:pPr>
    </w:lvl>
  </w:abstractNum>
  <w:abstractNum w:abstractNumId="4">
    <w:nsid w:val="756A3809"/>
    <w:multiLevelType w:val="multilevel"/>
    <w:tmpl w:val="756A3809"/>
    <w:lvl w:ilvl="0" w:tentative="0">
      <w:start w:val="1"/>
      <w:numFmt w:val="lowerLetter"/>
      <w:pStyle w:val="79"/>
      <w:lvlText w:val="%1)"/>
      <w:lvlJc w:val="left"/>
      <w:pPr>
        <w:ind w:left="313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33" w:hanging="420"/>
      </w:pPr>
    </w:lvl>
    <w:lvl w:ilvl="2" w:tentative="0">
      <w:start w:val="1"/>
      <w:numFmt w:val="lowerRoman"/>
      <w:lvlText w:val="%3."/>
      <w:lvlJc w:val="right"/>
      <w:pPr>
        <w:ind w:left="1153" w:hanging="420"/>
      </w:pPr>
    </w:lvl>
    <w:lvl w:ilvl="3" w:tentative="0">
      <w:start w:val="1"/>
      <w:numFmt w:val="decimal"/>
      <w:lvlText w:val="%4."/>
      <w:lvlJc w:val="left"/>
      <w:pPr>
        <w:ind w:left="1573" w:hanging="420"/>
      </w:pPr>
    </w:lvl>
    <w:lvl w:ilvl="4" w:tentative="0">
      <w:start w:val="1"/>
      <w:numFmt w:val="lowerLetter"/>
      <w:lvlText w:val="%5)"/>
      <w:lvlJc w:val="left"/>
      <w:pPr>
        <w:ind w:left="1993" w:hanging="420"/>
      </w:pPr>
    </w:lvl>
    <w:lvl w:ilvl="5" w:tentative="0">
      <w:start w:val="1"/>
      <w:numFmt w:val="lowerRoman"/>
      <w:lvlText w:val="%6."/>
      <w:lvlJc w:val="right"/>
      <w:pPr>
        <w:ind w:left="2413" w:hanging="420"/>
      </w:pPr>
    </w:lvl>
    <w:lvl w:ilvl="6" w:tentative="0">
      <w:start w:val="1"/>
      <w:numFmt w:val="decimal"/>
      <w:lvlText w:val="%7."/>
      <w:lvlJc w:val="left"/>
      <w:pPr>
        <w:ind w:left="2833" w:hanging="420"/>
      </w:pPr>
    </w:lvl>
    <w:lvl w:ilvl="7" w:tentative="0">
      <w:start w:val="1"/>
      <w:numFmt w:val="lowerLetter"/>
      <w:lvlText w:val="%8)"/>
      <w:lvlJc w:val="left"/>
      <w:pPr>
        <w:ind w:left="3253" w:hanging="420"/>
      </w:pPr>
    </w:lvl>
    <w:lvl w:ilvl="8" w:tentative="0">
      <w:start w:val="1"/>
      <w:numFmt w:val="lowerRoman"/>
      <w:lvlText w:val="%9."/>
      <w:lvlJc w:val="right"/>
      <w:pPr>
        <w:ind w:left="3673" w:hanging="420"/>
      </w:pPr>
    </w:lvl>
  </w:abstractNum>
  <w:abstractNum w:abstractNumId="5">
    <w:nsid w:val="76933334"/>
    <w:multiLevelType w:val="multilevel"/>
    <w:tmpl w:val="76933334"/>
    <w:lvl w:ilvl="0" w:tentative="0">
      <w:start w:val="1"/>
      <w:numFmt w:val="none"/>
      <w:pStyle w:val="48"/>
      <w:lvlText w:val="%1——"/>
      <w:lvlJc w:val="left"/>
      <w:pPr>
        <w:tabs>
          <w:tab w:val="left" w:pos="1287"/>
        </w:tabs>
        <w:ind w:left="98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987"/>
        </w:tabs>
        <w:ind w:left="987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07"/>
        </w:tabs>
        <w:ind w:left="1407" w:hanging="420"/>
      </w:pPr>
    </w:lvl>
    <w:lvl w:ilvl="3" w:tentative="0">
      <w:start w:val="1"/>
      <w:numFmt w:val="decimal"/>
      <w:lvlText w:val="%4."/>
      <w:lvlJc w:val="left"/>
      <w:pPr>
        <w:tabs>
          <w:tab w:val="left" w:pos="1827"/>
        </w:tabs>
        <w:ind w:left="1827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47"/>
        </w:tabs>
        <w:ind w:left="2247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67"/>
        </w:tabs>
        <w:ind w:left="2667" w:hanging="420"/>
      </w:pPr>
    </w:lvl>
    <w:lvl w:ilvl="6" w:tentative="0">
      <w:start w:val="1"/>
      <w:numFmt w:val="decimal"/>
      <w:lvlText w:val="%7."/>
      <w:lvlJc w:val="left"/>
      <w:pPr>
        <w:tabs>
          <w:tab w:val="left" w:pos="3087"/>
        </w:tabs>
        <w:ind w:left="3087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07"/>
        </w:tabs>
        <w:ind w:left="3507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27"/>
        </w:tabs>
        <w:ind w:left="3927" w:hanging="420"/>
      </w:pPr>
    </w:lvl>
  </w:abstractNum>
  <w:abstractNum w:abstractNumId="6">
    <w:nsid w:val="773753E5"/>
    <w:multiLevelType w:val="multilevel"/>
    <w:tmpl w:val="773753E5"/>
    <w:lvl w:ilvl="0" w:tentative="0">
      <w:start w:val="1"/>
      <w:numFmt w:val="lowerLetter"/>
      <w:suff w:val="space"/>
      <w:lvlText w:val="%1）"/>
      <w:lvlJc w:val="left"/>
      <w:pPr>
        <w:ind w:left="780" w:hanging="360"/>
      </w:pPr>
    </w:lvl>
    <w:lvl w:ilvl="1" w:tentative="0">
      <w:start w:val="1"/>
      <w:numFmt w:val="lowerLetter"/>
      <w:lvlText w:val="%2)"/>
      <w:lvlJc w:val="left"/>
      <w:pPr>
        <w:ind w:left="1365" w:hanging="420"/>
      </w:pPr>
    </w:lvl>
    <w:lvl w:ilvl="2" w:tentative="0">
      <w:start w:val="1"/>
      <w:numFmt w:val="lowerRoman"/>
      <w:pStyle w:val="75"/>
      <w:lvlText w:val="%3."/>
      <w:lvlJc w:val="right"/>
      <w:pPr>
        <w:ind w:left="1785" w:hanging="420"/>
      </w:pPr>
    </w:lvl>
    <w:lvl w:ilvl="3" w:tentative="0">
      <w:start w:val="1"/>
      <w:numFmt w:val="decimal"/>
      <w:pStyle w:val="76"/>
      <w:lvlText w:val="%4."/>
      <w:lvlJc w:val="left"/>
      <w:pPr>
        <w:ind w:left="2205" w:hanging="420"/>
      </w:pPr>
    </w:lvl>
    <w:lvl w:ilvl="4" w:tentative="0">
      <w:start w:val="1"/>
      <w:numFmt w:val="lowerLetter"/>
      <w:lvlText w:val="%5)"/>
      <w:lvlJc w:val="left"/>
      <w:pPr>
        <w:ind w:left="2625" w:hanging="420"/>
      </w:pPr>
    </w:lvl>
    <w:lvl w:ilvl="5" w:tentative="0">
      <w:start w:val="1"/>
      <w:numFmt w:val="lowerRoman"/>
      <w:lvlText w:val="%6."/>
      <w:lvlJc w:val="right"/>
      <w:pPr>
        <w:ind w:left="3045" w:hanging="420"/>
      </w:pPr>
    </w:lvl>
    <w:lvl w:ilvl="6" w:tentative="0">
      <w:start w:val="1"/>
      <w:numFmt w:val="decimal"/>
      <w:lvlText w:val="%7."/>
      <w:lvlJc w:val="left"/>
      <w:pPr>
        <w:ind w:left="3465" w:hanging="420"/>
      </w:pPr>
    </w:lvl>
    <w:lvl w:ilvl="7" w:tentative="0">
      <w:start w:val="1"/>
      <w:numFmt w:val="lowerLetter"/>
      <w:lvlText w:val="%8)"/>
      <w:lvlJc w:val="left"/>
      <w:pPr>
        <w:ind w:left="3885" w:hanging="420"/>
      </w:pPr>
    </w:lvl>
    <w:lvl w:ilvl="8" w:tentative="0">
      <w:start w:val="1"/>
      <w:numFmt w:val="lowerRoman"/>
      <w:lvlText w:val="%9."/>
      <w:lvlJc w:val="right"/>
      <w:pPr>
        <w:ind w:left="4305" w:hanging="42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3NjBmZjQzOTM5ZmIzMTk4MTNiNjQ3MWRhOGE3MDkifQ=="/>
  </w:docVars>
  <w:rsids>
    <w:rsidRoot w:val="00172A27"/>
    <w:rsid w:val="00000D41"/>
    <w:rsid w:val="00000F91"/>
    <w:rsid w:val="0000155E"/>
    <w:rsid w:val="00001D4A"/>
    <w:rsid w:val="000039D6"/>
    <w:rsid w:val="000040FE"/>
    <w:rsid w:val="0000533E"/>
    <w:rsid w:val="000053C2"/>
    <w:rsid w:val="000059AA"/>
    <w:rsid w:val="0001257F"/>
    <w:rsid w:val="00013DE9"/>
    <w:rsid w:val="00022589"/>
    <w:rsid w:val="000225AD"/>
    <w:rsid w:val="00023A05"/>
    <w:rsid w:val="00023E59"/>
    <w:rsid w:val="00025E20"/>
    <w:rsid w:val="000263C2"/>
    <w:rsid w:val="00026426"/>
    <w:rsid w:val="000267DE"/>
    <w:rsid w:val="000311E3"/>
    <w:rsid w:val="00031C93"/>
    <w:rsid w:val="00033911"/>
    <w:rsid w:val="00034213"/>
    <w:rsid w:val="0003440A"/>
    <w:rsid w:val="000361BE"/>
    <w:rsid w:val="00036418"/>
    <w:rsid w:val="000404DF"/>
    <w:rsid w:val="00044D8C"/>
    <w:rsid w:val="00045065"/>
    <w:rsid w:val="00045290"/>
    <w:rsid w:val="00045C3E"/>
    <w:rsid w:val="0004731F"/>
    <w:rsid w:val="00050C0A"/>
    <w:rsid w:val="00053098"/>
    <w:rsid w:val="00053264"/>
    <w:rsid w:val="00055107"/>
    <w:rsid w:val="00055A8B"/>
    <w:rsid w:val="000562F8"/>
    <w:rsid w:val="00057BD3"/>
    <w:rsid w:val="00060954"/>
    <w:rsid w:val="000609AD"/>
    <w:rsid w:val="000618AF"/>
    <w:rsid w:val="000654CF"/>
    <w:rsid w:val="00065AA0"/>
    <w:rsid w:val="00065D1B"/>
    <w:rsid w:val="000670D9"/>
    <w:rsid w:val="0007075F"/>
    <w:rsid w:val="000708B0"/>
    <w:rsid w:val="00070D15"/>
    <w:rsid w:val="00070F9F"/>
    <w:rsid w:val="0007169F"/>
    <w:rsid w:val="0007241D"/>
    <w:rsid w:val="00073C97"/>
    <w:rsid w:val="000746FF"/>
    <w:rsid w:val="000757BA"/>
    <w:rsid w:val="00075D13"/>
    <w:rsid w:val="00077077"/>
    <w:rsid w:val="00077BF7"/>
    <w:rsid w:val="00085FC3"/>
    <w:rsid w:val="0008729C"/>
    <w:rsid w:val="00090B8F"/>
    <w:rsid w:val="0009130E"/>
    <w:rsid w:val="00092556"/>
    <w:rsid w:val="00092ED5"/>
    <w:rsid w:val="000936D1"/>
    <w:rsid w:val="00097D61"/>
    <w:rsid w:val="000A16D3"/>
    <w:rsid w:val="000A3808"/>
    <w:rsid w:val="000A4955"/>
    <w:rsid w:val="000A5D3E"/>
    <w:rsid w:val="000A672C"/>
    <w:rsid w:val="000A6822"/>
    <w:rsid w:val="000A7981"/>
    <w:rsid w:val="000B107A"/>
    <w:rsid w:val="000B1168"/>
    <w:rsid w:val="000B1FE1"/>
    <w:rsid w:val="000B2C5B"/>
    <w:rsid w:val="000B3777"/>
    <w:rsid w:val="000B4CC9"/>
    <w:rsid w:val="000C03F7"/>
    <w:rsid w:val="000C375A"/>
    <w:rsid w:val="000C6D5A"/>
    <w:rsid w:val="000C725E"/>
    <w:rsid w:val="000C7A6C"/>
    <w:rsid w:val="000C7E1A"/>
    <w:rsid w:val="000D2A35"/>
    <w:rsid w:val="000D30AE"/>
    <w:rsid w:val="000D4C20"/>
    <w:rsid w:val="000D65E9"/>
    <w:rsid w:val="000D6D8F"/>
    <w:rsid w:val="000E3B2F"/>
    <w:rsid w:val="000E3F62"/>
    <w:rsid w:val="000F174B"/>
    <w:rsid w:val="000F2951"/>
    <w:rsid w:val="000F2BE2"/>
    <w:rsid w:val="000F4D42"/>
    <w:rsid w:val="000F61A3"/>
    <w:rsid w:val="000F72C8"/>
    <w:rsid w:val="00101CD5"/>
    <w:rsid w:val="001023D2"/>
    <w:rsid w:val="00102B7B"/>
    <w:rsid w:val="00104DE2"/>
    <w:rsid w:val="0010670C"/>
    <w:rsid w:val="00107C34"/>
    <w:rsid w:val="00107CA7"/>
    <w:rsid w:val="00111453"/>
    <w:rsid w:val="001119D6"/>
    <w:rsid w:val="00113123"/>
    <w:rsid w:val="00114941"/>
    <w:rsid w:val="00117A90"/>
    <w:rsid w:val="00121E84"/>
    <w:rsid w:val="001230B5"/>
    <w:rsid w:val="00130145"/>
    <w:rsid w:val="001316AB"/>
    <w:rsid w:val="00132172"/>
    <w:rsid w:val="001323DC"/>
    <w:rsid w:val="001326F7"/>
    <w:rsid w:val="00136FF2"/>
    <w:rsid w:val="001370AD"/>
    <w:rsid w:val="00141A8B"/>
    <w:rsid w:val="00142AD4"/>
    <w:rsid w:val="00143BC6"/>
    <w:rsid w:val="00143EF4"/>
    <w:rsid w:val="001442C2"/>
    <w:rsid w:val="00145351"/>
    <w:rsid w:val="00147277"/>
    <w:rsid w:val="00147309"/>
    <w:rsid w:val="001475C9"/>
    <w:rsid w:val="001477E1"/>
    <w:rsid w:val="001504EB"/>
    <w:rsid w:val="00150DBE"/>
    <w:rsid w:val="001524AB"/>
    <w:rsid w:val="00156222"/>
    <w:rsid w:val="0015626D"/>
    <w:rsid w:val="0015641B"/>
    <w:rsid w:val="00156619"/>
    <w:rsid w:val="0016018B"/>
    <w:rsid w:val="0016213A"/>
    <w:rsid w:val="00163931"/>
    <w:rsid w:val="0016513C"/>
    <w:rsid w:val="0016681E"/>
    <w:rsid w:val="00170E12"/>
    <w:rsid w:val="001725D8"/>
    <w:rsid w:val="00172A27"/>
    <w:rsid w:val="00174115"/>
    <w:rsid w:val="00174B63"/>
    <w:rsid w:val="001773A9"/>
    <w:rsid w:val="00177B7C"/>
    <w:rsid w:val="00181B8F"/>
    <w:rsid w:val="00182A8E"/>
    <w:rsid w:val="00182EE7"/>
    <w:rsid w:val="00185445"/>
    <w:rsid w:val="00186344"/>
    <w:rsid w:val="00187FC7"/>
    <w:rsid w:val="00190254"/>
    <w:rsid w:val="00190424"/>
    <w:rsid w:val="001907D0"/>
    <w:rsid w:val="0019122A"/>
    <w:rsid w:val="001913DC"/>
    <w:rsid w:val="00191E0C"/>
    <w:rsid w:val="00192A3E"/>
    <w:rsid w:val="001959FD"/>
    <w:rsid w:val="001A0E76"/>
    <w:rsid w:val="001A298F"/>
    <w:rsid w:val="001A4D09"/>
    <w:rsid w:val="001B29DB"/>
    <w:rsid w:val="001B3715"/>
    <w:rsid w:val="001B45E5"/>
    <w:rsid w:val="001B4C74"/>
    <w:rsid w:val="001B60AA"/>
    <w:rsid w:val="001B60DB"/>
    <w:rsid w:val="001B7BD9"/>
    <w:rsid w:val="001C0B3B"/>
    <w:rsid w:val="001C1FAE"/>
    <w:rsid w:val="001C3AFE"/>
    <w:rsid w:val="001C3B23"/>
    <w:rsid w:val="001C6156"/>
    <w:rsid w:val="001C6B8B"/>
    <w:rsid w:val="001D0EB4"/>
    <w:rsid w:val="001D17C8"/>
    <w:rsid w:val="001D30FD"/>
    <w:rsid w:val="001D5F2E"/>
    <w:rsid w:val="001D6B90"/>
    <w:rsid w:val="001D7015"/>
    <w:rsid w:val="001E077B"/>
    <w:rsid w:val="001E12A9"/>
    <w:rsid w:val="001E1935"/>
    <w:rsid w:val="001E2599"/>
    <w:rsid w:val="001E4549"/>
    <w:rsid w:val="001E4BFE"/>
    <w:rsid w:val="001E5402"/>
    <w:rsid w:val="001F0E6D"/>
    <w:rsid w:val="001F0E81"/>
    <w:rsid w:val="001F2070"/>
    <w:rsid w:val="001F3E76"/>
    <w:rsid w:val="001F6F1F"/>
    <w:rsid w:val="001F7997"/>
    <w:rsid w:val="0020010D"/>
    <w:rsid w:val="00200480"/>
    <w:rsid w:val="002017BC"/>
    <w:rsid w:val="00202E7E"/>
    <w:rsid w:val="00203BDC"/>
    <w:rsid w:val="00204723"/>
    <w:rsid w:val="00205B5F"/>
    <w:rsid w:val="00205C2D"/>
    <w:rsid w:val="0020791C"/>
    <w:rsid w:val="00210A23"/>
    <w:rsid w:val="00211532"/>
    <w:rsid w:val="002115D5"/>
    <w:rsid w:val="00211B39"/>
    <w:rsid w:val="00211F90"/>
    <w:rsid w:val="00213351"/>
    <w:rsid w:val="0021377D"/>
    <w:rsid w:val="00213ED4"/>
    <w:rsid w:val="00215042"/>
    <w:rsid w:val="00215D65"/>
    <w:rsid w:val="00217FBA"/>
    <w:rsid w:val="0022064B"/>
    <w:rsid w:val="002220F8"/>
    <w:rsid w:val="00222ED1"/>
    <w:rsid w:val="0022553A"/>
    <w:rsid w:val="00225E9A"/>
    <w:rsid w:val="0022670D"/>
    <w:rsid w:val="002267D1"/>
    <w:rsid w:val="00230DEB"/>
    <w:rsid w:val="0023123F"/>
    <w:rsid w:val="00232D9B"/>
    <w:rsid w:val="00233D24"/>
    <w:rsid w:val="00234FC8"/>
    <w:rsid w:val="00240020"/>
    <w:rsid w:val="00241959"/>
    <w:rsid w:val="00241AA1"/>
    <w:rsid w:val="002429F8"/>
    <w:rsid w:val="0024438E"/>
    <w:rsid w:val="002456D3"/>
    <w:rsid w:val="0024580C"/>
    <w:rsid w:val="00246373"/>
    <w:rsid w:val="00246876"/>
    <w:rsid w:val="00251180"/>
    <w:rsid w:val="00251C71"/>
    <w:rsid w:val="002533A7"/>
    <w:rsid w:val="00253BAF"/>
    <w:rsid w:val="00253DE8"/>
    <w:rsid w:val="00256716"/>
    <w:rsid w:val="00257BFD"/>
    <w:rsid w:val="002617F0"/>
    <w:rsid w:val="002634D9"/>
    <w:rsid w:val="0026446B"/>
    <w:rsid w:val="0026588A"/>
    <w:rsid w:val="00270A57"/>
    <w:rsid w:val="00271919"/>
    <w:rsid w:val="0027365F"/>
    <w:rsid w:val="00274173"/>
    <w:rsid w:val="0027739C"/>
    <w:rsid w:val="00280D87"/>
    <w:rsid w:val="00280EDD"/>
    <w:rsid w:val="00281EEB"/>
    <w:rsid w:val="0028666A"/>
    <w:rsid w:val="00286E1C"/>
    <w:rsid w:val="0029035F"/>
    <w:rsid w:val="00290CD1"/>
    <w:rsid w:val="002917E1"/>
    <w:rsid w:val="00291905"/>
    <w:rsid w:val="00291BD2"/>
    <w:rsid w:val="00293CEF"/>
    <w:rsid w:val="002948D2"/>
    <w:rsid w:val="0029605F"/>
    <w:rsid w:val="00296A70"/>
    <w:rsid w:val="00297DBB"/>
    <w:rsid w:val="002A1878"/>
    <w:rsid w:val="002A2B39"/>
    <w:rsid w:val="002A3AFF"/>
    <w:rsid w:val="002B6B78"/>
    <w:rsid w:val="002B7A24"/>
    <w:rsid w:val="002C1398"/>
    <w:rsid w:val="002C27C1"/>
    <w:rsid w:val="002C3489"/>
    <w:rsid w:val="002C5828"/>
    <w:rsid w:val="002C653F"/>
    <w:rsid w:val="002C7771"/>
    <w:rsid w:val="002D0078"/>
    <w:rsid w:val="002D1547"/>
    <w:rsid w:val="002D4168"/>
    <w:rsid w:val="002D583F"/>
    <w:rsid w:val="002D5FF3"/>
    <w:rsid w:val="002E05FC"/>
    <w:rsid w:val="002E2BA1"/>
    <w:rsid w:val="002E32A5"/>
    <w:rsid w:val="002E48AB"/>
    <w:rsid w:val="002E66E2"/>
    <w:rsid w:val="002F0542"/>
    <w:rsid w:val="002F0936"/>
    <w:rsid w:val="002F2889"/>
    <w:rsid w:val="002F39B4"/>
    <w:rsid w:val="002F5070"/>
    <w:rsid w:val="002F5F5D"/>
    <w:rsid w:val="002F7442"/>
    <w:rsid w:val="002F759C"/>
    <w:rsid w:val="00301477"/>
    <w:rsid w:val="00301B17"/>
    <w:rsid w:val="003023E5"/>
    <w:rsid w:val="00306204"/>
    <w:rsid w:val="00306917"/>
    <w:rsid w:val="00307A54"/>
    <w:rsid w:val="00311D4F"/>
    <w:rsid w:val="003124A1"/>
    <w:rsid w:val="003169D1"/>
    <w:rsid w:val="0031793D"/>
    <w:rsid w:val="00320F2E"/>
    <w:rsid w:val="00321E26"/>
    <w:rsid w:val="00321E7C"/>
    <w:rsid w:val="00322D62"/>
    <w:rsid w:val="00332AEA"/>
    <w:rsid w:val="0033501A"/>
    <w:rsid w:val="00340B16"/>
    <w:rsid w:val="0034123C"/>
    <w:rsid w:val="003426E7"/>
    <w:rsid w:val="00342FC7"/>
    <w:rsid w:val="003430F4"/>
    <w:rsid w:val="00344785"/>
    <w:rsid w:val="00347174"/>
    <w:rsid w:val="00347835"/>
    <w:rsid w:val="00354796"/>
    <w:rsid w:val="00357FAD"/>
    <w:rsid w:val="00362EEF"/>
    <w:rsid w:val="003633EA"/>
    <w:rsid w:val="00363AD7"/>
    <w:rsid w:val="00363C96"/>
    <w:rsid w:val="00365758"/>
    <w:rsid w:val="00365862"/>
    <w:rsid w:val="00366A00"/>
    <w:rsid w:val="00366FF7"/>
    <w:rsid w:val="00370E8A"/>
    <w:rsid w:val="00372C86"/>
    <w:rsid w:val="00376EC4"/>
    <w:rsid w:val="003812EB"/>
    <w:rsid w:val="003817E4"/>
    <w:rsid w:val="00381ABC"/>
    <w:rsid w:val="00383D76"/>
    <w:rsid w:val="003845B0"/>
    <w:rsid w:val="003850F3"/>
    <w:rsid w:val="003851C4"/>
    <w:rsid w:val="00385BFA"/>
    <w:rsid w:val="003877BA"/>
    <w:rsid w:val="0039226D"/>
    <w:rsid w:val="003937FE"/>
    <w:rsid w:val="00394810"/>
    <w:rsid w:val="00395BBB"/>
    <w:rsid w:val="00397BC6"/>
    <w:rsid w:val="003A0B01"/>
    <w:rsid w:val="003A2364"/>
    <w:rsid w:val="003A2985"/>
    <w:rsid w:val="003A2A8A"/>
    <w:rsid w:val="003A3B2C"/>
    <w:rsid w:val="003A4748"/>
    <w:rsid w:val="003A516D"/>
    <w:rsid w:val="003A5A18"/>
    <w:rsid w:val="003A6228"/>
    <w:rsid w:val="003A627E"/>
    <w:rsid w:val="003B11B6"/>
    <w:rsid w:val="003B1E8C"/>
    <w:rsid w:val="003B2F5C"/>
    <w:rsid w:val="003B6F03"/>
    <w:rsid w:val="003B7D45"/>
    <w:rsid w:val="003C3330"/>
    <w:rsid w:val="003C486C"/>
    <w:rsid w:val="003C48D5"/>
    <w:rsid w:val="003C4FDE"/>
    <w:rsid w:val="003C634F"/>
    <w:rsid w:val="003C635D"/>
    <w:rsid w:val="003C70AD"/>
    <w:rsid w:val="003D3C37"/>
    <w:rsid w:val="003D3D4F"/>
    <w:rsid w:val="003D3DAF"/>
    <w:rsid w:val="003D4848"/>
    <w:rsid w:val="003D5229"/>
    <w:rsid w:val="003D7FB7"/>
    <w:rsid w:val="003E0911"/>
    <w:rsid w:val="003E23D4"/>
    <w:rsid w:val="003E2ED8"/>
    <w:rsid w:val="003E3D1B"/>
    <w:rsid w:val="003E3D52"/>
    <w:rsid w:val="003E5AE7"/>
    <w:rsid w:val="003E66E6"/>
    <w:rsid w:val="003E6844"/>
    <w:rsid w:val="003E709A"/>
    <w:rsid w:val="003E7DF2"/>
    <w:rsid w:val="003F0BD2"/>
    <w:rsid w:val="003F0CF8"/>
    <w:rsid w:val="003F12C6"/>
    <w:rsid w:val="003F2085"/>
    <w:rsid w:val="003F288D"/>
    <w:rsid w:val="003F3331"/>
    <w:rsid w:val="003F416F"/>
    <w:rsid w:val="003F694E"/>
    <w:rsid w:val="003F71AE"/>
    <w:rsid w:val="003F75A5"/>
    <w:rsid w:val="003F7885"/>
    <w:rsid w:val="004001D1"/>
    <w:rsid w:val="00400E9F"/>
    <w:rsid w:val="00401E00"/>
    <w:rsid w:val="0040423D"/>
    <w:rsid w:val="004051C0"/>
    <w:rsid w:val="004103EC"/>
    <w:rsid w:val="00413C53"/>
    <w:rsid w:val="0041486B"/>
    <w:rsid w:val="00415945"/>
    <w:rsid w:val="004161C7"/>
    <w:rsid w:val="00417352"/>
    <w:rsid w:val="004230BE"/>
    <w:rsid w:val="0042489B"/>
    <w:rsid w:val="00426594"/>
    <w:rsid w:val="00430153"/>
    <w:rsid w:val="00433D6F"/>
    <w:rsid w:val="0043728D"/>
    <w:rsid w:val="00440B81"/>
    <w:rsid w:val="0044295C"/>
    <w:rsid w:val="00443EDA"/>
    <w:rsid w:val="004453F1"/>
    <w:rsid w:val="004458D6"/>
    <w:rsid w:val="00451CFF"/>
    <w:rsid w:val="00452953"/>
    <w:rsid w:val="0045681A"/>
    <w:rsid w:val="00456945"/>
    <w:rsid w:val="004570FD"/>
    <w:rsid w:val="0045722E"/>
    <w:rsid w:val="00457818"/>
    <w:rsid w:val="00457B31"/>
    <w:rsid w:val="0046057A"/>
    <w:rsid w:val="00460ACA"/>
    <w:rsid w:val="00461BC2"/>
    <w:rsid w:val="00462205"/>
    <w:rsid w:val="0046440C"/>
    <w:rsid w:val="00467567"/>
    <w:rsid w:val="00470732"/>
    <w:rsid w:val="00472240"/>
    <w:rsid w:val="00472E21"/>
    <w:rsid w:val="00475536"/>
    <w:rsid w:val="00475DF9"/>
    <w:rsid w:val="0048055E"/>
    <w:rsid w:val="0048117B"/>
    <w:rsid w:val="00482784"/>
    <w:rsid w:val="00487915"/>
    <w:rsid w:val="00490B09"/>
    <w:rsid w:val="00490B59"/>
    <w:rsid w:val="0049188B"/>
    <w:rsid w:val="0049453E"/>
    <w:rsid w:val="00495F7A"/>
    <w:rsid w:val="00496B20"/>
    <w:rsid w:val="004A145E"/>
    <w:rsid w:val="004A370A"/>
    <w:rsid w:val="004A4179"/>
    <w:rsid w:val="004A6E3D"/>
    <w:rsid w:val="004A7B21"/>
    <w:rsid w:val="004B14FE"/>
    <w:rsid w:val="004B48E4"/>
    <w:rsid w:val="004B6F00"/>
    <w:rsid w:val="004B78BA"/>
    <w:rsid w:val="004C6750"/>
    <w:rsid w:val="004C7CA6"/>
    <w:rsid w:val="004D6D73"/>
    <w:rsid w:val="004E36CD"/>
    <w:rsid w:val="004E389E"/>
    <w:rsid w:val="004F3F93"/>
    <w:rsid w:val="004F4648"/>
    <w:rsid w:val="004F4A23"/>
    <w:rsid w:val="004F5AD8"/>
    <w:rsid w:val="004F62A0"/>
    <w:rsid w:val="004F7A3C"/>
    <w:rsid w:val="00501AEA"/>
    <w:rsid w:val="005023D5"/>
    <w:rsid w:val="005024EC"/>
    <w:rsid w:val="00502DB3"/>
    <w:rsid w:val="00504C99"/>
    <w:rsid w:val="00504EB0"/>
    <w:rsid w:val="00505180"/>
    <w:rsid w:val="00505F49"/>
    <w:rsid w:val="005110B7"/>
    <w:rsid w:val="00513A51"/>
    <w:rsid w:val="005148DD"/>
    <w:rsid w:val="005156E0"/>
    <w:rsid w:val="00520304"/>
    <w:rsid w:val="0052255F"/>
    <w:rsid w:val="00523486"/>
    <w:rsid w:val="005250DB"/>
    <w:rsid w:val="00525E10"/>
    <w:rsid w:val="00525E6D"/>
    <w:rsid w:val="00526966"/>
    <w:rsid w:val="00530AEE"/>
    <w:rsid w:val="00532FC2"/>
    <w:rsid w:val="005330A5"/>
    <w:rsid w:val="005332C7"/>
    <w:rsid w:val="005352F6"/>
    <w:rsid w:val="005367B6"/>
    <w:rsid w:val="00536D55"/>
    <w:rsid w:val="00536D8B"/>
    <w:rsid w:val="00537C6D"/>
    <w:rsid w:val="00542BD0"/>
    <w:rsid w:val="00544597"/>
    <w:rsid w:val="00544DEA"/>
    <w:rsid w:val="0054708C"/>
    <w:rsid w:val="005507E7"/>
    <w:rsid w:val="00551AC5"/>
    <w:rsid w:val="00551F6F"/>
    <w:rsid w:val="00555EB0"/>
    <w:rsid w:val="0055654A"/>
    <w:rsid w:val="00557755"/>
    <w:rsid w:val="00557FCD"/>
    <w:rsid w:val="00560D6F"/>
    <w:rsid w:val="00560DF4"/>
    <w:rsid w:val="00562972"/>
    <w:rsid w:val="00567692"/>
    <w:rsid w:val="005715B8"/>
    <w:rsid w:val="00572935"/>
    <w:rsid w:val="00572A4C"/>
    <w:rsid w:val="00573540"/>
    <w:rsid w:val="00576044"/>
    <w:rsid w:val="005771FB"/>
    <w:rsid w:val="005776E3"/>
    <w:rsid w:val="005806A2"/>
    <w:rsid w:val="00582727"/>
    <w:rsid w:val="00584C15"/>
    <w:rsid w:val="0058673B"/>
    <w:rsid w:val="00587BA6"/>
    <w:rsid w:val="00587CB4"/>
    <w:rsid w:val="00592AA0"/>
    <w:rsid w:val="005948ED"/>
    <w:rsid w:val="00595579"/>
    <w:rsid w:val="00595AC3"/>
    <w:rsid w:val="00597BB1"/>
    <w:rsid w:val="005A1C15"/>
    <w:rsid w:val="005A54D8"/>
    <w:rsid w:val="005A6087"/>
    <w:rsid w:val="005A6389"/>
    <w:rsid w:val="005A773D"/>
    <w:rsid w:val="005B117E"/>
    <w:rsid w:val="005B1299"/>
    <w:rsid w:val="005B13B5"/>
    <w:rsid w:val="005B34B1"/>
    <w:rsid w:val="005B3BC5"/>
    <w:rsid w:val="005B4CBF"/>
    <w:rsid w:val="005B4EE8"/>
    <w:rsid w:val="005B676C"/>
    <w:rsid w:val="005B77DB"/>
    <w:rsid w:val="005C0387"/>
    <w:rsid w:val="005C0FE8"/>
    <w:rsid w:val="005C2F33"/>
    <w:rsid w:val="005C34D4"/>
    <w:rsid w:val="005C393E"/>
    <w:rsid w:val="005C3CD6"/>
    <w:rsid w:val="005C6474"/>
    <w:rsid w:val="005D1373"/>
    <w:rsid w:val="005D30D5"/>
    <w:rsid w:val="005D36C4"/>
    <w:rsid w:val="005D4728"/>
    <w:rsid w:val="005D4C6D"/>
    <w:rsid w:val="005D55D6"/>
    <w:rsid w:val="005E087A"/>
    <w:rsid w:val="005E16D5"/>
    <w:rsid w:val="005E2151"/>
    <w:rsid w:val="005E2832"/>
    <w:rsid w:val="005E3345"/>
    <w:rsid w:val="005E50CD"/>
    <w:rsid w:val="005E71E3"/>
    <w:rsid w:val="005F2E74"/>
    <w:rsid w:val="005F3AC7"/>
    <w:rsid w:val="005F3F66"/>
    <w:rsid w:val="005F4949"/>
    <w:rsid w:val="005F6305"/>
    <w:rsid w:val="006015EB"/>
    <w:rsid w:val="0060198C"/>
    <w:rsid w:val="00602A33"/>
    <w:rsid w:val="00602C22"/>
    <w:rsid w:val="00605D42"/>
    <w:rsid w:val="006064AA"/>
    <w:rsid w:val="00610D0A"/>
    <w:rsid w:val="00614FDC"/>
    <w:rsid w:val="0061628F"/>
    <w:rsid w:val="00616F6B"/>
    <w:rsid w:val="00617201"/>
    <w:rsid w:val="00617A61"/>
    <w:rsid w:val="00620F11"/>
    <w:rsid w:val="00630241"/>
    <w:rsid w:val="00631752"/>
    <w:rsid w:val="0063493E"/>
    <w:rsid w:val="00634980"/>
    <w:rsid w:val="00635451"/>
    <w:rsid w:val="006366E9"/>
    <w:rsid w:val="006379D1"/>
    <w:rsid w:val="00641348"/>
    <w:rsid w:val="00641AE4"/>
    <w:rsid w:val="006446F7"/>
    <w:rsid w:val="00647EE2"/>
    <w:rsid w:val="0065016E"/>
    <w:rsid w:val="00653B71"/>
    <w:rsid w:val="00654924"/>
    <w:rsid w:val="00654EB0"/>
    <w:rsid w:val="0065569E"/>
    <w:rsid w:val="00656A26"/>
    <w:rsid w:val="00657948"/>
    <w:rsid w:val="00661A6E"/>
    <w:rsid w:val="00662756"/>
    <w:rsid w:val="00662F86"/>
    <w:rsid w:val="006663B1"/>
    <w:rsid w:val="00666F4B"/>
    <w:rsid w:val="006709E6"/>
    <w:rsid w:val="00672B30"/>
    <w:rsid w:val="006730FC"/>
    <w:rsid w:val="00680CAC"/>
    <w:rsid w:val="00681D8A"/>
    <w:rsid w:val="006836C7"/>
    <w:rsid w:val="00683B4D"/>
    <w:rsid w:val="00683E07"/>
    <w:rsid w:val="00684F7B"/>
    <w:rsid w:val="00685BB4"/>
    <w:rsid w:val="006862B2"/>
    <w:rsid w:val="00694A64"/>
    <w:rsid w:val="006A55E2"/>
    <w:rsid w:val="006A6CFE"/>
    <w:rsid w:val="006A7667"/>
    <w:rsid w:val="006B0EC6"/>
    <w:rsid w:val="006B3D55"/>
    <w:rsid w:val="006B416B"/>
    <w:rsid w:val="006B4255"/>
    <w:rsid w:val="006B50B9"/>
    <w:rsid w:val="006B69B0"/>
    <w:rsid w:val="006C12C3"/>
    <w:rsid w:val="006C17B1"/>
    <w:rsid w:val="006C38F1"/>
    <w:rsid w:val="006C3CAB"/>
    <w:rsid w:val="006C46E9"/>
    <w:rsid w:val="006C4FA8"/>
    <w:rsid w:val="006C5F3F"/>
    <w:rsid w:val="006C70B0"/>
    <w:rsid w:val="006C7D65"/>
    <w:rsid w:val="006C7E3D"/>
    <w:rsid w:val="006D04D4"/>
    <w:rsid w:val="006D144D"/>
    <w:rsid w:val="006D16C8"/>
    <w:rsid w:val="006D2BE9"/>
    <w:rsid w:val="006D3783"/>
    <w:rsid w:val="006D59E5"/>
    <w:rsid w:val="006D6527"/>
    <w:rsid w:val="006D6D05"/>
    <w:rsid w:val="006E0035"/>
    <w:rsid w:val="006E0DFC"/>
    <w:rsid w:val="006E0E61"/>
    <w:rsid w:val="006E2980"/>
    <w:rsid w:val="006E3B2F"/>
    <w:rsid w:val="006E40A9"/>
    <w:rsid w:val="006E4285"/>
    <w:rsid w:val="006E4E6D"/>
    <w:rsid w:val="006E5EAE"/>
    <w:rsid w:val="006E605A"/>
    <w:rsid w:val="006E7724"/>
    <w:rsid w:val="006F1460"/>
    <w:rsid w:val="006F5A9F"/>
    <w:rsid w:val="006F5F1E"/>
    <w:rsid w:val="006F793D"/>
    <w:rsid w:val="007008AF"/>
    <w:rsid w:val="00700C24"/>
    <w:rsid w:val="00701A83"/>
    <w:rsid w:val="007030D4"/>
    <w:rsid w:val="00704331"/>
    <w:rsid w:val="00705130"/>
    <w:rsid w:val="0070690F"/>
    <w:rsid w:val="00707425"/>
    <w:rsid w:val="00710284"/>
    <w:rsid w:val="00710861"/>
    <w:rsid w:val="007110CB"/>
    <w:rsid w:val="00712383"/>
    <w:rsid w:val="00715B47"/>
    <w:rsid w:val="00721649"/>
    <w:rsid w:val="00724658"/>
    <w:rsid w:val="00724877"/>
    <w:rsid w:val="00726015"/>
    <w:rsid w:val="00730EA8"/>
    <w:rsid w:val="00731631"/>
    <w:rsid w:val="00733E03"/>
    <w:rsid w:val="00736DC1"/>
    <w:rsid w:val="00737BAE"/>
    <w:rsid w:val="00741796"/>
    <w:rsid w:val="00741D54"/>
    <w:rsid w:val="00742DCF"/>
    <w:rsid w:val="00744321"/>
    <w:rsid w:val="00746D48"/>
    <w:rsid w:val="00747288"/>
    <w:rsid w:val="00750ADD"/>
    <w:rsid w:val="00751F6A"/>
    <w:rsid w:val="00753725"/>
    <w:rsid w:val="00753C82"/>
    <w:rsid w:val="007543DF"/>
    <w:rsid w:val="007545EE"/>
    <w:rsid w:val="00755DCF"/>
    <w:rsid w:val="00756A4D"/>
    <w:rsid w:val="00760F97"/>
    <w:rsid w:val="0076130C"/>
    <w:rsid w:val="00761630"/>
    <w:rsid w:val="0076244D"/>
    <w:rsid w:val="00763A32"/>
    <w:rsid w:val="00765221"/>
    <w:rsid w:val="00766EAD"/>
    <w:rsid w:val="00770900"/>
    <w:rsid w:val="007753CF"/>
    <w:rsid w:val="00781ACA"/>
    <w:rsid w:val="00782A2E"/>
    <w:rsid w:val="00782D8A"/>
    <w:rsid w:val="00783D42"/>
    <w:rsid w:val="007856F2"/>
    <w:rsid w:val="00786F7B"/>
    <w:rsid w:val="0078720B"/>
    <w:rsid w:val="007873FC"/>
    <w:rsid w:val="00791750"/>
    <w:rsid w:val="00791A77"/>
    <w:rsid w:val="00793D5B"/>
    <w:rsid w:val="00794A3E"/>
    <w:rsid w:val="00795CE6"/>
    <w:rsid w:val="007964F3"/>
    <w:rsid w:val="0079671B"/>
    <w:rsid w:val="007A0810"/>
    <w:rsid w:val="007A3FD3"/>
    <w:rsid w:val="007A47B9"/>
    <w:rsid w:val="007A5207"/>
    <w:rsid w:val="007A55B7"/>
    <w:rsid w:val="007A7225"/>
    <w:rsid w:val="007B29DD"/>
    <w:rsid w:val="007B3EF6"/>
    <w:rsid w:val="007B40CF"/>
    <w:rsid w:val="007B4BFB"/>
    <w:rsid w:val="007C0225"/>
    <w:rsid w:val="007C0241"/>
    <w:rsid w:val="007C2EBC"/>
    <w:rsid w:val="007C2FBD"/>
    <w:rsid w:val="007D040D"/>
    <w:rsid w:val="007D1365"/>
    <w:rsid w:val="007D1639"/>
    <w:rsid w:val="007D2CFC"/>
    <w:rsid w:val="007D3EC5"/>
    <w:rsid w:val="007D4127"/>
    <w:rsid w:val="007D54CF"/>
    <w:rsid w:val="007D6B30"/>
    <w:rsid w:val="007E0498"/>
    <w:rsid w:val="007E1BC4"/>
    <w:rsid w:val="007E1DFD"/>
    <w:rsid w:val="007E259F"/>
    <w:rsid w:val="007E2A4D"/>
    <w:rsid w:val="007E351B"/>
    <w:rsid w:val="007E369A"/>
    <w:rsid w:val="007E578D"/>
    <w:rsid w:val="007E5993"/>
    <w:rsid w:val="007E5DA5"/>
    <w:rsid w:val="007E79CC"/>
    <w:rsid w:val="007F1C28"/>
    <w:rsid w:val="007F5997"/>
    <w:rsid w:val="007F5F67"/>
    <w:rsid w:val="007F7503"/>
    <w:rsid w:val="0080384F"/>
    <w:rsid w:val="00805090"/>
    <w:rsid w:val="00811461"/>
    <w:rsid w:val="00811FF3"/>
    <w:rsid w:val="0081348A"/>
    <w:rsid w:val="008134D7"/>
    <w:rsid w:val="0081491F"/>
    <w:rsid w:val="00814EC6"/>
    <w:rsid w:val="008153EA"/>
    <w:rsid w:val="00815F0B"/>
    <w:rsid w:val="00816547"/>
    <w:rsid w:val="00816748"/>
    <w:rsid w:val="00817769"/>
    <w:rsid w:val="00817B05"/>
    <w:rsid w:val="008207FF"/>
    <w:rsid w:val="00820940"/>
    <w:rsid w:val="00820F9D"/>
    <w:rsid w:val="00823DF8"/>
    <w:rsid w:val="008278A6"/>
    <w:rsid w:val="0083034F"/>
    <w:rsid w:val="0083171C"/>
    <w:rsid w:val="00834067"/>
    <w:rsid w:val="00834B80"/>
    <w:rsid w:val="00835969"/>
    <w:rsid w:val="00835EB7"/>
    <w:rsid w:val="008361CE"/>
    <w:rsid w:val="00837B3B"/>
    <w:rsid w:val="00840725"/>
    <w:rsid w:val="008412CC"/>
    <w:rsid w:val="00841B1E"/>
    <w:rsid w:val="008430C8"/>
    <w:rsid w:val="00844CCD"/>
    <w:rsid w:val="00846F0C"/>
    <w:rsid w:val="008508C6"/>
    <w:rsid w:val="00851F86"/>
    <w:rsid w:val="00853771"/>
    <w:rsid w:val="00855801"/>
    <w:rsid w:val="00856A4C"/>
    <w:rsid w:val="00856A9C"/>
    <w:rsid w:val="008602DB"/>
    <w:rsid w:val="008606CB"/>
    <w:rsid w:val="00861F18"/>
    <w:rsid w:val="008627B1"/>
    <w:rsid w:val="00864066"/>
    <w:rsid w:val="00866C98"/>
    <w:rsid w:val="00870425"/>
    <w:rsid w:val="00870515"/>
    <w:rsid w:val="00873FA6"/>
    <w:rsid w:val="00874F8D"/>
    <w:rsid w:val="008763BF"/>
    <w:rsid w:val="00880234"/>
    <w:rsid w:val="00880B78"/>
    <w:rsid w:val="0088265E"/>
    <w:rsid w:val="00882AD7"/>
    <w:rsid w:val="00883CD8"/>
    <w:rsid w:val="00885F30"/>
    <w:rsid w:val="008901DE"/>
    <w:rsid w:val="00891C03"/>
    <w:rsid w:val="008923FF"/>
    <w:rsid w:val="00895350"/>
    <w:rsid w:val="00895CA4"/>
    <w:rsid w:val="008A0154"/>
    <w:rsid w:val="008A4BC6"/>
    <w:rsid w:val="008A5470"/>
    <w:rsid w:val="008A5C37"/>
    <w:rsid w:val="008A5DCC"/>
    <w:rsid w:val="008A62C6"/>
    <w:rsid w:val="008B1E8C"/>
    <w:rsid w:val="008B31AD"/>
    <w:rsid w:val="008B4095"/>
    <w:rsid w:val="008B7A97"/>
    <w:rsid w:val="008C1142"/>
    <w:rsid w:val="008C1E37"/>
    <w:rsid w:val="008C37DB"/>
    <w:rsid w:val="008C447B"/>
    <w:rsid w:val="008C5189"/>
    <w:rsid w:val="008C5270"/>
    <w:rsid w:val="008C7F1C"/>
    <w:rsid w:val="008D0297"/>
    <w:rsid w:val="008D04B5"/>
    <w:rsid w:val="008D4D2B"/>
    <w:rsid w:val="008D6458"/>
    <w:rsid w:val="008D6FA6"/>
    <w:rsid w:val="008D72DA"/>
    <w:rsid w:val="008D787A"/>
    <w:rsid w:val="008D78CA"/>
    <w:rsid w:val="008E03BD"/>
    <w:rsid w:val="008E0F87"/>
    <w:rsid w:val="008E182F"/>
    <w:rsid w:val="008E62D3"/>
    <w:rsid w:val="008E6ED0"/>
    <w:rsid w:val="008E74FD"/>
    <w:rsid w:val="008E7684"/>
    <w:rsid w:val="008E7D15"/>
    <w:rsid w:val="008F07AE"/>
    <w:rsid w:val="008F2E64"/>
    <w:rsid w:val="008F4964"/>
    <w:rsid w:val="008F50E2"/>
    <w:rsid w:val="008F5654"/>
    <w:rsid w:val="008F67E5"/>
    <w:rsid w:val="00901A35"/>
    <w:rsid w:val="00903CD2"/>
    <w:rsid w:val="00906CA8"/>
    <w:rsid w:val="0091077D"/>
    <w:rsid w:val="00910E20"/>
    <w:rsid w:val="009111C9"/>
    <w:rsid w:val="00911DA9"/>
    <w:rsid w:val="00913853"/>
    <w:rsid w:val="00913CD2"/>
    <w:rsid w:val="00914406"/>
    <w:rsid w:val="0092292B"/>
    <w:rsid w:val="009234BA"/>
    <w:rsid w:val="00924A2E"/>
    <w:rsid w:val="0093022A"/>
    <w:rsid w:val="0093026F"/>
    <w:rsid w:val="00932254"/>
    <w:rsid w:val="00933013"/>
    <w:rsid w:val="00933362"/>
    <w:rsid w:val="009370E8"/>
    <w:rsid w:val="009439E3"/>
    <w:rsid w:val="00943B08"/>
    <w:rsid w:val="00944D2F"/>
    <w:rsid w:val="009462A0"/>
    <w:rsid w:val="00947E8C"/>
    <w:rsid w:val="00947FE8"/>
    <w:rsid w:val="00950A81"/>
    <w:rsid w:val="00951A42"/>
    <w:rsid w:val="009529C3"/>
    <w:rsid w:val="00953A30"/>
    <w:rsid w:val="009543A2"/>
    <w:rsid w:val="009546D1"/>
    <w:rsid w:val="0096035D"/>
    <w:rsid w:val="009603C5"/>
    <w:rsid w:val="00961332"/>
    <w:rsid w:val="00961F6F"/>
    <w:rsid w:val="0096306A"/>
    <w:rsid w:val="00963317"/>
    <w:rsid w:val="00963B38"/>
    <w:rsid w:val="0096521D"/>
    <w:rsid w:val="0096768D"/>
    <w:rsid w:val="009678E1"/>
    <w:rsid w:val="009726D3"/>
    <w:rsid w:val="00973CC2"/>
    <w:rsid w:val="00973DA5"/>
    <w:rsid w:val="009752C9"/>
    <w:rsid w:val="0097599B"/>
    <w:rsid w:val="00976069"/>
    <w:rsid w:val="009763A8"/>
    <w:rsid w:val="00976F87"/>
    <w:rsid w:val="00977664"/>
    <w:rsid w:val="00977F9B"/>
    <w:rsid w:val="00984D06"/>
    <w:rsid w:val="00990A5C"/>
    <w:rsid w:val="00991344"/>
    <w:rsid w:val="00991629"/>
    <w:rsid w:val="00991C9B"/>
    <w:rsid w:val="00992E11"/>
    <w:rsid w:val="00993387"/>
    <w:rsid w:val="00994437"/>
    <w:rsid w:val="009958F5"/>
    <w:rsid w:val="009A2928"/>
    <w:rsid w:val="009A46B2"/>
    <w:rsid w:val="009A6BCE"/>
    <w:rsid w:val="009A6D4A"/>
    <w:rsid w:val="009B0B58"/>
    <w:rsid w:val="009B2E56"/>
    <w:rsid w:val="009B2ECB"/>
    <w:rsid w:val="009B5030"/>
    <w:rsid w:val="009B52C3"/>
    <w:rsid w:val="009B52C4"/>
    <w:rsid w:val="009C1D89"/>
    <w:rsid w:val="009C20BB"/>
    <w:rsid w:val="009C283F"/>
    <w:rsid w:val="009C651C"/>
    <w:rsid w:val="009C721D"/>
    <w:rsid w:val="009C7407"/>
    <w:rsid w:val="009C7617"/>
    <w:rsid w:val="009C783E"/>
    <w:rsid w:val="009D25E6"/>
    <w:rsid w:val="009D2FDD"/>
    <w:rsid w:val="009D4A87"/>
    <w:rsid w:val="009D53AE"/>
    <w:rsid w:val="009D6148"/>
    <w:rsid w:val="009D6E2B"/>
    <w:rsid w:val="009D7920"/>
    <w:rsid w:val="009D7EC3"/>
    <w:rsid w:val="009E0461"/>
    <w:rsid w:val="009E0DE9"/>
    <w:rsid w:val="009E12FE"/>
    <w:rsid w:val="009E37C1"/>
    <w:rsid w:val="009E4D74"/>
    <w:rsid w:val="009E5B0C"/>
    <w:rsid w:val="009E64D9"/>
    <w:rsid w:val="009E7B8E"/>
    <w:rsid w:val="009E7BF0"/>
    <w:rsid w:val="009F081F"/>
    <w:rsid w:val="009F0D56"/>
    <w:rsid w:val="009F2836"/>
    <w:rsid w:val="009F2D43"/>
    <w:rsid w:val="009F3686"/>
    <w:rsid w:val="009F67D4"/>
    <w:rsid w:val="009F6E27"/>
    <w:rsid w:val="00A00B24"/>
    <w:rsid w:val="00A01757"/>
    <w:rsid w:val="00A0238E"/>
    <w:rsid w:val="00A02392"/>
    <w:rsid w:val="00A02BB2"/>
    <w:rsid w:val="00A02BDF"/>
    <w:rsid w:val="00A070F9"/>
    <w:rsid w:val="00A07193"/>
    <w:rsid w:val="00A07656"/>
    <w:rsid w:val="00A11BD9"/>
    <w:rsid w:val="00A126CD"/>
    <w:rsid w:val="00A145DE"/>
    <w:rsid w:val="00A14F93"/>
    <w:rsid w:val="00A17B30"/>
    <w:rsid w:val="00A203B0"/>
    <w:rsid w:val="00A20C88"/>
    <w:rsid w:val="00A21705"/>
    <w:rsid w:val="00A21C7A"/>
    <w:rsid w:val="00A220BA"/>
    <w:rsid w:val="00A22A59"/>
    <w:rsid w:val="00A230B0"/>
    <w:rsid w:val="00A275B3"/>
    <w:rsid w:val="00A31CCB"/>
    <w:rsid w:val="00A32278"/>
    <w:rsid w:val="00A32BEA"/>
    <w:rsid w:val="00A33610"/>
    <w:rsid w:val="00A34B01"/>
    <w:rsid w:val="00A35420"/>
    <w:rsid w:val="00A35A97"/>
    <w:rsid w:val="00A426D2"/>
    <w:rsid w:val="00A43E8E"/>
    <w:rsid w:val="00A46807"/>
    <w:rsid w:val="00A468C9"/>
    <w:rsid w:val="00A46DDC"/>
    <w:rsid w:val="00A50828"/>
    <w:rsid w:val="00A5169A"/>
    <w:rsid w:val="00A526CB"/>
    <w:rsid w:val="00A52C3B"/>
    <w:rsid w:val="00A560A5"/>
    <w:rsid w:val="00A5636D"/>
    <w:rsid w:val="00A565CF"/>
    <w:rsid w:val="00A614E0"/>
    <w:rsid w:val="00A627E1"/>
    <w:rsid w:val="00A630B3"/>
    <w:rsid w:val="00A635D5"/>
    <w:rsid w:val="00A65F08"/>
    <w:rsid w:val="00A67505"/>
    <w:rsid w:val="00A6790D"/>
    <w:rsid w:val="00A67C42"/>
    <w:rsid w:val="00A71C88"/>
    <w:rsid w:val="00A71FE0"/>
    <w:rsid w:val="00A73BA4"/>
    <w:rsid w:val="00A75508"/>
    <w:rsid w:val="00A770CF"/>
    <w:rsid w:val="00A7755B"/>
    <w:rsid w:val="00A828B1"/>
    <w:rsid w:val="00A82C4C"/>
    <w:rsid w:val="00A8431C"/>
    <w:rsid w:val="00A85217"/>
    <w:rsid w:val="00A866D5"/>
    <w:rsid w:val="00A903B3"/>
    <w:rsid w:val="00A90431"/>
    <w:rsid w:val="00A90CAE"/>
    <w:rsid w:val="00A91327"/>
    <w:rsid w:val="00A91B74"/>
    <w:rsid w:val="00A92090"/>
    <w:rsid w:val="00A92288"/>
    <w:rsid w:val="00A93B89"/>
    <w:rsid w:val="00A9418C"/>
    <w:rsid w:val="00A94EF0"/>
    <w:rsid w:val="00A961D7"/>
    <w:rsid w:val="00A9644B"/>
    <w:rsid w:val="00AA2E58"/>
    <w:rsid w:val="00AA316B"/>
    <w:rsid w:val="00AA3BA3"/>
    <w:rsid w:val="00AA3C21"/>
    <w:rsid w:val="00AB10F2"/>
    <w:rsid w:val="00AB1FE5"/>
    <w:rsid w:val="00AB2115"/>
    <w:rsid w:val="00AB7A6D"/>
    <w:rsid w:val="00AC341C"/>
    <w:rsid w:val="00AC4C7E"/>
    <w:rsid w:val="00AC4DB6"/>
    <w:rsid w:val="00AC78B7"/>
    <w:rsid w:val="00AD033F"/>
    <w:rsid w:val="00AD0981"/>
    <w:rsid w:val="00AD6CA5"/>
    <w:rsid w:val="00AD7831"/>
    <w:rsid w:val="00AE016D"/>
    <w:rsid w:val="00AE161F"/>
    <w:rsid w:val="00AE2D66"/>
    <w:rsid w:val="00AE2D97"/>
    <w:rsid w:val="00AE5FB8"/>
    <w:rsid w:val="00AE6559"/>
    <w:rsid w:val="00AE7AF0"/>
    <w:rsid w:val="00AF2BA3"/>
    <w:rsid w:val="00AF4546"/>
    <w:rsid w:val="00AF4CC4"/>
    <w:rsid w:val="00AF5484"/>
    <w:rsid w:val="00AF6939"/>
    <w:rsid w:val="00AF7FA2"/>
    <w:rsid w:val="00B02183"/>
    <w:rsid w:val="00B044C0"/>
    <w:rsid w:val="00B05073"/>
    <w:rsid w:val="00B05C0F"/>
    <w:rsid w:val="00B05C18"/>
    <w:rsid w:val="00B07294"/>
    <w:rsid w:val="00B10059"/>
    <w:rsid w:val="00B11E11"/>
    <w:rsid w:val="00B165F2"/>
    <w:rsid w:val="00B17333"/>
    <w:rsid w:val="00B173CA"/>
    <w:rsid w:val="00B2015E"/>
    <w:rsid w:val="00B22DE9"/>
    <w:rsid w:val="00B24230"/>
    <w:rsid w:val="00B2679E"/>
    <w:rsid w:val="00B2694A"/>
    <w:rsid w:val="00B269EB"/>
    <w:rsid w:val="00B313A2"/>
    <w:rsid w:val="00B31A43"/>
    <w:rsid w:val="00B32491"/>
    <w:rsid w:val="00B33EB9"/>
    <w:rsid w:val="00B340D3"/>
    <w:rsid w:val="00B3692B"/>
    <w:rsid w:val="00B37ACF"/>
    <w:rsid w:val="00B40A9A"/>
    <w:rsid w:val="00B44BE3"/>
    <w:rsid w:val="00B47043"/>
    <w:rsid w:val="00B50EAB"/>
    <w:rsid w:val="00B53119"/>
    <w:rsid w:val="00B53644"/>
    <w:rsid w:val="00B62675"/>
    <w:rsid w:val="00B67EB6"/>
    <w:rsid w:val="00B73702"/>
    <w:rsid w:val="00B73AFF"/>
    <w:rsid w:val="00B763AB"/>
    <w:rsid w:val="00B80065"/>
    <w:rsid w:val="00B8069F"/>
    <w:rsid w:val="00B80EE8"/>
    <w:rsid w:val="00B813EF"/>
    <w:rsid w:val="00B82BCA"/>
    <w:rsid w:val="00B82D9E"/>
    <w:rsid w:val="00B841DF"/>
    <w:rsid w:val="00B84344"/>
    <w:rsid w:val="00B84C95"/>
    <w:rsid w:val="00B9064B"/>
    <w:rsid w:val="00B90B87"/>
    <w:rsid w:val="00B92204"/>
    <w:rsid w:val="00B94127"/>
    <w:rsid w:val="00B9496E"/>
    <w:rsid w:val="00B951EB"/>
    <w:rsid w:val="00B96EC5"/>
    <w:rsid w:val="00BA2030"/>
    <w:rsid w:val="00BA684D"/>
    <w:rsid w:val="00BA6DD0"/>
    <w:rsid w:val="00BA7EF4"/>
    <w:rsid w:val="00BB05BF"/>
    <w:rsid w:val="00BB2A23"/>
    <w:rsid w:val="00BB62CE"/>
    <w:rsid w:val="00BB70F5"/>
    <w:rsid w:val="00BB7F61"/>
    <w:rsid w:val="00BC04E2"/>
    <w:rsid w:val="00BC07ED"/>
    <w:rsid w:val="00BC15C9"/>
    <w:rsid w:val="00BC1BA0"/>
    <w:rsid w:val="00BC2343"/>
    <w:rsid w:val="00BC3425"/>
    <w:rsid w:val="00BC3F51"/>
    <w:rsid w:val="00BC5A08"/>
    <w:rsid w:val="00BD0485"/>
    <w:rsid w:val="00BD0A25"/>
    <w:rsid w:val="00BD0D8F"/>
    <w:rsid w:val="00BD1A73"/>
    <w:rsid w:val="00BD1C1A"/>
    <w:rsid w:val="00BD20A8"/>
    <w:rsid w:val="00BD2A88"/>
    <w:rsid w:val="00BD3098"/>
    <w:rsid w:val="00BD3D6E"/>
    <w:rsid w:val="00BD4134"/>
    <w:rsid w:val="00BD508F"/>
    <w:rsid w:val="00BD5DE2"/>
    <w:rsid w:val="00BD5F58"/>
    <w:rsid w:val="00BD60EB"/>
    <w:rsid w:val="00BD6CC7"/>
    <w:rsid w:val="00BD7988"/>
    <w:rsid w:val="00BD7D0D"/>
    <w:rsid w:val="00BE08F3"/>
    <w:rsid w:val="00BE1008"/>
    <w:rsid w:val="00BE2D0F"/>
    <w:rsid w:val="00BE3517"/>
    <w:rsid w:val="00BE6F10"/>
    <w:rsid w:val="00BE7A32"/>
    <w:rsid w:val="00BF07D1"/>
    <w:rsid w:val="00BF13CC"/>
    <w:rsid w:val="00BF2A8F"/>
    <w:rsid w:val="00BF3FA4"/>
    <w:rsid w:val="00BF40C1"/>
    <w:rsid w:val="00BF6320"/>
    <w:rsid w:val="00BF7ED0"/>
    <w:rsid w:val="00C02BD6"/>
    <w:rsid w:val="00C03755"/>
    <w:rsid w:val="00C06624"/>
    <w:rsid w:val="00C1000F"/>
    <w:rsid w:val="00C10618"/>
    <w:rsid w:val="00C13472"/>
    <w:rsid w:val="00C134EE"/>
    <w:rsid w:val="00C136C7"/>
    <w:rsid w:val="00C13C28"/>
    <w:rsid w:val="00C20321"/>
    <w:rsid w:val="00C20738"/>
    <w:rsid w:val="00C208B7"/>
    <w:rsid w:val="00C21981"/>
    <w:rsid w:val="00C22420"/>
    <w:rsid w:val="00C22A96"/>
    <w:rsid w:val="00C23F2F"/>
    <w:rsid w:val="00C2497A"/>
    <w:rsid w:val="00C24A52"/>
    <w:rsid w:val="00C24B6B"/>
    <w:rsid w:val="00C274A8"/>
    <w:rsid w:val="00C27E85"/>
    <w:rsid w:val="00C3040A"/>
    <w:rsid w:val="00C304F3"/>
    <w:rsid w:val="00C30C1B"/>
    <w:rsid w:val="00C31A9E"/>
    <w:rsid w:val="00C32F5A"/>
    <w:rsid w:val="00C335CF"/>
    <w:rsid w:val="00C359B1"/>
    <w:rsid w:val="00C36BAF"/>
    <w:rsid w:val="00C371BF"/>
    <w:rsid w:val="00C379C3"/>
    <w:rsid w:val="00C4053C"/>
    <w:rsid w:val="00C44C2B"/>
    <w:rsid w:val="00C44DC3"/>
    <w:rsid w:val="00C46A0D"/>
    <w:rsid w:val="00C47D0A"/>
    <w:rsid w:val="00C47D38"/>
    <w:rsid w:val="00C47E8E"/>
    <w:rsid w:val="00C5184A"/>
    <w:rsid w:val="00C533E1"/>
    <w:rsid w:val="00C53D98"/>
    <w:rsid w:val="00C57DA5"/>
    <w:rsid w:val="00C6146E"/>
    <w:rsid w:val="00C62498"/>
    <w:rsid w:val="00C66D36"/>
    <w:rsid w:val="00C76C9E"/>
    <w:rsid w:val="00C77068"/>
    <w:rsid w:val="00C7722C"/>
    <w:rsid w:val="00C77A8D"/>
    <w:rsid w:val="00C803DD"/>
    <w:rsid w:val="00C81D94"/>
    <w:rsid w:val="00C841BA"/>
    <w:rsid w:val="00C84C9F"/>
    <w:rsid w:val="00CA1723"/>
    <w:rsid w:val="00CA1AF9"/>
    <w:rsid w:val="00CA4190"/>
    <w:rsid w:val="00CA647D"/>
    <w:rsid w:val="00CA666B"/>
    <w:rsid w:val="00CA6D2A"/>
    <w:rsid w:val="00CB0C19"/>
    <w:rsid w:val="00CB0F12"/>
    <w:rsid w:val="00CB2C8F"/>
    <w:rsid w:val="00CB4E55"/>
    <w:rsid w:val="00CB5AA0"/>
    <w:rsid w:val="00CB5EC9"/>
    <w:rsid w:val="00CB752D"/>
    <w:rsid w:val="00CB7AFD"/>
    <w:rsid w:val="00CC1FBB"/>
    <w:rsid w:val="00CC264C"/>
    <w:rsid w:val="00CC762F"/>
    <w:rsid w:val="00CD2493"/>
    <w:rsid w:val="00CD327B"/>
    <w:rsid w:val="00CD64F9"/>
    <w:rsid w:val="00CD6A8D"/>
    <w:rsid w:val="00CE07C9"/>
    <w:rsid w:val="00CE18BF"/>
    <w:rsid w:val="00CE228B"/>
    <w:rsid w:val="00CE2A0F"/>
    <w:rsid w:val="00CE3D64"/>
    <w:rsid w:val="00CE5052"/>
    <w:rsid w:val="00CE61AA"/>
    <w:rsid w:val="00CE653A"/>
    <w:rsid w:val="00CE6661"/>
    <w:rsid w:val="00CF2235"/>
    <w:rsid w:val="00CF4714"/>
    <w:rsid w:val="00D000CB"/>
    <w:rsid w:val="00D0030A"/>
    <w:rsid w:val="00D012F3"/>
    <w:rsid w:val="00D01439"/>
    <w:rsid w:val="00D01D37"/>
    <w:rsid w:val="00D0201F"/>
    <w:rsid w:val="00D0432B"/>
    <w:rsid w:val="00D047D6"/>
    <w:rsid w:val="00D047FD"/>
    <w:rsid w:val="00D0563C"/>
    <w:rsid w:val="00D05A6F"/>
    <w:rsid w:val="00D06A62"/>
    <w:rsid w:val="00D133D2"/>
    <w:rsid w:val="00D24D60"/>
    <w:rsid w:val="00D26375"/>
    <w:rsid w:val="00D267F6"/>
    <w:rsid w:val="00D27116"/>
    <w:rsid w:val="00D30433"/>
    <w:rsid w:val="00D31444"/>
    <w:rsid w:val="00D330D0"/>
    <w:rsid w:val="00D337C5"/>
    <w:rsid w:val="00D338B9"/>
    <w:rsid w:val="00D354C7"/>
    <w:rsid w:val="00D35D03"/>
    <w:rsid w:val="00D4074E"/>
    <w:rsid w:val="00D40DD0"/>
    <w:rsid w:val="00D42D71"/>
    <w:rsid w:val="00D43C9B"/>
    <w:rsid w:val="00D445A2"/>
    <w:rsid w:val="00D452EC"/>
    <w:rsid w:val="00D46AFF"/>
    <w:rsid w:val="00D47746"/>
    <w:rsid w:val="00D47F8F"/>
    <w:rsid w:val="00D51162"/>
    <w:rsid w:val="00D5199D"/>
    <w:rsid w:val="00D55B3F"/>
    <w:rsid w:val="00D55F1B"/>
    <w:rsid w:val="00D56150"/>
    <w:rsid w:val="00D56F7A"/>
    <w:rsid w:val="00D573A3"/>
    <w:rsid w:val="00D60048"/>
    <w:rsid w:val="00D612A3"/>
    <w:rsid w:val="00D62EAF"/>
    <w:rsid w:val="00D67E49"/>
    <w:rsid w:val="00D70837"/>
    <w:rsid w:val="00D72788"/>
    <w:rsid w:val="00D74A30"/>
    <w:rsid w:val="00D74A5C"/>
    <w:rsid w:val="00D757EA"/>
    <w:rsid w:val="00D77477"/>
    <w:rsid w:val="00D8054C"/>
    <w:rsid w:val="00D81019"/>
    <w:rsid w:val="00D829F0"/>
    <w:rsid w:val="00D833E7"/>
    <w:rsid w:val="00D835A9"/>
    <w:rsid w:val="00D84262"/>
    <w:rsid w:val="00D84C4E"/>
    <w:rsid w:val="00D84E33"/>
    <w:rsid w:val="00D84FB7"/>
    <w:rsid w:val="00D86059"/>
    <w:rsid w:val="00D868B0"/>
    <w:rsid w:val="00D86D42"/>
    <w:rsid w:val="00D86F88"/>
    <w:rsid w:val="00D87015"/>
    <w:rsid w:val="00D87E60"/>
    <w:rsid w:val="00D9060A"/>
    <w:rsid w:val="00D93941"/>
    <w:rsid w:val="00D9671F"/>
    <w:rsid w:val="00D9792B"/>
    <w:rsid w:val="00DA06F4"/>
    <w:rsid w:val="00DA112A"/>
    <w:rsid w:val="00DA1A7E"/>
    <w:rsid w:val="00DA3369"/>
    <w:rsid w:val="00DA339F"/>
    <w:rsid w:val="00DA3E89"/>
    <w:rsid w:val="00DA4E55"/>
    <w:rsid w:val="00DA4FA2"/>
    <w:rsid w:val="00DA764A"/>
    <w:rsid w:val="00DA7D2C"/>
    <w:rsid w:val="00DB0872"/>
    <w:rsid w:val="00DB4FE7"/>
    <w:rsid w:val="00DB6CB6"/>
    <w:rsid w:val="00DC05A6"/>
    <w:rsid w:val="00DC1BA2"/>
    <w:rsid w:val="00DC671E"/>
    <w:rsid w:val="00DC733E"/>
    <w:rsid w:val="00DD20E4"/>
    <w:rsid w:val="00DD2457"/>
    <w:rsid w:val="00DD38AB"/>
    <w:rsid w:val="00DD66A5"/>
    <w:rsid w:val="00DE1863"/>
    <w:rsid w:val="00DE1CBD"/>
    <w:rsid w:val="00DE216F"/>
    <w:rsid w:val="00DE29A0"/>
    <w:rsid w:val="00DE5202"/>
    <w:rsid w:val="00DE6D0B"/>
    <w:rsid w:val="00DE7643"/>
    <w:rsid w:val="00DE780D"/>
    <w:rsid w:val="00DF0B89"/>
    <w:rsid w:val="00DF0F09"/>
    <w:rsid w:val="00DF1781"/>
    <w:rsid w:val="00DF1D8F"/>
    <w:rsid w:val="00DF2598"/>
    <w:rsid w:val="00DF43B7"/>
    <w:rsid w:val="00DF4D8A"/>
    <w:rsid w:val="00DF51AE"/>
    <w:rsid w:val="00DF5DCE"/>
    <w:rsid w:val="00DF65EF"/>
    <w:rsid w:val="00DF6705"/>
    <w:rsid w:val="00DF69F1"/>
    <w:rsid w:val="00DF722F"/>
    <w:rsid w:val="00E0093E"/>
    <w:rsid w:val="00E03F72"/>
    <w:rsid w:val="00E05337"/>
    <w:rsid w:val="00E06B3A"/>
    <w:rsid w:val="00E06D5E"/>
    <w:rsid w:val="00E077F7"/>
    <w:rsid w:val="00E1210C"/>
    <w:rsid w:val="00E14AA6"/>
    <w:rsid w:val="00E152CE"/>
    <w:rsid w:val="00E203CA"/>
    <w:rsid w:val="00E226C4"/>
    <w:rsid w:val="00E230EA"/>
    <w:rsid w:val="00E23E53"/>
    <w:rsid w:val="00E24674"/>
    <w:rsid w:val="00E248BE"/>
    <w:rsid w:val="00E25630"/>
    <w:rsid w:val="00E31F7D"/>
    <w:rsid w:val="00E33A2C"/>
    <w:rsid w:val="00E37B68"/>
    <w:rsid w:val="00E44356"/>
    <w:rsid w:val="00E446A2"/>
    <w:rsid w:val="00E46730"/>
    <w:rsid w:val="00E46BF8"/>
    <w:rsid w:val="00E50A34"/>
    <w:rsid w:val="00E531A9"/>
    <w:rsid w:val="00E543D5"/>
    <w:rsid w:val="00E6041D"/>
    <w:rsid w:val="00E631C5"/>
    <w:rsid w:val="00E64D52"/>
    <w:rsid w:val="00E65366"/>
    <w:rsid w:val="00E65787"/>
    <w:rsid w:val="00E659A0"/>
    <w:rsid w:val="00E66E11"/>
    <w:rsid w:val="00E67F34"/>
    <w:rsid w:val="00E726D6"/>
    <w:rsid w:val="00E74D86"/>
    <w:rsid w:val="00E7505E"/>
    <w:rsid w:val="00E750CC"/>
    <w:rsid w:val="00E76D0D"/>
    <w:rsid w:val="00E778A8"/>
    <w:rsid w:val="00E778DF"/>
    <w:rsid w:val="00E82784"/>
    <w:rsid w:val="00E83031"/>
    <w:rsid w:val="00E84A2E"/>
    <w:rsid w:val="00E85975"/>
    <w:rsid w:val="00E8601C"/>
    <w:rsid w:val="00E863AF"/>
    <w:rsid w:val="00E94962"/>
    <w:rsid w:val="00E94EC3"/>
    <w:rsid w:val="00E96E18"/>
    <w:rsid w:val="00EA0E6D"/>
    <w:rsid w:val="00EA1583"/>
    <w:rsid w:val="00EA1787"/>
    <w:rsid w:val="00EA2B98"/>
    <w:rsid w:val="00EA4094"/>
    <w:rsid w:val="00EA465F"/>
    <w:rsid w:val="00EA5AE0"/>
    <w:rsid w:val="00EA6C3A"/>
    <w:rsid w:val="00EB043B"/>
    <w:rsid w:val="00EB0979"/>
    <w:rsid w:val="00EB3F37"/>
    <w:rsid w:val="00EB4EAE"/>
    <w:rsid w:val="00EB5EC6"/>
    <w:rsid w:val="00EB68BF"/>
    <w:rsid w:val="00EB6E34"/>
    <w:rsid w:val="00EC1611"/>
    <w:rsid w:val="00EC1FEB"/>
    <w:rsid w:val="00EC2B5F"/>
    <w:rsid w:val="00EC2E2E"/>
    <w:rsid w:val="00EC33AF"/>
    <w:rsid w:val="00EC3706"/>
    <w:rsid w:val="00EC4F32"/>
    <w:rsid w:val="00EC763A"/>
    <w:rsid w:val="00ED1547"/>
    <w:rsid w:val="00ED280E"/>
    <w:rsid w:val="00ED56D8"/>
    <w:rsid w:val="00ED66F0"/>
    <w:rsid w:val="00ED694B"/>
    <w:rsid w:val="00ED6FEC"/>
    <w:rsid w:val="00ED795B"/>
    <w:rsid w:val="00EE0F12"/>
    <w:rsid w:val="00EE2048"/>
    <w:rsid w:val="00EE2F31"/>
    <w:rsid w:val="00EE3E63"/>
    <w:rsid w:val="00EE4694"/>
    <w:rsid w:val="00EE51D7"/>
    <w:rsid w:val="00EE5628"/>
    <w:rsid w:val="00EE5CAD"/>
    <w:rsid w:val="00EE6EE5"/>
    <w:rsid w:val="00EE7009"/>
    <w:rsid w:val="00EE71C2"/>
    <w:rsid w:val="00EE76BC"/>
    <w:rsid w:val="00EF478D"/>
    <w:rsid w:val="00EF75C3"/>
    <w:rsid w:val="00EF7DA1"/>
    <w:rsid w:val="00F00D0F"/>
    <w:rsid w:val="00F01623"/>
    <w:rsid w:val="00F01777"/>
    <w:rsid w:val="00F07263"/>
    <w:rsid w:val="00F108C0"/>
    <w:rsid w:val="00F116A9"/>
    <w:rsid w:val="00F11A52"/>
    <w:rsid w:val="00F157C8"/>
    <w:rsid w:val="00F15CC9"/>
    <w:rsid w:val="00F16F40"/>
    <w:rsid w:val="00F17CDF"/>
    <w:rsid w:val="00F20C96"/>
    <w:rsid w:val="00F225C0"/>
    <w:rsid w:val="00F2461B"/>
    <w:rsid w:val="00F24C00"/>
    <w:rsid w:val="00F2566B"/>
    <w:rsid w:val="00F27B4A"/>
    <w:rsid w:val="00F303E1"/>
    <w:rsid w:val="00F30C49"/>
    <w:rsid w:val="00F33579"/>
    <w:rsid w:val="00F350DD"/>
    <w:rsid w:val="00F357AD"/>
    <w:rsid w:val="00F36E46"/>
    <w:rsid w:val="00F37227"/>
    <w:rsid w:val="00F4224C"/>
    <w:rsid w:val="00F42CC8"/>
    <w:rsid w:val="00F42E55"/>
    <w:rsid w:val="00F4494F"/>
    <w:rsid w:val="00F466FF"/>
    <w:rsid w:val="00F5021E"/>
    <w:rsid w:val="00F517D3"/>
    <w:rsid w:val="00F51E46"/>
    <w:rsid w:val="00F537C9"/>
    <w:rsid w:val="00F54A05"/>
    <w:rsid w:val="00F54B95"/>
    <w:rsid w:val="00F5566F"/>
    <w:rsid w:val="00F6036A"/>
    <w:rsid w:val="00F618F1"/>
    <w:rsid w:val="00F61CF9"/>
    <w:rsid w:val="00F621F1"/>
    <w:rsid w:val="00F6272D"/>
    <w:rsid w:val="00F6296B"/>
    <w:rsid w:val="00F64636"/>
    <w:rsid w:val="00F65488"/>
    <w:rsid w:val="00F6700A"/>
    <w:rsid w:val="00F72B69"/>
    <w:rsid w:val="00F731CA"/>
    <w:rsid w:val="00F75C72"/>
    <w:rsid w:val="00F7787C"/>
    <w:rsid w:val="00F82301"/>
    <w:rsid w:val="00F8293C"/>
    <w:rsid w:val="00F82DB7"/>
    <w:rsid w:val="00F83CBB"/>
    <w:rsid w:val="00F9118D"/>
    <w:rsid w:val="00F91A66"/>
    <w:rsid w:val="00F91C48"/>
    <w:rsid w:val="00F93558"/>
    <w:rsid w:val="00F938E0"/>
    <w:rsid w:val="00F94C1B"/>
    <w:rsid w:val="00F94D00"/>
    <w:rsid w:val="00F94D38"/>
    <w:rsid w:val="00F960A7"/>
    <w:rsid w:val="00F96335"/>
    <w:rsid w:val="00FA0F14"/>
    <w:rsid w:val="00FA31CB"/>
    <w:rsid w:val="00FA3795"/>
    <w:rsid w:val="00FA390C"/>
    <w:rsid w:val="00FA682C"/>
    <w:rsid w:val="00FA7D65"/>
    <w:rsid w:val="00FB0190"/>
    <w:rsid w:val="00FB0AE8"/>
    <w:rsid w:val="00FB1607"/>
    <w:rsid w:val="00FB43C4"/>
    <w:rsid w:val="00FB4E17"/>
    <w:rsid w:val="00FB62CF"/>
    <w:rsid w:val="00FC0714"/>
    <w:rsid w:val="00FC08D3"/>
    <w:rsid w:val="00FC3A15"/>
    <w:rsid w:val="00FC3C77"/>
    <w:rsid w:val="00FC4124"/>
    <w:rsid w:val="00FD0959"/>
    <w:rsid w:val="00FD2F62"/>
    <w:rsid w:val="00FD57C2"/>
    <w:rsid w:val="00FD6B6A"/>
    <w:rsid w:val="00FD7717"/>
    <w:rsid w:val="00FE3D94"/>
    <w:rsid w:val="00FE54A7"/>
    <w:rsid w:val="00FF169D"/>
    <w:rsid w:val="00FF2881"/>
    <w:rsid w:val="00FF2D78"/>
    <w:rsid w:val="00FF3319"/>
    <w:rsid w:val="00FF61FE"/>
    <w:rsid w:val="00FF67E6"/>
    <w:rsid w:val="00FF6C43"/>
    <w:rsid w:val="08B53D1A"/>
    <w:rsid w:val="19EF21C6"/>
    <w:rsid w:val="2E7C2DA0"/>
    <w:rsid w:val="3D593B83"/>
    <w:rsid w:val="6A4E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1"/>
    <w:qFormat/>
    <w:uiPriority w:val="0"/>
    <w:pPr>
      <w:keepNext/>
      <w:adjustRightInd w:val="0"/>
      <w:jc w:val="right"/>
      <w:textAlignment w:val="baseline"/>
      <w:outlineLvl w:val="0"/>
    </w:pPr>
    <w:rPr>
      <w:kern w:val="0"/>
      <w:sz w:val="28"/>
      <w:szCs w:val="20"/>
    </w:rPr>
  </w:style>
  <w:style w:type="paragraph" w:styleId="3">
    <w:name w:val="heading 2"/>
    <w:basedOn w:val="1"/>
    <w:next w:val="1"/>
    <w:link w:val="44"/>
    <w:qFormat/>
    <w:uiPriority w:val="0"/>
    <w:pPr>
      <w:keepNext/>
      <w:ind w:left="239" w:leftChars="114" w:firstLine="280" w:firstLineChars="100"/>
      <w:outlineLvl w:val="1"/>
    </w:pPr>
    <w:rPr>
      <w:rFonts w:ascii="宋体" w:hAnsi="宋体"/>
      <w:sz w:val="28"/>
      <w:szCs w:val="20"/>
    </w:rPr>
  </w:style>
  <w:style w:type="paragraph" w:styleId="4">
    <w:name w:val="heading 3"/>
    <w:basedOn w:val="1"/>
    <w:next w:val="1"/>
    <w:link w:val="45"/>
    <w:qFormat/>
    <w:uiPriority w:val="0"/>
    <w:pPr>
      <w:keepNext/>
      <w:ind w:firstLine="560" w:firstLineChars="200"/>
      <w:outlineLvl w:val="2"/>
    </w:pPr>
    <w:rPr>
      <w:rFonts w:ascii="宋体" w:hAnsi="宋体"/>
      <w:sz w:val="28"/>
      <w:szCs w:val="20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annotation text"/>
    <w:basedOn w:val="1"/>
    <w:link w:val="42"/>
    <w:qFormat/>
    <w:uiPriority w:val="0"/>
    <w:pPr>
      <w:jc w:val="left"/>
    </w:pPr>
  </w:style>
  <w:style w:type="paragraph" w:styleId="7">
    <w:name w:val="Body Text 3"/>
    <w:basedOn w:val="1"/>
    <w:link w:val="55"/>
    <w:qFormat/>
    <w:uiPriority w:val="0"/>
    <w:rPr>
      <w:rFonts w:ascii="宋体"/>
      <w:color w:val="000000"/>
      <w:kern w:val="0"/>
      <w:szCs w:val="20"/>
    </w:rPr>
  </w:style>
  <w:style w:type="paragraph" w:styleId="8">
    <w:name w:val="Body Text"/>
    <w:basedOn w:val="1"/>
    <w:link w:val="54"/>
    <w:qFormat/>
    <w:uiPriority w:val="0"/>
    <w:rPr>
      <w:rFonts w:ascii="宋体" w:hAnsi="宋体"/>
      <w:color w:val="000000"/>
      <w:kern w:val="0"/>
      <w:szCs w:val="20"/>
    </w:rPr>
  </w:style>
  <w:style w:type="paragraph" w:styleId="9">
    <w:name w:val="Body Text Indent"/>
    <w:basedOn w:val="1"/>
    <w:link w:val="52"/>
    <w:qFormat/>
    <w:uiPriority w:val="0"/>
    <w:pPr>
      <w:autoSpaceDE w:val="0"/>
      <w:autoSpaceDN w:val="0"/>
      <w:adjustRightInd w:val="0"/>
      <w:ind w:left="-2" w:leftChars="-2" w:hanging="2" w:hangingChars="1"/>
      <w:jc w:val="left"/>
    </w:pPr>
    <w:rPr>
      <w:rFonts w:ascii="宋体" w:hAnsi="宋体"/>
      <w:kern w:val="0"/>
      <w:szCs w:val="21"/>
    </w:rPr>
  </w:style>
  <w:style w:type="paragraph" w:styleId="10">
    <w:name w:val="Block Text"/>
    <w:basedOn w:val="1"/>
    <w:qFormat/>
    <w:uiPriority w:val="0"/>
    <w:pPr>
      <w:ind w:left="-2" w:leftChars="-1" w:right="-2" w:rightChars="-1"/>
    </w:pPr>
    <w:rPr>
      <w:rFonts w:ascii="宋体" w:hAnsi="宋体"/>
      <w:szCs w:val="20"/>
    </w:rPr>
  </w:style>
  <w:style w:type="paragraph" w:styleId="11">
    <w:name w:val="Plain Text"/>
    <w:basedOn w:val="1"/>
    <w:link w:val="30"/>
    <w:qFormat/>
    <w:uiPriority w:val="0"/>
    <w:rPr>
      <w:rFonts w:ascii="宋体" w:hAnsi="Courier New"/>
      <w:szCs w:val="20"/>
    </w:rPr>
  </w:style>
  <w:style w:type="paragraph" w:styleId="12">
    <w:name w:val="Date"/>
    <w:basedOn w:val="1"/>
    <w:next w:val="1"/>
    <w:link w:val="26"/>
    <w:qFormat/>
    <w:uiPriority w:val="0"/>
  </w:style>
  <w:style w:type="paragraph" w:styleId="13">
    <w:name w:val="Body Text Indent 2"/>
    <w:basedOn w:val="1"/>
    <w:link w:val="46"/>
    <w:qFormat/>
    <w:uiPriority w:val="0"/>
    <w:pPr>
      <w:autoSpaceDE w:val="0"/>
      <w:autoSpaceDN w:val="0"/>
      <w:adjustRightInd w:val="0"/>
      <w:ind w:left="311" w:leftChars="148" w:firstLine="1"/>
      <w:jc w:val="left"/>
    </w:pPr>
    <w:rPr>
      <w:rFonts w:ascii="宋体" w:hAnsi="宋体"/>
      <w:kern w:val="0"/>
      <w:szCs w:val="21"/>
    </w:rPr>
  </w:style>
  <w:style w:type="paragraph" w:styleId="14">
    <w:name w:val="Balloon Text"/>
    <w:basedOn w:val="1"/>
    <w:link w:val="29"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Body Text 2"/>
    <w:basedOn w:val="1"/>
    <w:link w:val="53"/>
    <w:qFormat/>
    <w:uiPriority w:val="0"/>
    <w:pPr>
      <w:spacing w:after="120" w:line="480" w:lineRule="auto"/>
    </w:pPr>
    <w:rPr>
      <w:szCs w:val="20"/>
    </w:rPr>
  </w:style>
  <w:style w:type="paragraph" w:styleId="18">
    <w:name w:val="HTML Preformatted"/>
    <w:basedOn w:val="1"/>
    <w:link w:val="77"/>
    <w:qFormat/>
    <w:uiPriority w:val="0"/>
    <w:rPr>
      <w:rFonts w:ascii="Courier New" w:hAnsi="Courier New" w:cs="Courier New"/>
      <w:sz w:val="20"/>
      <w:szCs w:val="20"/>
    </w:rPr>
  </w:style>
  <w:style w:type="paragraph" w:styleId="1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annotation subject"/>
    <w:basedOn w:val="6"/>
    <w:next w:val="6"/>
    <w:link w:val="43"/>
    <w:qFormat/>
    <w:uiPriority w:val="0"/>
    <w:rPr>
      <w:b/>
      <w:bCs/>
    </w:rPr>
  </w:style>
  <w:style w:type="character" w:styleId="23">
    <w:name w:val="page number"/>
    <w:basedOn w:val="22"/>
    <w:qFormat/>
    <w:uiPriority w:val="0"/>
  </w:style>
  <w:style w:type="character" w:styleId="24">
    <w:name w:val="HTML Code"/>
    <w:qFormat/>
    <w:uiPriority w:val="0"/>
    <w:rPr>
      <w:rFonts w:ascii="Courier New" w:hAnsi="Courier New"/>
      <w:sz w:val="20"/>
      <w:szCs w:val="20"/>
    </w:rPr>
  </w:style>
  <w:style w:type="character" w:styleId="25">
    <w:name w:val="annotation reference"/>
    <w:qFormat/>
    <w:uiPriority w:val="0"/>
    <w:rPr>
      <w:sz w:val="21"/>
      <w:szCs w:val="21"/>
    </w:rPr>
  </w:style>
  <w:style w:type="character" w:customStyle="1" w:styleId="26">
    <w:name w:val="日期 Char"/>
    <w:link w:val="1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7">
    <w:name w:val="页眉 Char"/>
    <w:link w:val="1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Char"/>
    <w:link w:val="1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批注框文本 Char"/>
    <w:link w:val="14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30">
    <w:name w:val="纯文本 Char"/>
    <w:link w:val="11"/>
    <w:qFormat/>
    <w:uiPriority w:val="0"/>
    <w:rPr>
      <w:rFonts w:ascii="宋体" w:hAnsi="Courier New"/>
      <w:kern w:val="2"/>
      <w:sz w:val="21"/>
    </w:rPr>
  </w:style>
  <w:style w:type="paragraph" w:customStyle="1" w:styleId="31">
    <w:name w:val="附录一级条标题"/>
    <w:basedOn w:val="1"/>
    <w:next w:val="1"/>
    <w:qFormat/>
    <w:uiPriority w:val="0"/>
    <w:pPr>
      <w:widowControl/>
      <w:wordWrap w:val="0"/>
      <w:overflowPunct w:val="0"/>
      <w:autoSpaceDE w:val="0"/>
      <w:autoSpaceDN w:val="0"/>
      <w:textAlignment w:val="baseline"/>
      <w:outlineLvl w:val="2"/>
    </w:pPr>
    <w:rPr>
      <w:rFonts w:ascii="黑体" w:eastAsia="黑体"/>
      <w:kern w:val="21"/>
      <w:szCs w:val="20"/>
    </w:rPr>
  </w:style>
  <w:style w:type="paragraph" w:customStyle="1" w:styleId="32">
    <w:name w:val="三级条标题"/>
    <w:basedOn w:val="1"/>
    <w:next w:val="1"/>
    <w:qFormat/>
    <w:uiPriority w:val="0"/>
    <w:pPr>
      <w:widowControl/>
      <w:outlineLvl w:val="4"/>
    </w:pPr>
    <w:rPr>
      <w:rFonts w:ascii="黑体" w:eastAsia="黑体"/>
      <w:kern w:val="0"/>
      <w:szCs w:val="20"/>
    </w:rPr>
  </w:style>
  <w:style w:type="paragraph" w:customStyle="1" w:styleId="33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34">
    <w:name w:val="章标题"/>
    <w:next w:val="1"/>
    <w:qFormat/>
    <w:uiPriority w:val="0"/>
    <w:pPr>
      <w:spacing w:before="50" w:beforeLines="50" w:after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5">
    <w:name w:val="一级条标题"/>
    <w:next w:val="1"/>
    <w:link w:val="70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36">
    <w:name w:val="二级条标题"/>
    <w:basedOn w:val="35"/>
    <w:next w:val="1"/>
    <w:link w:val="71"/>
    <w:qFormat/>
    <w:uiPriority w:val="0"/>
    <w:pPr>
      <w:outlineLvl w:val="3"/>
    </w:pPr>
  </w:style>
  <w:style w:type="paragraph" w:customStyle="1" w:styleId="37">
    <w:name w:val="四级条标题"/>
    <w:basedOn w:val="32"/>
    <w:next w:val="1"/>
    <w:qFormat/>
    <w:uiPriority w:val="0"/>
    <w:pPr>
      <w:jc w:val="left"/>
      <w:outlineLvl w:val="5"/>
    </w:pPr>
    <w:rPr>
      <w:rFonts w:ascii="Times New Roman"/>
    </w:rPr>
  </w:style>
  <w:style w:type="paragraph" w:customStyle="1" w:styleId="38">
    <w:name w:val="段"/>
    <w:link w:val="56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39">
    <w:name w:val="普通文字 Char Char"/>
    <w:qFormat/>
    <w:uiPriority w:val="0"/>
    <w:rPr>
      <w:rFonts w:ascii="宋体" w:hAnsi="Courier New"/>
      <w:kern w:val="2"/>
      <w:sz w:val="21"/>
    </w:rPr>
  </w:style>
  <w:style w:type="paragraph" w:customStyle="1" w:styleId="40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1">
    <w:name w:val="五级条标题"/>
    <w:basedOn w:val="37"/>
    <w:next w:val="38"/>
    <w:qFormat/>
    <w:uiPriority w:val="0"/>
    <w:pPr>
      <w:outlineLvl w:val="6"/>
    </w:pPr>
  </w:style>
  <w:style w:type="character" w:customStyle="1" w:styleId="42">
    <w:name w:val="批注文字 Char"/>
    <w:link w:val="6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43">
    <w:name w:val="批注主题 Char"/>
    <w:link w:val="20"/>
    <w:qFormat/>
    <w:uiPriority w:val="0"/>
    <w:rPr>
      <w:rFonts w:ascii="Times New Roman" w:hAnsi="Times New Roman"/>
      <w:b/>
      <w:bCs/>
      <w:kern w:val="2"/>
      <w:sz w:val="21"/>
      <w:szCs w:val="24"/>
    </w:rPr>
  </w:style>
  <w:style w:type="character" w:customStyle="1" w:styleId="44">
    <w:name w:val="标题 2 Char"/>
    <w:link w:val="3"/>
    <w:qFormat/>
    <w:uiPriority w:val="0"/>
    <w:rPr>
      <w:rFonts w:ascii="宋体" w:hAnsi="宋体"/>
      <w:kern w:val="2"/>
      <w:sz w:val="28"/>
    </w:rPr>
  </w:style>
  <w:style w:type="character" w:customStyle="1" w:styleId="45">
    <w:name w:val="标题 3 Char"/>
    <w:link w:val="4"/>
    <w:qFormat/>
    <w:uiPriority w:val="0"/>
    <w:rPr>
      <w:rFonts w:ascii="宋体" w:hAnsi="宋体"/>
      <w:kern w:val="2"/>
      <w:sz w:val="28"/>
    </w:rPr>
  </w:style>
  <w:style w:type="character" w:customStyle="1" w:styleId="46">
    <w:name w:val="正文文本缩进 2 Char"/>
    <w:link w:val="13"/>
    <w:qFormat/>
    <w:uiPriority w:val="0"/>
    <w:rPr>
      <w:rFonts w:ascii="宋体" w:hAnsi="宋体"/>
      <w:sz w:val="21"/>
      <w:szCs w:val="21"/>
    </w:rPr>
  </w:style>
  <w:style w:type="character" w:customStyle="1" w:styleId="47">
    <w:name w:val="Char Char3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48">
    <w:name w:val="列项——"/>
    <w:qFormat/>
    <w:uiPriority w:val="0"/>
    <w:pPr>
      <w:widowControl w:val="0"/>
      <w:numPr>
        <w:ilvl w:val="0"/>
        <w:numId w:val="1"/>
      </w:numPr>
      <w:tabs>
        <w:tab w:val="left" w:pos="854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9">
    <w:name w:val="数字编号列项（二级）"/>
    <w:qFormat/>
    <w:uiPriority w:val="0"/>
    <w:pPr>
      <w:ind w:left="1260" w:leftChars="4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50">
    <w:name w:val="普通文字 Char Char2"/>
    <w:qFormat/>
    <w:uiPriority w:val="0"/>
    <w:rPr>
      <w:rFonts w:ascii="宋体" w:hAnsi="Courier New"/>
      <w:kern w:val="2"/>
      <w:sz w:val="21"/>
    </w:rPr>
  </w:style>
  <w:style w:type="character" w:customStyle="1" w:styleId="51">
    <w:name w:val="标题 1 Char"/>
    <w:link w:val="2"/>
    <w:qFormat/>
    <w:uiPriority w:val="0"/>
    <w:rPr>
      <w:rFonts w:ascii="Times New Roman" w:hAnsi="Times New Roman"/>
      <w:sz w:val="28"/>
    </w:rPr>
  </w:style>
  <w:style w:type="character" w:customStyle="1" w:styleId="52">
    <w:name w:val="正文文本缩进 Char"/>
    <w:link w:val="9"/>
    <w:qFormat/>
    <w:uiPriority w:val="0"/>
    <w:rPr>
      <w:rFonts w:ascii="宋体" w:hAnsi="宋体"/>
      <w:sz w:val="21"/>
      <w:szCs w:val="21"/>
    </w:rPr>
  </w:style>
  <w:style w:type="character" w:customStyle="1" w:styleId="53">
    <w:name w:val="正文文本 2 Char"/>
    <w:link w:val="17"/>
    <w:qFormat/>
    <w:uiPriority w:val="0"/>
    <w:rPr>
      <w:rFonts w:ascii="Times New Roman" w:hAnsi="Times New Roman"/>
      <w:kern w:val="2"/>
      <w:sz w:val="21"/>
    </w:rPr>
  </w:style>
  <w:style w:type="character" w:customStyle="1" w:styleId="54">
    <w:name w:val="正文文本 Char"/>
    <w:link w:val="8"/>
    <w:qFormat/>
    <w:uiPriority w:val="0"/>
    <w:rPr>
      <w:rFonts w:ascii="宋体" w:hAnsi="宋体"/>
      <w:color w:val="000000"/>
      <w:sz w:val="21"/>
    </w:rPr>
  </w:style>
  <w:style w:type="character" w:customStyle="1" w:styleId="55">
    <w:name w:val="正文文本 3 Char"/>
    <w:link w:val="7"/>
    <w:qFormat/>
    <w:uiPriority w:val="0"/>
    <w:rPr>
      <w:rFonts w:ascii="宋体" w:hAnsi="Times New Roman"/>
      <w:color w:val="000000"/>
      <w:sz w:val="21"/>
    </w:rPr>
  </w:style>
  <w:style w:type="character" w:customStyle="1" w:styleId="56">
    <w:name w:val="段 Char"/>
    <w:link w:val="38"/>
    <w:qFormat/>
    <w:locked/>
    <w:uiPriority w:val="0"/>
    <w:rPr>
      <w:rFonts w:ascii="宋体" w:hAnsi="Times New Roman"/>
      <w:sz w:val="21"/>
    </w:rPr>
  </w:style>
  <w:style w:type="character" w:customStyle="1" w:styleId="57">
    <w:name w:val="Char Char2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8">
    <w:name w:val="Char Char1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9">
    <w:name w:val="Char Char"/>
    <w:semiHidden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60">
    <w:name w:val="普通文字 Char Char1"/>
    <w:semiHidden/>
    <w:qFormat/>
    <w:uiPriority w:val="0"/>
    <w:rPr>
      <w:rFonts w:ascii="宋体" w:hAnsi="Courier New"/>
      <w:kern w:val="2"/>
      <w:sz w:val="21"/>
    </w:rPr>
  </w:style>
  <w:style w:type="paragraph" w:customStyle="1" w:styleId="61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2">
    <w:name w:val="纯文本 Char1"/>
    <w:semiHidden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63">
    <w:name w:val="Char Char31"/>
    <w:qFormat/>
    <w:uiPriority w:val="0"/>
    <w:rPr>
      <w:rFonts w:hint="default" w:ascii="Times New Roman" w:hAnsi="Times New Roman" w:eastAsia="宋体" w:cs="Times New Roman"/>
      <w:szCs w:val="24"/>
    </w:rPr>
  </w:style>
  <w:style w:type="character" w:customStyle="1" w:styleId="64">
    <w:name w:val="Char3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65">
    <w:name w:val="二级无标题条"/>
    <w:basedOn w:val="1"/>
    <w:qFormat/>
    <w:uiPriority w:val="0"/>
    <w:pPr>
      <w:numPr>
        <w:ilvl w:val="3"/>
        <w:numId w:val="2"/>
      </w:numPr>
    </w:pPr>
  </w:style>
  <w:style w:type="paragraph" w:customStyle="1" w:styleId="66">
    <w:name w:val="三级无标题条"/>
    <w:basedOn w:val="1"/>
    <w:qFormat/>
    <w:uiPriority w:val="0"/>
    <w:pPr>
      <w:numPr>
        <w:ilvl w:val="4"/>
        <w:numId w:val="2"/>
      </w:numPr>
    </w:pPr>
  </w:style>
  <w:style w:type="paragraph" w:customStyle="1" w:styleId="67">
    <w:name w:val="四级无标题条"/>
    <w:basedOn w:val="1"/>
    <w:qFormat/>
    <w:uiPriority w:val="0"/>
    <w:pPr>
      <w:numPr>
        <w:ilvl w:val="5"/>
        <w:numId w:val="2"/>
      </w:numPr>
    </w:pPr>
  </w:style>
  <w:style w:type="paragraph" w:customStyle="1" w:styleId="68">
    <w:name w:val="五级无标题条"/>
    <w:basedOn w:val="1"/>
    <w:qFormat/>
    <w:uiPriority w:val="0"/>
    <w:pPr>
      <w:numPr>
        <w:ilvl w:val="6"/>
        <w:numId w:val="2"/>
      </w:numPr>
    </w:pPr>
  </w:style>
  <w:style w:type="paragraph" w:customStyle="1" w:styleId="69">
    <w:name w:val="一级无标题条"/>
    <w:basedOn w:val="1"/>
    <w:qFormat/>
    <w:uiPriority w:val="0"/>
    <w:pPr>
      <w:numPr>
        <w:ilvl w:val="2"/>
        <w:numId w:val="2"/>
      </w:numPr>
    </w:pPr>
  </w:style>
  <w:style w:type="character" w:customStyle="1" w:styleId="70">
    <w:name w:val="一级条标题 Char"/>
    <w:link w:val="35"/>
    <w:qFormat/>
    <w:uiPriority w:val="0"/>
    <w:rPr>
      <w:rFonts w:ascii="Times New Roman" w:hAnsi="Times New Roman" w:eastAsia="黑体"/>
      <w:sz w:val="21"/>
    </w:rPr>
  </w:style>
  <w:style w:type="character" w:customStyle="1" w:styleId="71">
    <w:name w:val="二级条标题 Char"/>
    <w:link w:val="36"/>
    <w:qFormat/>
    <w:uiPriority w:val="0"/>
    <w:rPr>
      <w:rFonts w:ascii="Times New Roman" w:hAnsi="Times New Roman" w:eastAsia="黑体"/>
      <w:sz w:val="21"/>
    </w:rPr>
  </w:style>
  <w:style w:type="paragraph" w:customStyle="1" w:styleId="72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73">
    <w:name w:val="正文序号 1"/>
    <w:basedOn w:val="1"/>
    <w:qFormat/>
    <w:uiPriority w:val="0"/>
    <w:pPr>
      <w:tabs>
        <w:tab w:val="left" w:pos="839"/>
      </w:tabs>
      <w:spacing w:before="60"/>
      <w:ind w:left="839" w:hanging="419"/>
    </w:pPr>
  </w:style>
  <w:style w:type="paragraph" w:customStyle="1" w:styleId="74">
    <w:name w:val="正文序号 2"/>
    <w:basedOn w:val="1"/>
    <w:qFormat/>
    <w:uiPriority w:val="0"/>
    <w:pPr>
      <w:tabs>
        <w:tab w:val="left" w:pos="1049"/>
      </w:tabs>
      <w:spacing w:before="60"/>
      <w:ind w:left="1049" w:hanging="420"/>
    </w:pPr>
  </w:style>
  <w:style w:type="paragraph" w:customStyle="1" w:styleId="75">
    <w:name w:val="正文序号 3"/>
    <w:basedOn w:val="1"/>
    <w:qFormat/>
    <w:uiPriority w:val="0"/>
    <w:pPr>
      <w:numPr>
        <w:ilvl w:val="2"/>
        <w:numId w:val="3"/>
      </w:numPr>
      <w:spacing w:before="60"/>
    </w:pPr>
  </w:style>
  <w:style w:type="paragraph" w:customStyle="1" w:styleId="76">
    <w:name w:val="正文序号 4"/>
    <w:basedOn w:val="1"/>
    <w:qFormat/>
    <w:uiPriority w:val="0"/>
    <w:pPr>
      <w:numPr>
        <w:ilvl w:val="3"/>
        <w:numId w:val="3"/>
      </w:numPr>
      <w:spacing w:before="60"/>
    </w:pPr>
  </w:style>
  <w:style w:type="character" w:customStyle="1" w:styleId="77">
    <w:name w:val="HTML 预设格式 Char"/>
    <w:link w:val="18"/>
    <w:qFormat/>
    <w:uiPriority w:val="0"/>
    <w:rPr>
      <w:rFonts w:ascii="Courier New" w:hAnsi="Courier New" w:cs="Courier New"/>
      <w:kern w:val="2"/>
    </w:rPr>
  </w:style>
  <w:style w:type="paragraph" w:customStyle="1" w:styleId="78">
    <w:name w:val="示例"/>
    <w:next w:val="38"/>
    <w:qFormat/>
    <w:uiPriority w:val="0"/>
    <w:pPr>
      <w:numPr>
        <w:ilvl w:val="0"/>
        <w:numId w:val="4"/>
      </w:numPr>
      <w:tabs>
        <w:tab w:val="left" w:pos="816"/>
      </w:tabs>
      <w:ind w:firstLine="419" w:firstLineChars="233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79">
    <w:name w:val="正文图标题"/>
    <w:next w:val="38"/>
    <w:qFormat/>
    <w:uiPriority w:val="0"/>
    <w:pPr>
      <w:numPr>
        <w:ilvl w:val="0"/>
        <w:numId w:val="5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0">
    <w:name w:val="注×："/>
    <w:qFormat/>
    <w:uiPriority w:val="0"/>
    <w:pPr>
      <w:widowControl w:val="0"/>
      <w:numPr>
        <w:ilvl w:val="0"/>
        <w:numId w:val="6"/>
      </w:numPr>
      <w:tabs>
        <w:tab w:val="left" w:pos="630"/>
      </w:tabs>
      <w:autoSpaceDE w:val="0"/>
      <w:autoSpaceDN w:val="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81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82">
    <w:name w:val="正文-标准"/>
    <w:basedOn w:val="1"/>
    <w:qFormat/>
    <w:uiPriority w:val="0"/>
    <w:pPr>
      <w:autoSpaceDE w:val="0"/>
      <w:autoSpaceDN w:val="0"/>
      <w:adjustRightInd w:val="0"/>
      <w:spacing w:line="360" w:lineRule="exact"/>
      <w:jc w:val="left"/>
      <w:textAlignment w:val="baseline"/>
    </w:pPr>
    <w:rPr>
      <w:kern w:val="21"/>
      <w:szCs w:val="20"/>
    </w:rPr>
  </w:style>
  <w:style w:type="character" w:customStyle="1" w:styleId="83">
    <w:name w:val="发布"/>
    <w:qFormat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84">
    <w:name w:val="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85">
    <w:name w:val="二级无"/>
    <w:basedOn w:val="36"/>
    <w:qFormat/>
    <w:uiPriority w:val="0"/>
    <w:pPr>
      <w:numPr>
        <w:ilvl w:val="2"/>
        <w:numId w:val="7"/>
      </w:numPr>
      <w:ind w:left="1470"/>
    </w:pPr>
    <w:rPr>
      <w:rFonts w:ascii="宋体" w:eastAsia="宋体"/>
      <w:szCs w:val="21"/>
    </w:rPr>
  </w:style>
  <w:style w:type="character" w:customStyle="1" w:styleId="86">
    <w:name w:val="页脚 字符1"/>
    <w:qFormat/>
    <w:uiPriority w:val="99"/>
    <w:rPr>
      <w:kern w:val="2"/>
      <w:sz w:val="18"/>
      <w:szCs w:val="18"/>
    </w:rPr>
  </w:style>
  <w:style w:type="paragraph" w:styleId="87">
    <w:name w:val="List Paragraph"/>
    <w:basedOn w:val="1"/>
    <w:qFormat/>
    <w:uiPriority w:val="34"/>
    <w:pPr>
      <w:ind w:firstLine="420" w:firstLineChars="200"/>
    </w:pPr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D0ED7-855D-4942-ACCE-048903A83A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Xtzj.Com</Company>
  <Pages>3</Pages>
  <Words>1931</Words>
  <Characters>2775</Characters>
  <Lines>22</Lines>
  <Paragraphs>6</Paragraphs>
  <TotalTime>2</TotalTime>
  <ScaleCrop>false</ScaleCrop>
  <LinksUpToDate>false</LinksUpToDate>
  <CharactersWithSpaces>2905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2017-02-10T03:58:00Z</dcterms:created>
  <dc:creator>Xtzj.User</dc:creator>
  <cp:lastModifiedBy>太极箫客</cp:lastModifiedBy>
  <cp:lastPrinted>2022-03-01T08:16:00Z</cp:lastPrinted>
  <dcterms:modified xsi:type="dcterms:W3CDTF">2025-08-14T06:16:44Z</dcterms:modified>
  <dc:title>附表1：</dc:title>
  <cp:revision>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57F82CD6CB7A4A7BB115D7ACAD88106E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