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9DBDE">
      <w:pPr>
        <w:snapToGrid w:val="0"/>
        <w:spacing w:after="234" w:afterLines="75" w:line="300" w:lineRule="auto"/>
        <w:rPr>
          <w:rFonts w:hint="eastAsia" w:ascii="Arial" w:hAnsi="Arial" w:eastAsia="宋体" w:cs="Arial"/>
          <w:b/>
          <w:sz w:val="52"/>
          <w:szCs w:val="52"/>
        </w:rPr>
      </w:pPr>
      <w:bookmarkStart w:id="2" w:name="_GoBack"/>
      <w:bookmarkEnd w:id="2"/>
    </w:p>
    <w:p w14:paraId="33A4C9D0">
      <w:pPr>
        <w:snapToGrid w:val="0"/>
        <w:spacing w:after="234" w:afterLines="75" w:line="300" w:lineRule="auto"/>
        <w:rPr>
          <w:rFonts w:ascii="Arial" w:hAnsi="Arial" w:eastAsia="宋体" w:cs="Arial"/>
          <w:b/>
          <w:sz w:val="52"/>
          <w:szCs w:val="52"/>
        </w:rPr>
      </w:pPr>
    </w:p>
    <w:p w14:paraId="25F37F07">
      <w:pPr>
        <w:snapToGrid w:val="0"/>
        <w:spacing w:after="234" w:afterLines="75" w:line="300" w:lineRule="auto"/>
        <w:rPr>
          <w:rFonts w:ascii="Arial" w:hAnsi="Arial" w:eastAsia="宋体" w:cs="Arial"/>
          <w:b/>
          <w:sz w:val="52"/>
          <w:szCs w:val="52"/>
        </w:rPr>
      </w:pPr>
      <w:r>
        <w:rPr>
          <w:rFonts w:ascii="Arial" w:hAnsi="Arial" w:eastAsia="宋体" w:cs="Arial"/>
          <w:b/>
          <w:sz w:val="52"/>
          <w:szCs w:val="52"/>
        </w:rPr>
        <w:t>FDA/HCFA关于研究性器械补贴类别的跨部门协议实施，附件A跨部门协议，附件B研究性器械分类标准，附件C列表-</w:t>
      </w:r>
      <w:r>
        <w:rPr>
          <w:rFonts w:hint="eastAsia" w:ascii="Arial" w:hAnsi="Arial" w:eastAsia="宋体" w:cs="Arial"/>
          <w:b/>
          <w:sz w:val="52"/>
          <w:szCs w:val="52"/>
        </w:rPr>
        <w:t>编号</w:t>
      </w:r>
      <w:r>
        <w:rPr>
          <w:rFonts w:ascii="Arial" w:hAnsi="Arial" w:eastAsia="宋体" w:cs="Arial"/>
          <w:b/>
          <w:sz w:val="52"/>
          <w:szCs w:val="52"/>
        </w:rPr>
        <w:t>D95-2（蓝皮书备忘录）（仅文本）</w:t>
      </w:r>
    </w:p>
    <w:p w14:paraId="095CECEA">
      <w:pPr>
        <w:snapToGrid w:val="0"/>
        <w:spacing w:after="234" w:afterLines="75" w:line="300" w:lineRule="auto"/>
        <w:rPr>
          <w:rFonts w:ascii="Arial" w:hAnsi="Arial" w:eastAsia="宋体" w:cs="Arial"/>
          <w:b/>
          <w:sz w:val="32"/>
          <w:szCs w:val="32"/>
        </w:rPr>
      </w:pPr>
      <w:r>
        <w:rPr>
          <w:rFonts w:ascii="Arial" w:hAnsi="Arial" w:eastAsia="宋体" w:cs="Arial"/>
          <w:b/>
          <w:sz w:val="32"/>
          <w:szCs w:val="32"/>
        </w:rPr>
        <w:t>1995年9月15日（D95-2）</w:t>
      </w:r>
    </w:p>
    <w:p w14:paraId="4CF9776B">
      <w:pPr>
        <w:snapToGrid w:val="0"/>
        <w:spacing w:after="234" w:afterLines="75" w:line="300" w:lineRule="auto"/>
        <w:rPr>
          <w:rFonts w:ascii="Arial" w:hAnsi="Arial" w:eastAsia="宋体" w:cs="Arial"/>
          <w:b/>
          <w:sz w:val="28"/>
          <w:szCs w:val="28"/>
        </w:rPr>
      </w:pPr>
      <w:r>
        <w:rPr>
          <w:rFonts w:ascii="Arial" w:hAnsi="Arial" w:eastAsia="宋体" w:cs="Arial"/>
          <w:b/>
          <w:sz w:val="28"/>
          <w:szCs w:val="28"/>
        </w:rPr>
        <w:t>IDE指南备忘录编号95-2</w:t>
      </w:r>
    </w:p>
    <w:p w14:paraId="1967165F">
      <w:pPr>
        <w:snapToGrid w:val="0"/>
        <w:spacing w:after="234" w:afterLines="75" w:line="300" w:lineRule="auto"/>
        <w:rPr>
          <w:rFonts w:ascii="Arial" w:hAnsi="Arial" w:eastAsia="宋体" w:cs="Arial"/>
          <w:sz w:val="28"/>
          <w:szCs w:val="28"/>
        </w:rPr>
      </w:pPr>
      <w:r>
        <w:rPr>
          <w:rFonts w:ascii="Arial" w:hAnsi="Arial" w:eastAsia="宋体" w:cs="Arial"/>
          <w:sz w:val="28"/>
          <w:szCs w:val="28"/>
        </w:rPr>
        <w:t>本</w:t>
      </w:r>
      <w:r>
        <w:rPr>
          <w:rFonts w:hint="eastAsia" w:ascii="Arial" w:hAnsi="Arial" w:eastAsia="宋体" w:cs="Arial"/>
          <w:sz w:val="28"/>
          <w:szCs w:val="28"/>
        </w:rPr>
        <w:t>指南</w:t>
      </w:r>
      <w:r>
        <w:rPr>
          <w:rFonts w:ascii="Arial" w:hAnsi="Arial" w:eastAsia="宋体" w:cs="Arial"/>
          <w:sz w:val="28"/>
          <w:szCs w:val="28"/>
        </w:rPr>
        <w:t>编写于1997年2月27日FDA良好指南规范GGP实施前。其不会为任何人创造或赋予任何权利，也不对FDA或公众具有约束力。如果替代方法满足适用的法律、法规或其两者的要求，可以使用替代方法。本</w:t>
      </w:r>
      <w:r>
        <w:rPr>
          <w:rFonts w:hint="eastAsia" w:ascii="Arial" w:hAnsi="Arial" w:eastAsia="宋体" w:cs="Arial"/>
          <w:sz w:val="28"/>
          <w:szCs w:val="28"/>
        </w:rPr>
        <w:t>指南</w:t>
      </w:r>
      <w:r>
        <w:rPr>
          <w:rFonts w:ascii="Arial" w:hAnsi="Arial" w:eastAsia="宋体" w:cs="Arial"/>
          <w:sz w:val="28"/>
          <w:szCs w:val="28"/>
        </w:rPr>
        <w:t>将在下个版本的更新中纳入GGP的标准要素。</w:t>
      </w:r>
    </w:p>
    <w:p w14:paraId="00F3BE6F">
      <w:pPr>
        <w:widowControl/>
        <w:jc w:val="left"/>
        <w:rPr>
          <w:rFonts w:ascii="Arial" w:hAnsi="Arial" w:eastAsia="宋体" w:cs="Arial"/>
          <w:sz w:val="24"/>
          <w:szCs w:val="24"/>
        </w:rPr>
      </w:pPr>
      <w:r>
        <w:rPr>
          <w:rFonts w:ascii="Arial" w:hAnsi="Arial" w:eastAsia="宋体" w:cs="Arial"/>
          <w:sz w:val="24"/>
          <w:szCs w:val="24"/>
        </w:rPr>
        <w:br w:type="page"/>
      </w:r>
    </w:p>
    <w:p w14:paraId="22D1ED77">
      <w:pPr>
        <w:snapToGrid w:val="0"/>
        <w:spacing w:after="234" w:afterLines="75" w:line="300" w:lineRule="auto"/>
        <w:rPr>
          <w:rFonts w:ascii="Arial" w:hAnsi="Arial" w:eastAsia="宋体" w:cs="Arial"/>
          <w:sz w:val="28"/>
          <w:szCs w:val="28"/>
        </w:rPr>
      </w:pPr>
      <w:r>
        <w:rPr>
          <w:rFonts w:ascii="Arial" w:hAnsi="Arial" w:eastAsia="宋体" w:cs="Arial"/>
          <w:sz w:val="28"/>
          <w:szCs w:val="28"/>
        </w:rPr>
        <w:t>医疗器械评价办公室（HFZ-400）</w:t>
      </w:r>
    </w:p>
    <w:p w14:paraId="6A8FB57C">
      <w:pPr>
        <w:snapToGrid w:val="0"/>
        <w:spacing w:after="234" w:afterLines="75" w:line="300" w:lineRule="auto"/>
        <w:rPr>
          <w:rFonts w:ascii="Arial" w:hAnsi="Arial" w:eastAsia="宋体" w:cs="Arial"/>
          <w:sz w:val="28"/>
          <w:szCs w:val="28"/>
        </w:rPr>
      </w:pPr>
      <w:r>
        <w:rPr>
          <w:rFonts w:ascii="Arial" w:hAnsi="Arial" w:eastAsia="宋体" w:cs="Arial"/>
          <w:sz w:val="28"/>
          <w:szCs w:val="28"/>
        </w:rPr>
        <w:t>FDA/HCFA关于研究性器械补贴类别的跨部门协议实施</w:t>
      </w:r>
    </w:p>
    <w:p w14:paraId="26324C49">
      <w:pPr>
        <w:snapToGrid w:val="0"/>
        <w:spacing w:after="234" w:afterLines="75" w:line="300" w:lineRule="auto"/>
        <w:rPr>
          <w:rFonts w:ascii="Arial" w:hAnsi="Arial" w:eastAsia="宋体" w:cs="Arial"/>
          <w:sz w:val="28"/>
          <w:szCs w:val="28"/>
        </w:rPr>
      </w:pPr>
      <w:r>
        <w:rPr>
          <w:rFonts w:ascii="Arial" w:hAnsi="Arial" w:eastAsia="宋体" w:cs="Arial"/>
          <w:sz w:val="28"/>
          <w:szCs w:val="28"/>
        </w:rPr>
        <w:t>ODE审查工作人员</w:t>
      </w:r>
    </w:p>
    <w:p w14:paraId="72A5581F">
      <w:pPr>
        <w:snapToGrid w:val="0"/>
        <w:spacing w:after="234" w:afterLines="75" w:line="300" w:lineRule="auto"/>
        <w:rPr>
          <w:rFonts w:ascii="Arial" w:hAnsi="Arial" w:eastAsia="宋体" w:cs="Arial"/>
          <w:sz w:val="28"/>
          <w:szCs w:val="28"/>
        </w:rPr>
      </w:pPr>
      <w:r>
        <w:rPr>
          <w:rFonts w:ascii="Arial" w:hAnsi="Arial" w:eastAsia="宋体" w:cs="Arial"/>
          <w:sz w:val="28"/>
          <w:szCs w:val="28"/>
        </w:rPr>
        <w:t>目的</w:t>
      </w:r>
    </w:p>
    <w:p w14:paraId="4C3281AA">
      <w:pPr>
        <w:snapToGrid w:val="0"/>
        <w:spacing w:after="234" w:afterLines="75" w:line="300" w:lineRule="auto"/>
        <w:rPr>
          <w:rFonts w:ascii="Arial" w:hAnsi="Arial" w:eastAsia="宋体" w:cs="Arial"/>
          <w:sz w:val="28"/>
          <w:szCs w:val="28"/>
        </w:rPr>
      </w:pPr>
      <w:r>
        <w:rPr>
          <w:rFonts w:ascii="Arial" w:hAnsi="Arial" w:eastAsia="宋体" w:cs="Arial"/>
          <w:sz w:val="28"/>
          <w:szCs w:val="28"/>
        </w:rPr>
        <w:t>本备忘录旨在确定执行FDA/HCFA关于研究性器械补贴的跨部门协议（IA）中FDA的义务部分的实施流程。</w:t>
      </w:r>
    </w:p>
    <w:p w14:paraId="48A53FE2">
      <w:pPr>
        <w:snapToGrid w:val="0"/>
        <w:spacing w:after="234" w:afterLines="75" w:line="300" w:lineRule="auto"/>
        <w:rPr>
          <w:rFonts w:ascii="Arial" w:hAnsi="Arial" w:eastAsia="宋体" w:cs="Arial"/>
          <w:sz w:val="28"/>
          <w:szCs w:val="28"/>
        </w:rPr>
      </w:pPr>
      <w:r>
        <w:rPr>
          <w:rFonts w:ascii="Arial" w:hAnsi="Arial" w:eastAsia="宋体" w:cs="Arial"/>
          <w:sz w:val="28"/>
          <w:szCs w:val="28"/>
        </w:rPr>
        <w:t>背景</w:t>
      </w:r>
    </w:p>
    <w:p w14:paraId="069094E0">
      <w:pPr>
        <w:snapToGrid w:val="0"/>
        <w:spacing w:after="234" w:afterLines="75" w:line="300" w:lineRule="auto"/>
        <w:rPr>
          <w:rFonts w:ascii="Arial" w:hAnsi="Arial" w:eastAsia="宋体" w:cs="Arial"/>
          <w:sz w:val="28"/>
          <w:szCs w:val="28"/>
        </w:rPr>
      </w:pPr>
      <w:r>
        <w:rPr>
          <w:rFonts w:ascii="Arial" w:hAnsi="Arial" w:eastAsia="宋体" w:cs="Arial"/>
          <w:sz w:val="28"/>
          <w:szCs w:val="28"/>
        </w:rPr>
        <w:t>根据医疗保障项目（社会保障法案第1862（a）（1）（A）部分）相关法令，美国健康保健财政管理局（HCFA）允许为疾病或损伤的诊断或治疗</w:t>
      </w:r>
      <w:r>
        <w:rPr>
          <w:rFonts w:ascii="宋体" w:hAnsi="宋体" w:eastAsia="宋体" w:cs="Arial"/>
          <w:sz w:val="28"/>
          <w:szCs w:val="28"/>
        </w:rPr>
        <w:t>“</w:t>
      </w:r>
      <w:r>
        <w:rPr>
          <w:rFonts w:ascii="Arial" w:hAnsi="Arial" w:eastAsia="宋体" w:cs="Arial"/>
          <w:sz w:val="28"/>
          <w:szCs w:val="28"/>
        </w:rPr>
        <w:t>合理且必须</w:t>
      </w:r>
      <w:r>
        <w:rPr>
          <w:rFonts w:ascii="宋体" w:hAnsi="宋体" w:eastAsia="宋体" w:cs="Arial"/>
          <w:sz w:val="28"/>
          <w:szCs w:val="28"/>
        </w:rPr>
        <w:t>”</w:t>
      </w:r>
      <w:r>
        <w:rPr>
          <w:rFonts w:ascii="Arial" w:hAnsi="Arial" w:eastAsia="宋体" w:cs="Arial"/>
          <w:sz w:val="28"/>
          <w:szCs w:val="28"/>
        </w:rPr>
        <w:t>，或用于提高残障人士功能的医疗服务和产品实施补贴。根据医疗保障项目的解释，法律条款</w:t>
      </w:r>
      <w:r>
        <w:rPr>
          <w:rFonts w:ascii="宋体" w:hAnsi="宋体" w:eastAsia="宋体" w:cs="Arial"/>
          <w:sz w:val="28"/>
          <w:szCs w:val="28"/>
        </w:rPr>
        <w:t>“</w:t>
      </w:r>
      <w:r>
        <w:rPr>
          <w:rFonts w:ascii="Arial" w:hAnsi="Arial" w:eastAsia="宋体" w:cs="Arial"/>
          <w:sz w:val="28"/>
          <w:szCs w:val="28"/>
        </w:rPr>
        <w:t>合理且必需</w:t>
      </w:r>
      <w:r>
        <w:rPr>
          <w:rFonts w:ascii="宋体" w:hAnsi="宋体" w:eastAsia="宋体" w:cs="Arial"/>
          <w:sz w:val="28"/>
          <w:szCs w:val="28"/>
        </w:rPr>
        <w:t>”</w:t>
      </w:r>
      <w:r>
        <w:rPr>
          <w:rFonts w:ascii="Arial" w:hAnsi="Arial" w:eastAsia="宋体" w:cs="Arial"/>
          <w:sz w:val="28"/>
          <w:szCs w:val="28"/>
        </w:rPr>
        <w:t>指的是一项服务或医疗器械必须安全和有效，在医学上必需和适当，并且并非为了获取补偿而进行试验。在医疗保障的范围内，</w:t>
      </w:r>
      <w:r>
        <w:rPr>
          <w:rFonts w:ascii="宋体" w:hAnsi="宋体" w:eastAsia="宋体" w:cs="Arial"/>
          <w:sz w:val="28"/>
          <w:szCs w:val="28"/>
        </w:rPr>
        <w:t>“</w:t>
      </w:r>
      <w:r>
        <w:rPr>
          <w:rFonts w:ascii="Arial" w:hAnsi="Arial" w:eastAsia="宋体" w:cs="Arial"/>
          <w:sz w:val="28"/>
          <w:szCs w:val="28"/>
        </w:rPr>
        <w:t>试验性</w:t>
      </w:r>
      <w:r>
        <w:rPr>
          <w:rFonts w:ascii="宋体" w:hAnsi="宋体" w:eastAsia="宋体" w:cs="Arial"/>
          <w:sz w:val="28"/>
          <w:szCs w:val="28"/>
        </w:rPr>
        <w:t>”</w:t>
      </w:r>
      <w:r>
        <w:rPr>
          <w:rFonts w:ascii="Arial" w:hAnsi="Arial" w:eastAsia="宋体" w:cs="Arial"/>
          <w:sz w:val="28"/>
          <w:szCs w:val="28"/>
        </w:rPr>
        <w:t>与</w:t>
      </w:r>
      <w:r>
        <w:rPr>
          <w:rFonts w:ascii="宋体" w:hAnsi="宋体" w:eastAsia="宋体" w:cs="Arial"/>
          <w:sz w:val="28"/>
          <w:szCs w:val="28"/>
        </w:rPr>
        <w:t>“</w:t>
      </w:r>
      <w:r>
        <w:rPr>
          <w:rFonts w:ascii="Arial" w:hAnsi="Arial" w:eastAsia="宋体" w:cs="Arial"/>
          <w:sz w:val="28"/>
          <w:szCs w:val="28"/>
        </w:rPr>
        <w:t>研究性</w:t>
      </w:r>
      <w:r>
        <w:rPr>
          <w:rFonts w:ascii="宋体" w:hAnsi="宋体" w:eastAsia="宋体" w:cs="Arial"/>
          <w:sz w:val="28"/>
          <w:szCs w:val="28"/>
        </w:rPr>
        <w:t>”</w:t>
      </w:r>
      <w:r>
        <w:rPr>
          <w:rFonts w:ascii="Arial" w:hAnsi="Arial" w:eastAsia="宋体" w:cs="Arial"/>
          <w:sz w:val="28"/>
          <w:szCs w:val="28"/>
        </w:rPr>
        <w:t>具有相同的含义。因此，除非个别情况，FDA批准的研究性器械豁免（IDE）申请即表明该器械不包含于医疗保障项目的</w:t>
      </w:r>
      <w:r>
        <w:rPr>
          <w:rFonts w:ascii="宋体" w:hAnsi="宋体" w:eastAsia="宋体" w:cs="Arial"/>
          <w:sz w:val="28"/>
          <w:szCs w:val="28"/>
        </w:rPr>
        <w:t>“</w:t>
      </w:r>
      <w:r>
        <w:rPr>
          <w:rFonts w:ascii="Arial" w:hAnsi="Arial" w:eastAsia="宋体" w:cs="Arial"/>
          <w:sz w:val="28"/>
          <w:szCs w:val="28"/>
        </w:rPr>
        <w:t>合理且必需</w:t>
      </w:r>
      <w:r>
        <w:rPr>
          <w:rFonts w:ascii="宋体" w:hAnsi="宋体" w:eastAsia="宋体" w:cs="Arial"/>
          <w:sz w:val="28"/>
          <w:szCs w:val="28"/>
        </w:rPr>
        <w:t>”</w:t>
      </w:r>
      <w:r>
        <w:rPr>
          <w:rFonts w:ascii="Arial" w:hAnsi="Arial" w:eastAsia="宋体" w:cs="Arial"/>
          <w:sz w:val="28"/>
          <w:szCs w:val="28"/>
        </w:rPr>
        <w:t>范围内。因此，医疗保障范围不包含处于IDE申请中，且未获得上市前通知许可或上市前批准的器械。</w:t>
      </w:r>
    </w:p>
    <w:p w14:paraId="132EFA31">
      <w:pPr>
        <w:snapToGrid w:val="0"/>
        <w:spacing w:after="234" w:afterLines="75" w:line="300" w:lineRule="auto"/>
        <w:rPr>
          <w:rFonts w:ascii="Arial" w:hAnsi="Arial" w:eastAsia="宋体" w:cs="Arial"/>
          <w:sz w:val="28"/>
          <w:szCs w:val="28"/>
        </w:rPr>
      </w:pPr>
      <w:r>
        <w:rPr>
          <w:rFonts w:ascii="Arial" w:hAnsi="Arial" w:eastAsia="宋体" w:cs="Arial"/>
          <w:sz w:val="28"/>
          <w:szCs w:val="28"/>
        </w:rPr>
        <w:t>但有越来越多的共识，认为有很多器械是对已有技术的完善或由其他厂商对已有技术的复制。虽然已有证据证明该器械类型具有安全性和有效性，但这些器械中仍然有很多申请了FDA批准的IDE，收集确定该特定器械安全性和有效性所需的科学信息。因此如果HCFA可以确定这些器械，该类器械可以被医疗保障认定为</w:t>
      </w:r>
      <w:r>
        <w:rPr>
          <w:rFonts w:ascii="宋体" w:hAnsi="宋体" w:eastAsia="宋体" w:cs="Arial"/>
          <w:sz w:val="28"/>
          <w:szCs w:val="28"/>
        </w:rPr>
        <w:t>“</w:t>
      </w:r>
      <w:r>
        <w:rPr>
          <w:rFonts w:ascii="Arial" w:hAnsi="Arial" w:eastAsia="宋体" w:cs="Arial"/>
          <w:sz w:val="28"/>
          <w:szCs w:val="28"/>
        </w:rPr>
        <w:t>合理且必需</w:t>
      </w:r>
      <w:r>
        <w:rPr>
          <w:rFonts w:ascii="宋体" w:hAnsi="宋体" w:eastAsia="宋体" w:cs="Arial"/>
          <w:sz w:val="28"/>
          <w:szCs w:val="28"/>
        </w:rPr>
        <w:t>”</w:t>
      </w:r>
      <w:r>
        <w:rPr>
          <w:rFonts w:ascii="Arial" w:hAnsi="Arial" w:eastAsia="宋体" w:cs="Arial"/>
          <w:sz w:val="28"/>
          <w:szCs w:val="28"/>
        </w:rPr>
        <w:t>的，其可以获得补贴。</w:t>
      </w:r>
    </w:p>
    <w:p w14:paraId="3FDE8378">
      <w:pPr>
        <w:widowControl/>
        <w:jc w:val="left"/>
        <w:rPr>
          <w:rFonts w:ascii="Arial" w:hAnsi="Arial" w:eastAsia="宋体" w:cs="Arial"/>
          <w:sz w:val="28"/>
          <w:szCs w:val="28"/>
        </w:rPr>
      </w:pPr>
      <w:r>
        <w:rPr>
          <w:rFonts w:ascii="Arial" w:hAnsi="Arial" w:eastAsia="宋体" w:cs="Arial"/>
          <w:sz w:val="28"/>
          <w:szCs w:val="28"/>
        </w:rPr>
        <w:br w:type="page"/>
      </w:r>
    </w:p>
    <w:p w14:paraId="3B0F9B33">
      <w:pPr>
        <w:snapToGrid w:val="0"/>
        <w:spacing w:after="234" w:afterLines="75" w:line="300" w:lineRule="auto"/>
        <w:rPr>
          <w:rFonts w:ascii="Arial" w:hAnsi="Arial" w:eastAsia="宋体" w:cs="Arial"/>
          <w:sz w:val="28"/>
          <w:szCs w:val="28"/>
        </w:rPr>
      </w:pPr>
      <w:r>
        <w:rPr>
          <w:rFonts w:ascii="Arial" w:hAnsi="Arial" w:eastAsia="宋体" w:cs="Arial"/>
          <w:sz w:val="28"/>
          <w:szCs w:val="28"/>
        </w:rPr>
        <w:t>1995年9月8日，FDA和HCFA共同制定了跨部门协议（见附件A），根据该协议FDA同意建立相关流程，向HCFA提供特定的信息来辅助其进行补贴决定。向HCFA提供的信息将用于确定该研究性器械是否有足够的安全性和有效性信息，是否可以根据医疗保障项目进行补贴。具体来说，FDA会通知HCFA该研究性器械的临床评估是否为以下两类别之一。</w:t>
      </w:r>
    </w:p>
    <w:p w14:paraId="309BDDD0">
      <w:pPr>
        <w:snapToGrid w:val="0"/>
        <w:spacing w:after="234" w:afterLines="75" w:line="300" w:lineRule="auto"/>
        <w:rPr>
          <w:rFonts w:ascii="Arial" w:hAnsi="Arial" w:eastAsia="宋体" w:cs="Arial"/>
          <w:sz w:val="28"/>
          <w:szCs w:val="28"/>
        </w:rPr>
      </w:pPr>
      <w:r>
        <w:rPr>
          <w:rFonts w:ascii="Arial" w:hAnsi="Arial" w:eastAsia="宋体" w:cs="Arial"/>
          <w:sz w:val="28"/>
          <w:szCs w:val="28"/>
        </w:rPr>
        <w:t>涉及属于III类具有</w:t>
      </w:r>
      <w:r>
        <w:rPr>
          <w:rFonts w:ascii="宋体" w:hAnsi="宋体" w:eastAsia="宋体" w:cs="Arial"/>
          <w:sz w:val="28"/>
          <w:szCs w:val="28"/>
        </w:rPr>
        <w:t>“</w:t>
      </w:r>
      <w:r>
        <w:rPr>
          <w:rFonts w:ascii="Arial" w:hAnsi="Arial" w:eastAsia="宋体" w:cs="Arial"/>
          <w:sz w:val="28"/>
          <w:szCs w:val="28"/>
        </w:rPr>
        <w:t>绝对风险</w:t>
      </w:r>
      <w:r>
        <w:rPr>
          <w:rFonts w:ascii="宋体" w:hAnsi="宋体" w:eastAsia="宋体" w:cs="Arial"/>
          <w:sz w:val="28"/>
          <w:szCs w:val="28"/>
        </w:rPr>
        <w:t>”</w:t>
      </w:r>
      <w:r>
        <w:rPr>
          <w:rFonts w:ascii="Arial" w:hAnsi="Arial" w:eastAsia="宋体" w:cs="Arial"/>
          <w:sz w:val="28"/>
          <w:szCs w:val="28"/>
        </w:rPr>
        <w:t>的创新性器械（即安全性和有效性的初步问题未解决，因此FDA不确定该器械类型是否安全有效）的研究会分为A类。认为属于I类或II类的器械，或属于III类器械且增加的风险为器械主要风险（即该器械类型背后的安全性和有效性问题已经解决）的器械会分为B类。因此，B类包括了安全性和有效性一致的器械类型，例如该器械已经由其他的制造商获取了FDA批准/许可。FDA在对IDE进行补贴分类时所使用的具体的标准见于跨部门协议中。</w:t>
      </w:r>
    </w:p>
    <w:p w14:paraId="46F86408">
      <w:pPr>
        <w:snapToGrid w:val="0"/>
        <w:spacing w:after="234" w:afterLines="75" w:line="300" w:lineRule="auto"/>
        <w:rPr>
          <w:rFonts w:ascii="Arial" w:hAnsi="Arial" w:eastAsia="宋体" w:cs="Arial"/>
          <w:sz w:val="28"/>
          <w:szCs w:val="28"/>
        </w:rPr>
      </w:pPr>
      <w:r>
        <w:rPr>
          <w:rFonts w:ascii="Arial" w:hAnsi="Arial" w:eastAsia="宋体" w:cs="Arial"/>
          <w:sz w:val="28"/>
          <w:szCs w:val="28"/>
        </w:rPr>
        <w:t>跨部门的合作是一项十分重要的倡议，可以</w:t>
      </w:r>
      <w:r>
        <w:rPr>
          <w:rFonts w:hint="eastAsia" w:ascii="Arial" w:hAnsi="Arial" w:eastAsia="宋体" w:cs="Arial"/>
          <w:sz w:val="28"/>
          <w:szCs w:val="28"/>
        </w:rPr>
        <w:t>对</w:t>
      </w:r>
      <w:r>
        <w:rPr>
          <w:rFonts w:ascii="Arial" w:hAnsi="Arial" w:eastAsia="宋体" w:cs="Arial"/>
          <w:sz w:val="28"/>
          <w:szCs w:val="28"/>
        </w:rPr>
        <w:t>患者的治疗和新型医疗技术的研发都产生出重要影响。通过扩展医疗保障覆盖政策的范围，纳入特定的研究性器械，医疗保障的受益人可以确保更容易获取最前沿的医疗技术进步。另外，补贴政策修改，纳入研究性器械可能能够通过确保研究中纳入了医疗保障患者群体，保证器械在适合的人群中进行检测，从而帮助提高临床研究的质量。最后，可以预见政策的该项改变也可以帮助患者参与临床研究。跨部门协议中与FDA相关的义务的实施可帮助实现这些重要的目标。</w:t>
      </w:r>
    </w:p>
    <w:p w14:paraId="31D0B634">
      <w:pPr>
        <w:widowControl/>
        <w:jc w:val="left"/>
        <w:rPr>
          <w:rFonts w:ascii="Arial" w:hAnsi="Arial" w:eastAsia="宋体" w:cs="Arial"/>
          <w:sz w:val="28"/>
          <w:szCs w:val="28"/>
        </w:rPr>
      </w:pPr>
      <w:r>
        <w:rPr>
          <w:rFonts w:ascii="Arial" w:hAnsi="Arial" w:eastAsia="宋体" w:cs="Arial"/>
          <w:sz w:val="28"/>
          <w:szCs w:val="28"/>
        </w:rPr>
        <w:br w:type="page"/>
      </w:r>
    </w:p>
    <w:p w14:paraId="1C32DD82">
      <w:pPr>
        <w:snapToGrid w:val="0"/>
        <w:spacing w:after="234" w:afterLines="75" w:line="300" w:lineRule="auto"/>
        <w:rPr>
          <w:rFonts w:ascii="Arial" w:hAnsi="Arial" w:eastAsia="宋体" w:cs="Arial"/>
          <w:sz w:val="28"/>
          <w:szCs w:val="28"/>
        </w:rPr>
      </w:pPr>
      <w:r>
        <w:rPr>
          <w:rFonts w:ascii="Arial" w:hAnsi="Arial" w:eastAsia="宋体" w:cs="Arial"/>
          <w:sz w:val="28"/>
          <w:szCs w:val="28"/>
        </w:rPr>
        <w:t>流程</w:t>
      </w:r>
    </w:p>
    <w:p w14:paraId="5D280212">
      <w:pPr>
        <w:snapToGrid w:val="0"/>
        <w:spacing w:after="234" w:afterLines="75" w:line="300" w:lineRule="auto"/>
        <w:rPr>
          <w:rFonts w:ascii="Arial" w:hAnsi="Arial" w:eastAsia="宋体" w:cs="Arial"/>
          <w:sz w:val="28"/>
          <w:szCs w:val="28"/>
        </w:rPr>
      </w:pPr>
      <w:r>
        <w:rPr>
          <w:rFonts w:ascii="Arial" w:hAnsi="Arial" w:eastAsia="宋体" w:cs="Arial"/>
          <w:sz w:val="28"/>
          <w:szCs w:val="28"/>
        </w:rPr>
        <w:t>下文中描述了ODE工作人员承担FDA在跨部门协议中的责任所使用的流程。IA的实施包括两个阶段。在第I阶段，所有已批准、在特定条件下批准、或认为在1995年9月15日前可以获得批准（除非批准并立即撤销）的IDE会被分配至跨部门协议所描述的两个补贴分类下。第II阶段会从1995年9月18日开始。在该时间点，作为IDE审查流程常规部分的每个审查部门均需要针对该日期及以后接受的所有IDE承担补贴分类处理实施的责任。每个阶段会在下文详述。</w:t>
      </w:r>
    </w:p>
    <w:p w14:paraId="1FAB9BD4">
      <w:pPr>
        <w:snapToGrid w:val="0"/>
        <w:spacing w:after="234" w:afterLines="75" w:line="300" w:lineRule="auto"/>
        <w:rPr>
          <w:rFonts w:ascii="Arial" w:hAnsi="Arial" w:eastAsia="宋体" w:cs="Arial"/>
          <w:sz w:val="28"/>
          <w:szCs w:val="28"/>
        </w:rPr>
      </w:pPr>
      <w:r>
        <w:rPr>
          <w:rFonts w:ascii="Arial" w:hAnsi="Arial" w:eastAsia="宋体" w:cs="Arial"/>
          <w:sz w:val="28"/>
          <w:szCs w:val="28"/>
        </w:rPr>
        <w:t>A. 第I阶段：对已批准的IDE进行分类</w:t>
      </w:r>
    </w:p>
    <w:p w14:paraId="7ED8D332">
      <w:pPr>
        <w:snapToGrid w:val="0"/>
        <w:spacing w:after="234" w:afterLines="75" w:line="300" w:lineRule="auto"/>
        <w:rPr>
          <w:rFonts w:ascii="Arial" w:hAnsi="Arial" w:eastAsia="宋体" w:cs="Arial"/>
          <w:sz w:val="28"/>
          <w:szCs w:val="28"/>
        </w:rPr>
      </w:pPr>
      <w:r>
        <w:rPr>
          <w:rFonts w:ascii="Arial" w:hAnsi="Arial" w:eastAsia="宋体" w:cs="Arial"/>
          <w:sz w:val="28"/>
          <w:szCs w:val="28"/>
        </w:rPr>
        <w:t>根据附件跨部门协议确定的标准，各部门应在1995年9月15日前对已批准的</w:t>
      </w:r>
      <w:bookmarkStart w:id="0" w:name="OLE_LINK2"/>
      <w:bookmarkStart w:id="1" w:name="OLE_LINK1"/>
      <w:r>
        <w:rPr>
          <w:rFonts w:ascii="Arial" w:hAnsi="Arial" w:eastAsia="宋体" w:cs="Arial"/>
          <w:sz w:val="28"/>
          <w:szCs w:val="28"/>
        </w:rPr>
        <w:t>（</w:t>
      </w:r>
      <w:r>
        <w:rPr>
          <w:rFonts w:ascii="宋体" w:hAnsi="宋体" w:eastAsia="宋体" w:cs="Arial"/>
          <w:sz w:val="28"/>
          <w:szCs w:val="28"/>
        </w:rPr>
        <w:t>“</w:t>
      </w:r>
      <w:r>
        <w:rPr>
          <w:rFonts w:ascii="Arial" w:hAnsi="Arial" w:eastAsia="宋体" w:cs="Arial"/>
          <w:sz w:val="28"/>
          <w:szCs w:val="28"/>
        </w:rPr>
        <w:t>完全批准</w:t>
      </w:r>
      <w:r>
        <w:rPr>
          <w:rFonts w:ascii="宋体" w:hAnsi="宋体" w:eastAsia="宋体" w:cs="Arial"/>
          <w:sz w:val="28"/>
          <w:szCs w:val="28"/>
        </w:rPr>
        <w:t>”</w:t>
      </w:r>
      <w:r>
        <w:rPr>
          <w:rFonts w:ascii="Arial" w:hAnsi="Arial" w:eastAsia="宋体" w:cs="Arial"/>
          <w:sz w:val="28"/>
          <w:szCs w:val="28"/>
        </w:rPr>
        <w:t>，特定条件下批准，或认为可以批准</w:t>
      </w:r>
      <w:bookmarkEnd w:id="0"/>
      <w:bookmarkEnd w:id="1"/>
      <w:r>
        <w:rPr>
          <w:rFonts w:ascii="Arial" w:hAnsi="Arial" w:eastAsia="宋体" w:cs="Arial"/>
          <w:sz w:val="28"/>
          <w:szCs w:val="28"/>
        </w:rPr>
        <w:t>）所有IDE进行分类。ODE高级管理人员和IDE工作人员会进行特殊的培训课程，向部门主管（分部的主任和部门副/代理主任）提供分类确定流程的指导。</w:t>
      </w:r>
    </w:p>
    <w:p w14:paraId="1B099365">
      <w:pPr>
        <w:snapToGrid w:val="0"/>
        <w:spacing w:after="234" w:afterLines="75" w:line="300" w:lineRule="auto"/>
        <w:rPr>
          <w:rFonts w:ascii="Arial" w:hAnsi="Arial" w:eastAsia="宋体" w:cs="Arial"/>
          <w:sz w:val="28"/>
          <w:szCs w:val="28"/>
        </w:rPr>
      </w:pPr>
      <w:r>
        <w:rPr>
          <w:rFonts w:ascii="Arial" w:hAnsi="Arial" w:eastAsia="宋体" w:cs="Arial"/>
          <w:sz w:val="28"/>
          <w:szCs w:val="28"/>
        </w:rPr>
        <w:t>大多数情况下，可以根据IDE数据库中已有的数据对研究性器械进行分类；但在一些情况下，可以必须在参考实际的IDE申请的请示参考同类上市器械的信息。可以</w:t>
      </w:r>
      <w:r>
        <w:rPr>
          <w:rFonts w:hint="eastAsia" w:ascii="Arial" w:hAnsi="Arial" w:eastAsia="宋体" w:cs="Arial"/>
          <w:sz w:val="28"/>
          <w:szCs w:val="28"/>
        </w:rPr>
        <w:t>预见</w:t>
      </w:r>
      <w:r>
        <w:rPr>
          <w:rFonts w:ascii="Arial" w:hAnsi="Arial" w:eastAsia="宋体" w:cs="Arial"/>
          <w:sz w:val="28"/>
          <w:szCs w:val="28"/>
        </w:rPr>
        <w:t>大多数器械会分为B类（及非试验性/研究性）。关于补贴分类的数据会在1995年11月1日或之前汇总并提交至HCFA。因此，所有1996年9月15日前批准的IDE的分类工作必须在1995年10月6日前完成并提交至IDE工作人员。</w:t>
      </w:r>
    </w:p>
    <w:p w14:paraId="0012080A">
      <w:pPr>
        <w:widowControl/>
        <w:jc w:val="left"/>
        <w:rPr>
          <w:rFonts w:ascii="Arial" w:hAnsi="Arial" w:eastAsia="宋体" w:cs="Arial"/>
          <w:sz w:val="28"/>
          <w:szCs w:val="28"/>
        </w:rPr>
      </w:pPr>
      <w:r>
        <w:rPr>
          <w:rFonts w:ascii="Arial" w:hAnsi="Arial" w:eastAsia="宋体" w:cs="Arial"/>
          <w:sz w:val="28"/>
          <w:szCs w:val="28"/>
        </w:rPr>
        <w:br w:type="page"/>
      </w:r>
    </w:p>
    <w:p w14:paraId="2B5CDD40">
      <w:pPr>
        <w:snapToGrid w:val="0"/>
        <w:spacing w:after="234" w:afterLines="75" w:line="300" w:lineRule="auto"/>
        <w:rPr>
          <w:rFonts w:ascii="Arial" w:hAnsi="Arial" w:eastAsia="宋体" w:cs="Arial"/>
          <w:sz w:val="28"/>
          <w:szCs w:val="28"/>
        </w:rPr>
      </w:pPr>
      <w:r>
        <w:rPr>
          <w:rFonts w:ascii="Arial" w:hAnsi="Arial" w:eastAsia="宋体" w:cs="Arial"/>
          <w:sz w:val="28"/>
          <w:szCs w:val="28"/>
        </w:rPr>
        <w:t>IDE工作人员会向各部门提供所有必须分类的IDE申请清单。该清单仅包含数据库中已经批准的IDE。已经终止的IDE会认为不在IA协议范围内，因此不会进行补贴分类。IDE工作人员还会</w:t>
      </w:r>
      <w:r>
        <w:rPr>
          <w:rFonts w:hint="eastAsia" w:ascii="Arial" w:hAnsi="Arial" w:eastAsia="宋体" w:cs="Arial"/>
          <w:sz w:val="28"/>
          <w:szCs w:val="28"/>
        </w:rPr>
        <w:t>提供</w:t>
      </w:r>
      <w:r>
        <w:rPr>
          <w:rFonts w:ascii="Arial" w:hAnsi="Arial" w:eastAsia="宋体" w:cs="Arial"/>
          <w:sz w:val="28"/>
          <w:szCs w:val="28"/>
        </w:rPr>
        <w:t>ODE审查部门提供标准化的表格，以统一的形式进行信息收集。对于分类为A类的IDE申请（例如试验性），需要IDE工作人员的咨询和同意。（用于确定分类理由的样例文件检查单（LAN文件H-1）必须由部门主管和IDE工作人员共同签署。见附件B）。</w:t>
      </w:r>
    </w:p>
    <w:p w14:paraId="7CD1B547">
      <w:pPr>
        <w:snapToGrid w:val="0"/>
        <w:spacing w:after="234" w:afterLines="75" w:line="300" w:lineRule="auto"/>
        <w:rPr>
          <w:rFonts w:ascii="Arial" w:hAnsi="Arial" w:eastAsia="宋体" w:cs="Arial"/>
          <w:sz w:val="28"/>
          <w:szCs w:val="28"/>
        </w:rPr>
      </w:pPr>
      <w:r>
        <w:rPr>
          <w:rFonts w:ascii="Arial" w:hAnsi="Arial" w:eastAsia="宋体" w:cs="Arial"/>
          <w:sz w:val="28"/>
          <w:szCs w:val="28"/>
        </w:rPr>
        <w:t>为了信息公开，小型制造商援助司（DSMA）会在电子档案中公布已批准的IDE清单（仅IDE编号）和对应的补贴分类。</w:t>
      </w:r>
    </w:p>
    <w:p w14:paraId="651A41AD">
      <w:pPr>
        <w:snapToGrid w:val="0"/>
        <w:spacing w:after="234" w:afterLines="75" w:line="300" w:lineRule="auto"/>
        <w:rPr>
          <w:rFonts w:ascii="Arial" w:hAnsi="Arial" w:eastAsia="宋体" w:cs="Arial"/>
          <w:sz w:val="28"/>
          <w:szCs w:val="28"/>
        </w:rPr>
      </w:pPr>
      <w:r>
        <w:rPr>
          <w:rFonts w:ascii="Arial" w:hAnsi="Arial" w:eastAsia="宋体" w:cs="Arial"/>
          <w:sz w:val="28"/>
          <w:szCs w:val="28"/>
        </w:rPr>
        <w:t>B. 第II阶段：1995年9月15日之后批准的IDE</w:t>
      </w:r>
    </w:p>
    <w:p w14:paraId="4F2B89B1">
      <w:pPr>
        <w:snapToGrid w:val="0"/>
        <w:spacing w:after="234" w:afterLines="75" w:line="300" w:lineRule="auto"/>
        <w:rPr>
          <w:rFonts w:ascii="Arial" w:hAnsi="Arial" w:eastAsia="宋体" w:cs="Arial"/>
          <w:sz w:val="28"/>
          <w:szCs w:val="28"/>
        </w:rPr>
      </w:pPr>
      <w:r>
        <w:rPr>
          <w:rFonts w:ascii="Arial" w:hAnsi="Arial" w:eastAsia="宋体" w:cs="Arial"/>
          <w:sz w:val="28"/>
          <w:szCs w:val="28"/>
        </w:rPr>
        <w:t>1995年9月18日，各部门会开始负责已经批准、特定条件下批准、或认为可以批准（出分批准后立即撤销）的IDE的补贴分类。如前文所述，可以预见大多数的情况下可以通过快速审查部门记录和IDE数据库进行分类。如上文所述，对于分为A类的IDE，部门主管必须在发布批准信之前联系IDE工作人员，或向申办方或HCFA通知分类决定。IDE工作人员会审查该决定，并通知该部门是否同意该决定。</w:t>
      </w:r>
    </w:p>
    <w:p w14:paraId="05940D0F">
      <w:pPr>
        <w:snapToGrid w:val="0"/>
        <w:spacing w:after="234" w:afterLines="75" w:line="300" w:lineRule="auto"/>
        <w:rPr>
          <w:rFonts w:ascii="Arial" w:hAnsi="Arial" w:eastAsia="宋体" w:cs="Arial"/>
          <w:sz w:val="28"/>
          <w:szCs w:val="28"/>
        </w:rPr>
      </w:pPr>
      <w:r>
        <w:rPr>
          <w:rFonts w:ascii="Arial" w:hAnsi="Arial" w:eastAsia="宋体" w:cs="Arial"/>
          <w:sz w:val="28"/>
          <w:szCs w:val="28"/>
        </w:rPr>
        <w:t>原始IDE和修正文件的IDE样例文件批准信（</w:t>
      </w:r>
      <w:r>
        <w:rPr>
          <w:rFonts w:ascii="宋体" w:hAnsi="宋体" w:eastAsia="宋体" w:cs="Arial"/>
          <w:sz w:val="28"/>
          <w:szCs w:val="28"/>
        </w:rPr>
        <w:t>“</w:t>
      </w:r>
      <w:r>
        <w:rPr>
          <w:rFonts w:ascii="Arial" w:hAnsi="Arial" w:eastAsia="宋体" w:cs="Arial"/>
          <w:sz w:val="28"/>
          <w:szCs w:val="28"/>
        </w:rPr>
        <w:t>完全批准</w:t>
      </w:r>
      <w:r>
        <w:rPr>
          <w:rFonts w:ascii="宋体" w:hAnsi="宋体" w:eastAsia="宋体" w:cs="Arial"/>
          <w:sz w:val="28"/>
          <w:szCs w:val="28"/>
        </w:rPr>
        <w:t>”</w:t>
      </w:r>
      <w:r>
        <w:rPr>
          <w:rFonts w:ascii="Arial" w:hAnsi="Arial" w:eastAsia="宋体" w:cs="Arial"/>
          <w:sz w:val="28"/>
          <w:szCs w:val="28"/>
        </w:rPr>
        <w:t>，特定条件下批准，或认为可以批准）会按照下列方式进行修改：</w:t>
      </w:r>
    </w:p>
    <w:p w14:paraId="6604ECF4">
      <w:pPr>
        <w:pStyle w:val="10"/>
        <w:numPr>
          <w:ilvl w:val="0"/>
          <w:numId w:val="1"/>
        </w:numPr>
        <w:snapToGrid w:val="0"/>
        <w:spacing w:after="234" w:afterLines="75" w:line="300" w:lineRule="auto"/>
        <w:ind w:firstLineChars="0"/>
        <w:rPr>
          <w:rFonts w:ascii="Arial" w:hAnsi="Arial" w:eastAsia="宋体" w:cs="Arial"/>
          <w:sz w:val="28"/>
          <w:szCs w:val="28"/>
        </w:rPr>
      </w:pPr>
      <w:r>
        <w:rPr>
          <w:rFonts w:ascii="Arial" w:hAnsi="Arial" w:eastAsia="宋体" w:cs="Arial"/>
          <w:sz w:val="28"/>
          <w:szCs w:val="28"/>
        </w:rPr>
        <w:t>参考部分会进行修改，不仅要纳入IDE编号和器械名称，还应注明临床规范中声明的器械适应症和HCFA补偿分类：A（或B）。</w:t>
      </w:r>
    </w:p>
    <w:p w14:paraId="231EF659">
      <w:pPr>
        <w:pStyle w:val="10"/>
        <w:numPr>
          <w:ilvl w:val="0"/>
          <w:numId w:val="1"/>
        </w:numPr>
        <w:snapToGrid w:val="0"/>
        <w:spacing w:after="234" w:afterLines="75" w:line="300" w:lineRule="auto"/>
        <w:ind w:firstLineChars="0"/>
        <w:rPr>
          <w:rFonts w:ascii="Arial" w:hAnsi="Arial" w:eastAsia="宋体" w:cs="Arial"/>
          <w:sz w:val="28"/>
          <w:szCs w:val="28"/>
        </w:rPr>
      </w:pPr>
      <w:r>
        <w:rPr>
          <w:rFonts w:ascii="Arial" w:hAnsi="Arial" w:eastAsia="宋体" w:cs="Arial"/>
          <w:sz w:val="28"/>
          <w:szCs w:val="28"/>
        </w:rPr>
        <w:t>所有上述信件底部的分发清单会加入HCFA。文件邮件中心（DMC）会负责将批准信的副本邮件至HCFA。</w:t>
      </w:r>
    </w:p>
    <w:p w14:paraId="6003328E">
      <w:pPr>
        <w:pStyle w:val="10"/>
        <w:numPr>
          <w:ilvl w:val="0"/>
          <w:numId w:val="1"/>
        </w:numPr>
        <w:snapToGrid w:val="0"/>
        <w:spacing w:after="234" w:afterLines="75" w:line="300" w:lineRule="auto"/>
        <w:ind w:firstLineChars="0"/>
        <w:rPr>
          <w:rFonts w:ascii="Arial" w:hAnsi="Arial" w:eastAsia="宋体" w:cs="Arial"/>
          <w:sz w:val="28"/>
          <w:szCs w:val="28"/>
        </w:rPr>
      </w:pPr>
      <w:r>
        <w:rPr>
          <w:rFonts w:ascii="Arial" w:hAnsi="Arial" w:eastAsia="宋体" w:cs="Arial"/>
          <w:sz w:val="28"/>
          <w:szCs w:val="28"/>
        </w:rPr>
        <w:t>如果分类结果为A类，则在批准信中必须包含副标题</w:t>
      </w:r>
      <w:r>
        <w:rPr>
          <w:rFonts w:ascii="宋体" w:hAnsi="宋体" w:eastAsia="宋体" w:cs="Arial"/>
          <w:sz w:val="28"/>
          <w:szCs w:val="28"/>
        </w:rPr>
        <w:t>“</w:t>
      </w:r>
      <w:r>
        <w:rPr>
          <w:rFonts w:ascii="Arial" w:hAnsi="Arial" w:eastAsia="宋体" w:cs="Arial"/>
          <w:sz w:val="28"/>
          <w:szCs w:val="28"/>
        </w:rPr>
        <w:t>分类决定重新评估申请流程</w:t>
      </w:r>
      <w:r>
        <w:rPr>
          <w:rFonts w:ascii="宋体" w:hAnsi="宋体" w:eastAsia="宋体" w:cs="Arial"/>
          <w:sz w:val="28"/>
          <w:szCs w:val="28"/>
        </w:rPr>
        <w:t>”</w:t>
      </w:r>
      <w:r>
        <w:rPr>
          <w:rFonts w:ascii="Arial" w:hAnsi="Arial" w:eastAsia="宋体" w:cs="Arial"/>
          <w:sz w:val="28"/>
          <w:szCs w:val="28"/>
        </w:rPr>
        <w:t>。</w:t>
      </w:r>
    </w:p>
    <w:p w14:paraId="0798CB50">
      <w:pPr>
        <w:widowControl/>
        <w:jc w:val="left"/>
        <w:rPr>
          <w:rFonts w:ascii="Arial" w:hAnsi="Arial" w:eastAsia="宋体" w:cs="Arial"/>
          <w:sz w:val="28"/>
          <w:szCs w:val="28"/>
        </w:rPr>
      </w:pPr>
      <w:r>
        <w:rPr>
          <w:rFonts w:ascii="Arial" w:hAnsi="Arial" w:eastAsia="宋体" w:cs="Arial"/>
          <w:sz w:val="28"/>
          <w:szCs w:val="28"/>
        </w:rPr>
        <w:br w:type="page"/>
      </w:r>
    </w:p>
    <w:p w14:paraId="31361D3D">
      <w:pPr>
        <w:snapToGrid w:val="0"/>
        <w:spacing w:after="234" w:afterLines="75" w:line="300" w:lineRule="auto"/>
        <w:rPr>
          <w:rFonts w:ascii="Arial" w:hAnsi="Arial" w:eastAsia="宋体" w:cs="Arial"/>
          <w:sz w:val="28"/>
          <w:szCs w:val="28"/>
        </w:rPr>
      </w:pPr>
      <w:r>
        <w:rPr>
          <w:rFonts w:ascii="Arial" w:hAnsi="Arial" w:eastAsia="宋体" w:cs="Arial"/>
          <w:sz w:val="28"/>
          <w:szCs w:val="28"/>
        </w:rPr>
        <w:t>为了建立分类决定依据的书面记录，审查员必须填写由IDE工作人员提供的检查清单（见附件B或LAN的文件H-1）。使用该清单，由于该文件必须附在审查备忘录的最后一页，因此研究性器械分类决定的依据标准可以纳入IDE文件中。对所有批准的原始IDE和修正案，追踪记录表中还必须记录分类决定（分类和原因代码）。（如果该信息未纳入追踪表，则DMC无法将该IDE登出追踪系统）。在IDE退出追踪系统后，DMC会负责将该信息导入IDE数据库。</w:t>
      </w:r>
    </w:p>
    <w:p w14:paraId="6383C52D">
      <w:pPr>
        <w:snapToGrid w:val="0"/>
        <w:spacing w:after="234" w:afterLines="75" w:line="300" w:lineRule="auto"/>
        <w:rPr>
          <w:rFonts w:ascii="Arial" w:hAnsi="Arial" w:eastAsia="宋体" w:cs="Arial"/>
          <w:sz w:val="28"/>
          <w:szCs w:val="28"/>
        </w:rPr>
      </w:pPr>
      <w:r>
        <w:rPr>
          <w:rFonts w:ascii="Arial" w:hAnsi="Arial" w:eastAsia="宋体" w:cs="Arial"/>
          <w:sz w:val="28"/>
          <w:szCs w:val="28"/>
        </w:rPr>
        <w:t>系统和管理办公室已经对IDE数据库进行了修改，可以存储每项已经批准的IDE的补贴分类和原因代码。该修改允许IDE数据库的检索以及根据标准生成报告。</w:t>
      </w:r>
    </w:p>
    <w:p w14:paraId="6205C4D3">
      <w:pPr>
        <w:snapToGrid w:val="0"/>
        <w:spacing w:after="234" w:afterLines="75" w:line="300" w:lineRule="auto"/>
        <w:rPr>
          <w:rFonts w:ascii="Arial" w:hAnsi="Arial" w:eastAsia="宋体" w:cs="Arial"/>
          <w:sz w:val="28"/>
          <w:szCs w:val="28"/>
        </w:rPr>
      </w:pPr>
      <w:r>
        <w:rPr>
          <w:rFonts w:ascii="Arial" w:hAnsi="Arial" w:eastAsia="宋体" w:cs="Arial"/>
          <w:sz w:val="28"/>
          <w:szCs w:val="28"/>
        </w:rPr>
        <w:t>C. IDE状态更改</w:t>
      </w:r>
    </w:p>
    <w:p w14:paraId="5D7014F9">
      <w:pPr>
        <w:snapToGrid w:val="0"/>
        <w:spacing w:after="234" w:afterLines="75" w:line="300" w:lineRule="auto"/>
        <w:rPr>
          <w:rFonts w:ascii="Arial" w:hAnsi="Arial" w:eastAsia="宋体" w:cs="Arial"/>
          <w:sz w:val="28"/>
          <w:szCs w:val="28"/>
        </w:rPr>
      </w:pPr>
      <w:r>
        <w:rPr>
          <w:rFonts w:ascii="Arial" w:hAnsi="Arial" w:eastAsia="宋体" w:cs="Arial"/>
          <w:sz w:val="28"/>
          <w:szCs w:val="28"/>
        </w:rPr>
        <w:t>如果IDE申请的批准终止，则必须尽快通知HCFA该信息。因此，如果在IDE工作人员咨询后，决定终止审批该IDE申请，则审查部分需要在通知申办方撤销批准的同时通过传真向HCFA发送撤销IDE批准的最终决定副本。（该信息应当发送的HCFA联系人姓名和传真号见IDE样例文件信件G-30A。）建议撤销信并非最终决定，因此不应通知HCFA。</w:t>
      </w:r>
    </w:p>
    <w:p w14:paraId="7C78BED6">
      <w:pPr>
        <w:snapToGrid w:val="0"/>
        <w:spacing w:after="234" w:afterLines="75" w:line="300" w:lineRule="auto"/>
        <w:rPr>
          <w:rFonts w:ascii="Arial" w:hAnsi="Arial" w:eastAsia="宋体" w:cs="Arial"/>
          <w:sz w:val="28"/>
          <w:szCs w:val="28"/>
        </w:rPr>
      </w:pPr>
      <w:r>
        <w:rPr>
          <w:rFonts w:ascii="Arial" w:hAnsi="Arial" w:eastAsia="宋体" w:cs="Arial"/>
          <w:sz w:val="28"/>
          <w:szCs w:val="28"/>
        </w:rPr>
        <w:t>D. 分类决定的保密</w:t>
      </w:r>
    </w:p>
    <w:p w14:paraId="4C1E88F9">
      <w:pPr>
        <w:snapToGrid w:val="0"/>
        <w:spacing w:after="234" w:afterLines="75" w:line="300" w:lineRule="auto"/>
        <w:rPr>
          <w:rFonts w:ascii="Arial" w:hAnsi="Arial" w:eastAsia="宋体" w:cs="Arial"/>
          <w:sz w:val="28"/>
          <w:szCs w:val="28"/>
        </w:rPr>
      </w:pPr>
      <w:r>
        <w:rPr>
          <w:rFonts w:ascii="Arial" w:hAnsi="Arial" w:eastAsia="宋体" w:cs="Arial"/>
          <w:sz w:val="28"/>
          <w:szCs w:val="28"/>
        </w:rPr>
        <w:t>根据21 CFR 812.38（a）的规定，所有关于IDE的信息，不论其状态如何，均应保密。其中包括分类决定。因此，除了DSMA需要发布在电子档案中的信息外，所有与补贴分类决定相关的信息仅能披露给IDE申办方和HCFA。因此，各部门应当将HCFA补贴分类政策相关的查询（尤其是来自医生、患者、投保人的查询）提交至Sharon Hippler：HCFA，7500 Security Boulevard，C4-04-05，Baltimore，MD 21244或（410）786-4633。</w:t>
      </w:r>
    </w:p>
    <w:p w14:paraId="1F3DAC7B">
      <w:pPr>
        <w:widowControl/>
        <w:jc w:val="left"/>
        <w:rPr>
          <w:rFonts w:ascii="Arial" w:hAnsi="Arial" w:eastAsia="宋体" w:cs="Arial"/>
          <w:sz w:val="28"/>
          <w:szCs w:val="28"/>
        </w:rPr>
      </w:pPr>
      <w:r>
        <w:rPr>
          <w:rFonts w:ascii="Arial" w:hAnsi="Arial" w:eastAsia="宋体" w:cs="Arial"/>
          <w:sz w:val="28"/>
          <w:szCs w:val="28"/>
        </w:rPr>
        <w:br w:type="page"/>
      </w:r>
    </w:p>
    <w:p w14:paraId="5A492D23">
      <w:pPr>
        <w:snapToGrid w:val="0"/>
        <w:spacing w:after="234" w:afterLines="75" w:line="300" w:lineRule="auto"/>
        <w:rPr>
          <w:rFonts w:ascii="Arial" w:hAnsi="Arial" w:eastAsia="宋体" w:cs="Arial"/>
          <w:sz w:val="28"/>
          <w:szCs w:val="28"/>
        </w:rPr>
      </w:pPr>
      <w:r>
        <w:rPr>
          <w:rFonts w:ascii="Arial" w:hAnsi="Arial" w:eastAsia="宋体" w:cs="Arial"/>
          <w:sz w:val="28"/>
          <w:szCs w:val="28"/>
        </w:rPr>
        <w:t>E.申办方查询和要求对分类决定进行重新评估</w:t>
      </w:r>
    </w:p>
    <w:p w14:paraId="19E19245">
      <w:pPr>
        <w:snapToGrid w:val="0"/>
        <w:spacing w:after="234" w:afterLines="75" w:line="300" w:lineRule="auto"/>
        <w:rPr>
          <w:rFonts w:ascii="Arial" w:hAnsi="Arial" w:eastAsia="宋体" w:cs="Arial"/>
          <w:sz w:val="28"/>
          <w:szCs w:val="28"/>
        </w:rPr>
      </w:pPr>
      <w:r>
        <w:rPr>
          <w:rFonts w:ascii="Arial" w:hAnsi="Arial" w:eastAsia="宋体" w:cs="Arial"/>
          <w:sz w:val="28"/>
          <w:szCs w:val="28"/>
        </w:rPr>
        <w:t>各部门可能会与研究申办方讨论补贴分类的依据。对补贴分类进行重新评估的请求必须以IDE补充申请的形式书面提交至FDA。在收到请求后，审查部分会考虑原始决定，并发布其最终决定标准的信件。在进行此类请求的回应过程中，必须使用合适的样例文件信件（LAN的H-2），并且在信件发出前必须获得IDE工作人员的同意。在该节点后，申办方涉及分类决定的所有后续申请必须提交至HCFA，因为FDA的决定仅为补贴决定的若干因素之一，HCFA为补贴决定的最终决定者。</w:t>
      </w:r>
    </w:p>
    <w:p w14:paraId="4EE3CCC6">
      <w:pPr>
        <w:snapToGrid w:val="0"/>
        <w:spacing w:after="234" w:afterLines="75" w:line="300" w:lineRule="auto"/>
        <w:rPr>
          <w:rFonts w:ascii="Arial" w:hAnsi="Arial" w:eastAsia="宋体" w:cs="Arial"/>
          <w:sz w:val="28"/>
          <w:szCs w:val="28"/>
        </w:rPr>
      </w:pPr>
      <w:r>
        <w:rPr>
          <w:rFonts w:ascii="Arial" w:hAnsi="Arial" w:eastAsia="宋体" w:cs="Arial"/>
          <w:sz w:val="28"/>
          <w:szCs w:val="28"/>
        </w:rPr>
        <w:t>F.更新分类决定</w:t>
      </w:r>
    </w:p>
    <w:p w14:paraId="457E86B8">
      <w:pPr>
        <w:snapToGrid w:val="0"/>
        <w:spacing w:after="234" w:afterLines="75" w:line="300" w:lineRule="auto"/>
        <w:rPr>
          <w:rFonts w:ascii="Arial" w:hAnsi="Arial" w:eastAsia="宋体" w:cs="Arial"/>
          <w:sz w:val="28"/>
          <w:szCs w:val="28"/>
        </w:rPr>
      </w:pPr>
      <w:r>
        <w:rPr>
          <w:rFonts w:ascii="Arial" w:hAnsi="Arial" w:eastAsia="宋体" w:cs="Arial"/>
          <w:sz w:val="28"/>
          <w:szCs w:val="28"/>
        </w:rPr>
        <w:t>如果需要对最初的分类决定进行更改（例如，批准了与研究中的器械类似的器械的PMA），审查部分应负责所有可能会受到该更改影响的IDE的分类情况。任何变更均必须立即向IDE工作人员报告。IDE工作人员负责向HCFA和IDE申办方报告分类结果的变更（见LAN样例文件H-3）。</w:t>
      </w:r>
    </w:p>
    <w:p w14:paraId="73A1B996">
      <w:pPr>
        <w:snapToGrid w:val="0"/>
        <w:spacing w:after="234" w:afterLines="75" w:line="300" w:lineRule="auto"/>
        <w:rPr>
          <w:rFonts w:ascii="Arial" w:hAnsi="Arial" w:eastAsia="宋体" w:cs="Arial"/>
          <w:sz w:val="28"/>
          <w:szCs w:val="28"/>
        </w:rPr>
      </w:pPr>
      <w:r>
        <w:rPr>
          <w:rFonts w:ascii="Arial" w:hAnsi="Arial" w:eastAsia="宋体" w:cs="Arial"/>
          <w:sz w:val="28"/>
          <w:szCs w:val="28"/>
        </w:rPr>
        <w:t>生效日期</w:t>
      </w:r>
    </w:p>
    <w:p w14:paraId="3393FE1F">
      <w:pPr>
        <w:snapToGrid w:val="0"/>
        <w:spacing w:after="234" w:afterLines="75" w:line="300" w:lineRule="auto"/>
        <w:rPr>
          <w:rFonts w:ascii="Arial" w:hAnsi="Arial" w:eastAsia="宋体" w:cs="Arial"/>
          <w:sz w:val="28"/>
          <w:szCs w:val="28"/>
        </w:rPr>
      </w:pPr>
      <w:r>
        <w:rPr>
          <w:rFonts w:ascii="Arial" w:hAnsi="Arial" w:eastAsia="宋体" w:cs="Arial"/>
          <w:sz w:val="28"/>
          <w:szCs w:val="28"/>
        </w:rPr>
        <w:t>本备忘录立即生效。</w:t>
      </w:r>
    </w:p>
    <w:p w14:paraId="7BF54D1A">
      <w:pPr>
        <w:widowControl/>
        <w:jc w:val="left"/>
        <w:rPr>
          <w:rFonts w:ascii="Arial" w:hAnsi="Arial" w:eastAsia="宋体" w:cs="Arial"/>
          <w:sz w:val="28"/>
          <w:szCs w:val="28"/>
        </w:rPr>
      </w:pPr>
      <w:r>
        <w:rPr>
          <w:rFonts w:ascii="Arial" w:hAnsi="Arial" w:eastAsia="宋体" w:cs="Arial"/>
          <w:sz w:val="28"/>
          <w:szCs w:val="28"/>
        </w:rPr>
        <w:br w:type="page"/>
      </w:r>
    </w:p>
    <w:p w14:paraId="20CA5ED8">
      <w:pPr>
        <w:snapToGrid w:val="0"/>
        <w:spacing w:after="234" w:afterLines="75" w:line="300" w:lineRule="auto"/>
        <w:jc w:val="center"/>
        <w:rPr>
          <w:rFonts w:ascii="Arial" w:hAnsi="Arial" w:eastAsia="宋体" w:cs="Arial"/>
          <w:sz w:val="28"/>
          <w:szCs w:val="28"/>
        </w:rPr>
      </w:pPr>
      <w:r>
        <w:rPr>
          <w:rFonts w:ascii="Arial" w:hAnsi="Arial" w:eastAsia="宋体" w:cs="Arial"/>
          <w:sz w:val="28"/>
          <w:szCs w:val="28"/>
        </w:rPr>
        <w:t>Philip J. Phillips</w:t>
      </w:r>
    </w:p>
    <w:p w14:paraId="5358C495">
      <w:pPr>
        <w:pBdr>
          <w:bottom w:val="single" w:color="7F7F7F" w:themeColor="background1" w:themeShade="80" w:sz="4" w:space="1"/>
        </w:pBdr>
        <w:snapToGrid w:val="0"/>
        <w:spacing w:after="234" w:afterLines="75" w:line="300" w:lineRule="auto"/>
        <w:jc w:val="center"/>
        <w:rPr>
          <w:rFonts w:ascii="Arial" w:hAnsi="Arial" w:eastAsia="宋体" w:cs="Arial"/>
          <w:sz w:val="28"/>
          <w:szCs w:val="28"/>
        </w:rPr>
      </w:pPr>
    </w:p>
    <w:p w14:paraId="7326932B">
      <w:pPr>
        <w:widowControl/>
        <w:snapToGrid w:val="0"/>
        <w:spacing w:after="234" w:afterLines="75" w:line="300" w:lineRule="auto"/>
        <w:rPr>
          <w:rFonts w:ascii="Arial" w:hAnsi="Arial" w:eastAsia="宋体" w:cs="Arial"/>
          <w:sz w:val="28"/>
          <w:szCs w:val="28"/>
        </w:rPr>
      </w:pPr>
      <w:r>
        <w:rPr>
          <w:rFonts w:ascii="Arial" w:hAnsi="Arial" w:eastAsia="宋体" w:cs="Arial"/>
          <w:sz w:val="28"/>
          <w:szCs w:val="28"/>
        </w:rPr>
        <w:br w:type="page"/>
      </w:r>
    </w:p>
    <w:p w14:paraId="08EAC0E9">
      <w:pPr>
        <w:snapToGrid w:val="0"/>
        <w:spacing w:after="234" w:afterLines="75" w:line="300" w:lineRule="auto"/>
        <w:jc w:val="left"/>
        <w:rPr>
          <w:rFonts w:ascii="Arial" w:hAnsi="Arial" w:eastAsia="宋体" w:cs="Arial"/>
          <w:sz w:val="28"/>
          <w:szCs w:val="28"/>
        </w:rPr>
      </w:pPr>
      <w:r>
        <w:rPr>
          <w:rFonts w:ascii="Arial" w:hAnsi="Arial" w:eastAsia="宋体" w:cs="Arial"/>
          <w:sz w:val="28"/>
          <w:szCs w:val="28"/>
        </w:rPr>
        <w:t>IDE</w:t>
      </w:r>
      <w:r>
        <w:rPr>
          <w:rFonts w:hint="eastAsia" w:ascii="Arial" w:hAnsi="Arial" w:eastAsia="宋体" w:cs="Arial"/>
          <w:sz w:val="28"/>
          <w:szCs w:val="28"/>
        </w:rPr>
        <w:t>备忘录</w:t>
      </w:r>
      <w:r>
        <w:rPr>
          <w:rFonts w:ascii="Arial" w:hAnsi="Arial" w:eastAsia="宋体" w:cs="Arial"/>
          <w:sz w:val="28"/>
          <w:szCs w:val="28"/>
        </w:rPr>
        <w:t>-</w:t>
      </w:r>
      <w:r>
        <w:rPr>
          <w:rFonts w:hint="eastAsia" w:ascii="Arial" w:hAnsi="Arial" w:eastAsia="宋体" w:cs="Arial"/>
          <w:sz w:val="28"/>
          <w:szCs w:val="28"/>
        </w:rPr>
        <w:t>编号</w:t>
      </w:r>
      <w:r>
        <w:rPr>
          <w:rFonts w:ascii="Arial" w:hAnsi="Arial" w:eastAsia="宋体" w:cs="Arial"/>
          <w:sz w:val="28"/>
          <w:szCs w:val="28"/>
        </w:rPr>
        <w:t>D95-2</w:t>
      </w:r>
    </w:p>
    <w:p w14:paraId="43E793CC">
      <w:pPr>
        <w:snapToGrid w:val="0"/>
        <w:spacing w:after="234" w:afterLines="75" w:line="300" w:lineRule="auto"/>
        <w:jc w:val="right"/>
        <w:rPr>
          <w:rFonts w:ascii="Arial" w:hAnsi="Arial" w:eastAsia="宋体" w:cs="Arial"/>
          <w:sz w:val="28"/>
          <w:szCs w:val="28"/>
        </w:rPr>
      </w:pPr>
      <w:r>
        <w:rPr>
          <w:rFonts w:hint="eastAsia" w:ascii="Arial" w:hAnsi="Arial" w:eastAsia="宋体" w:cs="Arial"/>
          <w:sz w:val="28"/>
          <w:szCs w:val="28"/>
        </w:rPr>
        <w:t>附件</w:t>
      </w:r>
      <w:r>
        <w:rPr>
          <w:rFonts w:ascii="Arial" w:hAnsi="Arial" w:eastAsia="宋体" w:cs="Arial"/>
          <w:sz w:val="28"/>
          <w:szCs w:val="28"/>
        </w:rPr>
        <w:t xml:space="preserve">A – </w:t>
      </w:r>
      <w:r>
        <w:rPr>
          <w:rFonts w:hint="eastAsia" w:ascii="Arial" w:hAnsi="Arial" w:eastAsia="宋体" w:cs="Arial"/>
          <w:sz w:val="28"/>
          <w:szCs w:val="28"/>
        </w:rPr>
        <w:t>第</w:t>
      </w:r>
      <w:r>
        <w:rPr>
          <w:rFonts w:ascii="Arial" w:hAnsi="Arial" w:eastAsia="宋体" w:cs="Arial"/>
          <w:sz w:val="28"/>
          <w:szCs w:val="28"/>
        </w:rPr>
        <w:t>1</w:t>
      </w:r>
      <w:r>
        <w:rPr>
          <w:rFonts w:hint="eastAsia" w:ascii="Arial" w:hAnsi="Arial" w:eastAsia="宋体" w:cs="Arial"/>
          <w:sz w:val="28"/>
          <w:szCs w:val="28"/>
        </w:rPr>
        <w:t>页</w:t>
      </w:r>
    </w:p>
    <w:p w14:paraId="56706B62">
      <w:pPr>
        <w:snapToGrid w:val="0"/>
        <w:spacing w:after="234" w:afterLines="75" w:line="300" w:lineRule="auto"/>
        <w:jc w:val="center"/>
        <w:rPr>
          <w:rFonts w:ascii="Arial" w:hAnsi="Arial" w:eastAsia="宋体" w:cs="Arial"/>
          <w:sz w:val="28"/>
          <w:szCs w:val="28"/>
        </w:rPr>
      </w:pPr>
      <w:r>
        <w:rPr>
          <w:rFonts w:ascii="Arial" w:hAnsi="Arial" w:eastAsia="宋体" w:cs="Arial"/>
          <w:sz w:val="28"/>
          <w:szCs w:val="28"/>
        </w:rPr>
        <w:t>跨部门协议</w:t>
      </w:r>
    </w:p>
    <w:p w14:paraId="316B65C3">
      <w:pPr>
        <w:snapToGrid w:val="0"/>
        <w:spacing w:after="234" w:afterLines="75" w:line="300" w:lineRule="auto"/>
        <w:rPr>
          <w:rFonts w:ascii="Arial" w:hAnsi="Arial" w:eastAsia="宋体" w:cs="Arial"/>
          <w:sz w:val="28"/>
          <w:szCs w:val="28"/>
        </w:rPr>
      </w:pPr>
      <w:r>
        <w:rPr>
          <w:rFonts w:ascii="Arial" w:hAnsi="Arial" w:eastAsia="宋体" w:cs="Arial"/>
          <w:sz w:val="28"/>
          <w:szCs w:val="28"/>
        </w:rPr>
        <w:t>美国健康保健财政管理局（HCFA）与美国食品药品监督管理局（FDA）之间关于医疗保障覆盖特定研究性医疗器械的跨部门协议。</w:t>
      </w:r>
    </w:p>
    <w:p w14:paraId="289B4C82">
      <w:pPr>
        <w:pStyle w:val="10"/>
        <w:numPr>
          <w:ilvl w:val="0"/>
          <w:numId w:val="2"/>
        </w:numPr>
        <w:snapToGrid w:val="0"/>
        <w:spacing w:after="234" w:afterLines="75" w:line="300" w:lineRule="auto"/>
        <w:ind w:left="630" w:hanging="630" w:firstLineChars="0"/>
        <w:rPr>
          <w:rFonts w:ascii="Arial" w:hAnsi="Arial" w:eastAsia="宋体" w:cs="Arial"/>
          <w:sz w:val="28"/>
          <w:szCs w:val="28"/>
        </w:rPr>
      </w:pPr>
      <w:r>
        <w:rPr>
          <w:rFonts w:ascii="Arial" w:hAnsi="Arial" w:eastAsia="宋体" w:cs="Arial"/>
          <w:sz w:val="28"/>
          <w:szCs w:val="28"/>
        </w:rPr>
        <w:t>目的</w:t>
      </w:r>
    </w:p>
    <w:p w14:paraId="3AB8D8B9">
      <w:pPr>
        <w:snapToGrid w:val="0"/>
        <w:spacing w:after="234" w:afterLines="75" w:line="300" w:lineRule="auto"/>
        <w:ind w:left="630" w:leftChars="300"/>
        <w:rPr>
          <w:rFonts w:ascii="Arial" w:hAnsi="Arial" w:eastAsia="宋体" w:cs="Arial"/>
          <w:sz w:val="28"/>
          <w:szCs w:val="28"/>
        </w:rPr>
      </w:pPr>
      <w:r>
        <w:rPr>
          <w:rFonts w:ascii="Arial" w:hAnsi="Arial" w:eastAsia="宋体" w:cs="Arial"/>
          <w:sz w:val="28"/>
          <w:szCs w:val="28"/>
        </w:rPr>
        <w:t>建立FDA协助HCFA根据器械对患者的风险情况对IDE器械进行分类的流程。该分类将用于HCFA确定该器械是否满足社会保障法案第1862（a）（1）（A）部分（</w:t>
      </w:r>
      <w:r>
        <w:rPr>
          <w:rFonts w:ascii="宋体" w:hAnsi="宋体" w:eastAsia="宋体" w:cs="Arial"/>
          <w:sz w:val="28"/>
          <w:szCs w:val="28"/>
        </w:rPr>
        <w:t>“</w:t>
      </w:r>
      <w:r>
        <w:rPr>
          <w:rFonts w:ascii="Arial" w:hAnsi="Arial" w:eastAsia="宋体" w:cs="Arial"/>
          <w:sz w:val="28"/>
          <w:szCs w:val="28"/>
        </w:rPr>
        <w:t>合理且必需</w:t>
      </w:r>
      <w:r>
        <w:rPr>
          <w:rFonts w:ascii="宋体" w:hAnsi="宋体" w:eastAsia="宋体" w:cs="Arial"/>
          <w:sz w:val="28"/>
          <w:szCs w:val="28"/>
        </w:rPr>
        <w:t>”</w:t>
      </w:r>
      <w:r>
        <w:rPr>
          <w:rFonts w:ascii="Arial" w:hAnsi="Arial" w:eastAsia="宋体" w:cs="Arial"/>
          <w:sz w:val="28"/>
          <w:szCs w:val="28"/>
        </w:rPr>
        <w:t>条款）所规定的医疗保健范围要求的依据之一。纳入医疗保障的范围，器械必须对于疾病或损伤的诊断或治疗</w:t>
      </w:r>
      <w:r>
        <w:rPr>
          <w:rFonts w:ascii="宋体" w:hAnsi="宋体" w:eastAsia="宋体" w:cs="Arial"/>
          <w:sz w:val="28"/>
          <w:szCs w:val="28"/>
        </w:rPr>
        <w:t>“</w:t>
      </w:r>
      <w:r>
        <w:rPr>
          <w:rFonts w:ascii="Arial" w:hAnsi="Arial" w:eastAsia="宋体" w:cs="Arial"/>
          <w:sz w:val="28"/>
          <w:szCs w:val="28"/>
        </w:rPr>
        <w:t>合理且必须</w:t>
      </w:r>
      <w:r>
        <w:rPr>
          <w:rFonts w:ascii="宋体" w:hAnsi="宋体" w:eastAsia="宋体" w:cs="Arial"/>
          <w:sz w:val="28"/>
          <w:szCs w:val="28"/>
        </w:rPr>
        <w:t>”</w:t>
      </w:r>
      <w:r>
        <w:rPr>
          <w:rFonts w:ascii="Arial" w:hAnsi="Arial" w:eastAsia="宋体" w:cs="Arial"/>
          <w:sz w:val="28"/>
          <w:szCs w:val="28"/>
        </w:rPr>
        <w:t>，或用于提高残障人士功能。</w:t>
      </w:r>
    </w:p>
    <w:p w14:paraId="3AC496CE">
      <w:pPr>
        <w:pStyle w:val="10"/>
        <w:numPr>
          <w:ilvl w:val="0"/>
          <w:numId w:val="2"/>
        </w:numPr>
        <w:snapToGrid w:val="0"/>
        <w:spacing w:after="234" w:afterLines="75" w:line="300" w:lineRule="auto"/>
        <w:ind w:left="630" w:hanging="630" w:firstLineChars="0"/>
        <w:rPr>
          <w:rFonts w:ascii="Arial" w:hAnsi="Arial" w:eastAsia="宋体" w:cs="Arial"/>
          <w:sz w:val="28"/>
          <w:szCs w:val="28"/>
        </w:rPr>
      </w:pPr>
      <w:r>
        <w:rPr>
          <w:rFonts w:ascii="Arial" w:hAnsi="Arial" w:eastAsia="宋体" w:cs="Arial"/>
          <w:sz w:val="28"/>
          <w:szCs w:val="28"/>
        </w:rPr>
        <w:t>认可</w:t>
      </w:r>
    </w:p>
    <w:p w14:paraId="5D972E95">
      <w:pPr>
        <w:snapToGrid w:val="0"/>
        <w:spacing w:after="234" w:afterLines="75" w:line="300" w:lineRule="auto"/>
        <w:ind w:left="630" w:leftChars="300"/>
        <w:rPr>
          <w:rFonts w:ascii="Arial" w:hAnsi="Arial" w:eastAsia="宋体" w:cs="Arial"/>
          <w:sz w:val="28"/>
          <w:szCs w:val="28"/>
        </w:rPr>
      </w:pPr>
      <w:r>
        <w:rPr>
          <w:rFonts w:ascii="Arial" w:hAnsi="Arial" w:eastAsia="宋体" w:cs="Arial"/>
          <w:sz w:val="28"/>
          <w:szCs w:val="28"/>
        </w:rPr>
        <w:t>本协议的法律认可依据为社会保障法案第1874和1862（a）（1）（A）部分，以及联邦食品药品与化妆品法案第520（g）和701（a）部分。</w:t>
      </w:r>
    </w:p>
    <w:p w14:paraId="5121EFFF">
      <w:pPr>
        <w:pStyle w:val="10"/>
        <w:numPr>
          <w:ilvl w:val="0"/>
          <w:numId w:val="2"/>
        </w:numPr>
        <w:snapToGrid w:val="0"/>
        <w:spacing w:after="234" w:afterLines="75" w:line="300" w:lineRule="auto"/>
        <w:ind w:left="630" w:hanging="630" w:firstLineChars="0"/>
        <w:rPr>
          <w:rFonts w:ascii="Arial" w:hAnsi="Arial" w:eastAsia="宋体" w:cs="Arial"/>
          <w:sz w:val="28"/>
          <w:szCs w:val="28"/>
        </w:rPr>
      </w:pPr>
      <w:r>
        <w:rPr>
          <w:rFonts w:ascii="Arial" w:hAnsi="Arial" w:eastAsia="宋体" w:cs="Arial"/>
          <w:sz w:val="28"/>
          <w:szCs w:val="28"/>
        </w:rPr>
        <w:t>背景</w:t>
      </w:r>
    </w:p>
    <w:p w14:paraId="024A0038">
      <w:pPr>
        <w:snapToGrid w:val="0"/>
        <w:spacing w:after="234" w:afterLines="75" w:line="300" w:lineRule="auto"/>
        <w:ind w:left="630" w:leftChars="300"/>
        <w:rPr>
          <w:rFonts w:ascii="Arial" w:hAnsi="Arial" w:eastAsia="宋体" w:cs="Arial"/>
          <w:sz w:val="28"/>
          <w:szCs w:val="28"/>
        </w:rPr>
      </w:pPr>
      <w:r>
        <w:rPr>
          <w:rFonts w:ascii="Arial" w:hAnsi="Arial" w:eastAsia="宋体" w:cs="Arial"/>
          <w:sz w:val="28"/>
          <w:szCs w:val="28"/>
        </w:rPr>
        <w:t>在国家绩效评估中，副总统戈尔要求卫生与人类服务署（HHS）的卫生机构审查其政策和流程中有哪些要求可以在不降低健康和安全性标准的情况下予以简化或撤除。根据该法令，FDA审查了其现有的监管批准流程，HCFA也审查了其针对已经经过FDA批准的医疗器械的医疗保障覆盖政策。</w:t>
      </w:r>
    </w:p>
    <w:p w14:paraId="76176F46">
      <w:pPr>
        <w:widowControl/>
        <w:jc w:val="left"/>
        <w:rPr>
          <w:rFonts w:ascii="Arial" w:hAnsi="Arial" w:eastAsia="宋体" w:cs="Arial"/>
          <w:sz w:val="28"/>
          <w:szCs w:val="28"/>
        </w:rPr>
      </w:pPr>
      <w:r>
        <w:rPr>
          <w:rFonts w:ascii="Arial" w:hAnsi="Arial" w:eastAsia="宋体" w:cs="Arial"/>
          <w:sz w:val="28"/>
          <w:szCs w:val="28"/>
        </w:rPr>
        <w:br w:type="page"/>
      </w:r>
    </w:p>
    <w:p w14:paraId="58E9F24C">
      <w:pPr>
        <w:snapToGrid w:val="0"/>
        <w:spacing w:after="234" w:afterLines="75" w:line="300" w:lineRule="auto"/>
        <w:ind w:left="630" w:leftChars="300"/>
        <w:rPr>
          <w:rFonts w:ascii="Arial" w:hAnsi="Arial" w:eastAsia="宋体" w:cs="Arial"/>
          <w:sz w:val="28"/>
          <w:szCs w:val="28"/>
        </w:rPr>
      </w:pPr>
      <w:r>
        <w:rPr>
          <w:rFonts w:ascii="Arial" w:hAnsi="Arial" w:eastAsia="宋体" w:cs="Arial"/>
          <w:sz w:val="28"/>
          <w:szCs w:val="28"/>
        </w:rPr>
        <w:t>在过去，医疗保障项目对</w:t>
      </w:r>
      <w:r>
        <w:rPr>
          <w:rFonts w:ascii="宋体" w:hAnsi="宋体" w:eastAsia="宋体" w:cs="Arial"/>
          <w:sz w:val="28"/>
          <w:szCs w:val="28"/>
        </w:rPr>
        <w:t>“</w:t>
      </w:r>
      <w:r>
        <w:rPr>
          <w:rFonts w:ascii="Arial" w:hAnsi="Arial" w:eastAsia="宋体" w:cs="Arial"/>
          <w:sz w:val="28"/>
          <w:szCs w:val="28"/>
        </w:rPr>
        <w:t>合理且必需</w:t>
      </w:r>
      <w:r>
        <w:rPr>
          <w:rFonts w:ascii="宋体" w:hAnsi="宋体" w:eastAsia="宋体" w:cs="Arial"/>
          <w:sz w:val="28"/>
          <w:szCs w:val="28"/>
        </w:rPr>
        <w:t>”</w:t>
      </w:r>
      <w:r>
        <w:rPr>
          <w:rFonts w:ascii="Arial" w:hAnsi="Arial" w:eastAsia="宋体" w:cs="Arial"/>
          <w:sz w:val="28"/>
          <w:szCs w:val="28"/>
        </w:rPr>
        <w:t>条款的解释为一项服务或医疗器械必须安全和有效，在医学上必须和适当，并且并非为了获取补偿而进行试验。在医疗保障的范围内，</w:t>
      </w:r>
      <w:r>
        <w:rPr>
          <w:rFonts w:ascii="宋体" w:hAnsi="宋体" w:eastAsia="宋体" w:cs="Arial"/>
          <w:sz w:val="28"/>
          <w:szCs w:val="28"/>
        </w:rPr>
        <w:t>“</w:t>
      </w:r>
      <w:r>
        <w:rPr>
          <w:rFonts w:ascii="Arial" w:hAnsi="Arial" w:eastAsia="宋体" w:cs="Arial"/>
          <w:sz w:val="28"/>
          <w:szCs w:val="28"/>
        </w:rPr>
        <w:t>试验性</w:t>
      </w:r>
      <w:r>
        <w:rPr>
          <w:rFonts w:ascii="宋体" w:hAnsi="宋体" w:eastAsia="宋体" w:cs="Arial"/>
          <w:sz w:val="28"/>
          <w:szCs w:val="28"/>
        </w:rPr>
        <w:t>”</w:t>
      </w:r>
      <w:r>
        <w:rPr>
          <w:rFonts w:ascii="Arial" w:hAnsi="Arial" w:eastAsia="宋体" w:cs="Arial"/>
          <w:sz w:val="28"/>
          <w:szCs w:val="28"/>
        </w:rPr>
        <w:t>与</w:t>
      </w:r>
      <w:r>
        <w:rPr>
          <w:rFonts w:ascii="宋体" w:hAnsi="宋体" w:eastAsia="宋体" w:cs="Arial"/>
          <w:sz w:val="28"/>
          <w:szCs w:val="28"/>
        </w:rPr>
        <w:t>“</w:t>
      </w:r>
      <w:r>
        <w:rPr>
          <w:rFonts w:ascii="Arial" w:hAnsi="Arial" w:eastAsia="宋体" w:cs="Arial"/>
          <w:sz w:val="28"/>
          <w:szCs w:val="28"/>
        </w:rPr>
        <w:t>研究性</w:t>
      </w:r>
      <w:r>
        <w:rPr>
          <w:rFonts w:ascii="宋体" w:hAnsi="宋体" w:eastAsia="宋体" w:cs="Arial"/>
          <w:sz w:val="28"/>
          <w:szCs w:val="28"/>
        </w:rPr>
        <w:t>”</w:t>
      </w:r>
      <w:r>
        <w:rPr>
          <w:rFonts w:ascii="Arial" w:hAnsi="Arial" w:eastAsia="宋体" w:cs="Arial"/>
          <w:sz w:val="28"/>
          <w:szCs w:val="28"/>
        </w:rPr>
        <w:t>具有相同的含义。因此，除非个别情况，FDA批准的研究性器械豁免（IDE）申请即表明该器械不包含于医疗保障项目的</w:t>
      </w:r>
      <w:r>
        <w:rPr>
          <w:rFonts w:ascii="宋体" w:hAnsi="宋体" w:eastAsia="宋体" w:cs="Arial"/>
          <w:sz w:val="28"/>
          <w:szCs w:val="28"/>
        </w:rPr>
        <w:t>“</w:t>
      </w:r>
      <w:r>
        <w:rPr>
          <w:rFonts w:ascii="Arial" w:hAnsi="Arial" w:eastAsia="宋体" w:cs="Arial"/>
          <w:sz w:val="28"/>
          <w:szCs w:val="28"/>
        </w:rPr>
        <w:t>合理且必需</w:t>
      </w:r>
      <w:r>
        <w:rPr>
          <w:rFonts w:ascii="宋体" w:hAnsi="宋体" w:eastAsia="宋体" w:cs="Arial"/>
          <w:sz w:val="28"/>
          <w:szCs w:val="28"/>
        </w:rPr>
        <w:t>”</w:t>
      </w:r>
      <w:r>
        <w:rPr>
          <w:rFonts w:ascii="Arial" w:hAnsi="Arial" w:eastAsia="宋体" w:cs="Arial"/>
          <w:sz w:val="28"/>
          <w:szCs w:val="28"/>
        </w:rPr>
        <w:t>范围内。根据该政策，已经申请但没有接受510（k）许可的器械，以及接受了IDE但未接受上市前批准（PMA）的器械不在医疗保障的范围内。</w:t>
      </w:r>
    </w:p>
    <w:p w14:paraId="26F7C940">
      <w:pPr>
        <w:snapToGrid w:val="0"/>
        <w:spacing w:after="234" w:afterLines="75" w:line="300" w:lineRule="auto"/>
        <w:ind w:left="630" w:leftChars="300"/>
        <w:rPr>
          <w:rFonts w:ascii="Arial" w:hAnsi="Arial" w:eastAsia="宋体" w:cs="Arial"/>
          <w:sz w:val="28"/>
          <w:szCs w:val="28"/>
        </w:rPr>
      </w:pPr>
      <w:r>
        <w:rPr>
          <w:rFonts w:ascii="Arial" w:hAnsi="Arial" w:eastAsia="宋体" w:cs="Arial"/>
          <w:sz w:val="28"/>
          <w:szCs w:val="28"/>
        </w:rPr>
        <w:t>但有越来越多的共识，认为有很多器械是对已有技术的完善或由其他厂商对已有技术的复制。虽然已有证据证明该器械类型具有安全性和有效性，但这些器械中仍然有很多申请了FDA批准的IDE，收集确定该特定器械安全性和有效性所需的科学信息。因此如果HCFA可以确定这些器械，该类器械可以被医疗保障认定为</w:t>
      </w:r>
      <w:r>
        <w:rPr>
          <w:rFonts w:ascii="宋体" w:hAnsi="宋体" w:eastAsia="宋体" w:cs="Arial"/>
          <w:sz w:val="28"/>
          <w:szCs w:val="28"/>
        </w:rPr>
        <w:t>“</w:t>
      </w:r>
      <w:r>
        <w:rPr>
          <w:rFonts w:ascii="Arial" w:hAnsi="Arial" w:eastAsia="宋体" w:cs="Arial"/>
          <w:sz w:val="28"/>
          <w:szCs w:val="28"/>
        </w:rPr>
        <w:t>合理且必需</w:t>
      </w:r>
      <w:r>
        <w:rPr>
          <w:rFonts w:ascii="宋体" w:hAnsi="宋体" w:eastAsia="宋体" w:cs="Arial"/>
          <w:sz w:val="28"/>
          <w:szCs w:val="28"/>
        </w:rPr>
        <w:t>”</w:t>
      </w:r>
      <w:r>
        <w:rPr>
          <w:rFonts w:ascii="Arial" w:hAnsi="Arial" w:eastAsia="宋体" w:cs="Arial"/>
          <w:sz w:val="28"/>
          <w:szCs w:val="28"/>
        </w:rPr>
        <w:t>的，其可以获得补贴。</w:t>
      </w:r>
    </w:p>
    <w:p w14:paraId="7CFD9F9A">
      <w:pPr>
        <w:snapToGrid w:val="0"/>
        <w:spacing w:after="234" w:afterLines="75" w:line="300" w:lineRule="auto"/>
        <w:ind w:left="630" w:leftChars="300"/>
        <w:rPr>
          <w:rFonts w:ascii="Arial" w:hAnsi="Arial" w:eastAsia="宋体" w:cs="Arial"/>
          <w:sz w:val="28"/>
          <w:szCs w:val="28"/>
        </w:rPr>
      </w:pPr>
      <w:r>
        <w:rPr>
          <w:rFonts w:ascii="Arial" w:hAnsi="Arial" w:eastAsia="宋体" w:cs="Arial"/>
          <w:sz w:val="28"/>
          <w:szCs w:val="28"/>
        </w:rPr>
        <w:t>因此，FDA和HCFA共同修订了政策，满足医疗保障受益人的需要。该项工作的目的是确定是否可以对政策范围进行扩展，在不对医疗保障受益人接受的医疗护理的安全性产生影响的情况下，在医疗保障范围内纳入特定类型的未经FDA上市批准/许可的医疗器械。该工作旨在制定针对下列目的的方法：</w:t>
      </w:r>
    </w:p>
    <w:p w14:paraId="25C02468">
      <w:pPr>
        <w:pStyle w:val="10"/>
        <w:numPr>
          <w:ilvl w:val="0"/>
          <w:numId w:val="3"/>
        </w:numPr>
        <w:snapToGrid w:val="0"/>
        <w:spacing w:after="234" w:afterLines="75" w:line="300" w:lineRule="auto"/>
        <w:ind w:left="1218" w:leftChars="300" w:hanging="588" w:hangingChars="210"/>
        <w:rPr>
          <w:rFonts w:ascii="Arial" w:hAnsi="Arial" w:eastAsia="宋体" w:cs="Arial"/>
          <w:sz w:val="28"/>
          <w:szCs w:val="28"/>
        </w:rPr>
      </w:pPr>
      <w:r>
        <w:rPr>
          <w:rFonts w:hint="eastAsia" w:ascii="Arial" w:hAnsi="Arial" w:eastAsia="宋体" w:cs="Arial"/>
          <w:sz w:val="28"/>
          <w:szCs w:val="28"/>
        </w:rPr>
        <w:t>确保</w:t>
      </w:r>
      <w:r>
        <w:rPr>
          <w:rFonts w:ascii="Arial" w:hAnsi="Arial" w:eastAsia="宋体" w:cs="Arial"/>
          <w:sz w:val="28"/>
          <w:szCs w:val="28"/>
        </w:rPr>
        <w:t>医疗保障受益人可以更方便地使用医疗技术的进步；</w:t>
      </w:r>
    </w:p>
    <w:p w14:paraId="6DD0AF1D">
      <w:pPr>
        <w:pStyle w:val="10"/>
        <w:numPr>
          <w:ilvl w:val="0"/>
          <w:numId w:val="3"/>
        </w:numPr>
        <w:snapToGrid w:val="0"/>
        <w:spacing w:after="234" w:afterLines="75" w:line="300" w:lineRule="auto"/>
        <w:ind w:left="1218" w:leftChars="300" w:hanging="588" w:hangingChars="210"/>
        <w:rPr>
          <w:rFonts w:ascii="Arial" w:hAnsi="Arial" w:eastAsia="宋体" w:cs="Arial"/>
          <w:sz w:val="28"/>
          <w:szCs w:val="28"/>
        </w:rPr>
      </w:pPr>
      <w:r>
        <w:rPr>
          <w:rFonts w:ascii="Arial" w:hAnsi="Arial" w:eastAsia="宋体" w:cs="Arial"/>
          <w:sz w:val="28"/>
          <w:szCs w:val="28"/>
        </w:rPr>
        <w:t>鼓励临床研究者开展高质量研究；和</w:t>
      </w:r>
    </w:p>
    <w:p w14:paraId="17E574DE">
      <w:pPr>
        <w:pStyle w:val="10"/>
        <w:numPr>
          <w:ilvl w:val="0"/>
          <w:numId w:val="3"/>
        </w:numPr>
        <w:snapToGrid w:val="0"/>
        <w:spacing w:after="234" w:afterLines="75" w:line="300" w:lineRule="auto"/>
        <w:ind w:left="1218" w:leftChars="300" w:hanging="588" w:hangingChars="210"/>
        <w:rPr>
          <w:rFonts w:ascii="Arial" w:hAnsi="Arial" w:eastAsia="宋体" w:cs="Arial"/>
          <w:sz w:val="28"/>
          <w:szCs w:val="28"/>
        </w:rPr>
      </w:pPr>
      <w:r>
        <w:rPr>
          <w:rFonts w:ascii="Arial" w:hAnsi="Arial" w:eastAsia="宋体" w:cs="Arial"/>
          <w:sz w:val="28"/>
          <w:szCs w:val="28"/>
        </w:rPr>
        <w:t>论证医疗保障是否可以包含处于临床试验阶段的合理且必需的研究性器械。</w:t>
      </w:r>
    </w:p>
    <w:p w14:paraId="55DE790B">
      <w:pPr>
        <w:widowControl/>
        <w:jc w:val="left"/>
        <w:rPr>
          <w:rFonts w:ascii="Arial" w:hAnsi="Arial" w:eastAsia="宋体" w:cs="Arial"/>
          <w:sz w:val="28"/>
          <w:szCs w:val="28"/>
        </w:rPr>
      </w:pPr>
      <w:r>
        <w:rPr>
          <w:rFonts w:ascii="Arial" w:hAnsi="Arial" w:eastAsia="宋体" w:cs="Arial"/>
          <w:sz w:val="28"/>
          <w:szCs w:val="28"/>
        </w:rPr>
        <w:br w:type="page"/>
      </w:r>
    </w:p>
    <w:p w14:paraId="4ADD07E2">
      <w:pPr>
        <w:pStyle w:val="10"/>
        <w:numPr>
          <w:ilvl w:val="0"/>
          <w:numId w:val="2"/>
        </w:numPr>
        <w:snapToGrid w:val="0"/>
        <w:spacing w:after="234" w:afterLines="75" w:line="300" w:lineRule="auto"/>
        <w:ind w:left="630" w:hanging="630" w:firstLineChars="0"/>
        <w:rPr>
          <w:rFonts w:ascii="Arial" w:hAnsi="Arial" w:eastAsia="宋体" w:cs="Arial"/>
          <w:sz w:val="28"/>
          <w:szCs w:val="28"/>
        </w:rPr>
      </w:pPr>
      <w:r>
        <w:rPr>
          <w:rFonts w:ascii="Arial" w:hAnsi="Arial" w:eastAsia="宋体" w:cs="Arial"/>
          <w:sz w:val="28"/>
          <w:szCs w:val="28"/>
        </w:rPr>
        <w:t>工作和责任范围</w:t>
      </w:r>
    </w:p>
    <w:p w14:paraId="1028E5DF">
      <w:pPr>
        <w:snapToGrid w:val="0"/>
        <w:spacing w:after="234" w:afterLines="75" w:line="300" w:lineRule="auto"/>
        <w:ind w:left="630" w:leftChars="300"/>
        <w:rPr>
          <w:rFonts w:ascii="Arial" w:hAnsi="Arial" w:eastAsia="宋体" w:cs="Arial"/>
          <w:sz w:val="28"/>
          <w:szCs w:val="28"/>
        </w:rPr>
      </w:pPr>
      <w:r>
        <w:rPr>
          <w:rFonts w:ascii="Arial" w:hAnsi="Arial" w:eastAsia="宋体" w:cs="Arial"/>
          <w:sz w:val="28"/>
          <w:szCs w:val="28"/>
        </w:rPr>
        <w:t>美国健康保健财政管理局与美国食品药品监督管理局共同建立了区分新型独一无二的医疗器械和已有技术的新一代产品的流程。新的医疗保障政策会根据行政流程法案第553部分关于联邦规则制定的要求建立。</w:t>
      </w:r>
    </w:p>
    <w:p w14:paraId="2574441A">
      <w:pPr>
        <w:snapToGrid w:val="0"/>
        <w:spacing w:after="234" w:afterLines="75" w:line="300" w:lineRule="auto"/>
        <w:ind w:left="630" w:leftChars="300"/>
        <w:rPr>
          <w:rFonts w:ascii="Arial" w:hAnsi="Arial" w:eastAsia="宋体" w:cs="Arial"/>
          <w:sz w:val="28"/>
          <w:szCs w:val="28"/>
        </w:rPr>
      </w:pPr>
      <w:r>
        <w:rPr>
          <w:rFonts w:ascii="Arial" w:hAnsi="Arial" w:eastAsia="宋体" w:cs="Arial"/>
          <w:sz w:val="28"/>
          <w:szCs w:val="28"/>
        </w:rPr>
        <w:t>跨部门协议（IA）可以支持该流程，通过该协议，HCFA可以建立针对FDA审查的特定IDE器械的特殊医疗保障范围政策。为了帮助HCFA确定医疗保障范围，FDA会将所有的IDE分为以下两类：</w:t>
      </w:r>
    </w:p>
    <w:p w14:paraId="4F47EF9B">
      <w:pPr>
        <w:pStyle w:val="10"/>
        <w:numPr>
          <w:ilvl w:val="0"/>
          <w:numId w:val="3"/>
        </w:numPr>
        <w:snapToGrid w:val="0"/>
        <w:spacing w:after="234" w:afterLines="75" w:line="300" w:lineRule="auto"/>
        <w:ind w:left="1218" w:leftChars="300" w:hanging="588" w:hangingChars="210"/>
        <w:rPr>
          <w:rFonts w:ascii="Arial" w:hAnsi="Arial" w:eastAsia="宋体" w:cs="Arial"/>
          <w:sz w:val="28"/>
          <w:szCs w:val="28"/>
        </w:rPr>
      </w:pPr>
      <w:r>
        <w:rPr>
          <w:rFonts w:ascii="Arial" w:hAnsi="Arial" w:eastAsia="宋体" w:cs="Arial"/>
          <w:sz w:val="28"/>
          <w:szCs w:val="28"/>
        </w:rPr>
        <w:t>A类——试验性——属于III类，且该器械类型的“绝对风险”未明确建立的创新性器械（即安全性和有效性的初步问题未解决）。即FDA不确定该器械类型是否安全有效。</w:t>
      </w:r>
    </w:p>
    <w:p w14:paraId="1723719A">
      <w:pPr>
        <w:pStyle w:val="10"/>
        <w:numPr>
          <w:ilvl w:val="0"/>
          <w:numId w:val="3"/>
        </w:numPr>
        <w:snapToGrid w:val="0"/>
        <w:spacing w:after="234" w:afterLines="75" w:line="300" w:lineRule="auto"/>
        <w:ind w:left="1218" w:leftChars="300" w:hanging="588" w:hangingChars="210"/>
        <w:rPr>
          <w:rFonts w:ascii="Arial" w:hAnsi="Arial" w:eastAsia="宋体" w:cs="Arial"/>
          <w:sz w:val="28"/>
          <w:szCs w:val="28"/>
        </w:rPr>
      </w:pPr>
      <w:r>
        <w:rPr>
          <w:rFonts w:ascii="Arial" w:hAnsi="Arial" w:eastAsia="宋体" w:cs="Arial"/>
          <w:sz w:val="28"/>
          <w:szCs w:val="28"/>
        </w:rPr>
        <w:t>B类——非试验性/研究性——认为属于I类或II类的器械，或属于III类器械且增加的风险为器械主要风险（即该器械类型背后的安全性和有效性问题已经解决）的器械，或安全性和有效性已知的器械类型，例如该器械已经由其他的制造商获取了FDA批准/许可。</w:t>
      </w:r>
    </w:p>
    <w:p w14:paraId="7BA8C63B">
      <w:pPr>
        <w:snapToGrid w:val="0"/>
        <w:spacing w:after="234" w:afterLines="75" w:line="300" w:lineRule="auto"/>
        <w:ind w:left="630" w:leftChars="300"/>
        <w:rPr>
          <w:rFonts w:ascii="Arial" w:hAnsi="Arial" w:eastAsia="宋体" w:cs="Arial"/>
          <w:sz w:val="28"/>
          <w:szCs w:val="28"/>
        </w:rPr>
      </w:pPr>
      <w:r>
        <w:rPr>
          <w:rFonts w:ascii="Arial" w:hAnsi="Arial" w:eastAsia="宋体" w:cs="Arial"/>
          <w:sz w:val="28"/>
          <w:szCs w:val="28"/>
        </w:rPr>
        <w:t>为了合理地对器械研究进行分类，HCFA和FDA同意采取附件中的标准。在进行分类的过程中会获得经验，因此标准也可能更新。</w:t>
      </w:r>
    </w:p>
    <w:p w14:paraId="7070C103">
      <w:pPr>
        <w:widowControl/>
        <w:jc w:val="left"/>
        <w:rPr>
          <w:rFonts w:ascii="Arial" w:hAnsi="Arial" w:eastAsia="宋体" w:cs="Arial"/>
          <w:sz w:val="28"/>
          <w:szCs w:val="28"/>
        </w:rPr>
      </w:pPr>
      <w:r>
        <w:rPr>
          <w:rFonts w:ascii="Arial" w:hAnsi="Arial" w:eastAsia="宋体" w:cs="Arial"/>
          <w:sz w:val="28"/>
          <w:szCs w:val="28"/>
        </w:rPr>
        <w:br w:type="page"/>
      </w:r>
    </w:p>
    <w:p w14:paraId="2D13EA45">
      <w:pPr>
        <w:snapToGrid w:val="0"/>
        <w:spacing w:after="234" w:afterLines="75" w:line="300" w:lineRule="auto"/>
        <w:ind w:left="630" w:leftChars="300"/>
        <w:rPr>
          <w:rFonts w:ascii="Arial" w:hAnsi="Arial" w:eastAsia="宋体" w:cs="Arial"/>
          <w:sz w:val="28"/>
          <w:szCs w:val="28"/>
        </w:rPr>
      </w:pPr>
      <w:r>
        <w:rPr>
          <w:rFonts w:ascii="Arial" w:hAnsi="Arial" w:eastAsia="宋体" w:cs="Arial"/>
          <w:sz w:val="28"/>
          <w:szCs w:val="28"/>
        </w:rPr>
        <w:t>为了确定医疗保障的覆盖范围，该系统内分类为</w:t>
      </w:r>
      <w:r>
        <w:rPr>
          <w:rFonts w:ascii="宋体" w:hAnsi="宋体" w:eastAsia="宋体" w:cs="Arial"/>
          <w:sz w:val="28"/>
          <w:szCs w:val="28"/>
        </w:rPr>
        <w:t>“</w:t>
      </w:r>
      <w:r>
        <w:rPr>
          <w:rFonts w:ascii="Arial" w:hAnsi="Arial" w:eastAsia="宋体" w:cs="Arial"/>
          <w:sz w:val="28"/>
          <w:szCs w:val="28"/>
        </w:rPr>
        <w:t>B类：非试验性/研究性</w:t>
      </w:r>
      <w:r>
        <w:rPr>
          <w:rFonts w:ascii="宋体" w:hAnsi="宋体" w:eastAsia="宋体" w:cs="Arial"/>
          <w:sz w:val="28"/>
          <w:szCs w:val="28"/>
        </w:rPr>
        <w:t>”</w:t>
      </w:r>
      <w:r>
        <w:rPr>
          <w:rFonts w:ascii="Arial" w:hAnsi="Arial" w:eastAsia="宋体" w:cs="Arial"/>
          <w:sz w:val="28"/>
          <w:szCs w:val="28"/>
        </w:rPr>
        <w:t>的医疗器械如果也符合其他的医疗保障范围要求，则可以认为</w:t>
      </w:r>
      <w:r>
        <w:rPr>
          <w:rFonts w:ascii="宋体" w:hAnsi="宋体" w:eastAsia="宋体" w:cs="Arial"/>
          <w:sz w:val="28"/>
          <w:szCs w:val="28"/>
        </w:rPr>
        <w:t>“</w:t>
      </w:r>
      <w:r>
        <w:rPr>
          <w:rFonts w:ascii="Arial" w:hAnsi="Arial" w:eastAsia="宋体" w:cs="Arial"/>
          <w:sz w:val="28"/>
          <w:szCs w:val="28"/>
        </w:rPr>
        <w:t>合理且必需</w:t>
      </w:r>
      <w:r>
        <w:rPr>
          <w:rFonts w:ascii="宋体" w:hAnsi="宋体" w:eastAsia="宋体" w:cs="Arial"/>
          <w:sz w:val="28"/>
          <w:szCs w:val="28"/>
        </w:rPr>
        <w:t>”</w:t>
      </w:r>
      <w:r>
        <w:rPr>
          <w:rFonts w:ascii="Arial" w:hAnsi="Arial" w:eastAsia="宋体" w:cs="Arial"/>
          <w:sz w:val="28"/>
          <w:szCs w:val="28"/>
        </w:rPr>
        <w:t>。在某些情况下，HCFA希望对器械进行独立评估，确定对具体医疗保障受益人的医疗必要性和合适性。</w:t>
      </w:r>
    </w:p>
    <w:p w14:paraId="4AE3D231">
      <w:pPr>
        <w:snapToGrid w:val="0"/>
        <w:spacing w:after="234" w:afterLines="75" w:line="300" w:lineRule="auto"/>
        <w:ind w:left="630" w:leftChars="300"/>
        <w:rPr>
          <w:rFonts w:ascii="Arial" w:hAnsi="Arial" w:eastAsia="宋体" w:cs="Arial"/>
          <w:sz w:val="28"/>
          <w:szCs w:val="28"/>
        </w:rPr>
      </w:pPr>
      <w:r>
        <w:rPr>
          <w:rFonts w:ascii="Arial" w:hAnsi="Arial" w:eastAsia="宋体" w:cs="Arial"/>
          <w:sz w:val="28"/>
          <w:szCs w:val="28"/>
        </w:rPr>
        <w:t>根据本基础协议，HCFA和FDA同意以下内容：</w:t>
      </w:r>
    </w:p>
    <w:p w14:paraId="3CB2EB60">
      <w:pPr>
        <w:pStyle w:val="10"/>
        <w:numPr>
          <w:ilvl w:val="0"/>
          <w:numId w:val="3"/>
        </w:numPr>
        <w:snapToGrid w:val="0"/>
        <w:spacing w:after="234" w:afterLines="75" w:line="300" w:lineRule="auto"/>
        <w:ind w:left="1218" w:leftChars="300" w:hanging="588" w:hangingChars="210"/>
        <w:rPr>
          <w:rFonts w:ascii="Arial" w:hAnsi="Arial" w:eastAsia="宋体" w:cs="Arial"/>
          <w:sz w:val="28"/>
          <w:szCs w:val="28"/>
        </w:rPr>
      </w:pPr>
      <w:r>
        <w:rPr>
          <w:rFonts w:ascii="Arial" w:hAnsi="Arial" w:eastAsia="宋体" w:cs="Arial"/>
          <w:sz w:val="28"/>
          <w:szCs w:val="28"/>
        </w:rPr>
        <w:t>FDA会将FDA批准的IDE分为附件所列出的两种分类之一，并在最迟第四季度前通过电子方式或书面沟通方式通知HCFA。</w:t>
      </w:r>
    </w:p>
    <w:p w14:paraId="685352C3">
      <w:pPr>
        <w:pStyle w:val="10"/>
        <w:numPr>
          <w:ilvl w:val="0"/>
          <w:numId w:val="3"/>
        </w:numPr>
        <w:snapToGrid w:val="0"/>
        <w:spacing w:after="234" w:afterLines="75" w:line="300" w:lineRule="auto"/>
        <w:ind w:left="1218" w:leftChars="300" w:hanging="588" w:hangingChars="210"/>
        <w:rPr>
          <w:rFonts w:ascii="Arial" w:hAnsi="Arial" w:eastAsia="宋体" w:cs="Arial"/>
          <w:sz w:val="28"/>
          <w:szCs w:val="28"/>
        </w:rPr>
      </w:pPr>
      <w:r>
        <w:rPr>
          <w:rFonts w:ascii="Arial" w:hAnsi="Arial" w:eastAsia="宋体" w:cs="Arial"/>
          <w:sz w:val="28"/>
          <w:szCs w:val="28"/>
        </w:rPr>
        <w:t>处于“研究”状态的器械的医疗保障范围部分会根据FDA的状态确定。如果申办方的分类不为B类，或违反了相关的IDE要求，导致FDA撤销其IDE申请，FDA会立即通知HCFA，HCFA可能会重新评估该器械是否应纳入医疗保障范围。HCFA会为撤销医疗保障覆盖范围建立特殊的流程。这些流程会在医疗保障法规中进行描述。</w:t>
      </w:r>
    </w:p>
    <w:p w14:paraId="7A2D9953">
      <w:pPr>
        <w:pStyle w:val="10"/>
        <w:numPr>
          <w:ilvl w:val="0"/>
          <w:numId w:val="3"/>
        </w:numPr>
        <w:snapToGrid w:val="0"/>
        <w:spacing w:after="234" w:afterLines="75" w:line="300" w:lineRule="auto"/>
        <w:ind w:left="1218" w:leftChars="300" w:hanging="588" w:hangingChars="210"/>
        <w:rPr>
          <w:rFonts w:ascii="Arial" w:hAnsi="Arial" w:eastAsia="宋体" w:cs="Arial"/>
          <w:sz w:val="28"/>
          <w:szCs w:val="28"/>
        </w:rPr>
      </w:pPr>
      <w:r>
        <w:rPr>
          <w:rFonts w:ascii="Arial" w:hAnsi="Arial" w:eastAsia="宋体" w:cs="Arial"/>
          <w:sz w:val="28"/>
          <w:szCs w:val="28"/>
        </w:rPr>
        <w:t>FDA批准IDE的每项临床研究的研究方案要求在限定的地点和批准数量的患者中使用该器械。HCFA会根据这些限制和其他的方案要求（例如特定的医疗健康提供者所提供的服务）支付费用。</w:t>
      </w:r>
    </w:p>
    <w:p w14:paraId="24123331">
      <w:pPr>
        <w:widowControl/>
        <w:jc w:val="left"/>
        <w:rPr>
          <w:rFonts w:ascii="Arial" w:hAnsi="Arial" w:eastAsia="宋体" w:cs="Arial"/>
          <w:sz w:val="28"/>
          <w:szCs w:val="28"/>
        </w:rPr>
      </w:pPr>
      <w:r>
        <w:rPr>
          <w:rFonts w:ascii="Arial" w:hAnsi="Arial" w:eastAsia="宋体" w:cs="Arial"/>
          <w:sz w:val="28"/>
          <w:szCs w:val="28"/>
        </w:rPr>
        <w:br w:type="page"/>
      </w:r>
    </w:p>
    <w:p w14:paraId="07070ED1">
      <w:pPr>
        <w:pStyle w:val="10"/>
        <w:numPr>
          <w:ilvl w:val="0"/>
          <w:numId w:val="3"/>
        </w:numPr>
        <w:snapToGrid w:val="0"/>
        <w:spacing w:after="234" w:afterLines="75" w:line="300" w:lineRule="auto"/>
        <w:ind w:left="1218" w:leftChars="300" w:hanging="588" w:hangingChars="210"/>
        <w:rPr>
          <w:rFonts w:ascii="Arial" w:hAnsi="Arial" w:eastAsia="宋体" w:cs="Arial"/>
          <w:sz w:val="28"/>
          <w:szCs w:val="28"/>
        </w:rPr>
      </w:pPr>
      <w:r>
        <w:rPr>
          <w:rFonts w:ascii="Arial" w:hAnsi="Arial" w:eastAsia="宋体" w:cs="Arial"/>
          <w:sz w:val="28"/>
          <w:szCs w:val="28"/>
        </w:rPr>
        <w:t>FDA会对每项IDE分配编码或号码，可以帮助HCFA建立针对与临床试验相关的医疗保障申请的特殊申请处理流程。FDA会在1995年11月1日前完成已有IDE的处理。</w:t>
      </w:r>
    </w:p>
    <w:p w14:paraId="47FF9FC5">
      <w:pPr>
        <w:pStyle w:val="10"/>
        <w:numPr>
          <w:ilvl w:val="0"/>
          <w:numId w:val="3"/>
        </w:numPr>
        <w:snapToGrid w:val="0"/>
        <w:spacing w:after="234" w:afterLines="75" w:line="300" w:lineRule="auto"/>
        <w:ind w:left="1218" w:leftChars="300" w:hanging="588" w:hangingChars="210"/>
        <w:rPr>
          <w:rFonts w:ascii="Arial" w:hAnsi="Arial" w:eastAsia="宋体" w:cs="Arial"/>
          <w:sz w:val="28"/>
          <w:szCs w:val="28"/>
        </w:rPr>
      </w:pPr>
      <w:r>
        <w:rPr>
          <w:rFonts w:ascii="Arial" w:hAnsi="Arial" w:eastAsia="宋体" w:cs="Arial"/>
          <w:sz w:val="28"/>
          <w:szCs w:val="28"/>
        </w:rPr>
        <w:t>FDA会要求申办方/制造商和临床研究者遵守相关的法规，包括获取参与临床试验的所有患者的知情同意。</w:t>
      </w:r>
    </w:p>
    <w:p w14:paraId="06B83AE9">
      <w:pPr>
        <w:pStyle w:val="10"/>
        <w:numPr>
          <w:ilvl w:val="0"/>
          <w:numId w:val="3"/>
        </w:numPr>
        <w:snapToGrid w:val="0"/>
        <w:spacing w:after="234" w:afterLines="75" w:line="300" w:lineRule="auto"/>
        <w:ind w:left="1218" w:leftChars="300" w:hanging="588" w:hangingChars="210"/>
        <w:rPr>
          <w:rFonts w:ascii="Arial" w:hAnsi="Arial" w:eastAsia="宋体" w:cs="Arial"/>
          <w:sz w:val="28"/>
          <w:szCs w:val="28"/>
        </w:rPr>
      </w:pPr>
      <w:r>
        <w:rPr>
          <w:rFonts w:ascii="Arial" w:hAnsi="Arial" w:eastAsia="宋体" w:cs="Arial"/>
          <w:sz w:val="28"/>
          <w:szCs w:val="28"/>
        </w:rPr>
        <w:t>FDA会建立IDE器械分类的流程。作为该流程的一部分，FDA会分析所有提交的支持重新分类的信息。HCFA会针对FDA拒绝的申请的重新审查申请建立相应的流程。在审查过程中，FDA会向HCFA提供与FDA的器械分类相关的技术和专家支持。FDA会向HCFA提供信息证明其审查的每项医疗器械的分类决定。</w:t>
      </w:r>
    </w:p>
    <w:p w14:paraId="423AF481">
      <w:pPr>
        <w:pStyle w:val="10"/>
        <w:numPr>
          <w:ilvl w:val="0"/>
          <w:numId w:val="3"/>
        </w:numPr>
        <w:snapToGrid w:val="0"/>
        <w:spacing w:after="234" w:afterLines="75" w:line="300" w:lineRule="auto"/>
        <w:ind w:left="1218" w:leftChars="300" w:hanging="588" w:hangingChars="210"/>
        <w:rPr>
          <w:rFonts w:ascii="Arial" w:hAnsi="Arial" w:eastAsia="宋体" w:cs="Arial"/>
          <w:sz w:val="28"/>
          <w:szCs w:val="28"/>
        </w:rPr>
      </w:pPr>
      <w:r>
        <w:rPr>
          <w:rFonts w:ascii="Arial" w:hAnsi="Arial" w:eastAsia="宋体" w:cs="Arial"/>
          <w:sz w:val="28"/>
          <w:szCs w:val="28"/>
        </w:rPr>
        <w:t>已批准的IDE器械在医疗保障项目中的补偿应现定于医疗保障对同类批准器械补偿额度标准。</w:t>
      </w:r>
    </w:p>
    <w:p w14:paraId="69429BB7">
      <w:pPr>
        <w:pBdr>
          <w:bottom w:val="single" w:color="000000" w:themeColor="text1" w:sz="4" w:space="1"/>
        </w:pBdr>
        <w:snapToGrid w:val="0"/>
        <w:spacing w:after="234" w:afterLines="75" w:line="300" w:lineRule="auto"/>
        <w:ind w:right="6281" w:rightChars="2991"/>
        <w:rPr>
          <w:rFonts w:ascii="Arial" w:hAnsi="Arial" w:eastAsia="宋体" w:cs="Arial"/>
          <w:sz w:val="28"/>
          <w:szCs w:val="28"/>
        </w:rPr>
      </w:pPr>
    </w:p>
    <w:p w14:paraId="3AE9B224">
      <w:pPr>
        <w:snapToGrid w:val="0"/>
        <w:spacing w:after="234" w:afterLines="75" w:line="300" w:lineRule="auto"/>
        <w:rPr>
          <w:rFonts w:ascii="Arial" w:hAnsi="Arial" w:eastAsia="宋体" w:cs="Arial"/>
          <w:sz w:val="28"/>
          <w:szCs w:val="28"/>
        </w:rPr>
      </w:pPr>
      <w:r>
        <w:rPr>
          <w:rFonts w:ascii="Arial" w:hAnsi="Arial" w:eastAsia="宋体" w:cs="Arial"/>
          <w:sz w:val="28"/>
          <w:szCs w:val="28"/>
        </w:rPr>
        <w:t>注意：根据美国食品药品和化妆品法案，器械分为三类。I类器械是监管幅度最小的器械。FDA认为该类器械只需要一般性控制，例如良好生产规范法规。II类器械需要再一般性控制的基础上进行特殊控制，例如性能标准或上市后监测，以确保其安全性和有效性。III类器械是由于已有的信息不充分，无法确定特殊或一般性能之能否提供安全性和有效性的合理保障，因此无法分类为I类或II类器械的医疗器械。III类器械要求进行上市前审批（PMA）。</w:t>
      </w:r>
    </w:p>
    <w:p w14:paraId="5CC1070F">
      <w:pPr>
        <w:pStyle w:val="10"/>
        <w:numPr>
          <w:ilvl w:val="0"/>
          <w:numId w:val="2"/>
        </w:numPr>
        <w:snapToGrid w:val="0"/>
        <w:spacing w:after="234" w:afterLines="75" w:line="300" w:lineRule="auto"/>
        <w:ind w:left="630" w:hanging="630" w:firstLineChars="0"/>
        <w:rPr>
          <w:rFonts w:ascii="Arial" w:hAnsi="Arial" w:eastAsia="宋体" w:cs="Arial"/>
          <w:sz w:val="28"/>
          <w:szCs w:val="28"/>
        </w:rPr>
      </w:pPr>
      <w:r>
        <w:rPr>
          <w:rFonts w:ascii="Arial" w:hAnsi="Arial" w:eastAsia="宋体" w:cs="Arial"/>
          <w:sz w:val="28"/>
          <w:szCs w:val="28"/>
        </w:rPr>
        <w:t>协议周期</w:t>
      </w:r>
    </w:p>
    <w:p w14:paraId="1F02E9A0">
      <w:pPr>
        <w:snapToGrid w:val="0"/>
        <w:spacing w:after="234" w:afterLines="75" w:line="300" w:lineRule="auto"/>
        <w:ind w:left="630" w:leftChars="300"/>
        <w:rPr>
          <w:rFonts w:ascii="Arial" w:hAnsi="Arial" w:eastAsia="宋体" w:cs="Arial"/>
          <w:sz w:val="28"/>
          <w:szCs w:val="28"/>
        </w:rPr>
      </w:pPr>
      <w:r>
        <w:rPr>
          <w:rFonts w:ascii="Arial" w:hAnsi="Arial" w:eastAsia="宋体" w:cs="Arial"/>
          <w:sz w:val="28"/>
          <w:szCs w:val="28"/>
        </w:rPr>
        <w:t>本协议在双方签署后即生效。政策在最终法规发布于联邦公报后生效，预计时间为1995年11月1日左右。协议在之后的周期内会继续生效。</w:t>
      </w:r>
    </w:p>
    <w:p w14:paraId="19EFFC8E">
      <w:pPr>
        <w:widowControl/>
        <w:jc w:val="left"/>
        <w:rPr>
          <w:rFonts w:ascii="Arial" w:hAnsi="Arial" w:eastAsia="宋体" w:cs="Arial"/>
          <w:sz w:val="28"/>
          <w:szCs w:val="28"/>
        </w:rPr>
      </w:pPr>
      <w:r>
        <w:rPr>
          <w:rFonts w:ascii="Arial" w:hAnsi="Arial" w:eastAsia="宋体" w:cs="Arial"/>
          <w:sz w:val="28"/>
          <w:szCs w:val="28"/>
        </w:rPr>
        <w:br w:type="page"/>
      </w:r>
    </w:p>
    <w:p w14:paraId="40E8F3AE">
      <w:pPr>
        <w:pStyle w:val="10"/>
        <w:numPr>
          <w:ilvl w:val="0"/>
          <w:numId w:val="2"/>
        </w:numPr>
        <w:snapToGrid w:val="0"/>
        <w:spacing w:after="234" w:afterLines="75" w:line="300" w:lineRule="auto"/>
        <w:ind w:left="630" w:hanging="630" w:firstLineChars="0"/>
        <w:rPr>
          <w:rFonts w:ascii="Arial" w:hAnsi="Arial" w:eastAsia="宋体" w:cs="Arial"/>
          <w:sz w:val="28"/>
          <w:szCs w:val="28"/>
        </w:rPr>
      </w:pPr>
      <w:r>
        <w:rPr>
          <w:rFonts w:ascii="Arial" w:hAnsi="Arial" w:eastAsia="宋体" w:cs="Arial"/>
          <w:sz w:val="28"/>
          <w:szCs w:val="28"/>
        </w:rPr>
        <w:t>修改/撤销条款</w:t>
      </w:r>
    </w:p>
    <w:p w14:paraId="46BF82E6">
      <w:pPr>
        <w:snapToGrid w:val="0"/>
        <w:spacing w:after="234" w:afterLines="75" w:line="300" w:lineRule="auto"/>
        <w:ind w:left="630" w:leftChars="300"/>
        <w:rPr>
          <w:rFonts w:ascii="Arial" w:hAnsi="Arial" w:eastAsia="宋体" w:cs="Arial"/>
          <w:sz w:val="28"/>
          <w:szCs w:val="28"/>
        </w:rPr>
      </w:pPr>
      <w:r>
        <w:rPr>
          <w:rFonts w:ascii="Arial" w:hAnsi="Arial" w:eastAsia="宋体" w:cs="Arial"/>
          <w:sz w:val="28"/>
          <w:szCs w:val="28"/>
        </w:rPr>
        <w:t>经双方同意，在任何时间可以更改本跨部门协议（IA）。如果双方在评估后同意，或联邦法规生效后影响了IA，则可以撤销协议。如果IA撤销，则协议在至少6个月内不会再次生效。</w:t>
      </w:r>
    </w:p>
    <w:p w14:paraId="70BE6CFF">
      <w:pPr>
        <w:pStyle w:val="10"/>
        <w:numPr>
          <w:ilvl w:val="0"/>
          <w:numId w:val="2"/>
        </w:numPr>
        <w:snapToGrid w:val="0"/>
        <w:spacing w:after="234" w:afterLines="75" w:line="300" w:lineRule="auto"/>
        <w:ind w:left="630" w:hanging="630" w:firstLineChars="0"/>
        <w:rPr>
          <w:rFonts w:ascii="Arial" w:hAnsi="Arial" w:eastAsia="宋体" w:cs="Arial"/>
          <w:sz w:val="28"/>
          <w:szCs w:val="28"/>
        </w:rPr>
      </w:pPr>
      <w:r>
        <w:rPr>
          <w:rFonts w:ascii="Arial" w:hAnsi="Arial" w:eastAsia="宋体" w:cs="Arial"/>
          <w:sz w:val="28"/>
          <w:szCs w:val="28"/>
        </w:rPr>
        <w:t>IDE信息保密性</w:t>
      </w:r>
    </w:p>
    <w:p w14:paraId="5A688374">
      <w:pPr>
        <w:snapToGrid w:val="0"/>
        <w:spacing w:after="234" w:afterLines="75" w:line="300" w:lineRule="auto"/>
        <w:ind w:left="630" w:leftChars="300"/>
        <w:rPr>
          <w:rFonts w:ascii="Arial" w:hAnsi="Arial" w:eastAsia="宋体" w:cs="Arial"/>
          <w:sz w:val="28"/>
          <w:szCs w:val="28"/>
        </w:rPr>
      </w:pPr>
      <w:r>
        <w:rPr>
          <w:rFonts w:ascii="Arial" w:hAnsi="Arial" w:eastAsia="宋体" w:cs="Arial"/>
          <w:sz w:val="28"/>
          <w:szCs w:val="28"/>
        </w:rPr>
        <w:t>FDA会向HCFA提供所有IDE申请的信息，供HCFA作出医疗保障范围和支付决定，保证项目不存在欺骗和滥用，以及处理声明。所有IDE申请仍然会存储于FDA。但在必要的情况下，这些申请的相关部分可以由HCFA进行复制，用于医疗保障范围的确定。</w:t>
      </w:r>
    </w:p>
    <w:p w14:paraId="23BFB6AC">
      <w:pPr>
        <w:snapToGrid w:val="0"/>
        <w:spacing w:after="234" w:afterLines="75" w:line="300" w:lineRule="auto"/>
        <w:ind w:left="630" w:leftChars="300"/>
        <w:rPr>
          <w:rFonts w:ascii="Arial" w:hAnsi="Arial" w:eastAsia="宋体" w:cs="Arial"/>
          <w:sz w:val="28"/>
          <w:szCs w:val="28"/>
        </w:rPr>
      </w:pPr>
      <w:r>
        <w:rPr>
          <w:rFonts w:ascii="Arial" w:hAnsi="Arial" w:eastAsia="宋体" w:cs="Arial"/>
          <w:sz w:val="28"/>
          <w:szCs w:val="28"/>
        </w:rPr>
        <w:t>根据该类信息隶属于和接受HCFA控制的程度，该信息应当遵守联邦法律和法规规定的保密和保存规则。适用的联邦法律包括但不限于，信息自由法案（5 U.S.C. 552），保密法案（5 U.S.C. 552a），社会保障法案（43 U.S.C. 1306a），以及商业秘密法案（18 U.S.C. 1905）。根据本协议，FDA应通过审查发布给HCFA的材料和纸质文件，或通过其他的监管方式确保符合其数据发布标准。另外，HCFA目前没有披露或授权披露个人/患者或所有人信息的计划。</w:t>
      </w:r>
    </w:p>
    <w:p w14:paraId="1EC5F78A">
      <w:pPr>
        <w:widowControl/>
        <w:jc w:val="left"/>
        <w:rPr>
          <w:rFonts w:ascii="Arial" w:hAnsi="Arial" w:eastAsia="宋体" w:cs="Arial"/>
          <w:sz w:val="28"/>
          <w:szCs w:val="28"/>
        </w:rPr>
      </w:pPr>
      <w:r>
        <w:rPr>
          <w:rFonts w:ascii="Arial" w:hAnsi="Arial" w:eastAsia="宋体" w:cs="Arial"/>
          <w:sz w:val="28"/>
          <w:szCs w:val="28"/>
        </w:rPr>
        <w:br w:type="page"/>
      </w:r>
    </w:p>
    <w:p w14:paraId="01A039DC">
      <w:pPr>
        <w:pStyle w:val="10"/>
        <w:numPr>
          <w:ilvl w:val="0"/>
          <w:numId w:val="2"/>
        </w:numPr>
        <w:snapToGrid w:val="0"/>
        <w:spacing w:after="234" w:afterLines="75" w:line="300" w:lineRule="auto"/>
        <w:ind w:left="630" w:hanging="630" w:firstLineChars="0"/>
        <w:rPr>
          <w:rFonts w:ascii="Arial" w:hAnsi="Arial" w:eastAsia="宋体" w:cs="Arial"/>
          <w:sz w:val="28"/>
          <w:szCs w:val="28"/>
        </w:rPr>
      </w:pPr>
      <w:r>
        <w:rPr>
          <w:rFonts w:ascii="Arial" w:hAnsi="Arial" w:eastAsia="宋体" w:cs="Arial"/>
          <w:sz w:val="28"/>
          <w:szCs w:val="28"/>
        </w:rPr>
        <w:t>联系方式</w:t>
      </w:r>
    </w:p>
    <w:p w14:paraId="1E1ABDE5">
      <w:pPr>
        <w:snapToGrid w:val="0"/>
        <w:spacing w:after="234" w:afterLines="75" w:line="300" w:lineRule="auto"/>
        <w:ind w:left="1853" w:leftChars="300" w:hanging="1223" w:hangingChars="437"/>
        <w:rPr>
          <w:rFonts w:ascii="Arial" w:hAnsi="Arial" w:eastAsia="宋体" w:cs="Arial"/>
          <w:sz w:val="28"/>
          <w:szCs w:val="28"/>
        </w:rPr>
      </w:pPr>
      <w:r>
        <w:rPr>
          <w:rFonts w:ascii="Arial" w:hAnsi="Arial" w:eastAsia="宋体" w:cs="Arial"/>
          <w:sz w:val="28"/>
          <w:szCs w:val="28"/>
        </w:rPr>
        <w:t>HCFA：</w:t>
      </w:r>
      <w:r>
        <w:rPr>
          <w:rFonts w:hint="eastAsia" w:ascii="Arial" w:hAnsi="Arial" w:eastAsia="宋体" w:cs="Arial"/>
          <w:sz w:val="28"/>
          <w:szCs w:val="28"/>
        </w:rPr>
        <w:tab/>
      </w:r>
      <w:r>
        <w:rPr>
          <w:rFonts w:ascii="Arial" w:hAnsi="Arial" w:eastAsia="宋体" w:cs="Arial"/>
          <w:sz w:val="28"/>
          <w:szCs w:val="28"/>
        </w:rPr>
        <w:t>Tomas Ault，主管</w:t>
      </w:r>
    </w:p>
    <w:p w14:paraId="05D843C3">
      <w:pPr>
        <w:snapToGrid w:val="0"/>
        <w:spacing w:after="234" w:afterLines="75" w:line="300" w:lineRule="auto"/>
        <w:ind w:left="1853" w:leftChars="300" w:hanging="1223" w:hangingChars="437"/>
        <w:rPr>
          <w:rFonts w:ascii="Arial" w:hAnsi="Arial" w:eastAsia="宋体" w:cs="Arial"/>
          <w:sz w:val="28"/>
          <w:szCs w:val="28"/>
        </w:rPr>
      </w:pPr>
      <w:r>
        <w:rPr>
          <w:rFonts w:hint="eastAsia" w:ascii="Arial" w:hAnsi="Arial" w:eastAsia="宋体" w:cs="Arial"/>
          <w:sz w:val="28"/>
          <w:szCs w:val="28"/>
        </w:rPr>
        <w:tab/>
      </w:r>
      <w:r>
        <w:rPr>
          <w:rFonts w:ascii="Arial" w:hAnsi="Arial" w:eastAsia="宋体" w:cs="Arial"/>
          <w:sz w:val="28"/>
          <w:szCs w:val="28"/>
        </w:rPr>
        <w:t>政策制定局</w:t>
      </w:r>
    </w:p>
    <w:p w14:paraId="16CCA378">
      <w:pPr>
        <w:snapToGrid w:val="0"/>
        <w:spacing w:after="234" w:afterLines="75" w:line="300" w:lineRule="auto"/>
        <w:ind w:left="1853" w:leftChars="300" w:hanging="1223" w:hangingChars="437"/>
        <w:rPr>
          <w:rFonts w:ascii="Arial" w:hAnsi="Arial" w:eastAsia="宋体" w:cs="Arial"/>
          <w:sz w:val="28"/>
          <w:szCs w:val="28"/>
        </w:rPr>
      </w:pPr>
      <w:r>
        <w:rPr>
          <w:rFonts w:ascii="Arial" w:hAnsi="Arial" w:eastAsia="宋体" w:cs="Arial"/>
          <w:sz w:val="28"/>
          <w:szCs w:val="28"/>
        </w:rPr>
        <w:t>FDA：</w:t>
      </w:r>
      <w:r>
        <w:rPr>
          <w:rFonts w:hint="eastAsia" w:ascii="Arial" w:hAnsi="Arial" w:eastAsia="宋体" w:cs="Arial"/>
          <w:sz w:val="28"/>
          <w:szCs w:val="28"/>
        </w:rPr>
        <w:tab/>
      </w:r>
      <w:r>
        <w:rPr>
          <w:rFonts w:ascii="Arial" w:hAnsi="Arial" w:eastAsia="宋体" w:cs="Arial"/>
          <w:sz w:val="28"/>
          <w:szCs w:val="28"/>
        </w:rPr>
        <w:t>D. Bruce Burlington，医学博士</w:t>
      </w:r>
    </w:p>
    <w:p w14:paraId="773C5C5D">
      <w:pPr>
        <w:snapToGrid w:val="0"/>
        <w:spacing w:after="234" w:afterLines="75" w:line="300" w:lineRule="auto"/>
        <w:ind w:left="1960" w:hanging="1960" w:hangingChars="700"/>
        <w:rPr>
          <w:rFonts w:ascii="Arial" w:hAnsi="Arial" w:eastAsia="宋体" w:cs="Arial"/>
          <w:sz w:val="28"/>
          <w:szCs w:val="28"/>
        </w:rPr>
      </w:pPr>
      <w:r>
        <w:rPr>
          <w:rFonts w:hint="eastAsia" w:ascii="Arial" w:hAnsi="Arial" w:eastAsia="宋体" w:cs="Arial"/>
          <w:sz w:val="28"/>
          <w:szCs w:val="28"/>
        </w:rPr>
        <w:tab/>
      </w:r>
      <w:r>
        <w:rPr>
          <w:rFonts w:ascii="Arial" w:hAnsi="Arial" w:eastAsia="宋体" w:cs="Arial"/>
          <w:sz w:val="28"/>
          <w:szCs w:val="28"/>
        </w:rPr>
        <w:t>主管，器械和放射卫生中心</w:t>
      </w:r>
    </w:p>
    <w:p w14:paraId="4EC45B26">
      <w:pPr>
        <w:pStyle w:val="10"/>
        <w:numPr>
          <w:ilvl w:val="0"/>
          <w:numId w:val="2"/>
        </w:numPr>
        <w:snapToGrid w:val="0"/>
        <w:spacing w:after="234" w:afterLines="75" w:line="300" w:lineRule="auto"/>
        <w:ind w:left="630" w:hanging="630" w:firstLineChars="0"/>
        <w:rPr>
          <w:rFonts w:ascii="Arial" w:hAnsi="Arial" w:eastAsia="宋体" w:cs="Arial"/>
          <w:sz w:val="28"/>
          <w:szCs w:val="28"/>
        </w:rPr>
      </w:pPr>
      <w:r>
        <w:rPr>
          <w:rFonts w:ascii="Arial" w:hAnsi="Arial" w:eastAsia="宋体" w:cs="Arial"/>
          <w:sz w:val="28"/>
          <w:szCs w:val="28"/>
        </w:rPr>
        <w:t>接受签名</w:t>
      </w:r>
    </w:p>
    <w:p w14:paraId="1429DE82">
      <w:pPr>
        <w:snapToGrid w:val="0"/>
        <w:spacing w:after="234" w:afterLines="75" w:line="300" w:lineRule="auto"/>
        <w:rPr>
          <w:rFonts w:ascii="Arial" w:hAnsi="Arial" w:eastAsia="宋体" w:cs="Arial"/>
          <w:sz w:val="28"/>
          <w:szCs w:val="28"/>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14"/>
        <w:gridCol w:w="5231"/>
      </w:tblGrid>
      <w:tr w14:paraId="69250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21" w:type="dxa"/>
          </w:tcPr>
          <w:p w14:paraId="79FF7A14">
            <w:pPr>
              <w:snapToGrid w:val="0"/>
              <w:spacing w:after="234" w:afterLines="75" w:line="300" w:lineRule="auto"/>
              <w:rPr>
                <w:rFonts w:ascii="Arial" w:hAnsi="Arial" w:eastAsia="宋体" w:cs="Arial"/>
                <w:sz w:val="28"/>
                <w:szCs w:val="28"/>
              </w:rPr>
            </w:pPr>
            <w:r>
              <w:rPr>
                <w:rFonts w:ascii="Arial" w:hAnsi="Arial" w:eastAsia="宋体" w:cs="Arial"/>
                <w:sz w:val="28"/>
                <w:szCs w:val="28"/>
              </w:rPr>
              <w:t>1995</w:t>
            </w:r>
            <w:r>
              <w:rPr>
                <w:rFonts w:hint="eastAsia" w:ascii="Arial" w:hAnsi="Arial" w:eastAsia="宋体" w:cs="Arial"/>
                <w:sz w:val="28"/>
                <w:szCs w:val="28"/>
              </w:rPr>
              <w:t>年8月29日</w:t>
            </w:r>
          </w:p>
          <w:p w14:paraId="743AADDA">
            <w:pPr>
              <w:snapToGrid w:val="0"/>
              <w:spacing w:after="234" w:afterLines="75" w:line="300" w:lineRule="auto"/>
              <w:rPr>
                <w:rFonts w:ascii="Arial" w:hAnsi="Arial" w:eastAsia="宋体" w:cs="Arial"/>
                <w:sz w:val="28"/>
                <w:szCs w:val="28"/>
              </w:rPr>
            </w:pPr>
            <w:r>
              <w:rPr>
                <w:rFonts w:ascii="Arial" w:hAnsi="Arial" w:eastAsia="宋体" w:cs="Arial"/>
                <w:sz w:val="28"/>
                <w:szCs w:val="28"/>
              </w:rPr>
              <w:t>日期</w:t>
            </w:r>
          </w:p>
        </w:tc>
        <w:tc>
          <w:tcPr>
            <w:tcW w:w="4621" w:type="dxa"/>
          </w:tcPr>
          <w:p w14:paraId="08FC9823">
            <w:pPr>
              <w:snapToGrid w:val="0"/>
              <w:spacing w:after="234" w:afterLines="75" w:line="300" w:lineRule="auto"/>
              <w:rPr>
                <w:rFonts w:ascii="Arial" w:hAnsi="Arial" w:eastAsia="宋体" w:cs="Arial"/>
                <w:sz w:val="28"/>
                <w:szCs w:val="28"/>
              </w:rPr>
            </w:pPr>
            <w:r>
              <w:rPr>
                <w:rFonts w:hint="eastAsia" w:ascii="Arial" w:hAnsi="Arial" w:eastAsia="宋体" w:cs="Arial"/>
                <w:sz w:val="28"/>
                <w:szCs w:val="28"/>
              </w:rPr>
              <w:t>___________/S/___________________</w:t>
            </w:r>
          </w:p>
          <w:p w14:paraId="455FD89C">
            <w:pPr>
              <w:snapToGrid w:val="0"/>
              <w:spacing w:after="234" w:afterLines="75" w:line="300" w:lineRule="auto"/>
              <w:rPr>
                <w:rFonts w:ascii="Arial" w:hAnsi="Arial" w:eastAsia="宋体" w:cs="Arial"/>
                <w:sz w:val="28"/>
                <w:szCs w:val="28"/>
              </w:rPr>
            </w:pPr>
            <w:r>
              <w:rPr>
                <w:rFonts w:ascii="Arial" w:hAnsi="Arial" w:eastAsia="宋体" w:cs="Arial"/>
                <w:sz w:val="28"/>
                <w:szCs w:val="28"/>
              </w:rPr>
              <w:t>Bruce C. Vladeck，管理员</w:t>
            </w:r>
          </w:p>
          <w:p w14:paraId="0A2C8633">
            <w:pPr>
              <w:snapToGrid w:val="0"/>
              <w:spacing w:after="234" w:afterLines="75" w:line="300" w:lineRule="auto"/>
              <w:rPr>
                <w:rFonts w:ascii="Arial" w:hAnsi="Arial" w:eastAsia="宋体" w:cs="Arial"/>
                <w:sz w:val="28"/>
                <w:szCs w:val="28"/>
              </w:rPr>
            </w:pPr>
            <w:r>
              <w:rPr>
                <w:rFonts w:ascii="Arial" w:hAnsi="Arial" w:eastAsia="宋体" w:cs="Arial"/>
                <w:sz w:val="28"/>
                <w:szCs w:val="28"/>
              </w:rPr>
              <w:t>美国健康保健财政管理局</w:t>
            </w:r>
          </w:p>
        </w:tc>
      </w:tr>
      <w:tr w14:paraId="4A11F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21" w:type="dxa"/>
          </w:tcPr>
          <w:p w14:paraId="31D5E6CC">
            <w:pPr>
              <w:snapToGrid w:val="0"/>
              <w:spacing w:after="234" w:afterLines="75" w:line="300" w:lineRule="auto"/>
              <w:rPr>
                <w:rFonts w:ascii="Arial" w:hAnsi="Arial" w:eastAsia="宋体" w:cs="Arial"/>
                <w:sz w:val="28"/>
                <w:szCs w:val="28"/>
              </w:rPr>
            </w:pPr>
            <w:r>
              <w:rPr>
                <w:rFonts w:ascii="Arial" w:hAnsi="Arial" w:eastAsia="宋体" w:cs="Arial"/>
                <w:sz w:val="28"/>
                <w:szCs w:val="28"/>
              </w:rPr>
              <w:t>1995</w:t>
            </w:r>
            <w:r>
              <w:rPr>
                <w:rFonts w:hint="eastAsia" w:ascii="Arial" w:hAnsi="Arial" w:eastAsia="宋体" w:cs="Arial"/>
                <w:sz w:val="28"/>
                <w:szCs w:val="28"/>
              </w:rPr>
              <w:t>年8月29日</w:t>
            </w:r>
          </w:p>
          <w:p w14:paraId="4D3E9C35">
            <w:pPr>
              <w:snapToGrid w:val="0"/>
              <w:spacing w:after="234" w:afterLines="75" w:line="300" w:lineRule="auto"/>
              <w:rPr>
                <w:rFonts w:ascii="Arial" w:hAnsi="Arial" w:eastAsia="宋体" w:cs="Arial"/>
                <w:sz w:val="28"/>
                <w:szCs w:val="28"/>
              </w:rPr>
            </w:pPr>
            <w:r>
              <w:rPr>
                <w:rFonts w:ascii="Arial" w:hAnsi="Arial" w:eastAsia="宋体" w:cs="Arial"/>
                <w:sz w:val="28"/>
                <w:szCs w:val="28"/>
              </w:rPr>
              <w:t>日期</w:t>
            </w:r>
          </w:p>
        </w:tc>
        <w:tc>
          <w:tcPr>
            <w:tcW w:w="4621" w:type="dxa"/>
          </w:tcPr>
          <w:p w14:paraId="5111DE64">
            <w:pPr>
              <w:snapToGrid w:val="0"/>
              <w:spacing w:after="234" w:afterLines="75" w:line="300" w:lineRule="auto"/>
              <w:rPr>
                <w:rFonts w:ascii="Arial" w:hAnsi="Arial" w:eastAsia="宋体" w:cs="Arial"/>
                <w:sz w:val="28"/>
                <w:szCs w:val="28"/>
              </w:rPr>
            </w:pPr>
            <w:r>
              <w:rPr>
                <w:rFonts w:hint="eastAsia" w:ascii="Arial" w:hAnsi="Arial" w:eastAsia="宋体" w:cs="Arial"/>
                <w:sz w:val="28"/>
                <w:szCs w:val="28"/>
              </w:rPr>
              <w:t>___________/S/___________________</w:t>
            </w:r>
          </w:p>
          <w:p w14:paraId="14AB3225">
            <w:pPr>
              <w:snapToGrid w:val="0"/>
              <w:spacing w:after="234" w:afterLines="75" w:line="300" w:lineRule="auto"/>
              <w:rPr>
                <w:rFonts w:ascii="Arial" w:hAnsi="Arial" w:eastAsia="宋体" w:cs="Arial"/>
                <w:sz w:val="28"/>
                <w:szCs w:val="28"/>
              </w:rPr>
            </w:pPr>
            <w:r>
              <w:rPr>
                <w:rFonts w:ascii="Arial" w:hAnsi="Arial" w:eastAsia="宋体" w:cs="Arial"/>
                <w:sz w:val="28"/>
                <w:szCs w:val="28"/>
              </w:rPr>
              <w:t>David A. Kessler，医学博士</w:t>
            </w:r>
          </w:p>
          <w:p w14:paraId="3F3FF250">
            <w:pPr>
              <w:snapToGrid w:val="0"/>
              <w:spacing w:after="234" w:afterLines="75" w:line="300" w:lineRule="auto"/>
              <w:rPr>
                <w:rFonts w:ascii="Arial" w:hAnsi="Arial" w:eastAsia="宋体" w:cs="Arial"/>
                <w:sz w:val="28"/>
                <w:szCs w:val="28"/>
              </w:rPr>
            </w:pPr>
            <w:r>
              <w:rPr>
                <w:rFonts w:ascii="Arial" w:hAnsi="Arial" w:eastAsia="宋体" w:cs="Arial"/>
                <w:sz w:val="28"/>
                <w:szCs w:val="28"/>
              </w:rPr>
              <w:t>食品药品监督管理局专员</w:t>
            </w:r>
          </w:p>
          <w:p w14:paraId="75FB7059">
            <w:pPr>
              <w:snapToGrid w:val="0"/>
              <w:spacing w:after="234" w:afterLines="75" w:line="300" w:lineRule="auto"/>
              <w:rPr>
                <w:rFonts w:ascii="Arial" w:hAnsi="Arial" w:eastAsia="宋体" w:cs="Arial"/>
                <w:sz w:val="28"/>
                <w:szCs w:val="28"/>
              </w:rPr>
            </w:pPr>
          </w:p>
        </w:tc>
      </w:tr>
    </w:tbl>
    <w:p w14:paraId="2549D6BA">
      <w:pPr>
        <w:snapToGrid w:val="0"/>
        <w:spacing w:after="234" w:afterLines="75" w:line="300" w:lineRule="auto"/>
        <w:rPr>
          <w:rFonts w:ascii="Arial" w:hAnsi="Arial" w:eastAsia="宋体" w:cs="Arial"/>
          <w:sz w:val="28"/>
          <w:szCs w:val="28"/>
        </w:rPr>
      </w:pPr>
    </w:p>
    <w:p w14:paraId="412ED317">
      <w:pPr>
        <w:widowControl/>
        <w:snapToGrid w:val="0"/>
        <w:spacing w:after="234" w:afterLines="75" w:line="300" w:lineRule="auto"/>
        <w:rPr>
          <w:rFonts w:ascii="Arial" w:hAnsi="Arial" w:eastAsia="宋体" w:cs="Arial"/>
          <w:sz w:val="28"/>
          <w:szCs w:val="28"/>
        </w:rPr>
      </w:pPr>
      <w:r>
        <w:rPr>
          <w:rFonts w:ascii="Arial" w:hAnsi="Arial" w:eastAsia="宋体" w:cs="Arial"/>
          <w:sz w:val="28"/>
          <w:szCs w:val="28"/>
        </w:rPr>
        <w:br w:type="page"/>
      </w:r>
    </w:p>
    <w:p w14:paraId="6D63746F">
      <w:pPr>
        <w:snapToGrid w:val="0"/>
        <w:spacing w:after="234" w:afterLines="75" w:line="300" w:lineRule="auto"/>
        <w:rPr>
          <w:rFonts w:ascii="Arial" w:hAnsi="Arial" w:eastAsia="宋体" w:cs="Arial"/>
          <w:sz w:val="28"/>
          <w:szCs w:val="28"/>
        </w:rPr>
      </w:pPr>
      <w:r>
        <w:rPr>
          <w:rFonts w:hint="eastAsia" w:ascii="Arial" w:hAnsi="Arial" w:eastAsia="宋体" w:cs="Arial"/>
          <w:sz w:val="28"/>
          <w:szCs w:val="28"/>
        </w:rPr>
        <w:t>附件</w:t>
      </w:r>
    </w:p>
    <w:p w14:paraId="770EF629">
      <w:pPr>
        <w:snapToGrid w:val="0"/>
        <w:spacing w:after="234" w:afterLines="75" w:line="300" w:lineRule="auto"/>
        <w:jc w:val="center"/>
        <w:rPr>
          <w:rFonts w:ascii="Arial" w:hAnsi="Arial" w:eastAsia="宋体" w:cs="Arial"/>
          <w:sz w:val="28"/>
          <w:szCs w:val="28"/>
        </w:rPr>
      </w:pPr>
      <w:r>
        <w:rPr>
          <w:rFonts w:ascii="Arial" w:hAnsi="Arial" w:eastAsia="宋体" w:cs="Arial"/>
          <w:sz w:val="28"/>
          <w:szCs w:val="28"/>
        </w:rPr>
        <w:t>研究性器械分类标准</w:t>
      </w:r>
    </w:p>
    <w:p w14:paraId="16558607">
      <w:pPr>
        <w:snapToGrid w:val="0"/>
        <w:spacing w:after="234" w:afterLines="75" w:line="300" w:lineRule="auto"/>
        <w:rPr>
          <w:rFonts w:ascii="Arial" w:hAnsi="Arial" w:eastAsia="宋体" w:cs="Arial"/>
          <w:sz w:val="28"/>
          <w:szCs w:val="28"/>
        </w:rPr>
      </w:pPr>
      <w:r>
        <w:rPr>
          <w:rFonts w:ascii="Arial" w:hAnsi="Arial" w:eastAsia="宋体" w:cs="Arial"/>
          <w:sz w:val="28"/>
          <w:szCs w:val="28"/>
        </w:rPr>
        <w:t>A类：</w:t>
      </w:r>
      <w:r>
        <w:rPr>
          <w:rFonts w:hint="eastAsia" w:ascii="Arial" w:hAnsi="Arial" w:eastAsia="宋体" w:cs="Arial"/>
          <w:sz w:val="28"/>
          <w:szCs w:val="28"/>
        </w:rPr>
        <w:tab/>
      </w:r>
      <w:r>
        <w:rPr>
          <w:rFonts w:ascii="Arial" w:hAnsi="Arial" w:eastAsia="宋体" w:cs="Arial"/>
          <w:sz w:val="28"/>
          <w:szCs w:val="28"/>
        </w:rPr>
        <w:t>试验性</w:t>
      </w:r>
    </w:p>
    <w:p w14:paraId="2EB08097">
      <w:pPr>
        <w:pStyle w:val="10"/>
        <w:numPr>
          <w:ilvl w:val="0"/>
          <w:numId w:val="4"/>
        </w:numPr>
        <w:snapToGrid w:val="0"/>
        <w:spacing w:after="234" w:afterLines="75" w:line="300" w:lineRule="auto"/>
        <w:ind w:left="616" w:hanging="616" w:firstLineChars="0"/>
        <w:rPr>
          <w:rFonts w:ascii="Arial" w:hAnsi="Arial" w:eastAsia="宋体" w:cs="Arial"/>
          <w:sz w:val="28"/>
          <w:szCs w:val="28"/>
        </w:rPr>
      </w:pPr>
      <w:r>
        <w:rPr>
          <w:rFonts w:ascii="Arial" w:hAnsi="Arial" w:eastAsia="宋体" w:cs="Arial"/>
          <w:sz w:val="28"/>
          <w:szCs w:val="28"/>
        </w:rPr>
        <w:t>III类器械，且其所有的适应症均未经上市前审批（PMA）流程审批通过。（修正案前的III类器械，请参考B类标准）；或</w:t>
      </w:r>
    </w:p>
    <w:p w14:paraId="2102D5BC">
      <w:pPr>
        <w:pStyle w:val="10"/>
        <w:numPr>
          <w:ilvl w:val="0"/>
          <w:numId w:val="4"/>
        </w:numPr>
        <w:snapToGrid w:val="0"/>
        <w:spacing w:after="234" w:afterLines="75" w:line="300" w:lineRule="auto"/>
        <w:ind w:left="616" w:hanging="616" w:firstLineChars="0"/>
        <w:rPr>
          <w:rFonts w:ascii="Arial" w:hAnsi="Arial" w:eastAsia="宋体" w:cs="Arial"/>
          <w:sz w:val="28"/>
          <w:szCs w:val="28"/>
        </w:rPr>
      </w:pPr>
      <w:r>
        <w:rPr>
          <w:rFonts w:ascii="Arial" w:hAnsi="Arial" w:eastAsia="宋体" w:cs="Arial"/>
          <w:sz w:val="28"/>
          <w:szCs w:val="28"/>
        </w:rPr>
        <w:t>本应属于B类器械，但进行了重大修改，添加的新的适应症的III类器械。</w:t>
      </w:r>
    </w:p>
    <w:p w14:paraId="5118D715">
      <w:pPr>
        <w:snapToGrid w:val="0"/>
        <w:spacing w:after="234" w:afterLines="75" w:line="300" w:lineRule="auto"/>
        <w:rPr>
          <w:rFonts w:ascii="Arial" w:hAnsi="Arial" w:eastAsia="宋体" w:cs="Arial"/>
          <w:sz w:val="28"/>
          <w:szCs w:val="28"/>
        </w:rPr>
      </w:pPr>
      <w:r>
        <w:rPr>
          <w:rFonts w:ascii="Arial" w:hAnsi="Arial" w:eastAsia="宋体" w:cs="Arial"/>
          <w:sz w:val="28"/>
          <w:szCs w:val="28"/>
        </w:rPr>
        <w:t>B类：非试验性/研究性</w:t>
      </w:r>
    </w:p>
    <w:p w14:paraId="09948E71">
      <w:pPr>
        <w:pStyle w:val="10"/>
        <w:numPr>
          <w:ilvl w:val="0"/>
          <w:numId w:val="5"/>
        </w:numPr>
        <w:snapToGrid w:val="0"/>
        <w:spacing w:after="234" w:afterLines="75" w:line="300" w:lineRule="auto"/>
        <w:ind w:left="658" w:hanging="658" w:firstLineChars="0"/>
        <w:rPr>
          <w:rFonts w:ascii="Arial" w:hAnsi="Arial" w:eastAsia="宋体" w:cs="Arial"/>
          <w:sz w:val="28"/>
          <w:szCs w:val="28"/>
        </w:rPr>
      </w:pPr>
      <w:r>
        <w:rPr>
          <w:rFonts w:ascii="Arial" w:hAnsi="Arial" w:eastAsia="宋体" w:cs="Arial"/>
          <w:sz w:val="28"/>
          <w:szCs w:val="28"/>
        </w:rPr>
        <w:t>用于研究以建立与已有器械的实质等同性的器械，而无论其分类，例如用于建立与先前/目前合法上市的器械实质等同性的器械；或</w:t>
      </w:r>
    </w:p>
    <w:p w14:paraId="606DC8F8">
      <w:pPr>
        <w:pStyle w:val="10"/>
        <w:numPr>
          <w:ilvl w:val="0"/>
          <w:numId w:val="5"/>
        </w:numPr>
        <w:snapToGrid w:val="0"/>
        <w:spacing w:after="234" w:afterLines="75" w:line="300" w:lineRule="auto"/>
        <w:ind w:left="658" w:hanging="658" w:firstLineChars="0"/>
        <w:rPr>
          <w:rFonts w:ascii="Arial" w:hAnsi="Arial" w:eastAsia="宋体" w:cs="Arial"/>
          <w:sz w:val="28"/>
          <w:szCs w:val="28"/>
        </w:rPr>
      </w:pPr>
      <w:r>
        <w:rPr>
          <w:rFonts w:ascii="Arial" w:hAnsi="Arial" w:eastAsia="宋体" w:cs="Arial"/>
          <w:sz w:val="28"/>
          <w:szCs w:val="28"/>
        </w:rPr>
        <w:t>技术性能和适应症与PMA批准器械等价的III类器械；或</w:t>
      </w:r>
    </w:p>
    <w:p w14:paraId="6693E35E">
      <w:pPr>
        <w:pStyle w:val="10"/>
        <w:numPr>
          <w:ilvl w:val="0"/>
          <w:numId w:val="5"/>
        </w:numPr>
        <w:snapToGrid w:val="0"/>
        <w:spacing w:after="234" w:afterLines="75" w:line="300" w:lineRule="auto"/>
        <w:ind w:left="658" w:hanging="658" w:firstLineChars="0"/>
        <w:rPr>
          <w:rFonts w:ascii="Arial" w:hAnsi="Arial" w:eastAsia="宋体" w:cs="Arial"/>
          <w:sz w:val="28"/>
          <w:szCs w:val="28"/>
        </w:rPr>
      </w:pPr>
      <w:r>
        <w:rPr>
          <w:rFonts w:ascii="Arial" w:hAnsi="Arial" w:eastAsia="宋体" w:cs="Arial"/>
          <w:sz w:val="28"/>
          <w:szCs w:val="28"/>
        </w:rPr>
        <w:t>与PMA批准的器械相比具有技术性进步的III类器械，例如与已经经过上市前批准的器械相比在技术方面存在进步的器械（代际变更）；或</w:t>
      </w:r>
    </w:p>
    <w:p w14:paraId="3A01C644">
      <w:pPr>
        <w:pStyle w:val="10"/>
        <w:numPr>
          <w:ilvl w:val="0"/>
          <w:numId w:val="5"/>
        </w:numPr>
        <w:snapToGrid w:val="0"/>
        <w:spacing w:after="234" w:afterLines="75" w:line="300" w:lineRule="auto"/>
        <w:ind w:left="658" w:hanging="658" w:firstLineChars="0"/>
        <w:rPr>
          <w:rFonts w:ascii="Arial" w:hAnsi="Arial" w:eastAsia="宋体" w:cs="Arial"/>
          <w:sz w:val="28"/>
          <w:szCs w:val="28"/>
        </w:rPr>
      </w:pPr>
      <w:r>
        <w:rPr>
          <w:rFonts w:ascii="Arial" w:hAnsi="Arial" w:eastAsia="宋体" w:cs="Arial"/>
          <w:sz w:val="28"/>
          <w:szCs w:val="28"/>
        </w:rPr>
        <w:t>与PMA批准的器械等价，但用于新适应症研究的III类器械。为了研究新的适应症，不要求该器械具有重大的改变；或</w:t>
      </w:r>
    </w:p>
    <w:p w14:paraId="13890416">
      <w:pPr>
        <w:pStyle w:val="10"/>
        <w:numPr>
          <w:ilvl w:val="0"/>
          <w:numId w:val="5"/>
        </w:numPr>
        <w:snapToGrid w:val="0"/>
        <w:spacing w:after="234" w:afterLines="75" w:line="300" w:lineRule="auto"/>
        <w:ind w:left="658" w:hanging="658" w:firstLineChars="0"/>
        <w:rPr>
          <w:rFonts w:ascii="Arial" w:hAnsi="Arial" w:eastAsia="宋体" w:cs="Arial"/>
          <w:sz w:val="28"/>
          <w:szCs w:val="28"/>
        </w:rPr>
      </w:pPr>
      <w:r>
        <w:rPr>
          <w:rFonts w:ascii="Arial" w:hAnsi="Arial" w:eastAsia="宋体" w:cs="Arial"/>
          <w:sz w:val="28"/>
          <w:szCs w:val="28"/>
        </w:rPr>
        <w:t>修订前的III类器械，在FDA要求进行上市前审批后才成为IDE申报器械，如未提交PMA或PMA未通过；或</w:t>
      </w:r>
    </w:p>
    <w:p w14:paraId="296247C9">
      <w:pPr>
        <w:widowControl/>
        <w:jc w:val="left"/>
        <w:rPr>
          <w:rFonts w:ascii="Arial" w:hAnsi="Arial" w:eastAsia="宋体" w:cs="Arial"/>
          <w:sz w:val="28"/>
          <w:szCs w:val="28"/>
        </w:rPr>
      </w:pPr>
      <w:r>
        <w:rPr>
          <w:rFonts w:ascii="Arial" w:hAnsi="Arial" w:eastAsia="宋体" w:cs="Arial"/>
          <w:sz w:val="28"/>
          <w:szCs w:val="28"/>
        </w:rPr>
        <w:br w:type="page"/>
      </w:r>
    </w:p>
    <w:p w14:paraId="5A8E78F1">
      <w:pPr>
        <w:pStyle w:val="10"/>
        <w:numPr>
          <w:ilvl w:val="0"/>
          <w:numId w:val="5"/>
        </w:numPr>
        <w:snapToGrid w:val="0"/>
        <w:spacing w:after="234" w:afterLines="75" w:line="300" w:lineRule="auto"/>
        <w:ind w:left="658" w:hanging="658" w:firstLineChars="0"/>
        <w:rPr>
          <w:rFonts w:ascii="Arial" w:hAnsi="Arial" w:eastAsia="宋体" w:cs="Arial"/>
          <w:sz w:val="28"/>
          <w:szCs w:val="28"/>
        </w:rPr>
      </w:pPr>
      <w:r>
        <w:rPr>
          <w:rFonts w:ascii="Arial" w:hAnsi="Arial" w:eastAsia="宋体" w:cs="Arial"/>
          <w:sz w:val="28"/>
          <w:szCs w:val="28"/>
        </w:rPr>
        <w:t>FDA要求提交IDE的非重大风险器械研究。</w:t>
      </w:r>
    </w:p>
    <w:p w14:paraId="765502D7">
      <w:pPr>
        <w:snapToGrid w:val="0"/>
        <w:spacing w:after="234" w:afterLines="75" w:line="300" w:lineRule="auto"/>
        <w:rPr>
          <w:rFonts w:ascii="Arial" w:hAnsi="Arial" w:eastAsia="宋体" w:cs="Arial"/>
          <w:sz w:val="28"/>
          <w:szCs w:val="28"/>
        </w:rPr>
      </w:pPr>
      <w:r>
        <w:rPr>
          <w:rFonts w:ascii="Arial" w:hAnsi="Arial" w:eastAsia="宋体" w:cs="Arial"/>
          <w:sz w:val="28"/>
          <w:szCs w:val="28"/>
        </w:rPr>
        <w:t>注：一些研究性器械可能具有独特的性质，或存在安全性问题，需要进行</w:t>
      </w:r>
      <w:r>
        <w:rPr>
          <w:rFonts w:hint="eastAsia" w:ascii="Arial" w:hAnsi="Arial" w:eastAsia="宋体" w:cs="Arial"/>
          <w:sz w:val="28"/>
          <w:szCs w:val="28"/>
        </w:rPr>
        <w:t>其他</w:t>
      </w:r>
      <w:r>
        <w:rPr>
          <w:rFonts w:ascii="Arial" w:hAnsi="Arial" w:eastAsia="宋体" w:cs="Arial"/>
          <w:sz w:val="28"/>
          <w:szCs w:val="28"/>
        </w:rPr>
        <w:t>考虑。对于这类器械，HCFA和FDA同意使用附加标准。FDA会使用该标准进行器械分类。通过分类过程中获得的经验，本附件可能会修改。</w:t>
      </w:r>
    </w:p>
    <w:p w14:paraId="59EC13FF">
      <w:pPr>
        <w:widowControl/>
        <w:snapToGrid w:val="0"/>
        <w:spacing w:after="234" w:afterLines="75" w:line="300" w:lineRule="auto"/>
        <w:rPr>
          <w:rFonts w:ascii="Arial" w:hAnsi="Arial" w:eastAsia="宋体" w:cs="Arial"/>
          <w:sz w:val="28"/>
          <w:szCs w:val="28"/>
        </w:rPr>
      </w:pPr>
      <w:r>
        <w:rPr>
          <w:rFonts w:ascii="Arial" w:hAnsi="Arial" w:eastAsia="宋体" w:cs="Arial"/>
          <w:sz w:val="28"/>
          <w:szCs w:val="28"/>
        </w:rPr>
        <w:br w:type="page"/>
      </w:r>
    </w:p>
    <w:p w14:paraId="08E8AF85">
      <w:pPr>
        <w:snapToGrid w:val="0"/>
        <w:spacing w:after="234" w:afterLines="75" w:line="300" w:lineRule="auto"/>
        <w:rPr>
          <w:rFonts w:ascii="Arial" w:hAnsi="Arial" w:eastAsia="宋体" w:cs="Arial"/>
          <w:sz w:val="28"/>
          <w:szCs w:val="28"/>
        </w:rPr>
      </w:pPr>
      <w:r>
        <w:rPr>
          <w:rFonts w:ascii="Arial" w:hAnsi="Arial" w:eastAsia="宋体" w:cs="Arial"/>
          <w:sz w:val="28"/>
          <w:szCs w:val="28"/>
        </w:rPr>
        <w:t>IDE备忘录——编号D95-2</w:t>
      </w:r>
    </w:p>
    <w:p w14:paraId="022D8A24">
      <w:pPr>
        <w:snapToGrid w:val="0"/>
        <w:spacing w:after="234" w:afterLines="75" w:line="300" w:lineRule="auto"/>
        <w:jc w:val="right"/>
        <w:rPr>
          <w:rFonts w:ascii="Arial" w:hAnsi="Arial" w:eastAsia="宋体" w:cs="Arial"/>
          <w:sz w:val="28"/>
          <w:szCs w:val="28"/>
        </w:rPr>
      </w:pPr>
      <w:r>
        <w:rPr>
          <w:rFonts w:ascii="Arial" w:hAnsi="Arial" w:eastAsia="宋体" w:cs="Arial"/>
          <w:sz w:val="28"/>
          <w:szCs w:val="28"/>
        </w:rPr>
        <w:t>附件B——第1页</w:t>
      </w:r>
    </w:p>
    <w:p w14:paraId="038476E8">
      <w:pPr>
        <w:snapToGrid w:val="0"/>
        <w:spacing w:after="234" w:afterLines="75" w:line="300" w:lineRule="auto"/>
        <w:jc w:val="center"/>
        <w:rPr>
          <w:rFonts w:ascii="Arial" w:hAnsi="Arial" w:eastAsia="宋体" w:cs="Arial"/>
          <w:sz w:val="28"/>
          <w:szCs w:val="28"/>
        </w:rPr>
      </w:pPr>
      <w:r>
        <w:rPr>
          <w:rFonts w:ascii="Arial" w:hAnsi="Arial" w:eastAsia="宋体" w:cs="Arial"/>
          <w:sz w:val="28"/>
          <w:szCs w:val="28"/>
        </w:rPr>
        <w:t>研究性器械分类标准</w:t>
      </w:r>
    </w:p>
    <w:p w14:paraId="0BD248B9">
      <w:pPr>
        <w:snapToGrid w:val="0"/>
        <w:spacing w:after="234" w:afterLines="75" w:line="300" w:lineRule="auto"/>
        <w:ind w:firstLine="1372" w:firstLineChars="490"/>
        <w:rPr>
          <w:rFonts w:ascii="Arial" w:hAnsi="Arial" w:eastAsia="宋体" w:cs="Arial"/>
          <w:sz w:val="28"/>
          <w:szCs w:val="28"/>
        </w:rPr>
      </w:pPr>
      <w:r>
        <w:rPr>
          <w:rFonts w:ascii="Arial" w:hAnsi="Arial" w:eastAsia="宋体" w:cs="Arial"/>
          <w:sz w:val="28"/>
          <w:szCs w:val="28"/>
        </w:rPr>
        <w:t>A类：试验性</w:t>
      </w:r>
    </w:p>
    <w:p w14:paraId="1D3C9BA7">
      <w:pPr>
        <w:tabs>
          <w:tab w:val="left" w:pos="1834"/>
          <w:tab w:val="left" w:pos="2380"/>
        </w:tabs>
        <w:snapToGrid w:val="0"/>
        <w:spacing w:after="234" w:afterLines="75" w:line="300" w:lineRule="auto"/>
        <w:ind w:left="1806" w:hanging="1806" w:hangingChars="645"/>
        <w:rPr>
          <w:rFonts w:ascii="Arial" w:hAnsi="Arial" w:eastAsia="宋体" w:cs="Arial"/>
          <w:sz w:val="28"/>
          <w:szCs w:val="28"/>
        </w:rPr>
      </w:pPr>
      <w:r>
        <w:rPr>
          <w:rFonts w:hint="eastAsia" w:ascii="Arial" w:hAnsi="Arial" w:eastAsia="宋体" w:cs="Arial"/>
          <w:sz w:val="28"/>
          <w:szCs w:val="28"/>
        </w:rPr>
        <w:t>_________</w:t>
      </w:r>
      <w:r>
        <w:rPr>
          <w:rFonts w:ascii="Arial" w:hAnsi="Arial" w:eastAsia="宋体" w:cs="Arial"/>
          <w:sz w:val="28"/>
          <w:szCs w:val="28"/>
        </w:rPr>
        <w:t>1）</w:t>
      </w:r>
      <w:r>
        <w:rPr>
          <w:rFonts w:hint="eastAsia" w:ascii="Arial" w:hAnsi="Arial" w:eastAsia="宋体" w:cs="Arial"/>
          <w:sz w:val="28"/>
          <w:szCs w:val="28"/>
        </w:rPr>
        <w:tab/>
      </w:r>
      <w:r>
        <w:rPr>
          <w:rFonts w:ascii="Arial" w:hAnsi="Arial" w:eastAsia="宋体" w:cs="Arial"/>
          <w:sz w:val="28"/>
          <w:szCs w:val="28"/>
        </w:rPr>
        <w:t>III类器械，且其所有的适应症均未经上市前审批（PMA）流程审批通过。（修正案前的III类器械，请参考B类标准）；或</w:t>
      </w:r>
    </w:p>
    <w:p w14:paraId="392C2338">
      <w:pPr>
        <w:tabs>
          <w:tab w:val="left" w:pos="1834"/>
          <w:tab w:val="left" w:pos="2380"/>
        </w:tabs>
        <w:snapToGrid w:val="0"/>
        <w:spacing w:after="234" w:afterLines="75" w:line="300" w:lineRule="auto"/>
        <w:ind w:left="1806" w:hanging="1806" w:hangingChars="645"/>
        <w:rPr>
          <w:rFonts w:ascii="Arial" w:hAnsi="Arial" w:eastAsia="宋体" w:cs="Arial"/>
          <w:sz w:val="28"/>
          <w:szCs w:val="28"/>
        </w:rPr>
      </w:pPr>
      <w:r>
        <w:rPr>
          <w:rFonts w:hint="eastAsia" w:ascii="Arial" w:hAnsi="Arial" w:eastAsia="宋体" w:cs="Arial"/>
          <w:sz w:val="28"/>
          <w:szCs w:val="28"/>
        </w:rPr>
        <w:t>_________</w:t>
      </w:r>
      <w:r>
        <w:rPr>
          <w:rFonts w:ascii="Arial" w:hAnsi="Arial" w:eastAsia="宋体" w:cs="Arial"/>
          <w:sz w:val="28"/>
          <w:szCs w:val="28"/>
        </w:rPr>
        <w:t>2）</w:t>
      </w:r>
      <w:r>
        <w:rPr>
          <w:rFonts w:hint="eastAsia" w:ascii="Arial" w:hAnsi="Arial" w:eastAsia="宋体" w:cs="Arial"/>
          <w:sz w:val="28"/>
          <w:szCs w:val="28"/>
        </w:rPr>
        <w:tab/>
      </w:r>
      <w:r>
        <w:rPr>
          <w:rFonts w:ascii="Arial" w:hAnsi="Arial" w:eastAsia="宋体" w:cs="Arial"/>
          <w:sz w:val="28"/>
          <w:szCs w:val="28"/>
        </w:rPr>
        <w:t>本应属于B类器械，但进行了重大修改，添加新的适应症的III类器械。</w:t>
      </w:r>
    </w:p>
    <w:p w14:paraId="6D4FF51B">
      <w:pPr>
        <w:snapToGrid w:val="0"/>
        <w:spacing w:after="234" w:afterLines="75" w:line="300" w:lineRule="auto"/>
        <w:rPr>
          <w:rFonts w:ascii="Arial" w:hAnsi="Arial" w:eastAsia="宋体" w:cs="Arial"/>
          <w:sz w:val="28"/>
          <w:szCs w:val="28"/>
        </w:rPr>
      </w:pPr>
      <w:r>
        <w:rPr>
          <w:rFonts w:ascii="Arial" w:hAnsi="Arial" w:eastAsia="宋体" w:cs="Arial"/>
          <w:sz w:val="28"/>
          <w:szCs w:val="28"/>
        </w:rPr>
        <w:t>B类：非试验性/研究性</w:t>
      </w:r>
    </w:p>
    <w:p w14:paraId="2F7AFDE0">
      <w:pPr>
        <w:tabs>
          <w:tab w:val="left" w:pos="1834"/>
          <w:tab w:val="left" w:pos="2380"/>
        </w:tabs>
        <w:snapToGrid w:val="0"/>
        <w:spacing w:after="234" w:afterLines="75" w:line="300" w:lineRule="auto"/>
        <w:ind w:left="1806" w:hanging="1806" w:hangingChars="645"/>
        <w:rPr>
          <w:rFonts w:ascii="Arial" w:hAnsi="Arial" w:eastAsia="宋体" w:cs="Arial"/>
          <w:sz w:val="28"/>
          <w:szCs w:val="28"/>
        </w:rPr>
      </w:pPr>
      <w:r>
        <w:rPr>
          <w:rFonts w:hint="eastAsia" w:ascii="Arial" w:hAnsi="Arial" w:eastAsia="宋体" w:cs="Arial"/>
          <w:sz w:val="28"/>
          <w:szCs w:val="28"/>
        </w:rPr>
        <w:t>_________</w:t>
      </w:r>
      <w:r>
        <w:rPr>
          <w:rFonts w:ascii="Arial" w:hAnsi="Arial" w:eastAsia="宋体" w:cs="Arial"/>
          <w:sz w:val="28"/>
          <w:szCs w:val="28"/>
        </w:rPr>
        <w:t>1）</w:t>
      </w:r>
      <w:r>
        <w:rPr>
          <w:rFonts w:hint="eastAsia" w:ascii="Arial" w:hAnsi="Arial" w:eastAsia="宋体" w:cs="Arial"/>
          <w:sz w:val="28"/>
          <w:szCs w:val="28"/>
        </w:rPr>
        <w:tab/>
      </w:r>
      <w:r>
        <w:rPr>
          <w:rFonts w:ascii="Arial" w:hAnsi="Arial" w:eastAsia="宋体" w:cs="Arial"/>
          <w:sz w:val="28"/>
          <w:szCs w:val="28"/>
        </w:rPr>
        <w:t>用于研究以建立与已有器械的实质等同性的器械，而无论其分类，例如用于建立与先前/目前合法上市的器械实质等同性的器械；或</w:t>
      </w:r>
    </w:p>
    <w:p w14:paraId="1C6A57F7">
      <w:pPr>
        <w:tabs>
          <w:tab w:val="left" w:pos="1834"/>
          <w:tab w:val="left" w:pos="2380"/>
        </w:tabs>
        <w:snapToGrid w:val="0"/>
        <w:spacing w:after="234" w:afterLines="75" w:line="300" w:lineRule="auto"/>
        <w:ind w:left="1806" w:hanging="1806" w:hangingChars="645"/>
        <w:rPr>
          <w:rFonts w:ascii="Arial" w:hAnsi="Arial" w:eastAsia="宋体" w:cs="Arial"/>
          <w:sz w:val="28"/>
          <w:szCs w:val="28"/>
        </w:rPr>
      </w:pPr>
      <w:r>
        <w:rPr>
          <w:rFonts w:hint="eastAsia" w:ascii="Arial" w:hAnsi="Arial" w:eastAsia="宋体" w:cs="Arial"/>
          <w:sz w:val="28"/>
          <w:szCs w:val="28"/>
        </w:rPr>
        <w:t>_________</w:t>
      </w:r>
      <w:r>
        <w:rPr>
          <w:rFonts w:ascii="Arial" w:hAnsi="Arial" w:eastAsia="宋体" w:cs="Arial"/>
          <w:sz w:val="28"/>
          <w:szCs w:val="28"/>
        </w:rPr>
        <w:t>2）</w:t>
      </w:r>
      <w:r>
        <w:rPr>
          <w:rFonts w:hint="eastAsia" w:ascii="Arial" w:hAnsi="Arial" w:eastAsia="宋体" w:cs="Arial"/>
          <w:sz w:val="28"/>
          <w:szCs w:val="28"/>
        </w:rPr>
        <w:tab/>
      </w:r>
      <w:r>
        <w:rPr>
          <w:rFonts w:ascii="Arial" w:hAnsi="Arial" w:eastAsia="宋体" w:cs="Arial"/>
          <w:sz w:val="28"/>
          <w:szCs w:val="28"/>
        </w:rPr>
        <w:t>技术性能和适应症与PMA批准器械等价的III类器械；或</w:t>
      </w:r>
    </w:p>
    <w:p w14:paraId="36BD4D30">
      <w:pPr>
        <w:tabs>
          <w:tab w:val="left" w:pos="1834"/>
          <w:tab w:val="left" w:pos="2380"/>
        </w:tabs>
        <w:snapToGrid w:val="0"/>
        <w:spacing w:after="234" w:afterLines="75" w:line="300" w:lineRule="auto"/>
        <w:ind w:left="1806" w:hanging="1806" w:hangingChars="645"/>
        <w:rPr>
          <w:rFonts w:ascii="Arial" w:hAnsi="Arial" w:eastAsia="宋体" w:cs="Arial"/>
          <w:sz w:val="28"/>
          <w:szCs w:val="28"/>
        </w:rPr>
      </w:pPr>
      <w:r>
        <w:rPr>
          <w:rFonts w:hint="eastAsia" w:ascii="Arial" w:hAnsi="Arial" w:eastAsia="宋体" w:cs="Arial"/>
          <w:sz w:val="28"/>
          <w:szCs w:val="28"/>
        </w:rPr>
        <w:t>_________</w:t>
      </w:r>
      <w:r>
        <w:rPr>
          <w:rFonts w:ascii="Arial" w:hAnsi="Arial" w:eastAsia="宋体" w:cs="Arial"/>
          <w:sz w:val="28"/>
          <w:szCs w:val="28"/>
        </w:rPr>
        <w:t>3）</w:t>
      </w:r>
      <w:r>
        <w:rPr>
          <w:rFonts w:hint="eastAsia" w:ascii="Arial" w:hAnsi="Arial" w:eastAsia="宋体" w:cs="Arial"/>
          <w:sz w:val="28"/>
          <w:szCs w:val="28"/>
        </w:rPr>
        <w:tab/>
      </w:r>
      <w:r>
        <w:rPr>
          <w:rFonts w:ascii="Arial" w:hAnsi="Arial" w:eastAsia="宋体" w:cs="Arial"/>
          <w:sz w:val="28"/>
          <w:szCs w:val="28"/>
        </w:rPr>
        <w:t>与PMA批准的器械相比具有技术性进步的III类器械，例如与已经经过上市前批准的器械相比在技术方面存在进步的器械（代际变更）；或</w:t>
      </w:r>
    </w:p>
    <w:p w14:paraId="1746F598">
      <w:pPr>
        <w:tabs>
          <w:tab w:val="left" w:pos="1834"/>
          <w:tab w:val="left" w:pos="2380"/>
        </w:tabs>
        <w:snapToGrid w:val="0"/>
        <w:spacing w:after="234" w:afterLines="75" w:line="300" w:lineRule="auto"/>
        <w:ind w:left="1806" w:hanging="1806" w:hangingChars="645"/>
        <w:rPr>
          <w:rFonts w:ascii="Arial" w:hAnsi="Arial" w:eastAsia="宋体" w:cs="Arial"/>
          <w:sz w:val="28"/>
          <w:szCs w:val="28"/>
        </w:rPr>
      </w:pPr>
      <w:r>
        <w:rPr>
          <w:rFonts w:hint="eastAsia" w:ascii="Arial" w:hAnsi="Arial" w:eastAsia="宋体" w:cs="Arial"/>
          <w:sz w:val="28"/>
          <w:szCs w:val="28"/>
        </w:rPr>
        <w:t>_________</w:t>
      </w:r>
      <w:r>
        <w:rPr>
          <w:rFonts w:ascii="Arial" w:hAnsi="Arial" w:eastAsia="宋体" w:cs="Arial"/>
          <w:sz w:val="28"/>
          <w:szCs w:val="28"/>
        </w:rPr>
        <w:t>4）</w:t>
      </w:r>
      <w:r>
        <w:rPr>
          <w:rFonts w:hint="eastAsia" w:ascii="Arial" w:hAnsi="Arial" w:eastAsia="宋体" w:cs="Arial"/>
          <w:sz w:val="28"/>
          <w:szCs w:val="28"/>
        </w:rPr>
        <w:tab/>
      </w:r>
      <w:r>
        <w:rPr>
          <w:rFonts w:ascii="Arial" w:hAnsi="Arial" w:eastAsia="宋体" w:cs="Arial"/>
          <w:sz w:val="28"/>
          <w:szCs w:val="28"/>
        </w:rPr>
        <w:t>与PMA批准的器械等价，但用于新适应症研究的III类器械。为了研究新的适应症，不要求该器械具有重大的改变；或</w:t>
      </w:r>
    </w:p>
    <w:p w14:paraId="184882D1">
      <w:pPr>
        <w:tabs>
          <w:tab w:val="left" w:pos="1834"/>
          <w:tab w:val="left" w:pos="2380"/>
        </w:tabs>
        <w:snapToGrid w:val="0"/>
        <w:spacing w:after="234" w:afterLines="75" w:line="300" w:lineRule="auto"/>
        <w:ind w:left="1806" w:hanging="1806" w:hangingChars="645"/>
        <w:rPr>
          <w:rFonts w:ascii="Arial" w:hAnsi="Arial" w:eastAsia="宋体" w:cs="Arial"/>
          <w:sz w:val="28"/>
          <w:szCs w:val="28"/>
        </w:rPr>
      </w:pPr>
      <w:r>
        <w:rPr>
          <w:rFonts w:hint="eastAsia" w:ascii="Arial" w:hAnsi="Arial" w:eastAsia="宋体" w:cs="Arial"/>
          <w:sz w:val="28"/>
          <w:szCs w:val="28"/>
        </w:rPr>
        <w:t>_________</w:t>
      </w:r>
      <w:r>
        <w:rPr>
          <w:rFonts w:ascii="Arial" w:hAnsi="Arial" w:eastAsia="宋体" w:cs="Arial"/>
          <w:sz w:val="28"/>
          <w:szCs w:val="28"/>
        </w:rPr>
        <w:t>5）</w:t>
      </w:r>
      <w:r>
        <w:rPr>
          <w:rFonts w:hint="eastAsia" w:ascii="Arial" w:hAnsi="Arial" w:eastAsia="宋体" w:cs="Arial"/>
          <w:sz w:val="28"/>
          <w:szCs w:val="28"/>
        </w:rPr>
        <w:tab/>
      </w:r>
      <w:r>
        <w:rPr>
          <w:rFonts w:ascii="Arial" w:hAnsi="Arial" w:eastAsia="宋体" w:cs="Arial"/>
          <w:sz w:val="28"/>
          <w:szCs w:val="28"/>
        </w:rPr>
        <w:t>修订前的III类器械，在FDA要求进行上市前审批后才成为IDE申报器械，如未提交PMA或PMA未通过；或</w:t>
      </w:r>
    </w:p>
    <w:p w14:paraId="7EAED993">
      <w:pPr>
        <w:widowControl/>
        <w:jc w:val="left"/>
        <w:rPr>
          <w:rFonts w:ascii="Arial" w:hAnsi="Arial" w:eastAsia="宋体" w:cs="Arial"/>
          <w:sz w:val="28"/>
          <w:szCs w:val="28"/>
        </w:rPr>
      </w:pPr>
      <w:r>
        <w:rPr>
          <w:rFonts w:ascii="Arial" w:hAnsi="Arial" w:eastAsia="宋体" w:cs="Arial"/>
          <w:sz w:val="28"/>
          <w:szCs w:val="28"/>
        </w:rPr>
        <w:br w:type="page"/>
      </w:r>
    </w:p>
    <w:p w14:paraId="11E209FA">
      <w:pPr>
        <w:tabs>
          <w:tab w:val="left" w:pos="1834"/>
          <w:tab w:val="left" w:pos="2380"/>
        </w:tabs>
        <w:snapToGrid w:val="0"/>
        <w:spacing w:after="234" w:afterLines="75" w:line="300" w:lineRule="auto"/>
        <w:ind w:left="2139" w:hanging="2139" w:hangingChars="764"/>
        <w:rPr>
          <w:rFonts w:ascii="Arial" w:hAnsi="Arial" w:eastAsia="宋体" w:cs="Arial"/>
          <w:sz w:val="28"/>
          <w:szCs w:val="28"/>
        </w:rPr>
      </w:pPr>
      <w:r>
        <w:rPr>
          <w:rFonts w:hint="eastAsia" w:ascii="Arial" w:hAnsi="Arial" w:eastAsia="宋体" w:cs="Arial"/>
          <w:sz w:val="28"/>
          <w:szCs w:val="28"/>
        </w:rPr>
        <w:t>_________</w:t>
      </w:r>
      <w:r>
        <w:rPr>
          <w:rFonts w:ascii="Arial" w:hAnsi="Arial" w:eastAsia="宋体" w:cs="Arial"/>
          <w:sz w:val="28"/>
          <w:szCs w:val="28"/>
        </w:rPr>
        <w:t>6）</w:t>
      </w:r>
      <w:r>
        <w:rPr>
          <w:rFonts w:hint="eastAsia" w:ascii="Arial" w:hAnsi="Arial" w:eastAsia="宋体" w:cs="Arial"/>
          <w:sz w:val="28"/>
          <w:szCs w:val="28"/>
        </w:rPr>
        <w:tab/>
      </w:r>
      <w:r>
        <w:rPr>
          <w:rFonts w:ascii="Arial" w:hAnsi="Arial" w:eastAsia="宋体" w:cs="Arial"/>
          <w:sz w:val="28"/>
          <w:szCs w:val="28"/>
        </w:rPr>
        <w:t>FDA要求提交IDE的非重大风险器械研究。</w:t>
      </w:r>
    </w:p>
    <w:p w14:paraId="14DDDB8F">
      <w:pPr>
        <w:snapToGrid w:val="0"/>
        <w:spacing w:after="234" w:afterLines="75" w:line="300" w:lineRule="auto"/>
        <w:rPr>
          <w:rFonts w:ascii="Arial" w:hAnsi="Arial" w:eastAsia="宋体" w:cs="Arial"/>
          <w:sz w:val="28"/>
          <w:szCs w:val="28"/>
        </w:rPr>
      </w:pPr>
    </w:p>
    <w:p w14:paraId="1E3CB9DE">
      <w:pPr>
        <w:snapToGrid w:val="0"/>
        <w:spacing w:after="234" w:afterLines="75" w:line="300" w:lineRule="auto"/>
        <w:rPr>
          <w:rFonts w:ascii="Arial" w:hAnsi="Arial" w:eastAsia="宋体" w:cs="Arial"/>
          <w:sz w:val="28"/>
          <w:szCs w:val="28"/>
        </w:rPr>
      </w:pPr>
    </w:p>
    <w:p w14:paraId="1AB346FA">
      <w:pPr>
        <w:snapToGrid w:val="0"/>
        <w:spacing w:after="234" w:afterLines="75" w:line="300" w:lineRule="auto"/>
        <w:rPr>
          <w:rFonts w:ascii="Arial" w:hAnsi="Arial" w:eastAsia="宋体" w:cs="Arial"/>
          <w:sz w:val="28"/>
          <w:szCs w:val="28"/>
        </w:rPr>
      </w:pPr>
    </w:p>
    <w:p w14:paraId="31A13AE1">
      <w:pPr>
        <w:pBdr>
          <w:top w:val="single" w:color="000000" w:themeColor="text1" w:sz="4" w:space="1"/>
        </w:pBdr>
        <w:tabs>
          <w:tab w:val="left" w:pos="3010"/>
        </w:tabs>
        <w:snapToGrid w:val="0"/>
        <w:spacing w:after="234" w:afterLines="75" w:line="300" w:lineRule="auto"/>
        <w:ind w:right="4502" w:rightChars="2144"/>
        <w:rPr>
          <w:rFonts w:ascii="Arial" w:hAnsi="Arial" w:eastAsia="宋体" w:cs="Arial"/>
          <w:sz w:val="28"/>
          <w:szCs w:val="28"/>
        </w:rPr>
      </w:pPr>
      <w:r>
        <w:rPr>
          <w:rFonts w:ascii="Arial" w:hAnsi="Arial" w:eastAsia="宋体" w:cs="Arial"/>
          <w:sz w:val="28"/>
          <w:szCs w:val="28"/>
        </w:rPr>
        <w:t>部门主管</w:t>
      </w:r>
      <w:r>
        <w:rPr>
          <w:rFonts w:hint="eastAsia" w:ascii="Arial" w:hAnsi="Arial" w:eastAsia="宋体" w:cs="Arial"/>
          <w:sz w:val="28"/>
          <w:szCs w:val="28"/>
        </w:rPr>
        <w:tab/>
      </w:r>
      <w:r>
        <w:rPr>
          <w:rFonts w:ascii="Arial" w:hAnsi="Arial" w:eastAsia="宋体" w:cs="Arial"/>
          <w:sz w:val="28"/>
          <w:szCs w:val="28"/>
        </w:rPr>
        <w:t>（日期）</w:t>
      </w:r>
    </w:p>
    <w:p w14:paraId="26A42325">
      <w:pPr>
        <w:snapToGrid w:val="0"/>
        <w:spacing w:after="234" w:afterLines="75" w:line="300" w:lineRule="auto"/>
        <w:rPr>
          <w:rFonts w:ascii="Arial" w:hAnsi="Arial" w:eastAsia="宋体" w:cs="Arial"/>
          <w:sz w:val="28"/>
          <w:szCs w:val="28"/>
        </w:rPr>
      </w:pPr>
    </w:p>
    <w:p w14:paraId="7C875A99">
      <w:pPr>
        <w:snapToGrid w:val="0"/>
        <w:spacing w:after="234" w:afterLines="75" w:line="300" w:lineRule="auto"/>
        <w:rPr>
          <w:rFonts w:ascii="Arial" w:hAnsi="Arial" w:eastAsia="宋体" w:cs="Arial"/>
          <w:sz w:val="28"/>
          <w:szCs w:val="28"/>
        </w:rPr>
      </w:pPr>
      <w:r>
        <w:rPr>
          <w:rFonts w:ascii="Arial" w:hAnsi="Arial" w:eastAsia="宋体" w:cs="Arial"/>
          <w:sz w:val="28"/>
          <w:szCs w:val="28"/>
        </w:rPr>
        <w:t>仅限A类决定：</w:t>
      </w:r>
    </w:p>
    <w:p w14:paraId="01E4FC84">
      <w:pPr>
        <w:snapToGrid w:val="0"/>
        <w:spacing w:after="234" w:afterLines="75" w:line="300" w:lineRule="auto"/>
        <w:rPr>
          <w:rFonts w:ascii="Arial" w:hAnsi="Arial" w:eastAsia="宋体" w:cs="Arial"/>
          <w:sz w:val="28"/>
          <w:szCs w:val="28"/>
        </w:rPr>
      </w:pPr>
    </w:p>
    <w:p w14:paraId="02619634">
      <w:pPr>
        <w:pBdr>
          <w:top w:val="single" w:color="000000" w:themeColor="text1" w:sz="4" w:space="1"/>
        </w:pBdr>
        <w:tabs>
          <w:tab w:val="left" w:pos="3010"/>
        </w:tabs>
        <w:snapToGrid w:val="0"/>
        <w:spacing w:after="234" w:afterLines="75" w:line="300" w:lineRule="auto"/>
        <w:ind w:right="4502" w:rightChars="2144"/>
        <w:rPr>
          <w:rFonts w:ascii="Arial" w:hAnsi="Arial" w:eastAsia="宋体" w:cs="Arial"/>
          <w:sz w:val="28"/>
          <w:szCs w:val="28"/>
        </w:rPr>
      </w:pPr>
      <w:r>
        <w:rPr>
          <w:rFonts w:ascii="Arial" w:hAnsi="Arial" w:eastAsia="宋体" w:cs="Arial"/>
          <w:sz w:val="28"/>
          <w:szCs w:val="28"/>
        </w:rPr>
        <w:t>IDE工作人员同意</w:t>
      </w:r>
      <w:r>
        <w:rPr>
          <w:rFonts w:hint="eastAsia" w:ascii="Arial" w:hAnsi="Arial" w:eastAsia="宋体" w:cs="Arial"/>
          <w:sz w:val="28"/>
          <w:szCs w:val="28"/>
        </w:rPr>
        <w:tab/>
      </w:r>
      <w:r>
        <w:rPr>
          <w:rFonts w:ascii="Arial" w:hAnsi="Arial" w:eastAsia="宋体" w:cs="Arial"/>
          <w:sz w:val="28"/>
          <w:szCs w:val="28"/>
        </w:rPr>
        <w:t>（日期）</w:t>
      </w:r>
    </w:p>
    <w:p w14:paraId="60651F3D">
      <w:pPr>
        <w:widowControl/>
        <w:jc w:val="left"/>
        <w:rPr>
          <w:rFonts w:ascii="Arial" w:hAnsi="Arial" w:eastAsia="宋体" w:cs="Arial"/>
          <w:sz w:val="28"/>
          <w:szCs w:val="28"/>
        </w:rPr>
      </w:pPr>
      <w:r>
        <w:rPr>
          <w:rFonts w:ascii="Arial" w:hAnsi="Arial" w:eastAsia="宋体" w:cs="Arial"/>
          <w:sz w:val="28"/>
          <w:szCs w:val="28"/>
        </w:rPr>
        <w:br w:type="page"/>
      </w:r>
    </w:p>
    <w:p w14:paraId="1791D1E7">
      <w:pPr>
        <w:pStyle w:val="15"/>
        <w:shd w:val="clear" w:color="auto" w:fill="auto"/>
        <w:snapToGrid w:val="0"/>
        <w:spacing w:after="0" w:line="300" w:lineRule="auto"/>
        <w:jc w:val="left"/>
        <w:rPr>
          <w:rFonts w:ascii="Arial" w:hAnsi="Arial" w:eastAsia="宋体" w:cs="Arial"/>
          <w:spacing w:val="0"/>
          <w:sz w:val="28"/>
          <w:szCs w:val="28"/>
        </w:rPr>
      </w:pPr>
      <w:r>
        <w:rPr>
          <w:rFonts w:hint="eastAsia" w:ascii="Arial" w:hAnsi="Arial" w:eastAsia="宋体" w:cs="Arial"/>
          <w:spacing w:val="0"/>
          <w:sz w:val="28"/>
          <w:szCs w:val="28"/>
        </w:rPr>
        <w:t>以下为</w:t>
      </w:r>
      <w:r>
        <w:rPr>
          <w:rFonts w:ascii="Arial" w:hAnsi="Arial" w:eastAsia="宋体" w:cs="Arial"/>
          <w:spacing w:val="0"/>
          <w:sz w:val="28"/>
          <w:szCs w:val="28"/>
        </w:rPr>
        <w:t>FDA-</w:t>
      </w:r>
      <w:r>
        <w:rPr>
          <w:rFonts w:hint="eastAsia" w:ascii="Arial" w:hAnsi="Arial" w:eastAsia="宋体" w:cs="Arial"/>
          <w:spacing w:val="0"/>
          <w:sz w:val="28"/>
          <w:szCs w:val="28"/>
        </w:rPr>
        <w:t>获批的</w:t>
      </w:r>
      <w:r>
        <w:rPr>
          <w:rFonts w:ascii="Arial" w:hAnsi="Arial" w:eastAsia="宋体" w:cs="Arial"/>
          <w:spacing w:val="0"/>
          <w:sz w:val="28"/>
          <w:szCs w:val="28"/>
        </w:rPr>
        <w:t xml:space="preserve">HCFA </w:t>
      </w:r>
      <w:r>
        <w:rPr>
          <w:rFonts w:hint="eastAsia" w:ascii="Arial" w:hAnsi="Arial" w:eastAsia="宋体" w:cs="Arial"/>
          <w:spacing w:val="0"/>
          <w:sz w:val="28"/>
          <w:szCs w:val="28"/>
        </w:rPr>
        <w:t>补偿分类确定清单：</w:t>
      </w:r>
    </w:p>
    <w:p w14:paraId="27E7CA18">
      <w:pPr>
        <w:pStyle w:val="15"/>
        <w:shd w:val="clear" w:color="auto" w:fill="auto"/>
        <w:snapToGrid w:val="0"/>
        <w:spacing w:after="0" w:line="300" w:lineRule="auto"/>
        <w:jc w:val="left"/>
        <w:rPr>
          <w:rFonts w:ascii="Arial" w:hAnsi="Arial" w:cs="Arial" w:eastAsiaTheme="minorEastAsia"/>
          <w:spacing w:val="0"/>
          <w:sz w:val="24"/>
          <w:szCs w:val="24"/>
        </w:rPr>
      </w:pPr>
    </w:p>
    <w:p w14:paraId="6E064009">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G780049 B 2 </w:t>
      </w:r>
    </w:p>
    <w:p w14:paraId="50C7B343">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G780054 B 2 </w:t>
      </w:r>
    </w:p>
    <w:p w14:paraId="4262B302">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G790001 B 2 </w:t>
      </w:r>
    </w:p>
    <w:p w14:paraId="6ED69277">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G790011 B 6 </w:t>
      </w:r>
    </w:p>
    <w:p w14:paraId="6332251C">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G790012 B 2 </w:t>
      </w:r>
    </w:p>
    <w:p w14:paraId="7D153278">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G790016 B 1 </w:t>
      </w:r>
    </w:p>
    <w:p w14:paraId="3A171F71">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G790018 B 2 </w:t>
      </w:r>
    </w:p>
    <w:p w14:paraId="313F0A0B">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G790022 B 2 </w:t>
      </w:r>
    </w:p>
    <w:p w14:paraId="3E37E26D">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G790023 B 2 </w:t>
      </w:r>
    </w:p>
    <w:p w14:paraId="04CDAF75">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G790030 B 2 </w:t>
      </w:r>
    </w:p>
    <w:p w14:paraId="2156BF3B">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G790033 B 1 </w:t>
      </w:r>
    </w:p>
    <w:p w14:paraId="61C84556">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G800001 B 2 </w:t>
      </w:r>
    </w:p>
    <w:p w14:paraId="626D2460">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G800002 B 2 </w:t>
      </w:r>
    </w:p>
    <w:p w14:paraId="398A4800">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G800004 B 2 </w:t>
      </w:r>
    </w:p>
    <w:p w14:paraId="558032FD">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G800007 B 1 </w:t>
      </w:r>
    </w:p>
    <w:p w14:paraId="1D4B2BD3">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G800017 B 5 </w:t>
      </w:r>
    </w:p>
    <w:p w14:paraId="257C89BC">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G800020 B 1 </w:t>
      </w:r>
    </w:p>
    <w:p w14:paraId="24CD0648">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G800022 B 2 </w:t>
      </w:r>
    </w:p>
    <w:p w14:paraId="2BA61765">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G800024 B 2 </w:t>
      </w:r>
    </w:p>
    <w:p w14:paraId="286775F8">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G800035 B 3 </w:t>
      </w:r>
    </w:p>
    <w:p w14:paraId="4BC614E3">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G800046 B 1 </w:t>
      </w:r>
    </w:p>
    <w:p w14:paraId="18B2EC9F">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G800049 B 2 </w:t>
      </w:r>
    </w:p>
    <w:p w14:paraId="754A1F40">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G800055 B 2 </w:t>
      </w:r>
    </w:p>
    <w:p w14:paraId="3C261915">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G800074 B 2 </w:t>
      </w:r>
    </w:p>
    <w:p w14:paraId="511E71A7">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G800075 B 1 </w:t>
      </w:r>
    </w:p>
    <w:p w14:paraId="123F7157">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G800077 B 2 </w:t>
      </w:r>
    </w:p>
    <w:p w14:paraId="3E2D3F61">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G800083 B 4 </w:t>
      </w:r>
    </w:p>
    <w:p w14:paraId="3EF4DC7B">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G800124 B 2 </w:t>
      </w:r>
    </w:p>
    <w:p w14:paraId="728D2DD7">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G800129 B 3 </w:t>
      </w:r>
    </w:p>
    <w:p w14:paraId="6E437CBD">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G800138 B 2 </w:t>
      </w:r>
    </w:p>
    <w:p w14:paraId="0588EE97">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G800143 B 4 </w:t>
      </w:r>
    </w:p>
    <w:p w14:paraId="36D9997A">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G810003 B 2 </w:t>
      </w:r>
    </w:p>
    <w:p w14:paraId="6ECCD923">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G810022 B 2 </w:t>
      </w:r>
    </w:p>
    <w:p w14:paraId="4740F96E">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G810028 B 2 </w:t>
      </w:r>
    </w:p>
    <w:p w14:paraId="7FBD127A">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G810065 B 2 </w:t>
      </w:r>
    </w:p>
    <w:p w14:paraId="6B5DFFAB">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G810067 B 4 </w:t>
      </w:r>
    </w:p>
    <w:p w14:paraId="21F27260">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G810068 B 2 </w:t>
      </w:r>
    </w:p>
    <w:p w14:paraId="502E364D">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G810076 B 2</w:t>
      </w:r>
    </w:p>
    <w:p w14:paraId="2E654A68">
      <w:pPr>
        <w:widowControl/>
        <w:snapToGrid w:val="0"/>
        <w:spacing w:line="300" w:lineRule="auto"/>
        <w:jc w:val="left"/>
        <w:rPr>
          <w:rFonts w:ascii="Arial" w:hAnsi="Arial" w:eastAsia="宋体" w:cs="Arial"/>
          <w:sz w:val="24"/>
          <w:szCs w:val="24"/>
        </w:rPr>
      </w:pPr>
      <w:r>
        <w:rPr>
          <w:rFonts w:ascii="Arial" w:hAnsi="Arial" w:eastAsia="宋体" w:cs="Arial"/>
          <w:sz w:val="24"/>
          <w:szCs w:val="24"/>
        </w:rPr>
        <w:br w:type="page"/>
      </w:r>
    </w:p>
    <w:p w14:paraId="2AA23BE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G810080 B 1</w:t>
      </w:r>
    </w:p>
    <w:p w14:paraId="2CE0DAF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G810081 B 1</w:t>
      </w:r>
    </w:p>
    <w:p w14:paraId="493E267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G810083 B 2</w:t>
      </w:r>
    </w:p>
    <w:p w14:paraId="7056045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G810086 B 1</w:t>
      </w:r>
    </w:p>
    <w:p w14:paraId="2EF21D8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G810089 B 2</w:t>
      </w:r>
    </w:p>
    <w:p w14:paraId="1964AC3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G810102 B 1</w:t>
      </w:r>
    </w:p>
    <w:p w14:paraId="462FE62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G810109 B 2</w:t>
      </w:r>
    </w:p>
    <w:p w14:paraId="369DC2D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G810113 B 1</w:t>
      </w:r>
    </w:p>
    <w:p w14:paraId="5D483C9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G810115 B 3</w:t>
      </w:r>
    </w:p>
    <w:p w14:paraId="37497D8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G810122 B 2</w:t>
      </w:r>
    </w:p>
    <w:p w14:paraId="19620DA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G810123 B 2</w:t>
      </w:r>
    </w:p>
    <w:p w14:paraId="61B3409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G810127 B 2</w:t>
      </w:r>
    </w:p>
    <w:p w14:paraId="34C2018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G810128 B 2</w:t>
      </w:r>
    </w:p>
    <w:p w14:paraId="11C0762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G810129 B 1</w:t>
      </w:r>
    </w:p>
    <w:p w14:paraId="1F806F5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G810134 B 1</w:t>
      </w:r>
    </w:p>
    <w:p w14:paraId="1D3B00B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G810138 B 2</w:t>
      </w:r>
    </w:p>
    <w:p w14:paraId="7B965BB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G810139 B 1</w:t>
      </w:r>
    </w:p>
    <w:p w14:paraId="52497E6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G810149 B 2</w:t>
      </w:r>
    </w:p>
    <w:p w14:paraId="688235A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G810161 B 2</w:t>
      </w:r>
    </w:p>
    <w:p w14:paraId="6651A03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G810168 B 1</w:t>
      </w:r>
    </w:p>
    <w:p w14:paraId="647C0F3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G810171 B 2</w:t>
      </w:r>
    </w:p>
    <w:p w14:paraId="06604B0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G810172 B 2</w:t>
      </w:r>
    </w:p>
    <w:p w14:paraId="372C3A0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G810173 B 2</w:t>
      </w:r>
    </w:p>
    <w:p w14:paraId="36BA94C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G810178 B 2</w:t>
      </w:r>
    </w:p>
    <w:p w14:paraId="2EEB652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G810192 B 2</w:t>
      </w:r>
    </w:p>
    <w:p w14:paraId="1794332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G810203 B 2</w:t>
      </w:r>
    </w:p>
    <w:p w14:paraId="2B7A480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G810216 B 2</w:t>
      </w:r>
    </w:p>
    <w:p w14:paraId="0D2A735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G810218 B 2</w:t>
      </w:r>
    </w:p>
    <w:p w14:paraId="3096891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G820012 B 2</w:t>
      </w:r>
    </w:p>
    <w:p w14:paraId="1A155C8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G820019 B 2</w:t>
      </w:r>
    </w:p>
    <w:p w14:paraId="408C14A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G820033 B 1</w:t>
      </w:r>
    </w:p>
    <w:p w14:paraId="5900B0B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G820036 B 2</w:t>
      </w:r>
    </w:p>
    <w:p w14:paraId="0A8948B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G820046 B 2</w:t>
      </w:r>
    </w:p>
    <w:p w14:paraId="4FB71FD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G820050 B 2</w:t>
      </w:r>
    </w:p>
    <w:p w14:paraId="3F4E78D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G820054 B 2</w:t>
      </w:r>
    </w:p>
    <w:p w14:paraId="407FA1B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 xml:space="preserve">G820057 B </w:t>
      </w:r>
      <w:r>
        <w:rPr>
          <w:rFonts w:ascii="Arial" w:hAnsi="Arial" w:cs="Arial"/>
          <w:spacing w:val="0"/>
          <w:sz w:val="24"/>
          <w:szCs w:val="24"/>
          <w:lang w:val="de"/>
        </w:rPr>
        <w:t>2</w:t>
      </w:r>
    </w:p>
    <w:p w14:paraId="7B6C6EE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 xml:space="preserve">G820061 B </w:t>
      </w:r>
      <w:r>
        <w:rPr>
          <w:rFonts w:ascii="Arial" w:hAnsi="Arial" w:cs="Arial"/>
          <w:spacing w:val="0"/>
          <w:sz w:val="24"/>
          <w:szCs w:val="24"/>
          <w:lang w:val="de"/>
        </w:rPr>
        <w:t>3</w:t>
      </w:r>
    </w:p>
    <w:p w14:paraId="09E78A4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 xml:space="preserve">G820073 B </w:t>
      </w:r>
      <w:r>
        <w:rPr>
          <w:rFonts w:ascii="Arial" w:hAnsi="Arial" w:cs="Arial"/>
          <w:spacing w:val="0"/>
          <w:sz w:val="24"/>
          <w:szCs w:val="24"/>
          <w:lang w:val="de"/>
        </w:rPr>
        <w:t>1</w:t>
      </w:r>
    </w:p>
    <w:p w14:paraId="12B1ABE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 xml:space="preserve">G820076 B </w:t>
      </w:r>
      <w:r>
        <w:rPr>
          <w:rFonts w:ascii="Arial" w:hAnsi="Arial" w:cs="Arial"/>
          <w:spacing w:val="0"/>
          <w:sz w:val="24"/>
          <w:szCs w:val="24"/>
          <w:lang w:val="de"/>
        </w:rPr>
        <w:t>2</w:t>
      </w:r>
    </w:p>
    <w:p w14:paraId="451B8C8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 xml:space="preserve">G820080 B </w:t>
      </w:r>
      <w:r>
        <w:rPr>
          <w:rFonts w:ascii="Arial" w:hAnsi="Arial" w:cs="Arial"/>
          <w:spacing w:val="0"/>
          <w:sz w:val="24"/>
          <w:szCs w:val="24"/>
          <w:lang w:val="de"/>
        </w:rPr>
        <w:t>1</w:t>
      </w:r>
    </w:p>
    <w:p w14:paraId="4CEB4DA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 xml:space="preserve">G820082 B </w:t>
      </w:r>
      <w:r>
        <w:rPr>
          <w:rFonts w:ascii="Arial" w:hAnsi="Arial" w:cs="Arial"/>
          <w:spacing w:val="0"/>
          <w:sz w:val="24"/>
          <w:szCs w:val="24"/>
          <w:lang w:val="de"/>
        </w:rPr>
        <w:t>2</w:t>
      </w:r>
    </w:p>
    <w:p w14:paraId="78BA3B41">
      <w:r>
        <w:br w:type="page"/>
      </w:r>
    </w:p>
    <w:p w14:paraId="2505980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G820094 B 4</w:t>
      </w:r>
    </w:p>
    <w:p w14:paraId="62A6311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G820096 B 2</w:t>
      </w:r>
    </w:p>
    <w:p w14:paraId="1CB5970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G820098 B 2</w:t>
      </w:r>
    </w:p>
    <w:p w14:paraId="7D6EF59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G820115 B 2</w:t>
      </w:r>
    </w:p>
    <w:p w14:paraId="24CFFE0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G820138 B 2</w:t>
      </w:r>
    </w:p>
    <w:p w14:paraId="5A51A63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G820149 B 2</w:t>
      </w:r>
    </w:p>
    <w:p w14:paraId="09626AF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G820157 B 2</w:t>
      </w:r>
    </w:p>
    <w:p w14:paraId="1FAF520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G820165 B 2</w:t>
      </w:r>
    </w:p>
    <w:p w14:paraId="23EB133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G820903 B 1</w:t>
      </w:r>
    </w:p>
    <w:p w14:paraId="0C4CE6B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G820904 B 1</w:t>
      </w:r>
    </w:p>
    <w:p w14:paraId="7D3AF99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G830017 B 4</w:t>
      </w:r>
    </w:p>
    <w:p w14:paraId="5A8678F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G830027 B 2</w:t>
      </w:r>
    </w:p>
    <w:p w14:paraId="73DB647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G830044 B 2</w:t>
      </w:r>
    </w:p>
    <w:p w14:paraId="42AAD13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G830048 B 2</w:t>
      </w:r>
    </w:p>
    <w:p w14:paraId="2E28577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G830073 B 4</w:t>
      </w:r>
    </w:p>
    <w:p w14:paraId="5CAF293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G830092 B 4</w:t>
      </w:r>
    </w:p>
    <w:p w14:paraId="46CD38C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G830120 B 2</w:t>
      </w:r>
    </w:p>
    <w:p w14:paraId="4A076E8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G830127 B 2</w:t>
      </w:r>
    </w:p>
    <w:p w14:paraId="1A27004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G830134 B 1</w:t>
      </w:r>
    </w:p>
    <w:p w14:paraId="6542DDE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G830145 B 2</w:t>
      </w:r>
    </w:p>
    <w:p w14:paraId="51483B5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G830153 B 1</w:t>
      </w:r>
    </w:p>
    <w:p w14:paraId="5B19509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G830154 B 4</w:t>
      </w:r>
    </w:p>
    <w:p w14:paraId="7534D45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G830167 B 2</w:t>
      </w:r>
    </w:p>
    <w:p w14:paraId="06C21B1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G830174 B 2</w:t>
      </w:r>
    </w:p>
    <w:p w14:paraId="5F9712C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G830187 B 2</w:t>
      </w:r>
    </w:p>
    <w:p w14:paraId="41B7738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G830901 B 1</w:t>
      </w:r>
    </w:p>
    <w:p w14:paraId="35D877E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G830903 B 1</w:t>
      </w:r>
    </w:p>
    <w:p w14:paraId="4C7BF18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G830907 B 2</w:t>
      </w:r>
    </w:p>
    <w:p w14:paraId="49ED3BA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G840008 B 1</w:t>
      </w:r>
    </w:p>
    <w:p w14:paraId="2D175D2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G840018 B 1</w:t>
      </w:r>
    </w:p>
    <w:p w14:paraId="745E4E7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G840028 B 3</w:t>
      </w:r>
    </w:p>
    <w:p w14:paraId="60F4A07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G840032 B 1</w:t>
      </w:r>
    </w:p>
    <w:p w14:paraId="23BBE2E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G840036 B 2</w:t>
      </w:r>
    </w:p>
    <w:p w14:paraId="79FC4ED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G840069 B 1</w:t>
      </w:r>
    </w:p>
    <w:p w14:paraId="5F69A4A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G840080 B 2</w:t>
      </w:r>
    </w:p>
    <w:p w14:paraId="72DDD7E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G840098 B 2</w:t>
      </w:r>
    </w:p>
    <w:p w14:paraId="43B0BF3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G840099 B 1</w:t>
      </w:r>
    </w:p>
    <w:p w14:paraId="6EA3817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G840129 B 1</w:t>
      </w:r>
    </w:p>
    <w:p w14:paraId="11AA4A5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G840135 B 2</w:t>
      </w:r>
    </w:p>
    <w:p w14:paraId="4CF371A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G840137 B 6</w:t>
      </w:r>
    </w:p>
    <w:p w14:paraId="325B0EE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G840140 B 2</w:t>
      </w:r>
    </w:p>
    <w:p w14:paraId="76A35BD4">
      <w:pPr>
        <w:widowControl/>
        <w:jc w:val="left"/>
        <w:rPr>
          <w:rFonts w:ascii="Arial" w:hAnsi="Arial" w:eastAsia="Courier New" w:cs="Arial"/>
          <w:sz w:val="24"/>
          <w:szCs w:val="24"/>
        </w:rPr>
      </w:pPr>
      <w:r>
        <w:rPr>
          <w:rFonts w:ascii="Arial" w:hAnsi="Arial" w:cs="Arial"/>
          <w:sz w:val="24"/>
          <w:szCs w:val="24"/>
        </w:rPr>
        <w:br w:type="page"/>
      </w:r>
    </w:p>
    <w:p w14:paraId="6A57462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G840150 B 1</w:t>
      </w:r>
    </w:p>
    <w:p w14:paraId="312A18C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G840174 B 2</w:t>
      </w:r>
    </w:p>
    <w:p w14:paraId="3705A4B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G840189 B 2</w:t>
      </w:r>
    </w:p>
    <w:p w14:paraId="6E8D0E8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G840196 B 2</w:t>
      </w:r>
    </w:p>
    <w:p w14:paraId="3473D35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G840201 B 2</w:t>
      </w:r>
    </w:p>
    <w:p w14:paraId="5A7ECF1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G840208 A 1</w:t>
      </w:r>
    </w:p>
    <w:p w14:paraId="4DDCCC6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G850010 B 2</w:t>
      </w:r>
    </w:p>
    <w:p w14:paraId="2A9A53B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G850012 B 1</w:t>
      </w:r>
    </w:p>
    <w:p w14:paraId="7D8AC4E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G850017 B 1</w:t>
      </w:r>
    </w:p>
    <w:p w14:paraId="4FB0FD4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G850030 B 2</w:t>
      </w:r>
    </w:p>
    <w:p w14:paraId="53F1768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G850040 B 2</w:t>
      </w:r>
    </w:p>
    <w:p w14:paraId="715C8B1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G850045 B 1</w:t>
      </w:r>
    </w:p>
    <w:p w14:paraId="06516CE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G850049 B 2</w:t>
      </w:r>
    </w:p>
    <w:p w14:paraId="7CCB37D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G850071 B 2</w:t>
      </w:r>
    </w:p>
    <w:p w14:paraId="1B29810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G850072 B 1</w:t>
      </w:r>
    </w:p>
    <w:p w14:paraId="2248C30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G850097 B 2</w:t>
      </w:r>
    </w:p>
    <w:p w14:paraId="5C6F1F0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G850098 B 2</w:t>
      </w:r>
    </w:p>
    <w:p w14:paraId="2E05A1C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G850101 B 3</w:t>
      </w:r>
    </w:p>
    <w:p w14:paraId="291B905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G850103 B 4</w:t>
      </w:r>
    </w:p>
    <w:p w14:paraId="217DB6B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G850117 B 3</w:t>
      </w:r>
    </w:p>
    <w:p w14:paraId="6ED78B8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G850120 B 2</w:t>
      </w:r>
    </w:p>
    <w:p w14:paraId="5E0FCBD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G850121 B 2</w:t>
      </w:r>
    </w:p>
    <w:p w14:paraId="1F0B302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G850134 B 2</w:t>
      </w:r>
    </w:p>
    <w:p w14:paraId="0B42FB1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G850139 B 2</w:t>
      </w:r>
    </w:p>
    <w:p w14:paraId="23A89B8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G850142 B 1</w:t>
      </w:r>
    </w:p>
    <w:p w14:paraId="16630D3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G850158 B 4</w:t>
      </w:r>
    </w:p>
    <w:p w14:paraId="70FDDC6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G850162 B 2</w:t>
      </w:r>
    </w:p>
    <w:p w14:paraId="55FD3FD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G850174 B 2</w:t>
      </w:r>
    </w:p>
    <w:p w14:paraId="6F86446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G850187 B 2</w:t>
      </w:r>
    </w:p>
    <w:p w14:paraId="0CFB6A4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G850188 B 3</w:t>
      </w:r>
    </w:p>
    <w:p w14:paraId="2429027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G850202 B 2</w:t>
      </w:r>
    </w:p>
    <w:p w14:paraId="5450F69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G850206 B 2</w:t>
      </w:r>
    </w:p>
    <w:p w14:paraId="411194E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G850217 B 2</w:t>
      </w:r>
    </w:p>
    <w:p w14:paraId="5A8AB17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G850231 B 2</w:t>
      </w:r>
    </w:p>
    <w:p w14:paraId="15C727F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G850233 B 4</w:t>
      </w:r>
    </w:p>
    <w:p w14:paraId="1455846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G850239 B 2</w:t>
      </w:r>
    </w:p>
    <w:p w14:paraId="2FC624F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G860001 B 1</w:t>
      </w:r>
    </w:p>
    <w:p w14:paraId="5F83CEC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G860010 B 2</w:t>
      </w:r>
    </w:p>
    <w:p w14:paraId="5EA0559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G860019 B 4</w:t>
      </w:r>
    </w:p>
    <w:p w14:paraId="4801B0D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G860021 B 1</w:t>
      </w:r>
    </w:p>
    <w:p w14:paraId="03EA208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G860026 B 2</w:t>
      </w:r>
    </w:p>
    <w:p w14:paraId="450DF9D5">
      <w:pPr>
        <w:widowControl/>
        <w:jc w:val="left"/>
        <w:rPr>
          <w:rFonts w:ascii="Arial" w:hAnsi="Arial" w:eastAsia="Courier New" w:cs="Arial"/>
          <w:sz w:val="24"/>
          <w:szCs w:val="24"/>
        </w:rPr>
      </w:pPr>
      <w:r>
        <w:rPr>
          <w:rFonts w:ascii="Arial" w:hAnsi="Arial" w:cs="Arial"/>
          <w:sz w:val="24"/>
          <w:szCs w:val="24"/>
        </w:rPr>
        <w:br w:type="page"/>
      </w:r>
    </w:p>
    <w:p w14:paraId="47EE3DD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G860030 B 4</w:t>
      </w:r>
    </w:p>
    <w:p w14:paraId="19C6814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G860044 B 2</w:t>
      </w:r>
    </w:p>
    <w:p w14:paraId="6F5A280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G860055 B 2</w:t>
      </w:r>
    </w:p>
    <w:p w14:paraId="70BF81D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G860060 B 2</w:t>
      </w:r>
    </w:p>
    <w:p w14:paraId="7DE41BF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G860065 B 3</w:t>
      </w:r>
    </w:p>
    <w:p w14:paraId="3310F7D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G860066 B 2</w:t>
      </w:r>
    </w:p>
    <w:p w14:paraId="2D00E6B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G860067 B 2</w:t>
      </w:r>
    </w:p>
    <w:p w14:paraId="16A0051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G860070 B 3</w:t>
      </w:r>
    </w:p>
    <w:p w14:paraId="13F06B4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G860075 B 2</w:t>
      </w:r>
    </w:p>
    <w:p w14:paraId="0950121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G860077 B 2</w:t>
      </w:r>
    </w:p>
    <w:p w14:paraId="5FD2653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G860084 B 1</w:t>
      </w:r>
    </w:p>
    <w:p w14:paraId="258150D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G860086 B 2</w:t>
      </w:r>
    </w:p>
    <w:p w14:paraId="6D07E10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G860102 B 1</w:t>
      </w:r>
    </w:p>
    <w:p w14:paraId="625008C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G860114 B 2</w:t>
      </w:r>
    </w:p>
    <w:p w14:paraId="336EA31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G860116 B 1</w:t>
      </w:r>
    </w:p>
    <w:p w14:paraId="3672DA6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G860117 B 2</w:t>
      </w:r>
    </w:p>
    <w:p w14:paraId="6F30AA3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G860118 B 1</w:t>
      </w:r>
    </w:p>
    <w:p w14:paraId="38FE8D7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G860132 B 2</w:t>
      </w:r>
    </w:p>
    <w:p w14:paraId="188602B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G860138 B 2</w:t>
      </w:r>
    </w:p>
    <w:p w14:paraId="68241E2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G860140 B 4</w:t>
      </w:r>
    </w:p>
    <w:p w14:paraId="4CA64E1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G860141 B 4</w:t>
      </w:r>
    </w:p>
    <w:p w14:paraId="230E5C2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G860147 B 4</w:t>
      </w:r>
    </w:p>
    <w:p w14:paraId="78F182C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G860156 B 2</w:t>
      </w:r>
    </w:p>
    <w:p w14:paraId="6432105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G860157 B 1</w:t>
      </w:r>
    </w:p>
    <w:p w14:paraId="6FAA88F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G860165 B 4</w:t>
      </w:r>
    </w:p>
    <w:p w14:paraId="7C563D8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G860168 B 2</w:t>
      </w:r>
    </w:p>
    <w:p w14:paraId="138277C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G860169 B 2</w:t>
      </w:r>
    </w:p>
    <w:p w14:paraId="0F39AEC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G860170 B 2</w:t>
      </w:r>
    </w:p>
    <w:p w14:paraId="32F3364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G860172 B 2</w:t>
      </w:r>
    </w:p>
    <w:p w14:paraId="377612C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G860176 B 1</w:t>
      </w:r>
    </w:p>
    <w:p w14:paraId="47BBB6C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G860182 B 2</w:t>
      </w:r>
    </w:p>
    <w:p w14:paraId="076009F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G860184 B 4</w:t>
      </w:r>
    </w:p>
    <w:p w14:paraId="0A6B5DD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G860186 B 2</w:t>
      </w:r>
    </w:p>
    <w:p w14:paraId="53FBC66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G860189 B 1</w:t>
      </w:r>
    </w:p>
    <w:p w14:paraId="7CF7AB0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G860194 B 2</w:t>
      </w:r>
    </w:p>
    <w:p w14:paraId="4468C8D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G860199 B 2</w:t>
      </w:r>
    </w:p>
    <w:p w14:paraId="02EDBAD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G860200 B 2</w:t>
      </w:r>
    </w:p>
    <w:p w14:paraId="7525C90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G860201 B 1</w:t>
      </w:r>
    </w:p>
    <w:p w14:paraId="459E2C9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G860210 B 1</w:t>
      </w:r>
    </w:p>
    <w:p w14:paraId="6020C6C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G860225 B 2</w:t>
      </w:r>
    </w:p>
    <w:p w14:paraId="64760BF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G860230 B 4</w:t>
      </w:r>
    </w:p>
    <w:p w14:paraId="6F250ADC">
      <w:pPr>
        <w:widowControl/>
        <w:jc w:val="left"/>
        <w:rPr>
          <w:rFonts w:ascii="Arial" w:hAnsi="Arial" w:eastAsia="Courier New" w:cs="Arial"/>
          <w:sz w:val="24"/>
          <w:szCs w:val="24"/>
        </w:rPr>
      </w:pPr>
      <w:r>
        <w:rPr>
          <w:rFonts w:ascii="Arial" w:hAnsi="Arial" w:cs="Arial"/>
          <w:sz w:val="24"/>
          <w:szCs w:val="24"/>
        </w:rPr>
        <w:br w:type="page"/>
      </w:r>
    </w:p>
    <w:p w14:paraId="1FB6F15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G870010 B 4</w:t>
      </w:r>
    </w:p>
    <w:p w14:paraId="485600F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G870013 B 1</w:t>
      </w:r>
    </w:p>
    <w:p w14:paraId="26707D9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G870017 B 1</w:t>
      </w:r>
    </w:p>
    <w:p w14:paraId="448FE77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G870019 B 3</w:t>
      </w:r>
    </w:p>
    <w:p w14:paraId="5FAFD4F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G870030 B 2</w:t>
      </w:r>
    </w:p>
    <w:p w14:paraId="7789D08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G870031 A 1</w:t>
      </w:r>
    </w:p>
    <w:p w14:paraId="7D12ED1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G870035 B 2</w:t>
      </w:r>
    </w:p>
    <w:p w14:paraId="5A1D8D6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G870036 B 2</w:t>
      </w:r>
    </w:p>
    <w:p w14:paraId="3AC6755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G870037 B 2</w:t>
      </w:r>
    </w:p>
    <w:p w14:paraId="6A9185E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G870038 B 6</w:t>
      </w:r>
    </w:p>
    <w:p w14:paraId="6BCA677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G870040 B 3</w:t>
      </w:r>
    </w:p>
    <w:p w14:paraId="4EF1740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G870046 B 2</w:t>
      </w:r>
    </w:p>
    <w:p w14:paraId="1FFC811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G870048 B 4</w:t>
      </w:r>
    </w:p>
    <w:p w14:paraId="34F2103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G870049 B 1</w:t>
      </w:r>
    </w:p>
    <w:p w14:paraId="4564462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G870052 B 1</w:t>
      </w:r>
    </w:p>
    <w:p w14:paraId="32E30C0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G870053 B 2</w:t>
      </w:r>
    </w:p>
    <w:p w14:paraId="4B51FAB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G870055 B 6</w:t>
      </w:r>
    </w:p>
    <w:p w14:paraId="230BBD2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G870056 B 6</w:t>
      </w:r>
    </w:p>
    <w:p w14:paraId="146390D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G870058 B 1</w:t>
      </w:r>
    </w:p>
    <w:p w14:paraId="4AB8CA5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G870060 B 1</w:t>
      </w:r>
    </w:p>
    <w:p w14:paraId="2E367E7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G870061 B 6</w:t>
      </w:r>
    </w:p>
    <w:p w14:paraId="7B9D4F9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G870067 B 2</w:t>
      </w:r>
    </w:p>
    <w:p w14:paraId="5D029FC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G870069 B 4</w:t>
      </w:r>
    </w:p>
    <w:p w14:paraId="48B88C5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G870080 B 2</w:t>
      </w:r>
    </w:p>
    <w:p w14:paraId="6AED4A9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G870082 B 2</w:t>
      </w:r>
    </w:p>
    <w:p w14:paraId="2C5339E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G870091 B 1</w:t>
      </w:r>
    </w:p>
    <w:p w14:paraId="0FE2266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G870101 B 4</w:t>
      </w:r>
    </w:p>
    <w:p w14:paraId="71E8B13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G870104 B 2</w:t>
      </w:r>
    </w:p>
    <w:p w14:paraId="06E426E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G870109 B 2</w:t>
      </w:r>
    </w:p>
    <w:p w14:paraId="79B48F1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G870112 B 1</w:t>
      </w:r>
    </w:p>
    <w:p w14:paraId="1EE1F07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G870114 B 2</w:t>
      </w:r>
    </w:p>
    <w:p w14:paraId="5CD21AC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G870120 B 2</w:t>
      </w:r>
    </w:p>
    <w:p w14:paraId="03595A0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G870122 B 6</w:t>
      </w:r>
    </w:p>
    <w:p w14:paraId="15E0427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G870123 B 2</w:t>
      </w:r>
    </w:p>
    <w:p w14:paraId="5762D3B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G870129 B 2</w:t>
      </w:r>
    </w:p>
    <w:p w14:paraId="05607FA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G870134 B 6</w:t>
      </w:r>
    </w:p>
    <w:p w14:paraId="620CF1C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G870136 B 2</w:t>
      </w:r>
    </w:p>
    <w:p w14:paraId="25A4DC5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G870142 B 4</w:t>
      </w:r>
    </w:p>
    <w:p w14:paraId="40A5455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G870144 B 4</w:t>
      </w:r>
    </w:p>
    <w:p w14:paraId="1F62687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G870158 B 6</w:t>
      </w:r>
    </w:p>
    <w:p w14:paraId="1D4D42E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G870161 B 2</w:t>
      </w:r>
    </w:p>
    <w:p w14:paraId="5C513A4E">
      <w:pPr>
        <w:widowControl/>
        <w:jc w:val="left"/>
        <w:rPr>
          <w:rFonts w:ascii="Arial" w:hAnsi="Arial" w:eastAsia="Courier New" w:cs="Arial"/>
          <w:sz w:val="24"/>
          <w:szCs w:val="24"/>
        </w:rPr>
      </w:pPr>
      <w:r>
        <w:rPr>
          <w:rFonts w:ascii="Arial" w:hAnsi="Arial" w:cs="Arial"/>
          <w:sz w:val="24"/>
          <w:szCs w:val="24"/>
        </w:rPr>
        <w:br w:type="page"/>
      </w:r>
    </w:p>
    <w:p w14:paraId="380BF32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G870163 B 2</w:t>
      </w:r>
    </w:p>
    <w:p w14:paraId="3D7B0BB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G870167 B 1</w:t>
      </w:r>
    </w:p>
    <w:p w14:paraId="347D0CF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G870174 B 2</w:t>
      </w:r>
    </w:p>
    <w:p w14:paraId="3C678DB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G870181 A 2</w:t>
      </w:r>
    </w:p>
    <w:p w14:paraId="6BB4767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G870195 B 2</w:t>
      </w:r>
    </w:p>
    <w:p w14:paraId="05320DB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G870200 B 2</w:t>
      </w:r>
    </w:p>
    <w:p w14:paraId="6C453F2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G870213 B 2</w:t>
      </w:r>
    </w:p>
    <w:p w14:paraId="3794D04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G870224 B 2</w:t>
      </w:r>
    </w:p>
    <w:p w14:paraId="6306F91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G880001 B 1</w:t>
      </w:r>
    </w:p>
    <w:p w14:paraId="1D8F34F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G880007 B 3</w:t>
      </w:r>
    </w:p>
    <w:p w14:paraId="19EF850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G880008 B 4</w:t>
      </w:r>
    </w:p>
    <w:p w14:paraId="14CF383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G880018 B 4</w:t>
      </w:r>
    </w:p>
    <w:p w14:paraId="6CAC1AD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G880021 B 2</w:t>
      </w:r>
    </w:p>
    <w:p w14:paraId="218EEF9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G880022 B 3</w:t>
      </w:r>
    </w:p>
    <w:p w14:paraId="038B52C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G880026 B 1</w:t>
      </w:r>
    </w:p>
    <w:p w14:paraId="12F234C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G880028 A 1</w:t>
      </w:r>
    </w:p>
    <w:p w14:paraId="70DF12B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G880032 B 3</w:t>
      </w:r>
    </w:p>
    <w:p w14:paraId="38DD528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G880040 B 2</w:t>
      </w:r>
    </w:p>
    <w:p w14:paraId="1DB3649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G880042 B 1</w:t>
      </w:r>
    </w:p>
    <w:p w14:paraId="062728D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G880044 B 2</w:t>
      </w:r>
    </w:p>
    <w:p w14:paraId="275658C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G880045 B 1</w:t>
      </w:r>
    </w:p>
    <w:p w14:paraId="3697DB1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G880050 B 6</w:t>
      </w:r>
    </w:p>
    <w:p w14:paraId="7ABD390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G880051 B 2</w:t>
      </w:r>
    </w:p>
    <w:p w14:paraId="4840BCE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G880063 A 1</w:t>
      </w:r>
    </w:p>
    <w:p w14:paraId="769C703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G880068 B 2</w:t>
      </w:r>
    </w:p>
    <w:p w14:paraId="6A8AD17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G880069 B 3</w:t>
      </w:r>
    </w:p>
    <w:p w14:paraId="6A91AA8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G880076 B 1</w:t>
      </w:r>
    </w:p>
    <w:p w14:paraId="7146D12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G880080 B 2</w:t>
      </w:r>
    </w:p>
    <w:p w14:paraId="44D2D18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G880084 B 2</w:t>
      </w:r>
    </w:p>
    <w:p w14:paraId="66BC4A4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G880100 B 2</w:t>
      </w:r>
    </w:p>
    <w:p w14:paraId="607B899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G880102 B 1</w:t>
      </w:r>
    </w:p>
    <w:p w14:paraId="7E5B793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G880103 B 1</w:t>
      </w:r>
    </w:p>
    <w:p w14:paraId="1645443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G880104 B 1</w:t>
      </w:r>
    </w:p>
    <w:p w14:paraId="7A57A02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G880112 B 3</w:t>
      </w:r>
    </w:p>
    <w:p w14:paraId="0EA85A7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G880118 B 4</w:t>
      </w:r>
    </w:p>
    <w:p w14:paraId="6BA2DCE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G880122 B 2</w:t>
      </w:r>
    </w:p>
    <w:p w14:paraId="6201255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G880123 B 6</w:t>
      </w:r>
    </w:p>
    <w:p w14:paraId="610266E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G880129 B 2</w:t>
      </w:r>
    </w:p>
    <w:p w14:paraId="34318B4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 xml:space="preserve">G880131 B </w:t>
      </w:r>
      <w:r>
        <w:rPr>
          <w:rFonts w:ascii="Arial" w:hAnsi="Arial" w:cs="Arial"/>
          <w:spacing w:val="0"/>
          <w:sz w:val="24"/>
          <w:szCs w:val="24"/>
          <w:lang w:val="de"/>
        </w:rPr>
        <w:t>2</w:t>
      </w:r>
    </w:p>
    <w:p w14:paraId="6BB8C57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 xml:space="preserve">G880136 B </w:t>
      </w:r>
      <w:r>
        <w:rPr>
          <w:rFonts w:ascii="Arial" w:hAnsi="Arial" w:cs="Arial"/>
          <w:spacing w:val="0"/>
          <w:sz w:val="24"/>
          <w:szCs w:val="24"/>
          <w:lang w:val="de"/>
        </w:rPr>
        <w:t>6</w:t>
      </w:r>
    </w:p>
    <w:p w14:paraId="2A7D03B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 xml:space="preserve">G880149 B </w:t>
      </w:r>
      <w:r>
        <w:rPr>
          <w:rFonts w:ascii="Arial" w:hAnsi="Arial" w:cs="Arial"/>
          <w:spacing w:val="0"/>
          <w:sz w:val="24"/>
          <w:szCs w:val="24"/>
          <w:lang w:val="de"/>
        </w:rPr>
        <w:t>4</w:t>
      </w:r>
    </w:p>
    <w:p w14:paraId="0E57588E">
      <w:pPr>
        <w:widowControl/>
        <w:snapToGrid w:val="0"/>
        <w:spacing w:line="300" w:lineRule="auto"/>
        <w:jc w:val="left"/>
        <w:rPr>
          <w:rFonts w:ascii="Arial" w:hAnsi="Arial" w:eastAsia="宋体" w:cs="Arial"/>
          <w:sz w:val="24"/>
          <w:szCs w:val="24"/>
        </w:rPr>
      </w:pPr>
      <w:r>
        <w:rPr>
          <w:rFonts w:ascii="Arial" w:hAnsi="Arial" w:eastAsia="宋体" w:cs="Arial"/>
          <w:sz w:val="24"/>
          <w:szCs w:val="24"/>
        </w:rPr>
        <w:br w:type="page"/>
      </w:r>
    </w:p>
    <w:p w14:paraId="418ACCD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 xml:space="preserve">G880150 B </w:t>
      </w:r>
      <w:r>
        <w:rPr>
          <w:rFonts w:ascii="Arial" w:hAnsi="Arial" w:cs="Arial"/>
          <w:spacing w:val="0"/>
          <w:sz w:val="24"/>
          <w:szCs w:val="24"/>
          <w:lang w:val="de"/>
        </w:rPr>
        <w:t>2</w:t>
      </w:r>
    </w:p>
    <w:p w14:paraId="214E6E69">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G880151 A 1G880152 B 2 </w:t>
      </w:r>
    </w:p>
    <w:p w14:paraId="51C7FC5E">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G880153 B 2 </w:t>
      </w:r>
    </w:p>
    <w:p w14:paraId="511F1ABF">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G880155 B 2 </w:t>
      </w:r>
    </w:p>
    <w:p w14:paraId="311E3495">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G880157 B 6 </w:t>
      </w:r>
    </w:p>
    <w:p w14:paraId="58A849EE">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G880159 </w:t>
      </w:r>
      <w:r>
        <w:rPr>
          <w:rFonts w:ascii="Arial" w:hAnsi="Arial" w:cs="Arial"/>
          <w:sz w:val="24"/>
          <w:szCs w:val="24"/>
          <w:lang w:val="fr"/>
        </w:rPr>
        <w:t xml:space="preserve">B </w:t>
      </w:r>
      <w:r>
        <w:rPr>
          <w:rFonts w:ascii="Arial" w:hAnsi="Arial" w:cs="Arial"/>
          <w:sz w:val="24"/>
          <w:szCs w:val="24"/>
        </w:rPr>
        <w:t xml:space="preserve">1 </w:t>
      </w:r>
    </w:p>
    <w:p w14:paraId="0017637E">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G880167 B 2 </w:t>
      </w:r>
    </w:p>
    <w:p w14:paraId="5B26ADA5">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G880170 B 3 </w:t>
      </w:r>
    </w:p>
    <w:p w14:paraId="3DC585D0">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G880174 B 6 </w:t>
      </w:r>
    </w:p>
    <w:p w14:paraId="0E94DC52">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G880184 B 2 </w:t>
      </w:r>
    </w:p>
    <w:p w14:paraId="278C95CA">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G880186 B 2 </w:t>
      </w:r>
    </w:p>
    <w:p w14:paraId="5F298581">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G880188 B 2 </w:t>
      </w:r>
    </w:p>
    <w:p w14:paraId="5751643C">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G880189 B 4 </w:t>
      </w:r>
    </w:p>
    <w:p w14:paraId="70B72986">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G880191 B 2 </w:t>
      </w:r>
    </w:p>
    <w:p w14:paraId="2D453B9C">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G880193 B 2 </w:t>
      </w:r>
    </w:p>
    <w:p w14:paraId="053FF339">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G880194 B 2 </w:t>
      </w:r>
    </w:p>
    <w:p w14:paraId="3A741B11">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G880197 B 4 </w:t>
      </w:r>
    </w:p>
    <w:p w14:paraId="7B2F5418">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G880208 </w:t>
      </w:r>
      <w:r>
        <w:rPr>
          <w:rFonts w:ascii="Arial" w:hAnsi="Arial" w:cs="Arial"/>
          <w:sz w:val="24"/>
          <w:szCs w:val="24"/>
          <w:lang w:val="fr"/>
        </w:rPr>
        <w:t xml:space="preserve">B </w:t>
      </w:r>
      <w:r>
        <w:rPr>
          <w:rFonts w:ascii="Arial" w:hAnsi="Arial" w:cs="Arial"/>
          <w:sz w:val="24"/>
          <w:szCs w:val="24"/>
        </w:rPr>
        <w:t xml:space="preserve">1 </w:t>
      </w:r>
    </w:p>
    <w:p w14:paraId="3B422380">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G880210 A 2 </w:t>
      </w:r>
    </w:p>
    <w:p w14:paraId="2DB72988">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G880213 B 3 </w:t>
      </w:r>
    </w:p>
    <w:p w14:paraId="162D8E88">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G880214 B 4 </w:t>
      </w:r>
    </w:p>
    <w:p w14:paraId="5FB68FE3">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G880221 B 4 </w:t>
      </w:r>
    </w:p>
    <w:p w14:paraId="13D63724">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G880228 B 4 </w:t>
      </w:r>
    </w:p>
    <w:p w14:paraId="666999B7">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G880233 B 6 </w:t>
      </w:r>
    </w:p>
    <w:p w14:paraId="7E99E9CB">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G880234 B 2 </w:t>
      </w:r>
    </w:p>
    <w:p w14:paraId="4C4E39A9">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G880235 B 6 </w:t>
      </w:r>
    </w:p>
    <w:p w14:paraId="52A92EE6">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G880257 B 3 </w:t>
      </w:r>
    </w:p>
    <w:p w14:paraId="23FD5E42">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G880280 </w:t>
      </w:r>
      <w:r>
        <w:rPr>
          <w:rFonts w:ascii="Arial" w:hAnsi="Arial" w:cs="Arial"/>
          <w:sz w:val="24"/>
          <w:szCs w:val="24"/>
          <w:lang w:val="fr"/>
        </w:rPr>
        <w:t xml:space="preserve">B </w:t>
      </w:r>
      <w:r>
        <w:rPr>
          <w:rFonts w:ascii="Arial" w:hAnsi="Arial" w:cs="Arial"/>
          <w:sz w:val="24"/>
          <w:szCs w:val="24"/>
        </w:rPr>
        <w:t xml:space="preserve">1 </w:t>
      </w:r>
    </w:p>
    <w:p w14:paraId="41E07C7B">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G880286 B 3 </w:t>
      </w:r>
    </w:p>
    <w:p w14:paraId="13BEE18F">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G880290 B 2 </w:t>
      </w:r>
    </w:p>
    <w:p w14:paraId="5752E001">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G880294 B 2 </w:t>
      </w:r>
    </w:p>
    <w:p w14:paraId="3E7E62B3">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G880295 B 2 </w:t>
      </w:r>
    </w:p>
    <w:p w14:paraId="56DA652B">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G880296 </w:t>
      </w:r>
      <w:r>
        <w:rPr>
          <w:rFonts w:ascii="Arial" w:hAnsi="Arial" w:cs="Arial"/>
          <w:sz w:val="24"/>
          <w:szCs w:val="24"/>
          <w:lang w:val="fr"/>
        </w:rPr>
        <w:t xml:space="preserve">B </w:t>
      </w:r>
      <w:r>
        <w:rPr>
          <w:rFonts w:ascii="Arial" w:hAnsi="Arial" w:cs="Arial"/>
          <w:sz w:val="24"/>
          <w:szCs w:val="24"/>
        </w:rPr>
        <w:t xml:space="preserve">1 </w:t>
      </w:r>
    </w:p>
    <w:p w14:paraId="18DF7A70">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G880298 B 6 </w:t>
      </w:r>
    </w:p>
    <w:p w14:paraId="5F6F364A">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G880300 B 2 </w:t>
      </w:r>
    </w:p>
    <w:p w14:paraId="5827ED26">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G880301 B 2 </w:t>
      </w:r>
    </w:p>
    <w:p w14:paraId="35F2DE52">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G890001 B 3 </w:t>
      </w:r>
    </w:p>
    <w:p w14:paraId="79907CD9">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G890003 B 6 </w:t>
      </w:r>
    </w:p>
    <w:p w14:paraId="5CAF2AE5">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G890005 B 2 </w:t>
      </w:r>
    </w:p>
    <w:p w14:paraId="6E04C50F">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G890006 B 2 </w:t>
      </w:r>
    </w:p>
    <w:p w14:paraId="6BE06DC8">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G890008 B 3</w:t>
      </w:r>
    </w:p>
    <w:p w14:paraId="2C3DCE57">
      <w:pPr>
        <w:widowControl/>
        <w:snapToGrid w:val="0"/>
        <w:spacing w:line="300" w:lineRule="auto"/>
        <w:jc w:val="left"/>
        <w:rPr>
          <w:rFonts w:ascii="Arial" w:hAnsi="Arial" w:cs="Arial"/>
          <w:sz w:val="24"/>
          <w:szCs w:val="24"/>
        </w:rPr>
      </w:pPr>
      <w:r>
        <w:rPr>
          <w:rFonts w:ascii="Arial" w:hAnsi="Arial" w:cs="Arial"/>
          <w:sz w:val="24"/>
          <w:szCs w:val="24"/>
        </w:rPr>
        <w:br w:type="page"/>
      </w:r>
    </w:p>
    <w:p w14:paraId="771FC6D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G890009 B 4</w:t>
      </w:r>
    </w:p>
    <w:p w14:paraId="191CE6E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G890018 B 2</w:t>
      </w:r>
    </w:p>
    <w:p w14:paraId="04D1EA1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G890021 B 2</w:t>
      </w:r>
    </w:p>
    <w:p w14:paraId="040DDEC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G890022 B 4</w:t>
      </w:r>
    </w:p>
    <w:p w14:paraId="2328462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G890027 B 3</w:t>
      </w:r>
    </w:p>
    <w:p w14:paraId="5B17C8B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G890029 B 2</w:t>
      </w:r>
    </w:p>
    <w:p w14:paraId="3A7BF51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G890030 B 1</w:t>
      </w:r>
    </w:p>
    <w:p w14:paraId="407545D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G890031 B 2</w:t>
      </w:r>
    </w:p>
    <w:p w14:paraId="6E046F6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G890039 B 1</w:t>
      </w:r>
    </w:p>
    <w:p w14:paraId="3B33257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G890040 B 6</w:t>
      </w:r>
    </w:p>
    <w:p w14:paraId="343094D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G890045 B 2</w:t>
      </w:r>
    </w:p>
    <w:p w14:paraId="46CB548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G890047 A 1</w:t>
      </w:r>
    </w:p>
    <w:p w14:paraId="01757C2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G890048 B 4</w:t>
      </w:r>
    </w:p>
    <w:p w14:paraId="1328D33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G890050 B 4</w:t>
      </w:r>
    </w:p>
    <w:p w14:paraId="203B9FC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G890055 B 1</w:t>
      </w:r>
    </w:p>
    <w:p w14:paraId="2A6E510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G890058 B 2</w:t>
      </w:r>
    </w:p>
    <w:p w14:paraId="6526672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G890060 B 2</w:t>
      </w:r>
    </w:p>
    <w:p w14:paraId="0D50CFF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G890064 B 3</w:t>
      </w:r>
    </w:p>
    <w:p w14:paraId="7047628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G890074 B 4</w:t>
      </w:r>
    </w:p>
    <w:p w14:paraId="7D9C353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G890077 B 4</w:t>
      </w:r>
    </w:p>
    <w:p w14:paraId="6CB2DDE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G890078 B 2</w:t>
      </w:r>
    </w:p>
    <w:p w14:paraId="24F75C5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G890081 B 1</w:t>
      </w:r>
    </w:p>
    <w:p w14:paraId="409ED18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G890084 B 6</w:t>
      </w:r>
    </w:p>
    <w:p w14:paraId="27D8B99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G890088 B 3</w:t>
      </w:r>
    </w:p>
    <w:p w14:paraId="4054299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G890092 B 2</w:t>
      </w:r>
    </w:p>
    <w:p w14:paraId="77CBB8D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G890096 B 1</w:t>
      </w:r>
    </w:p>
    <w:p w14:paraId="5D7E815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G890097 B 6</w:t>
      </w:r>
    </w:p>
    <w:p w14:paraId="5934EF3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G890099 B 2</w:t>
      </w:r>
    </w:p>
    <w:p w14:paraId="5EC9566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G890101 B 4</w:t>
      </w:r>
    </w:p>
    <w:p w14:paraId="6D03EC2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G890103 A 1</w:t>
      </w:r>
    </w:p>
    <w:p w14:paraId="4A878C5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G890104 B 6</w:t>
      </w:r>
    </w:p>
    <w:p w14:paraId="4D20400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G890108 B 4</w:t>
      </w:r>
    </w:p>
    <w:p w14:paraId="6944EC2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G890110 B 2</w:t>
      </w:r>
    </w:p>
    <w:p w14:paraId="1424D3C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G890112 B 2</w:t>
      </w:r>
    </w:p>
    <w:p w14:paraId="63DCA4C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G890122 B 2</w:t>
      </w:r>
    </w:p>
    <w:p w14:paraId="22AA1DF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G890124 B 2</w:t>
      </w:r>
    </w:p>
    <w:p w14:paraId="734C64F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G890130 B 2</w:t>
      </w:r>
    </w:p>
    <w:p w14:paraId="54CB636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G890137 B 4</w:t>
      </w:r>
    </w:p>
    <w:p w14:paraId="19B22FE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 xml:space="preserve">G890138 B </w:t>
      </w:r>
      <w:r>
        <w:rPr>
          <w:rFonts w:ascii="Arial" w:hAnsi="Arial" w:cs="Arial"/>
          <w:spacing w:val="0"/>
          <w:sz w:val="24"/>
          <w:szCs w:val="24"/>
          <w:lang w:val="de"/>
        </w:rPr>
        <w:t>3</w:t>
      </w:r>
    </w:p>
    <w:p w14:paraId="63E3981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 xml:space="preserve">G890140 B </w:t>
      </w:r>
      <w:r>
        <w:rPr>
          <w:rFonts w:ascii="Arial" w:hAnsi="Arial" w:cs="Arial"/>
          <w:spacing w:val="0"/>
          <w:sz w:val="24"/>
          <w:szCs w:val="24"/>
          <w:lang w:val="de"/>
        </w:rPr>
        <w:t>2</w:t>
      </w:r>
    </w:p>
    <w:p w14:paraId="2D4D890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 xml:space="preserve">G890144 A </w:t>
      </w:r>
      <w:r>
        <w:rPr>
          <w:rFonts w:ascii="Arial" w:hAnsi="Arial" w:cs="Arial"/>
          <w:spacing w:val="0"/>
          <w:sz w:val="24"/>
          <w:szCs w:val="24"/>
          <w:lang w:val="de"/>
        </w:rPr>
        <w:t>2</w:t>
      </w:r>
    </w:p>
    <w:p w14:paraId="3ADBFB87">
      <w:pPr>
        <w:widowControl/>
        <w:jc w:val="left"/>
        <w:rPr>
          <w:rFonts w:ascii="Arial" w:hAnsi="Arial" w:eastAsia="Courier New" w:cs="Arial"/>
          <w:sz w:val="24"/>
          <w:szCs w:val="24"/>
        </w:rPr>
      </w:pPr>
      <w:r>
        <w:rPr>
          <w:rFonts w:ascii="Arial" w:hAnsi="Arial" w:cs="Arial"/>
          <w:sz w:val="24"/>
          <w:szCs w:val="24"/>
        </w:rPr>
        <w:br w:type="page"/>
      </w:r>
    </w:p>
    <w:p w14:paraId="615C326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G890148 A 1</w:t>
      </w:r>
    </w:p>
    <w:p w14:paraId="290592A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G890149 B 2</w:t>
      </w:r>
    </w:p>
    <w:p w14:paraId="55D6C05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G890151 B 2</w:t>
      </w:r>
    </w:p>
    <w:p w14:paraId="2A9EB17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G890152 B 2</w:t>
      </w:r>
    </w:p>
    <w:p w14:paraId="250BCBF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G890158 B 6</w:t>
      </w:r>
    </w:p>
    <w:p w14:paraId="509DC95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G890161 B 4</w:t>
      </w:r>
    </w:p>
    <w:p w14:paraId="5041979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G890165 B 1</w:t>
      </w:r>
    </w:p>
    <w:p w14:paraId="7F619AA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G890169 B 3</w:t>
      </w:r>
    </w:p>
    <w:p w14:paraId="5E75E85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G890173 B 3</w:t>
      </w:r>
    </w:p>
    <w:p w14:paraId="6C5FCB0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G890177 B 3</w:t>
      </w:r>
    </w:p>
    <w:p w14:paraId="31FD329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G890179 B 2</w:t>
      </w:r>
    </w:p>
    <w:p w14:paraId="598BDE7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G890180 B 4</w:t>
      </w:r>
    </w:p>
    <w:p w14:paraId="65E374B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G890181 B 2</w:t>
      </w:r>
    </w:p>
    <w:p w14:paraId="620194B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G890183 B 2</w:t>
      </w:r>
    </w:p>
    <w:p w14:paraId="71B3944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G890185 B 4</w:t>
      </w:r>
    </w:p>
    <w:p w14:paraId="114BAF6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G890189 A 1</w:t>
      </w:r>
    </w:p>
    <w:p w14:paraId="1F93B20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G890190 B 2</w:t>
      </w:r>
    </w:p>
    <w:p w14:paraId="0022245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G890191 B 1</w:t>
      </w:r>
    </w:p>
    <w:p w14:paraId="38D9F1D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G890196 B 3</w:t>
      </w:r>
    </w:p>
    <w:p w14:paraId="1C2031E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G890197 B 2</w:t>
      </w:r>
    </w:p>
    <w:p w14:paraId="1A266C5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G890198 B 6</w:t>
      </w:r>
    </w:p>
    <w:p w14:paraId="4F180DA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G890200 B 2</w:t>
      </w:r>
    </w:p>
    <w:p w14:paraId="68D02EF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G890201 A 2</w:t>
      </w:r>
    </w:p>
    <w:p w14:paraId="15A659C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G890208 B 2</w:t>
      </w:r>
    </w:p>
    <w:p w14:paraId="29CFDD6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G890209 B 1</w:t>
      </w:r>
    </w:p>
    <w:p w14:paraId="266E4AC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G890210 A 2</w:t>
      </w:r>
    </w:p>
    <w:p w14:paraId="7038A11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G890211 B 1</w:t>
      </w:r>
    </w:p>
    <w:p w14:paraId="4789E56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G890215 B 4</w:t>
      </w:r>
    </w:p>
    <w:p w14:paraId="10324A4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G890216 B 2</w:t>
      </w:r>
    </w:p>
    <w:p w14:paraId="74595A6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G890222 B 2</w:t>
      </w:r>
    </w:p>
    <w:p w14:paraId="22EE8AA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G890227 B 1</w:t>
      </w:r>
    </w:p>
    <w:p w14:paraId="344AAD3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G890231 B 2</w:t>
      </w:r>
    </w:p>
    <w:p w14:paraId="2FE3204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G890232 B 1</w:t>
      </w:r>
    </w:p>
    <w:p w14:paraId="375AC1E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G890234 B 3</w:t>
      </w:r>
    </w:p>
    <w:p w14:paraId="2FCC860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G890235 B 3</w:t>
      </w:r>
    </w:p>
    <w:p w14:paraId="543F1B6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G890236 B 4</w:t>
      </w:r>
    </w:p>
    <w:p w14:paraId="140B1C3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G890239 B 2</w:t>
      </w:r>
    </w:p>
    <w:p w14:paraId="0946C6C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G890245 B 2</w:t>
      </w:r>
    </w:p>
    <w:p w14:paraId="7B453EE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G890248 B 1</w:t>
      </w:r>
    </w:p>
    <w:p w14:paraId="2A8ADFA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G890249 B 2</w:t>
      </w:r>
    </w:p>
    <w:p w14:paraId="2CB2413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G890250 B 2</w:t>
      </w:r>
    </w:p>
    <w:p w14:paraId="4071C675">
      <w:pPr>
        <w:widowControl/>
        <w:jc w:val="left"/>
        <w:rPr>
          <w:rFonts w:ascii="Arial" w:hAnsi="Arial" w:eastAsia="Courier New" w:cs="Arial"/>
          <w:sz w:val="24"/>
          <w:szCs w:val="24"/>
        </w:rPr>
      </w:pPr>
      <w:r>
        <w:rPr>
          <w:rFonts w:ascii="Arial" w:hAnsi="Arial" w:cs="Arial"/>
          <w:sz w:val="24"/>
          <w:szCs w:val="24"/>
        </w:rPr>
        <w:br w:type="page"/>
      </w:r>
    </w:p>
    <w:p w14:paraId="4D7C9C0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G900005 B 1</w:t>
      </w:r>
    </w:p>
    <w:p w14:paraId="407A38C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G900006 B 2</w:t>
      </w:r>
    </w:p>
    <w:p w14:paraId="2BE0A5F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G900007 B 2</w:t>
      </w:r>
    </w:p>
    <w:p w14:paraId="644B209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G900008 B 4</w:t>
      </w:r>
    </w:p>
    <w:p w14:paraId="312DF50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G900010 B 2</w:t>
      </w:r>
    </w:p>
    <w:p w14:paraId="4B1D116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G900017 B 2</w:t>
      </w:r>
    </w:p>
    <w:p w14:paraId="3530DDA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G900019 B 4</w:t>
      </w:r>
    </w:p>
    <w:p w14:paraId="2EB33B1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G900020 B 2</w:t>
      </w:r>
    </w:p>
    <w:p w14:paraId="2CEE8D6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G900022 B 2</w:t>
      </w:r>
    </w:p>
    <w:p w14:paraId="56B3EDD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G900027 B 4</w:t>
      </w:r>
    </w:p>
    <w:p w14:paraId="4FB8B5F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G900028 B 2</w:t>
      </w:r>
    </w:p>
    <w:p w14:paraId="7C2887A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G900030 B 1</w:t>
      </w:r>
    </w:p>
    <w:p w14:paraId="39EA3A1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G900040 B 2</w:t>
      </w:r>
    </w:p>
    <w:p w14:paraId="69C24A7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G900041 B 2</w:t>
      </w:r>
    </w:p>
    <w:p w14:paraId="5DAF51C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G900044 B 2</w:t>
      </w:r>
    </w:p>
    <w:p w14:paraId="29E03E7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G900045 B 1</w:t>
      </w:r>
    </w:p>
    <w:p w14:paraId="1ACA386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G900049 B 2</w:t>
      </w:r>
    </w:p>
    <w:p w14:paraId="5AE2659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G900050 B 2</w:t>
      </w:r>
    </w:p>
    <w:p w14:paraId="3A61199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G900053 B 1</w:t>
      </w:r>
    </w:p>
    <w:p w14:paraId="3A1FA2B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G900055 B 2</w:t>
      </w:r>
    </w:p>
    <w:p w14:paraId="6AB2907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G900058 B 2</w:t>
      </w:r>
    </w:p>
    <w:p w14:paraId="5F5DD9D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G900059 B 2</w:t>
      </w:r>
    </w:p>
    <w:p w14:paraId="2E7BAD9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G900060 B 2</w:t>
      </w:r>
    </w:p>
    <w:p w14:paraId="59BEECB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G900062 B 2</w:t>
      </w:r>
    </w:p>
    <w:p w14:paraId="0C8D170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G900075 B 2</w:t>
      </w:r>
    </w:p>
    <w:p w14:paraId="1BB957D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G900077 B 1</w:t>
      </w:r>
    </w:p>
    <w:p w14:paraId="306C777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G900078 B 4</w:t>
      </w:r>
    </w:p>
    <w:p w14:paraId="4C30540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G900081 B 1</w:t>
      </w:r>
    </w:p>
    <w:p w14:paraId="75140F5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G900085 B 1</w:t>
      </w:r>
    </w:p>
    <w:p w14:paraId="1D9D806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G900090 B 6</w:t>
      </w:r>
    </w:p>
    <w:p w14:paraId="3E53DCB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G900092 B 1</w:t>
      </w:r>
    </w:p>
    <w:p w14:paraId="3248190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G900093 B 6</w:t>
      </w:r>
    </w:p>
    <w:p w14:paraId="12F4D74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G900098 B 2</w:t>
      </w:r>
    </w:p>
    <w:p w14:paraId="55F32E9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G900099 B 4</w:t>
      </w:r>
    </w:p>
    <w:p w14:paraId="6D4FE78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G900100 A 2</w:t>
      </w:r>
    </w:p>
    <w:p w14:paraId="2D71B2C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G900101 B 2</w:t>
      </w:r>
    </w:p>
    <w:p w14:paraId="7DE477D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G900102 B 4</w:t>
      </w:r>
    </w:p>
    <w:p w14:paraId="40D6ADD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G900104 B 6</w:t>
      </w:r>
    </w:p>
    <w:p w14:paraId="06D76A5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G900107 B 4</w:t>
      </w:r>
    </w:p>
    <w:p w14:paraId="1118758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G900108 B 4</w:t>
      </w:r>
    </w:p>
    <w:p w14:paraId="7260E28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G900109 B 2</w:t>
      </w:r>
    </w:p>
    <w:p w14:paraId="4BF55D56">
      <w:pPr>
        <w:widowControl/>
        <w:jc w:val="left"/>
        <w:rPr>
          <w:rFonts w:ascii="Arial" w:hAnsi="Arial" w:eastAsia="Courier New" w:cs="Arial"/>
          <w:sz w:val="24"/>
          <w:szCs w:val="24"/>
        </w:rPr>
      </w:pPr>
      <w:r>
        <w:rPr>
          <w:rFonts w:ascii="Arial" w:hAnsi="Arial" w:cs="Arial"/>
          <w:sz w:val="24"/>
          <w:szCs w:val="24"/>
        </w:rPr>
        <w:br w:type="page"/>
      </w:r>
    </w:p>
    <w:p w14:paraId="09DE466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G900110 B 2</w:t>
      </w:r>
    </w:p>
    <w:p w14:paraId="2F3ED71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G900113 B 6</w:t>
      </w:r>
    </w:p>
    <w:p w14:paraId="18CDB39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G900119 B 2</w:t>
      </w:r>
    </w:p>
    <w:p w14:paraId="266F90D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G900122 B 2</w:t>
      </w:r>
    </w:p>
    <w:p w14:paraId="2114013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G900127 B 2</w:t>
      </w:r>
    </w:p>
    <w:p w14:paraId="177F598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G900128 B 2</w:t>
      </w:r>
    </w:p>
    <w:p w14:paraId="0B9B1D0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G900130 B 2</w:t>
      </w:r>
    </w:p>
    <w:p w14:paraId="58B5BF8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G900134 B 2</w:t>
      </w:r>
    </w:p>
    <w:p w14:paraId="4F8289E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G900138 B 4</w:t>
      </w:r>
    </w:p>
    <w:p w14:paraId="5DF0F1D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G900139 B 2</w:t>
      </w:r>
    </w:p>
    <w:p w14:paraId="7F7A317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G900141 B 1</w:t>
      </w:r>
    </w:p>
    <w:p w14:paraId="0DC8D88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G900142 A 2</w:t>
      </w:r>
    </w:p>
    <w:p w14:paraId="6D27B0B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G900143 A 2</w:t>
      </w:r>
    </w:p>
    <w:p w14:paraId="26B28DF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G900145 B 4</w:t>
      </w:r>
    </w:p>
    <w:p w14:paraId="2AFCBC0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G900147 B 2</w:t>
      </w:r>
    </w:p>
    <w:p w14:paraId="3CC74CF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G900152 B 2</w:t>
      </w:r>
    </w:p>
    <w:p w14:paraId="44DF639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G900154 B 2</w:t>
      </w:r>
    </w:p>
    <w:p w14:paraId="48FC478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G900155 A 1</w:t>
      </w:r>
    </w:p>
    <w:p w14:paraId="1150342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G900156 B 4</w:t>
      </w:r>
    </w:p>
    <w:p w14:paraId="4CED5B3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G900157 B 2</w:t>
      </w:r>
    </w:p>
    <w:p w14:paraId="48D021E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G900158 B 2</w:t>
      </w:r>
    </w:p>
    <w:p w14:paraId="73B21A4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G900163 B 2</w:t>
      </w:r>
    </w:p>
    <w:p w14:paraId="12A6CA7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G900164 B 2</w:t>
      </w:r>
    </w:p>
    <w:p w14:paraId="23B22BB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G900166 B 2</w:t>
      </w:r>
    </w:p>
    <w:p w14:paraId="0545032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G900167 B 4</w:t>
      </w:r>
    </w:p>
    <w:p w14:paraId="43977F1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G900168 B 2</w:t>
      </w:r>
    </w:p>
    <w:p w14:paraId="25F3292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G900175 B 4</w:t>
      </w:r>
    </w:p>
    <w:p w14:paraId="7C7DFBC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G900179 B 2</w:t>
      </w:r>
    </w:p>
    <w:p w14:paraId="0830055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G900191 B 1</w:t>
      </w:r>
    </w:p>
    <w:p w14:paraId="354A89F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G900192 B 2</w:t>
      </w:r>
    </w:p>
    <w:p w14:paraId="079C9A8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G900193 B 3</w:t>
      </w:r>
    </w:p>
    <w:p w14:paraId="1DE040C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G900196 B 3</w:t>
      </w:r>
    </w:p>
    <w:p w14:paraId="3F21B3B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G900197 B 3</w:t>
      </w:r>
    </w:p>
    <w:p w14:paraId="0AF8276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G900198 B 4</w:t>
      </w:r>
    </w:p>
    <w:p w14:paraId="6D0C95E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G900204 B 4</w:t>
      </w:r>
    </w:p>
    <w:p w14:paraId="16DF7F9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G900205 A 1</w:t>
      </w:r>
    </w:p>
    <w:p w14:paraId="172E47A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G900206 B 2</w:t>
      </w:r>
    </w:p>
    <w:p w14:paraId="65809BC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G900207 B 1</w:t>
      </w:r>
    </w:p>
    <w:p w14:paraId="11E5ED2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G900209 B 4</w:t>
      </w:r>
    </w:p>
    <w:p w14:paraId="3CC7B74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G900214 A 1</w:t>
      </w:r>
    </w:p>
    <w:p w14:paraId="54CFDF6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G900216 B 2</w:t>
      </w:r>
    </w:p>
    <w:p w14:paraId="727BBD27">
      <w:pPr>
        <w:widowControl/>
        <w:jc w:val="left"/>
        <w:rPr>
          <w:rFonts w:ascii="Arial" w:hAnsi="Arial" w:eastAsia="Courier New" w:cs="Arial"/>
          <w:sz w:val="24"/>
          <w:szCs w:val="24"/>
        </w:rPr>
      </w:pPr>
      <w:r>
        <w:rPr>
          <w:rFonts w:ascii="Arial" w:hAnsi="Arial" w:cs="Arial"/>
          <w:sz w:val="24"/>
          <w:szCs w:val="24"/>
        </w:rPr>
        <w:br w:type="page"/>
      </w:r>
    </w:p>
    <w:p w14:paraId="45BAA23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G900217 A 1</w:t>
      </w:r>
    </w:p>
    <w:p w14:paraId="23ED5D5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G900219 B 2</w:t>
      </w:r>
    </w:p>
    <w:p w14:paraId="6421974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G900222 B 2</w:t>
      </w:r>
    </w:p>
    <w:p w14:paraId="77B5A17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G900225 B 1</w:t>
      </w:r>
    </w:p>
    <w:p w14:paraId="0E0012D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G900226 B 2</w:t>
      </w:r>
    </w:p>
    <w:p w14:paraId="33DECBC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G900228 B 2</w:t>
      </w:r>
    </w:p>
    <w:p w14:paraId="053D0BD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G900231 B 6</w:t>
      </w:r>
    </w:p>
    <w:p w14:paraId="11FC939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G900233 B 2</w:t>
      </w:r>
    </w:p>
    <w:p w14:paraId="21B8040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G900237 B 3</w:t>
      </w:r>
    </w:p>
    <w:p w14:paraId="2B7FE63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G900240 B 1</w:t>
      </w:r>
    </w:p>
    <w:p w14:paraId="64AF01F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G900241 B 1</w:t>
      </w:r>
    </w:p>
    <w:p w14:paraId="28EAB5C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G900243 B 2</w:t>
      </w:r>
    </w:p>
    <w:p w14:paraId="4F4D29E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G900246 A 2</w:t>
      </w:r>
    </w:p>
    <w:p w14:paraId="5E4C5D4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G900247 B 2</w:t>
      </w:r>
    </w:p>
    <w:p w14:paraId="32A2492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G900248 B 6</w:t>
      </w:r>
    </w:p>
    <w:p w14:paraId="16DD1C0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G900249 B 2</w:t>
      </w:r>
    </w:p>
    <w:p w14:paraId="3B8947F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G900250 B 4</w:t>
      </w:r>
    </w:p>
    <w:p w14:paraId="1C9A4EC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G900251 B 3</w:t>
      </w:r>
    </w:p>
    <w:p w14:paraId="66CE15A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G900255 B 3</w:t>
      </w:r>
    </w:p>
    <w:p w14:paraId="0B21287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G900258 B 3</w:t>
      </w:r>
    </w:p>
    <w:p w14:paraId="121B438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G900259 A 2</w:t>
      </w:r>
    </w:p>
    <w:p w14:paraId="3AFACFD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G900262 B 4</w:t>
      </w:r>
    </w:p>
    <w:p w14:paraId="4304224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G910002 B 1</w:t>
      </w:r>
    </w:p>
    <w:p w14:paraId="10A2E57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G910005 B 6</w:t>
      </w:r>
    </w:p>
    <w:p w14:paraId="5449D58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G910006 B 3</w:t>
      </w:r>
    </w:p>
    <w:p w14:paraId="2F90967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G910008 B 2</w:t>
      </w:r>
    </w:p>
    <w:p w14:paraId="58E8726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G910009 B 1</w:t>
      </w:r>
    </w:p>
    <w:p w14:paraId="687A7F5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G910016 B 2</w:t>
      </w:r>
    </w:p>
    <w:p w14:paraId="3E74DC5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G910018 B 2</w:t>
      </w:r>
    </w:p>
    <w:p w14:paraId="2436C3D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G910026 B 3</w:t>
      </w:r>
    </w:p>
    <w:p w14:paraId="6404B43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G910028 B 2</w:t>
      </w:r>
    </w:p>
    <w:p w14:paraId="2382DEB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G910029 B 1</w:t>
      </w:r>
    </w:p>
    <w:p w14:paraId="6EA74E4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G910034 A 1</w:t>
      </w:r>
    </w:p>
    <w:p w14:paraId="2371CE6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G910035 B 1</w:t>
      </w:r>
    </w:p>
    <w:p w14:paraId="6009426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G910037 B 4</w:t>
      </w:r>
    </w:p>
    <w:p w14:paraId="5E46421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G910040 B 3</w:t>
      </w:r>
    </w:p>
    <w:p w14:paraId="486234D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G910044 B 4</w:t>
      </w:r>
    </w:p>
    <w:p w14:paraId="7A90DBD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G910047 B 2</w:t>
      </w:r>
    </w:p>
    <w:p w14:paraId="224E9D8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G910052 B 2</w:t>
      </w:r>
    </w:p>
    <w:p w14:paraId="3CFCFB9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G910055 B 1</w:t>
      </w:r>
    </w:p>
    <w:p w14:paraId="504D6DC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G910057 B 6</w:t>
      </w:r>
    </w:p>
    <w:p w14:paraId="7938FEC8">
      <w:pPr>
        <w:widowControl/>
        <w:jc w:val="left"/>
        <w:rPr>
          <w:rFonts w:ascii="Arial" w:hAnsi="Arial" w:eastAsia="Courier New" w:cs="Arial"/>
          <w:sz w:val="24"/>
          <w:szCs w:val="24"/>
        </w:rPr>
      </w:pPr>
      <w:r>
        <w:rPr>
          <w:rFonts w:ascii="Arial" w:hAnsi="Arial" w:cs="Arial"/>
          <w:sz w:val="24"/>
          <w:szCs w:val="24"/>
        </w:rPr>
        <w:br w:type="page"/>
      </w:r>
    </w:p>
    <w:p w14:paraId="457970E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G910058 B 4</w:t>
      </w:r>
    </w:p>
    <w:p w14:paraId="5EECAF7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G910061 B 2</w:t>
      </w:r>
    </w:p>
    <w:p w14:paraId="39157EB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G910062 B 4</w:t>
      </w:r>
    </w:p>
    <w:p w14:paraId="08AB1BA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G910064 A 2</w:t>
      </w:r>
    </w:p>
    <w:p w14:paraId="2751BCF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G910067 B 4</w:t>
      </w:r>
    </w:p>
    <w:p w14:paraId="05CA8ED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G910068 B 2</w:t>
      </w:r>
    </w:p>
    <w:p w14:paraId="46D6C2C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G910072 B 2</w:t>
      </w:r>
    </w:p>
    <w:p w14:paraId="37FAD24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G910073 B 1</w:t>
      </w:r>
    </w:p>
    <w:p w14:paraId="2C6228B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G910078 A 2</w:t>
      </w:r>
    </w:p>
    <w:p w14:paraId="4CC1BBE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G910080 B 1</w:t>
      </w:r>
    </w:p>
    <w:p w14:paraId="3F52F75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G910082 B 1</w:t>
      </w:r>
    </w:p>
    <w:p w14:paraId="6CE8B88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G910083 A 1</w:t>
      </w:r>
    </w:p>
    <w:p w14:paraId="36FCC62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G910084 B 4</w:t>
      </w:r>
    </w:p>
    <w:p w14:paraId="1A4B74C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G910085 B 1</w:t>
      </w:r>
    </w:p>
    <w:p w14:paraId="5BCCCF1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G910087 B 2</w:t>
      </w:r>
    </w:p>
    <w:p w14:paraId="5B3261E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G910089 B 2</w:t>
      </w:r>
    </w:p>
    <w:p w14:paraId="36E3AB7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G910095 B 2</w:t>
      </w:r>
    </w:p>
    <w:p w14:paraId="5736FE4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G910098 B 4</w:t>
      </w:r>
    </w:p>
    <w:p w14:paraId="73C5CD2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G910101 B 4</w:t>
      </w:r>
    </w:p>
    <w:p w14:paraId="065BFF1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G910102 B 1</w:t>
      </w:r>
    </w:p>
    <w:p w14:paraId="1256494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G910104 B 4</w:t>
      </w:r>
    </w:p>
    <w:p w14:paraId="1345476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G910108 B 4</w:t>
      </w:r>
    </w:p>
    <w:p w14:paraId="63D075B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G910109 B 4</w:t>
      </w:r>
    </w:p>
    <w:p w14:paraId="4F408B4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G910112 B 2</w:t>
      </w:r>
    </w:p>
    <w:p w14:paraId="7A2CEE0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G910113 B 2</w:t>
      </w:r>
    </w:p>
    <w:p w14:paraId="28B543D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G910115 B 1</w:t>
      </w:r>
    </w:p>
    <w:p w14:paraId="4CF83DC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G910121 A 1</w:t>
      </w:r>
    </w:p>
    <w:p w14:paraId="6A67281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G910124 B 3</w:t>
      </w:r>
    </w:p>
    <w:p w14:paraId="12795BD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G910125 B 4</w:t>
      </w:r>
    </w:p>
    <w:p w14:paraId="54C5E38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G910127 B 1</w:t>
      </w:r>
    </w:p>
    <w:p w14:paraId="46B6C5B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G910128 B 1</w:t>
      </w:r>
    </w:p>
    <w:p w14:paraId="6CCC4AE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G910129 B 1</w:t>
      </w:r>
    </w:p>
    <w:p w14:paraId="74638EE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G910130 A 1</w:t>
      </w:r>
    </w:p>
    <w:p w14:paraId="2A6E63A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G910132 B 4</w:t>
      </w:r>
    </w:p>
    <w:p w14:paraId="67F0C90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G910133 B 3</w:t>
      </w:r>
    </w:p>
    <w:p w14:paraId="1B5C7AC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G910134 B 2</w:t>
      </w:r>
    </w:p>
    <w:p w14:paraId="45DE82A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G910138 B 2</w:t>
      </w:r>
    </w:p>
    <w:p w14:paraId="0447052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G910144 B 4</w:t>
      </w:r>
    </w:p>
    <w:p w14:paraId="339D83C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G910145 B 3</w:t>
      </w:r>
    </w:p>
    <w:p w14:paraId="3CD4741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G910146 B 2</w:t>
      </w:r>
    </w:p>
    <w:p w14:paraId="4368CEC1">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G910147 B </w:t>
      </w:r>
      <w:r>
        <w:rPr>
          <w:rFonts w:ascii="Arial" w:hAnsi="Arial" w:cs="Arial"/>
          <w:spacing w:val="0"/>
          <w:sz w:val="24"/>
          <w:szCs w:val="24"/>
          <w:lang w:val="de"/>
        </w:rPr>
        <w:t>3</w:t>
      </w:r>
    </w:p>
    <w:p w14:paraId="531D2904">
      <w:pPr>
        <w:widowControl/>
        <w:snapToGrid w:val="0"/>
        <w:spacing w:line="300" w:lineRule="auto"/>
        <w:jc w:val="left"/>
        <w:rPr>
          <w:rFonts w:ascii="Arial" w:hAnsi="Arial" w:eastAsia="宋体" w:cs="Arial"/>
          <w:sz w:val="24"/>
          <w:szCs w:val="24"/>
        </w:rPr>
      </w:pPr>
      <w:r>
        <w:rPr>
          <w:rFonts w:ascii="Arial" w:hAnsi="Arial" w:eastAsia="宋体" w:cs="Arial"/>
          <w:sz w:val="24"/>
          <w:szCs w:val="24"/>
        </w:rPr>
        <w:br w:type="page"/>
      </w:r>
    </w:p>
    <w:p w14:paraId="1D01F98E">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G910153 B 2 </w:t>
      </w:r>
    </w:p>
    <w:p w14:paraId="0589364A">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G910154 B 3 </w:t>
      </w:r>
    </w:p>
    <w:p w14:paraId="689F76C0">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G910160 </w:t>
      </w:r>
      <w:r>
        <w:rPr>
          <w:rFonts w:ascii="Arial" w:hAnsi="Arial" w:cs="Arial"/>
          <w:sz w:val="24"/>
          <w:szCs w:val="24"/>
          <w:lang w:val="fr"/>
        </w:rPr>
        <w:t xml:space="preserve">B </w:t>
      </w:r>
      <w:r>
        <w:rPr>
          <w:rFonts w:ascii="Arial" w:hAnsi="Arial" w:cs="Arial"/>
          <w:sz w:val="24"/>
          <w:szCs w:val="24"/>
        </w:rPr>
        <w:t xml:space="preserve">1 </w:t>
      </w:r>
    </w:p>
    <w:p w14:paraId="11FF8694">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G910161 B 2 </w:t>
      </w:r>
    </w:p>
    <w:p w14:paraId="69146865">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G910162 B 4 </w:t>
      </w:r>
    </w:p>
    <w:p w14:paraId="49E274A4">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G910164 B 4 </w:t>
      </w:r>
    </w:p>
    <w:p w14:paraId="44DE8156">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G910165 B 4 </w:t>
      </w:r>
    </w:p>
    <w:p w14:paraId="5B70B46C">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G910166 A 2 </w:t>
      </w:r>
    </w:p>
    <w:p w14:paraId="11A0B493">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G910170 A 2 </w:t>
      </w:r>
    </w:p>
    <w:p w14:paraId="69818C7D">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G910171 B 2 </w:t>
      </w:r>
    </w:p>
    <w:p w14:paraId="1A6934BF">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G910172 B 2 </w:t>
      </w:r>
    </w:p>
    <w:p w14:paraId="4E7A580B">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G910175 A 2 </w:t>
      </w:r>
    </w:p>
    <w:p w14:paraId="316E861A">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G910176 B 2 </w:t>
      </w:r>
    </w:p>
    <w:p w14:paraId="4E0BA8E6">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G910177 B 3 </w:t>
      </w:r>
    </w:p>
    <w:p w14:paraId="3DA93088">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G910178 B 2 </w:t>
      </w:r>
    </w:p>
    <w:p w14:paraId="09480982">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G910184 B 3 </w:t>
      </w:r>
    </w:p>
    <w:p w14:paraId="6BEC118B">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G910186 B 3 </w:t>
      </w:r>
    </w:p>
    <w:p w14:paraId="2D465F01">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G910187 </w:t>
      </w:r>
      <w:r>
        <w:rPr>
          <w:rFonts w:ascii="Arial" w:hAnsi="Arial" w:cs="Arial"/>
          <w:sz w:val="24"/>
          <w:szCs w:val="24"/>
          <w:lang w:val="fr"/>
        </w:rPr>
        <w:t xml:space="preserve">B </w:t>
      </w:r>
      <w:r>
        <w:rPr>
          <w:rFonts w:ascii="Arial" w:hAnsi="Arial" w:cs="Arial"/>
          <w:sz w:val="24"/>
          <w:szCs w:val="24"/>
        </w:rPr>
        <w:t xml:space="preserve">1 </w:t>
      </w:r>
    </w:p>
    <w:p w14:paraId="3B03B82A">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G910188 B 4 </w:t>
      </w:r>
    </w:p>
    <w:p w14:paraId="21C5A21B">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G910192 B 6 </w:t>
      </w:r>
    </w:p>
    <w:p w14:paraId="3A32F5D3">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G910193 B 4 </w:t>
      </w:r>
    </w:p>
    <w:p w14:paraId="318D1657">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G910195 </w:t>
      </w:r>
      <w:r>
        <w:rPr>
          <w:rFonts w:ascii="Arial" w:hAnsi="Arial" w:cs="Arial"/>
          <w:sz w:val="24"/>
          <w:szCs w:val="24"/>
          <w:lang w:val="fr"/>
        </w:rPr>
        <w:t xml:space="preserve">B </w:t>
      </w:r>
      <w:r>
        <w:rPr>
          <w:rFonts w:ascii="Arial" w:hAnsi="Arial" w:cs="Arial"/>
          <w:sz w:val="24"/>
          <w:szCs w:val="24"/>
        </w:rPr>
        <w:t xml:space="preserve">1 </w:t>
      </w:r>
    </w:p>
    <w:p w14:paraId="45F0E773">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G910197 A 2 </w:t>
      </w:r>
    </w:p>
    <w:p w14:paraId="089E8D8F">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G910199 B 3 </w:t>
      </w:r>
    </w:p>
    <w:p w14:paraId="0D1B97FB">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G910200 B 4 </w:t>
      </w:r>
    </w:p>
    <w:p w14:paraId="45F349C2">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G910201 B 4 </w:t>
      </w:r>
    </w:p>
    <w:p w14:paraId="30A154FB">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G910202 A 2 </w:t>
      </w:r>
    </w:p>
    <w:p w14:paraId="6DD8FC93">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G910203 B 4 </w:t>
      </w:r>
    </w:p>
    <w:p w14:paraId="28602825">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G910205 </w:t>
      </w:r>
      <w:r>
        <w:rPr>
          <w:rFonts w:ascii="Arial" w:hAnsi="Arial" w:cs="Arial"/>
          <w:sz w:val="24"/>
          <w:szCs w:val="24"/>
          <w:lang w:val="fr"/>
        </w:rPr>
        <w:t xml:space="preserve">B </w:t>
      </w:r>
      <w:r>
        <w:rPr>
          <w:rFonts w:ascii="Arial" w:hAnsi="Arial" w:cs="Arial"/>
          <w:sz w:val="24"/>
          <w:szCs w:val="24"/>
        </w:rPr>
        <w:t xml:space="preserve">4G910207 </w:t>
      </w:r>
      <w:r>
        <w:rPr>
          <w:rFonts w:ascii="Arial" w:hAnsi="Arial" w:cs="Arial"/>
          <w:sz w:val="24"/>
          <w:szCs w:val="24"/>
          <w:lang w:val="fr"/>
        </w:rPr>
        <w:t xml:space="preserve">B </w:t>
      </w:r>
      <w:r>
        <w:rPr>
          <w:rFonts w:ascii="Arial" w:hAnsi="Arial" w:cs="Arial"/>
          <w:sz w:val="24"/>
          <w:szCs w:val="24"/>
        </w:rPr>
        <w:t xml:space="preserve">1 </w:t>
      </w:r>
    </w:p>
    <w:p w14:paraId="33D1A015">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G910210 B 2 </w:t>
      </w:r>
    </w:p>
    <w:p w14:paraId="1EAADC5E">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G910211 B 4 </w:t>
      </w:r>
    </w:p>
    <w:p w14:paraId="4DD7C3CD">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G910212 B 2 </w:t>
      </w:r>
    </w:p>
    <w:p w14:paraId="57991800">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G910213 B 3 </w:t>
      </w:r>
    </w:p>
    <w:p w14:paraId="100A7379">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G910216 B 2 </w:t>
      </w:r>
    </w:p>
    <w:p w14:paraId="28D89428">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G910218 B 4 </w:t>
      </w:r>
    </w:p>
    <w:p w14:paraId="1DE11661">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G920003 A 1 </w:t>
      </w:r>
    </w:p>
    <w:p w14:paraId="0E433542">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G920006 B 2 </w:t>
      </w:r>
    </w:p>
    <w:p w14:paraId="2697835A">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G920007 B 2 </w:t>
      </w:r>
    </w:p>
    <w:p w14:paraId="3F7D10F6">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G920015 B 4 </w:t>
      </w:r>
    </w:p>
    <w:p w14:paraId="7D43F76B">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 xml:space="preserve">G920016 B 3 </w:t>
      </w:r>
    </w:p>
    <w:p w14:paraId="1AA2A076">
      <w:pPr>
        <w:tabs>
          <w:tab w:val="left" w:pos="3010"/>
        </w:tabs>
        <w:snapToGrid w:val="0"/>
        <w:spacing w:line="300" w:lineRule="auto"/>
        <w:ind w:right="4502" w:rightChars="2144"/>
        <w:rPr>
          <w:rFonts w:ascii="Arial" w:hAnsi="Arial" w:cs="Arial"/>
          <w:sz w:val="24"/>
          <w:szCs w:val="24"/>
        </w:rPr>
      </w:pPr>
      <w:r>
        <w:rPr>
          <w:rFonts w:ascii="Arial" w:hAnsi="Arial" w:cs="Arial"/>
          <w:sz w:val="24"/>
          <w:szCs w:val="24"/>
        </w:rPr>
        <w:t>G920018 B 2</w:t>
      </w:r>
    </w:p>
    <w:p w14:paraId="18BCF602">
      <w:pPr>
        <w:widowControl/>
        <w:snapToGrid w:val="0"/>
        <w:spacing w:line="300" w:lineRule="auto"/>
        <w:jc w:val="left"/>
        <w:rPr>
          <w:rFonts w:ascii="Arial" w:hAnsi="Arial" w:cs="Arial"/>
          <w:sz w:val="24"/>
          <w:szCs w:val="24"/>
        </w:rPr>
      </w:pPr>
      <w:r>
        <w:rPr>
          <w:rFonts w:ascii="Arial" w:hAnsi="Arial" w:cs="Arial"/>
          <w:sz w:val="24"/>
          <w:szCs w:val="24"/>
        </w:rPr>
        <w:br w:type="page"/>
      </w:r>
    </w:p>
    <w:p w14:paraId="29555D2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G920021 A 1</w:t>
      </w:r>
    </w:p>
    <w:p w14:paraId="4AE3F58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G920024 B 1</w:t>
      </w:r>
    </w:p>
    <w:p w14:paraId="264E99F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G920028 B 3</w:t>
      </w:r>
    </w:p>
    <w:p w14:paraId="3074E6A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G920029 B 2</w:t>
      </w:r>
    </w:p>
    <w:p w14:paraId="0FC26E2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G920035 A 1</w:t>
      </w:r>
    </w:p>
    <w:p w14:paraId="310909A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G920036 B 6</w:t>
      </w:r>
    </w:p>
    <w:p w14:paraId="42C39DE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G920037 B 4</w:t>
      </w:r>
    </w:p>
    <w:p w14:paraId="658CE7F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G920040 B 1</w:t>
      </w:r>
    </w:p>
    <w:p w14:paraId="69AC4BD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G920042 B 2</w:t>
      </w:r>
    </w:p>
    <w:p w14:paraId="11E6782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G920044 B 1</w:t>
      </w:r>
    </w:p>
    <w:p w14:paraId="519B81F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G920045 A 2</w:t>
      </w:r>
    </w:p>
    <w:p w14:paraId="55D519B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G920046 A 1</w:t>
      </w:r>
    </w:p>
    <w:p w14:paraId="6B47BA5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G920047 B 2</w:t>
      </w:r>
    </w:p>
    <w:p w14:paraId="39C5C04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G920049 B 2</w:t>
      </w:r>
    </w:p>
    <w:p w14:paraId="726D4D1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G920051 B 1</w:t>
      </w:r>
    </w:p>
    <w:p w14:paraId="663420A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G920052 A 2</w:t>
      </w:r>
    </w:p>
    <w:p w14:paraId="78D5C60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G920053 B 2</w:t>
      </w:r>
    </w:p>
    <w:p w14:paraId="3C1B54E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G920057 B 1</w:t>
      </w:r>
    </w:p>
    <w:p w14:paraId="7F94477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G920059 B 3</w:t>
      </w:r>
    </w:p>
    <w:p w14:paraId="76870A4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G920060 B 2</w:t>
      </w:r>
    </w:p>
    <w:p w14:paraId="35A33D4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G920062 B 2</w:t>
      </w:r>
    </w:p>
    <w:p w14:paraId="5271EE9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G920063 B 4</w:t>
      </w:r>
    </w:p>
    <w:p w14:paraId="77DBA42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G920070 B 2</w:t>
      </w:r>
    </w:p>
    <w:p w14:paraId="4035189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G920071 B 2</w:t>
      </w:r>
    </w:p>
    <w:p w14:paraId="4FFD9AD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G920072 B 2</w:t>
      </w:r>
    </w:p>
    <w:p w14:paraId="4F2A349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G920074 B 1</w:t>
      </w:r>
    </w:p>
    <w:p w14:paraId="212FB8A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G920075 B 2</w:t>
      </w:r>
    </w:p>
    <w:p w14:paraId="3ECBC2E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G920077 B 4</w:t>
      </w:r>
    </w:p>
    <w:p w14:paraId="2A01B2E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G920078 B 1</w:t>
      </w:r>
    </w:p>
    <w:p w14:paraId="1E39E3C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G920079 B 3</w:t>
      </w:r>
    </w:p>
    <w:p w14:paraId="2DE2F25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G920080 B 4</w:t>
      </w:r>
    </w:p>
    <w:p w14:paraId="76772F1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G920082 B 1</w:t>
      </w:r>
    </w:p>
    <w:p w14:paraId="5557915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G920083 B 2</w:t>
      </w:r>
    </w:p>
    <w:p w14:paraId="1B70027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G920084 A 2</w:t>
      </w:r>
    </w:p>
    <w:p w14:paraId="331C324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G920086 B 2</w:t>
      </w:r>
    </w:p>
    <w:p w14:paraId="5BC0ADF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 xml:space="preserve">G920087 B </w:t>
      </w:r>
      <w:r>
        <w:rPr>
          <w:rFonts w:ascii="Arial" w:hAnsi="Arial" w:cs="Arial"/>
          <w:spacing w:val="0"/>
          <w:sz w:val="24"/>
          <w:szCs w:val="24"/>
          <w:lang w:val="de"/>
        </w:rPr>
        <w:t>2</w:t>
      </w:r>
    </w:p>
    <w:p w14:paraId="09DEF27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 xml:space="preserve">G920088 B </w:t>
      </w:r>
      <w:r>
        <w:rPr>
          <w:rFonts w:ascii="Arial" w:hAnsi="Arial" w:cs="Arial"/>
          <w:spacing w:val="0"/>
          <w:sz w:val="24"/>
          <w:szCs w:val="24"/>
          <w:lang w:val="de"/>
        </w:rPr>
        <w:t>2</w:t>
      </w:r>
    </w:p>
    <w:p w14:paraId="4907896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 xml:space="preserve">G920089 B </w:t>
      </w:r>
      <w:r>
        <w:rPr>
          <w:rFonts w:ascii="Arial" w:hAnsi="Arial" w:cs="Arial"/>
          <w:spacing w:val="0"/>
          <w:sz w:val="24"/>
          <w:szCs w:val="24"/>
          <w:lang w:val="de"/>
        </w:rPr>
        <w:t>2</w:t>
      </w:r>
    </w:p>
    <w:p w14:paraId="412E2E2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 xml:space="preserve">G920090 B </w:t>
      </w:r>
      <w:r>
        <w:rPr>
          <w:rFonts w:ascii="Arial" w:hAnsi="Arial" w:cs="Arial"/>
          <w:spacing w:val="0"/>
          <w:sz w:val="24"/>
          <w:szCs w:val="24"/>
          <w:lang w:val="de"/>
        </w:rPr>
        <w:t>4</w:t>
      </w:r>
    </w:p>
    <w:p w14:paraId="23AD2E7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 xml:space="preserve">G920092 B </w:t>
      </w:r>
      <w:r>
        <w:rPr>
          <w:rFonts w:ascii="Arial" w:hAnsi="Arial" w:cs="Arial"/>
          <w:spacing w:val="0"/>
          <w:sz w:val="24"/>
          <w:szCs w:val="24"/>
          <w:lang w:val="de"/>
        </w:rPr>
        <w:t>2</w:t>
      </w:r>
    </w:p>
    <w:p w14:paraId="45DC49B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 xml:space="preserve">G920094 B </w:t>
      </w:r>
      <w:r>
        <w:rPr>
          <w:rFonts w:ascii="Arial" w:hAnsi="Arial" w:cs="Arial"/>
          <w:spacing w:val="0"/>
          <w:sz w:val="24"/>
          <w:szCs w:val="24"/>
          <w:lang w:val="de"/>
        </w:rPr>
        <w:t>2</w:t>
      </w:r>
    </w:p>
    <w:p w14:paraId="4D9E460B">
      <w:pPr>
        <w:widowControl/>
        <w:jc w:val="left"/>
        <w:rPr>
          <w:rFonts w:ascii="Arial" w:hAnsi="Arial" w:eastAsia="Courier New" w:cs="Arial"/>
          <w:sz w:val="24"/>
          <w:szCs w:val="24"/>
        </w:rPr>
      </w:pPr>
      <w:r>
        <w:rPr>
          <w:rFonts w:ascii="Arial" w:hAnsi="Arial" w:cs="Arial"/>
          <w:sz w:val="24"/>
          <w:szCs w:val="24"/>
        </w:rPr>
        <w:br w:type="page"/>
      </w:r>
    </w:p>
    <w:p w14:paraId="27D997D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G920096 B 1</w:t>
      </w:r>
    </w:p>
    <w:p w14:paraId="61A2E60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G920097 B 4</w:t>
      </w:r>
    </w:p>
    <w:p w14:paraId="41605D7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G920099 B 2</w:t>
      </w:r>
    </w:p>
    <w:p w14:paraId="28EF32F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G920100 B 2</w:t>
      </w:r>
    </w:p>
    <w:p w14:paraId="7B8219A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G920101 A 1</w:t>
      </w:r>
    </w:p>
    <w:p w14:paraId="491FB85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G920102 B 2</w:t>
      </w:r>
    </w:p>
    <w:p w14:paraId="60EEFDB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G920104 B 1</w:t>
      </w:r>
    </w:p>
    <w:p w14:paraId="4B889D8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G920105 B 2</w:t>
      </w:r>
    </w:p>
    <w:p w14:paraId="5310903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G920106 B 4</w:t>
      </w:r>
    </w:p>
    <w:p w14:paraId="3D79B36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G920107 B 2</w:t>
      </w:r>
    </w:p>
    <w:p w14:paraId="00E5127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G920108 B 4</w:t>
      </w:r>
    </w:p>
    <w:p w14:paraId="6F02766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G920110 B 2</w:t>
      </w:r>
    </w:p>
    <w:p w14:paraId="4C866F4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G920111 A 1</w:t>
      </w:r>
    </w:p>
    <w:p w14:paraId="5C6875E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G920112 B 2</w:t>
      </w:r>
    </w:p>
    <w:p w14:paraId="2E80CB3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G920114 B 1</w:t>
      </w:r>
    </w:p>
    <w:p w14:paraId="1E0170E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G920118 B 2</w:t>
      </w:r>
    </w:p>
    <w:p w14:paraId="3853FE1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G920119 B 2</w:t>
      </w:r>
    </w:p>
    <w:p w14:paraId="0946B0F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G920120 B 2</w:t>
      </w:r>
    </w:p>
    <w:p w14:paraId="77FF9E9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G920122 B 1</w:t>
      </w:r>
    </w:p>
    <w:p w14:paraId="2473DCC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G920123 B 2</w:t>
      </w:r>
    </w:p>
    <w:p w14:paraId="0BEA652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G920125 B 1</w:t>
      </w:r>
    </w:p>
    <w:p w14:paraId="3A36C03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G920126 B 2</w:t>
      </w:r>
    </w:p>
    <w:p w14:paraId="6177CE6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G920127 B 1</w:t>
      </w:r>
    </w:p>
    <w:p w14:paraId="4C36EF0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G920129 B 2</w:t>
      </w:r>
    </w:p>
    <w:p w14:paraId="727CF20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G920130 B 2</w:t>
      </w:r>
    </w:p>
    <w:p w14:paraId="3E5DD48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G920131 B 1</w:t>
      </w:r>
    </w:p>
    <w:p w14:paraId="30AE2A2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G920135 B 1</w:t>
      </w:r>
    </w:p>
    <w:p w14:paraId="249443C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G920138 B 1</w:t>
      </w:r>
    </w:p>
    <w:p w14:paraId="66FA18A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G920139 B 2</w:t>
      </w:r>
    </w:p>
    <w:p w14:paraId="2391220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G920142 B 2</w:t>
      </w:r>
    </w:p>
    <w:p w14:paraId="11D2379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G920143 B 2</w:t>
      </w:r>
    </w:p>
    <w:p w14:paraId="48AB4A5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G920144 B 2</w:t>
      </w:r>
    </w:p>
    <w:p w14:paraId="6E4EAA3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G920145 B 2</w:t>
      </w:r>
    </w:p>
    <w:p w14:paraId="5AE4E0F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G920148 B 4</w:t>
      </w:r>
    </w:p>
    <w:p w14:paraId="199632A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G920150 B 2</w:t>
      </w:r>
    </w:p>
    <w:p w14:paraId="3222E85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G920151 B 2</w:t>
      </w:r>
    </w:p>
    <w:p w14:paraId="00394FF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G920154 B 6</w:t>
      </w:r>
    </w:p>
    <w:p w14:paraId="31BD8D3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G920155 B 2</w:t>
      </w:r>
    </w:p>
    <w:p w14:paraId="4FDEA88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G920157 B 2</w:t>
      </w:r>
    </w:p>
    <w:p w14:paraId="2BF44AD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G920160 B 2</w:t>
      </w:r>
    </w:p>
    <w:p w14:paraId="55E6EC7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G920161 B 6</w:t>
      </w:r>
    </w:p>
    <w:p w14:paraId="1BAB3781">
      <w:pPr>
        <w:widowControl/>
        <w:jc w:val="left"/>
        <w:rPr>
          <w:rFonts w:ascii="Arial" w:hAnsi="Arial" w:eastAsia="Courier New" w:cs="Arial"/>
          <w:sz w:val="24"/>
          <w:szCs w:val="24"/>
        </w:rPr>
      </w:pPr>
      <w:r>
        <w:rPr>
          <w:rFonts w:ascii="Arial" w:hAnsi="Arial" w:cs="Arial"/>
          <w:sz w:val="24"/>
          <w:szCs w:val="24"/>
        </w:rPr>
        <w:br w:type="page"/>
      </w:r>
    </w:p>
    <w:p w14:paraId="170BA34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G920162 B 4</w:t>
      </w:r>
    </w:p>
    <w:p w14:paraId="3484685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G920163 B 2</w:t>
      </w:r>
    </w:p>
    <w:p w14:paraId="56A2866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G920164 B 6</w:t>
      </w:r>
    </w:p>
    <w:p w14:paraId="340ADFE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G920165 B 2</w:t>
      </w:r>
    </w:p>
    <w:p w14:paraId="203B990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G920166 B 1</w:t>
      </w:r>
    </w:p>
    <w:p w14:paraId="29695BC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G920168 B 1</w:t>
      </w:r>
    </w:p>
    <w:p w14:paraId="49F3E0A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G920169 B 1</w:t>
      </w:r>
    </w:p>
    <w:p w14:paraId="2BFD3E7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G920170 B 2</w:t>
      </w:r>
    </w:p>
    <w:p w14:paraId="2D51CA4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G920171 B 2</w:t>
      </w:r>
    </w:p>
    <w:p w14:paraId="35CA9D8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G920173 B 3</w:t>
      </w:r>
    </w:p>
    <w:p w14:paraId="390913D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G920176 B 6</w:t>
      </w:r>
    </w:p>
    <w:p w14:paraId="2C49E40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G920177 B 1</w:t>
      </w:r>
    </w:p>
    <w:p w14:paraId="29BD0B9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G920178 B 2</w:t>
      </w:r>
    </w:p>
    <w:p w14:paraId="5471E0F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G920179 B 1</w:t>
      </w:r>
    </w:p>
    <w:p w14:paraId="2FD13AE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G920181 B 3</w:t>
      </w:r>
    </w:p>
    <w:p w14:paraId="08CD867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G920183 B 2</w:t>
      </w:r>
    </w:p>
    <w:p w14:paraId="4FAC2ED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G920189 B 2</w:t>
      </w:r>
    </w:p>
    <w:p w14:paraId="1B8DBD0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G920191 B 2</w:t>
      </w:r>
    </w:p>
    <w:p w14:paraId="2798B37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G920193 B 1</w:t>
      </w:r>
    </w:p>
    <w:p w14:paraId="2829CFD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G920196 B 2</w:t>
      </w:r>
    </w:p>
    <w:p w14:paraId="671775B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G920199 B 2</w:t>
      </w:r>
    </w:p>
    <w:p w14:paraId="0A0C156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G920200 B 2</w:t>
      </w:r>
    </w:p>
    <w:p w14:paraId="0C9D9FB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G920203 B 4</w:t>
      </w:r>
    </w:p>
    <w:p w14:paraId="1604985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G920206 B 4</w:t>
      </w:r>
    </w:p>
    <w:p w14:paraId="4954A37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G920208 B 2</w:t>
      </w:r>
    </w:p>
    <w:p w14:paraId="4F10A52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G920211 A 1</w:t>
      </w:r>
    </w:p>
    <w:p w14:paraId="4C9C086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G920212 B 1</w:t>
      </w:r>
    </w:p>
    <w:p w14:paraId="18FC403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G920214 B 3</w:t>
      </w:r>
    </w:p>
    <w:p w14:paraId="2037AF0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G920215 B 1</w:t>
      </w:r>
    </w:p>
    <w:p w14:paraId="1341A85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G920218 B 2</w:t>
      </w:r>
    </w:p>
    <w:p w14:paraId="58E39F1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G920219 B 1</w:t>
      </w:r>
    </w:p>
    <w:p w14:paraId="2F5B29D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G920222 B 1</w:t>
      </w:r>
    </w:p>
    <w:p w14:paraId="576214C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G920224 B 2</w:t>
      </w:r>
    </w:p>
    <w:p w14:paraId="68C4A63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G920225 B 1</w:t>
      </w:r>
    </w:p>
    <w:p w14:paraId="5B291FC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G920228 B 4</w:t>
      </w:r>
    </w:p>
    <w:p w14:paraId="53B453E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G920230 B 2</w:t>
      </w:r>
    </w:p>
    <w:p w14:paraId="4802C8F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G920235 B 3</w:t>
      </w:r>
    </w:p>
    <w:p w14:paraId="2DE55B1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G920237 B 4</w:t>
      </w:r>
    </w:p>
    <w:p w14:paraId="52E5532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G920239 B 2</w:t>
      </w:r>
    </w:p>
    <w:p w14:paraId="42B312E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G920241 B 2</w:t>
      </w:r>
    </w:p>
    <w:p w14:paraId="6AE8C95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G920244 B 2</w:t>
      </w:r>
    </w:p>
    <w:p w14:paraId="606BF87C">
      <w:pPr>
        <w:widowControl/>
        <w:jc w:val="left"/>
        <w:rPr>
          <w:rFonts w:ascii="Arial" w:hAnsi="Arial" w:eastAsia="Courier New" w:cs="Arial"/>
          <w:sz w:val="24"/>
          <w:szCs w:val="24"/>
        </w:rPr>
      </w:pPr>
      <w:r>
        <w:rPr>
          <w:rFonts w:ascii="Arial" w:hAnsi="Arial" w:cs="Arial"/>
          <w:sz w:val="24"/>
          <w:szCs w:val="24"/>
        </w:rPr>
        <w:br w:type="page"/>
      </w:r>
    </w:p>
    <w:p w14:paraId="7F80C28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G920245 B 4</w:t>
      </w:r>
    </w:p>
    <w:p w14:paraId="09B3B09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G920249 B 2</w:t>
      </w:r>
    </w:p>
    <w:p w14:paraId="4D8ACBA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G920251 B 2</w:t>
      </w:r>
    </w:p>
    <w:p w14:paraId="60B398F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G920252 B 2</w:t>
      </w:r>
    </w:p>
    <w:p w14:paraId="6500FB2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G920253 B 1</w:t>
      </w:r>
    </w:p>
    <w:p w14:paraId="71AFC77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G920254 B 4</w:t>
      </w:r>
    </w:p>
    <w:p w14:paraId="7F83A77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G920255 B 2</w:t>
      </w:r>
    </w:p>
    <w:p w14:paraId="78BDA4C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G920256 B 4</w:t>
      </w:r>
    </w:p>
    <w:p w14:paraId="1E683B7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G920257 B 4</w:t>
      </w:r>
    </w:p>
    <w:p w14:paraId="1FBD385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G930006 B 1</w:t>
      </w:r>
    </w:p>
    <w:p w14:paraId="392736B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G930009 B 2</w:t>
      </w:r>
    </w:p>
    <w:p w14:paraId="306B3E3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G930011 B 6</w:t>
      </w:r>
    </w:p>
    <w:p w14:paraId="1D3F544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G930012 B 2</w:t>
      </w:r>
    </w:p>
    <w:p w14:paraId="2190B80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G930015 B 1</w:t>
      </w:r>
    </w:p>
    <w:p w14:paraId="47F1B48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G930017 B 2</w:t>
      </w:r>
    </w:p>
    <w:p w14:paraId="1EA73E7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G930018 B 2</w:t>
      </w:r>
    </w:p>
    <w:p w14:paraId="11132CA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G930023 B 2</w:t>
      </w:r>
    </w:p>
    <w:p w14:paraId="27A4AD9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G930024 B 1</w:t>
      </w:r>
    </w:p>
    <w:p w14:paraId="73A4C9D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G930026 B 2</w:t>
      </w:r>
    </w:p>
    <w:p w14:paraId="13E0B96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G930029 B 4</w:t>
      </w:r>
    </w:p>
    <w:p w14:paraId="2F34FB4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G930030 B 3</w:t>
      </w:r>
    </w:p>
    <w:p w14:paraId="1E98DDB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G930031 B 3</w:t>
      </w:r>
    </w:p>
    <w:p w14:paraId="697E5FD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G930032 B 1</w:t>
      </w:r>
    </w:p>
    <w:p w14:paraId="302EA07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G930036 B 2</w:t>
      </w:r>
    </w:p>
    <w:p w14:paraId="07CE5F9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G930037 B 2</w:t>
      </w:r>
    </w:p>
    <w:p w14:paraId="133577A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G930039 B 2</w:t>
      </w:r>
    </w:p>
    <w:p w14:paraId="053BEEB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G930041 B 6</w:t>
      </w:r>
    </w:p>
    <w:p w14:paraId="6741293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G930043 B 4</w:t>
      </w:r>
    </w:p>
    <w:p w14:paraId="49D7C55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G930045 B 4</w:t>
      </w:r>
    </w:p>
    <w:p w14:paraId="75B9FBE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G930053 B 4</w:t>
      </w:r>
    </w:p>
    <w:p w14:paraId="7B00FB2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G930054 A 2</w:t>
      </w:r>
    </w:p>
    <w:p w14:paraId="6FB09A6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G930057 B 6</w:t>
      </w:r>
    </w:p>
    <w:p w14:paraId="651F5B8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G930058 B 2</w:t>
      </w:r>
    </w:p>
    <w:p w14:paraId="7F06E6E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G930061 B 1</w:t>
      </w:r>
    </w:p>
    <w:p w14:paraId="46D4900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G930062 B 1</w:t>
      </w:r>
    </w:p>
    <w:p w14:paraId="63A6E05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G930063 A 1</w:t>
      </w:r>
    </w:p>
    <w:p w14:paraId="13F879F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G930069 B 1</w:t>
      </w:r>
    </w:p>
    <w:p w14:paraId="3E6BB9D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G930071 B 2</w:t>
      </w:r>
    </w:p>
    <w:p w14:paraId="45C5676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G930073 B 3</w:t>
      </w:r>
    </w:p>
    <w:p w14:paraId="411C2B9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G930074 B 2</w:t>
      </w:r>
    </w:p>
    <w:p w14:paraId="70C1058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G930075 B 2</w:t>
      </w:r>
    </w:p>
    <w:p w14:paraId="13A03A92">
      <w:pPr>
        <w:widowControl/>
        <w:jc w:val="left"/>
        <w:rPr>
          <w:rFonts w:ascii="Arial" w:hAnsi="Arial" w:eastAsia="Courier New" w:cs="Arial"/>
          <w:sz w:val="24"/>
          <w:szCs w:val="24"/>
        </w:rPr>
      </w:pPr>
      <w:r>
        <w:rPr>
          <w:rFonts w:ascii="Arial" w:hAnsi="Arial" w:cs="Arial"/>
          <w:sz w:val="24"/>
          <w:szCs w:val="24"/>
        </w:rPr>
        <w:br w:type="page"/>
      </w:r>
    </w:p>
    <w:p w14:paraId="37FE562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G930076 B 2</w:t>
      </w:r>
    </w:p>
    <w:p w14:paraId="333ADF1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G930077 B 3</w:t>
      </w:r>
    </w:p>
    <w:p w14:paraId="748E656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G930078 B 2</w:t>
      </w:r>
    </w:p>
    <w:p w14:paraId="15D502A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G930079 B 4</w:t>
      </w:r>
    </w:p>
    <w:p w14:paraId="27D3793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G930081 B 2</w:t>
      </w:r>
    </w:p>
    <w:p w14:paraId="76DEF85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G930082 B 2</w:t>
      </w:r>
    </w:p>
    <w:p w14:paraId="62E92F7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G930084 B 4</w:t>
      </w:r>
    </w:p>
    <w:p w14:paraId="26CFB63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G930085 B 1</w:t>
      </w:r>
    </w:p>
    <w:p w14:paraId="098D18D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G930086 B 2</w:t>
      </w:r>
    </w:p>
    <w:p w14:paraId="04FFD6C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G930087 B 4</w:t>
      </w:r>
    </w:p>
    <w:p w14:paraId="65DFCA9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G930090 B 2</w:t>
      </w:r>
    </w:p>
    <w:p w14:paraId="556AE59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G930091 B 2</w:t>
      </w:r>
    </w:p>
    <w:p w14:paraId="00F654D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G930092 A 1</w:t>
      </w:r>
    </w:p>
    <w:p w14:paraId="0522133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G930097 B 2</w:t>
      </w:r>
    </w:p>
    <w:p w14:paraId="07485E5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G930099 B 3</w:t>
      </w:r>
    </w:p>
    <w:p w14:paraId="7E58969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G930102 B 4</w:t>
      </w:r>
    </w:p>
    <w:p w14:paraId="2795488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G930104 B 2</w:t>
      </w:r>
    </w:p>
    <w:p w14:paraId="250B367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G930107 B 2</w:t>
      </w:r>
    </w:p>
    <w:p w14:paraId="3A3600A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G930108 B 4</w:t>
      </w:r>
    </w:p>
    <w:p w14:paraId="44C4A73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G930109 B 3</w:t>
      </w:r>
    </w:p>
    <w:p w14:paraId="474FD5E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G930113 B 2</w:t>
      </w:r>
    </w:p>
    <w:p w14:paraId="5CCEC2F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G930114 B 2</w:t>
      </w:r>
    </w:p>
    <w:p w14:paraId="031B07E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G930115 A 2</w:t>
      </w:r>
    </w:p>
    <w:p w14:paraId="3F09FD6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G930116 B 4</w:t>
      </w:r>
    </w:p>
    <w:p w14:paraId="7D4B613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G930117 B 2</w:t>
      </w:r>
    </w:p>
    <w:p w14:paraId="4FDE459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G930119 B 3</w:t>
      </w:r>
    </w:p>
    <w:p w14:paraId="1D1F8E7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G930121 B 2</w:t>
      </w:r>
    </w:p>
    <w:p w14:paraId="5EA8327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G930127 B 3</w:t>
      </w:r>
    </w:p>
    <w:p w14:paraId="75A48F3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G930129 B 2</w:t>
      </w:r>
    </w:p>
    <w:p w14:paraId="451618B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G930130 B 1</w:t>
      </w:r>
    </w:p>
    <w:p w14:paraId="7BBF6DC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G930135 B 2</w:t>
      </w:r>
    </w:p>
    <w:p w14:paraId="79E4A10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G930136 A 1</w:t>
      </w:r>
    </w:p>
    <w:p w14:paraId="5302429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G930137 B 2</w:t>
      </w:r>
    </w:p>
    <w:p w14:paraId="18C070F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G930140 A 1</w:t>
      </w:r>
    </w:p>
    <w:p w14:paraId="29BBA29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G930141 B 2</w:t>
      </w:r>
    </w:p>
    <w:p w14:paraId="1E58ED9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G930142 B 4</w:t>
      </w:r>
    </w:p>
    <w:p w14:paraId="549FB44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G930143 B 6</w:t>
      </w:r>
    </w:p>
    <w:p w14:paraId="0DD44D1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G930146 B 6</w:t>
      </w:r>
    </w:p>
    <w:p w14:paraId="249DDC1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G930147 B 2</w:t>
      </w:r>
    </w:p>
    <w:p w14:paraId="5710764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G930150 B 4</w:t>
      </w:r>
    </w:p>
    <w:p w14:paraId="2D96768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G930151 B 4</w:t>
      </w:r>
    </w:p>
    <w:p w14:paraId="1281650B">
      <w:pPr>
        <w:widowControl/>
        <w:jc w:val="left"/>
        <w:rPr>
          <w:rFonts w:ascii="Arial" w:hAnsi="Arial" w:eastAsia="Courier New" w:cs="Arial"/>
          <w:sz w:val="24"/>
          <w:szCs w:val="24"/>
        </w:rPr>
      </w:pPr>
      <w:r>
        <w:rPr>
          <w:rFonts w:ascii="Arial" w:hAnsi="Arial" w:cs="Arial"/>
          <w:sz w:val="24"/>
          <w:szCs w:val="24"/>
        </w:rPr>
        <w:br w:type="page"/>
      </w:r>
    </w:p>
    <w:p w14:paraId="004E191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G930152 B 4</w:t>
      </w:r>
    </w:p>
    <w:p w14:paraId="4F2597D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G930154 B 2</w:t>
      </w:r>
    </w:p>
    <w:p w14:paraId="703E0E8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G930155 A 1</w:t>
      </w:r>
    </w:p>
    <w:p w14:paraId="17C15FD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G930159 B 2</w:t>
      </w:r>
    </w:p>
    <w:p w14:paraId="70857C8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G930160 B 1</w:t>
      </w:r>
    </w:p>
    <w:p w14:paraId="4C087D8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G930162 B 2</w:t>
      </w:r>
    </w:p>
    <w:p w14:paraId="7CC4560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G930163 B 2</w:t>
      </w:r>
    </w:p>
    <w:p w14:paraId="1324DD9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G930165 B 4</w:t>
      </w:r>
    </w:p>
    <w:p w14:paraId="08552F7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G930166 B 2</w:t>
      </w:r>
    </w:p>
    <w:p w14:paraId="470B952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G930167 B 1</w:t>
      </w:r>
    </w:p>
    <w:p w14:paraId="226571E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G930168 B 1</w:t>
      </w:r>
    </w:p>
    <w:p w14:paraId="28CF6D0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G930169 B 2</w:t>
      </w:r>
    </w:p>
    <w:p w14:paraId="3895A12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G930172 B 4</w:t>
      </w:r>
    </w:p>
    <w:p w14:paraId="5F53E3D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G930173 B 4</w:t>
      </w:r>
    </w:p>
    <w:p w14:paraId="3059131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G930174 B 4</w:t>
      </w:r>
    </w:p>
    <w:p w14:paraId="643F0F1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G930175 B 2</w:t>
      </w:r>
    </w:p>
    <w:p w14:paraId="62337B4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G930176 B 2</w:t>
      </w:r>
    </w:p>
    <w:p w14:paraId="6C0CAE3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G930178 B 4</w:t>
      </w:r>
    </w:p>
    <w:p w14:paraId="3D84CEB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G930180 B 1</w:t>
      </w:r>
    </w:p>
    <w:p w14:paraId="2AFA649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G930182 B 3</w:t>
      </w:r>
    </w:p>
    <w:p w14:paraId="62F2049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G930183 B 2</w:t>
      </w:r>
    </w:p>
    <w:p w14:paraId="79A6175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G930184 B 1</w:t>
      </w:r>
    </w:p>
    <w:p w14:paraId="73DAA80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G930185 B 3</w:t>
      </w:r>
    </w:p>
    <w:p w14:paraId="266C96D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G930187 B 3</w:t>
      </w:r>
    </w:p>
    <w:p w14:paraId="2EE48E6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G930188 B 1</w:t>
      </w:r>
    </w:p>
    <w:p w14:paraId="1137D16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G930190 A 2</w:t>
      </w:r>
    </w:p>
    <w:p w14:paraId="2568F09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G930191 B 4</w:t>
      </w:r>
    </w:p>
    <w:p w14:paraId="45E20BE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G930192 A 2</w:t>
      </w:r>
    </w:p>
    <w:p w14:paraId="0BF0326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G930194 B 1</w:t>
      </w:r>
    </w:p>
    <w:p w14:paraId="18C97E5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G930196 B 2</w:t>
      </w:r>
    </w:p>
    <w:p w14:paraId="04FFC36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G930198 B 4</w:t>
      </w:r>
    </w:p>
    <w:p w14:paraId="62F8991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G930201 B 2</w:t>
      </w:r>
    </w:p>
    <w:p w14:paraId="7616E50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G930204 B 6</w:t>
      </w:r>
    </w:p>
    <w:p w14:paraId="675DCC5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G930208 B 4</w:t>
      </w:r>
    </w:p>
    <w:p w14:paraId="1474C3F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G930209 B 3</w:t>
      </w:r>
    </w:p>
    <w:p w14:paraId="5E8E30C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G930210 B 2</w:t>
      </w:r>
    </w:p>
    <w:p w14:paraId="0FF1DA3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G930213 B 2</w:t>
      </w:r>
    </w:p>
    <w:p w14:paraId="4C4C87D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G940001 A 1</w:t>
      </w:r>
    </w:p>
    <w:p w14:paraId="2F03BDC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G940002 B 4</w:t>
      </w:r>
    </w:p>
    <w:p w14:paraId="3D94A5D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G940003 B 3</w:t>
      </w:r>
    </w:p>
    <w:p w14:paraId="0AAA9FB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G940004 B 3</w:t>
      </w:r>
    </w:p>
    <w:p w14:paraId="79C8E03B">
      <w:pPr>
        <w:widowControl/>
        <w:jc w:val="left"/>
        <w:rPr>
          <w:rFonts w:ascii="Arial" w:hAnsi="Arial" w:eastAsia="Courier New" w:cs="Arial"/>
          <w:sz w:val="24"/>
          <w:szCs w:val="24"/>
        </w:rPr>
      </w:pPr>
      <w:r>
        <w:rPr>
          <w:rFonts w:ascii="Arial" w:hAnsi="Arial" w:cs="Arial"/>
          <w:sz w:val="24"/>
          <w:szCs w:val="24"/>
        </w:rPr>
        <w:br w:type="page"/>
      </w:r>
    </w:p>
    <w:p w14:paraId="4EBEFAD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G940005 B 3</w:t>
      </w:r>
    </w:p>
    <w:p w14:paraId="0FA8DFA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G940006 B 1</w:t>
      </w:r>
    </w:p>
    <w:p w14:paraId="5C988DD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G940008 B 3</w:t>
      </w:r>
    </w:p>
    <w:p w14:paraId="638737B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G940009 B 3</w:t>
      </w:r>
    </w:p>
    <w:p w14:paraId="55715EE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G940012 B 2</w:t>
      </w:r>
    </w:p>
    <w:p w14:paraId="7953256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G940015 B 3</w:t>
      </w:r>
    </w:p>
    <w:p w14:paraId="05CDC31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G940019 B 2</w:t>
      </w:r>
    </w:p>
    <w:p w14:paraId="41C1524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G940020 B 6</w:t>
      </w:r>
    </w:p>
    <w:p w14:paraId="307EEF6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G940022 B 1</w:t>
      </w:r>
    </w:p>
    <w:p w14:paraId="10B2E1F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G940023 B 3</w:t>
      </w:r>
    </w:p>
    <w:p w14:paraId="3993864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G940024 A 1</w:t>
      </w:r>
    </w:p>
    <w:p w14:paraId="6B92A7C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G940026 B 3</w:t>
      </w:r>
    </w:p>
    <w:p w14:paraId="743A9B2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G940027 B 2</w:t>
      </w:r>
    </w:p>
    <w:p w14:paraId="075E698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G940030 B 4</w:t>
      </w:r>
    </w:p>
    <w:p w14:paraId="4C0240F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G940031 B 2</w:t>
      </w:r>
    </w:p>
    <w:p w14:paraId="0D83526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G940032 B 2</w:t>
      </w:r>
    </w:p>
    <w:p w14:paraId="01FCC08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G940033 B 6</w:t>
      </w:r>
    </w:p>
    <w:p w14:paraId="58732B6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G940034 B 2</w:t>
      </w:r>
    </w:p>
    <w:p w14:paraId="5555BE6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G940036 B 4</w:t>
      </w:r>
    </w:p>
    <w:p w14:paraId="5576630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G940038 B 2</w:t>
      </w:r>
    </w:p>
    <w:p w14:paraId="39C2468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G940040 B 1</w:t>
      </w:r>
    </w:p>
    <w:p w14:paraId="6D17B4D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G940041 B 1</w:t>
      </w:r>
    </w:p>
    <w:p w14:paraId="41810D6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G940042 B 2</w:t>
      </w:r>
    </w:p>
    <w:p w14:paraId="0EECAB0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G940043 B 4</w:t>
      </w:r>
    </w:p>
    <w:p w14:paraId="2868CC6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G940044 B 2</w:t>
      </w:r>
    </w:p>
    <w:p w14:paraId="57768E7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G940045 B 1</w:t>
      </w:r>
    </w:p>
    <w:p w14:paraId="7A445F8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G940050 B 2</w:t>
      </w:r>
    </w:p>
    <w:p w14:paraId="2C11478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G940051 B 4</w:t>
      </w:r>
    </w:p>
    <w:p w14:paraId="2DF3157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G940052 B 2</w:t>
      </w:r>
    </w:p>
    <w:p w14:paraId="618C1C6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G940056 B 4</w:t>
      </w:r>
    </w:p>
    <w:p w14:paraId="572A538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G940058 B 2</w:t>
      </w:r>
    </w:p>
    <w:p w14:paraId="0DD3B0D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G940059 B 4</w:t>
      </w:r>
    </w:p>
    <w:p w14:paraId="0D3434E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G940060 B 1</w:t>
      </w:r>
    </w:p>
    <w:p w14:paraId="26DE1AA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G940061 B 4</w:t>
      </w:r>
    </w:p>
    <w:p w14:paraId="31B1038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G940063 B 2</w:t>
      </w:r>
    </w:p>
    <w:p w14:paraId="6EE15F3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G940064 B 4</w:t>
      </w:r>
    </w:p>
    <w:p w14:paraId="570E562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G940065 B 4</w:t>
      </w:r>
    </w:p>
    <w:p w14:paraId="5C0D327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G940066 B 3</w:t>
      </w:r>
    </w:p>
    <w:p w14:paraId="015721C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G940067 B 4</w:t>
      </w:r>
    </w:p>
    <w:p w14:paraId="06B7C1D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G940069 B 2</w:t>
      </w:r>
    </w:p>
    <w:p w14:paraId="5294E45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G940070 B 1</w:t>
      </w:r>
    </w:p>
    <w:p w14:paraId="3AEB476A">
      <w:pPr>
        <w:widowControl/>
        <w:jc w:val="left"/>
        <w:rPr>
          <w:rFonts w:ascii="Arial" w:hAnsi="Arial" w:eastAsia="Courier New" w:cs="Arial"/>
          <w:sz w:val="24"/>
          <w:szCs w:val="24"/>
        </w:rPr>
      </w:pPr>
      <w:r>
        <w:rPr>
          <w:rFonts w:ascii="Arial" w:hAnsi="Arial" w:cs="Arial"/>
          <w:sz w:val="24"/>
          <w:szCs w:val="24"/>
        </w:rPr>
        <w:br w:type="page"/>
      </w:r>
    </w:p>
    <w:p w14:paraId="3508FDF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G940071 B 3</w:t>
      </w:r>
    </w:p>
    <w:p w14:paraId="3504B85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G940072 B 3</w:t>
      </w:r>
    </w:p>
    <w:p w14:paraId="11219F6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G940073 B 2</w:t>
      </w:r>
    </w:p>
    <w:p w14:paraId="51EC0CA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G940075 B 1</w:t>
      </w:r>
    </w:p>
    <w:p w14:paraId="67AF2AC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G940076 B 1</w:t>
      </w:r>
    </w:p>
    <w:p w14:paraId="4608FDA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G940077 B 3</w:t>
      </w:r>
    </w:p>
    <w:p w14:paraId="61F7654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G940084 A 2</w:t>
      </w:r>
    </w:p>
    <w:p w14:paraId="6AF43EE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G940085 B 2</w:t>
      </w:r>
    </w:p>
    <w:p w14:paraId="371F4C3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G940086 B 3</w:t>
      </w:r>
    </w:p>
    <w:p w14:paraId="46BC8BE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G940087 B 3</w:t>
      </w:r>
    </w:p>
    <w:p w14:paraId="4A505BF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G940088 A 2</w:t>
      </w:r>
    </w:p>
    <w:p w14:paraId="07E5B36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G940089 B 2</w:t>
      </w:r>
    </w:p>
    <w:p w14:paraId="1221577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G940090 B 4</w:t>
      </w:r>
    </w:p>
    <w:p w14:paraId="2425DF5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G940091 B 1</w:t>
      </w:r>
    </w:p>
    <w:p w14:paraId="5BF5649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G940092 B 6</w:t>
      </w:r>
    </w:p>
    <w:p w14:paraId="7020F53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G940093 B 2</w:t>
      </w:r>
    </w:p>
    <w:p w14:paraId="3B6BD1D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G940094 B 3</w:t>
      </w:r>
    </w:p>
    <w:p w14:paraId="325EDC6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G940096 B 3</w:t>
      </w:r>
    </w:p>
    <w:p w14:paraId="7C3B5D4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G940101 B 1</w:t>
      </w:r>
    </w:p>
    <w:p w14:paraId="0C7717A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G940103 B 1</w:t>
      </w:r>
    </w:p>
    <w:p w14:paraId="4FD45DC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G940105 B 2</w:t>
      </w:r>
    </w:p>
    <w:p w14:paraId="211E86E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G940106 B 1</w:t>
      </w:r>
    </w:p>
    <w:p w14:paraId="2B29AC6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G940107 B 6</w:t>
      </w:r>
    </w:p>
    <w:p w14:paraId="78C6A6A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G940108 B 2</w:t>
      </w:r>
    </w:p>
    <w:p w14:paraId="77F4555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G940110 B 1</w:t>
      </w:r>
    </w:p>
    <w:p w14:paraId="7379FFF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G940111 A 2</w:t>
      </w:r>
    </w:p>
    <w:p w14:paraId="2A5E2E4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G940112 B 2</w:t>
      </w:r>
    </w:p>
    <w:p w14:paraId="7A21470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G940113 B 2</w:t>
      </w:r>
    </w:p>
    <w:p w14:paraId="69ADF7E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G940115 B 6</w:t>
      </w:r>
    </w:p>
    <w:p w14:paraId="520D6E5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G940116 B 1</w:t>
      </w:r>
    </w:p>
    <w:p w14:paraId="684F6D6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G940117 B 3</w:t>
      </w:r>
    </w:p>
    <w:p w14:paraId="4A25DCA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G940119 A 2</w:t>
      </w:r>
    </w:p>
    <w:p w14:paraId="298F5F7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G940120 B 2</w:t>
      </w:r>
    </w:p>
    <w:p w14:paraId="7C4D4B4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G940122 B 1</w:t>
      </w:r>
    </w:p>
    <w:p w14:paraId="3C4E3C8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G940125 B 2</w:t>
      </w:r>
    </w:p>
    <w:p w14:paraId="207527C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G940126 B 2</w:t>
      </w:r>
    </w:p>
    <w:p w14:paraId="4983556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G940127 B 3</w:t>
      </w:r>
    </w:p>
    <w:p w14:paraId="4E7144E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G940131 B 2</w:t>
      </w:r>
    </w:p>
    <w:p w14:paraId="6A6C8FD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G940133 B 1</w:t>
      </w:r>
    </w:p>
    <w:p w14:paraId="61D6B04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G940135 B 1</w:t>
      </w:r>
    </w:p>
    <w:p w14:paraId="04355BB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G940138 B 6</w:t>
      </w:r>
    </w:p>
    <w:p w14:paraId="23CF7E97">
      <w:pPr>
        <w:widowControl/>
        <w:jc w:val="left"/>
        <w:rPr>
          <w:rFonts w:ascii="Arial" w:hAnsi="Arial" w:eastAsia="Courier New" w:cs="Arial"/>
          <w:sz w:val="24"/>
          <w:szCs w:val="24"/>
        </w:rPr>
      </w:pPr>
      <w:r>
        <w:rPr>
          <w:rFonts w:ascii="Arial" w:hAnsi="Arial" w:cs="Arial"/>
          <w:sz w:val="24"/>
          <w:szCs w:val="24"/>
        </w:rPr>
        <w:br w:type="page"/>
      </w:r>
    </w:p>
    <w:p w14:paraId="0E0CB07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G940140 B 6</w:t>
      </w:r>
    </w:p>
    <w:p w14:paraId="17D95F3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G940141 B 4</w:t>
      </w:r>
    </w:p>
    <w:p w14:paraId="09260F4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G940143 B 1</w:t>
      </w:r>
    </w:p>
    <w:p w14:paraId="1425ECC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G940147 B 1</w:t>
      </w:r>
    </w:p>
    <w:p w14:paraId="0DF8F55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G940149 B 1</w:t>
      </w:r>
    </w:p>
    <w:p w14:paraId="22E8F82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G940150 A 1</w:t>
      </w:r>
    </w:p>
    <w:p w14:paraId="5E84B91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G940151 A 2</w:t>
      </w:r>
    </w:p>
    <w:p w14:paraId="24BCDDA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G940154 B 4</w:t>
      </w:r>
    </w:p>
    <w:p w14:paraId="7C8F272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G940155 B 3</w:t>
      </w:r>
    </w:p>
    <w:p w14:paraId="1ADDEFD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G940156 B 3</w:t>
      </w:r>
    </w:p>
    <w:p w14:paraId="4F45E6F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G940157 B 2</w:t>
      </w:r>
    </w:p>
    <w:p w14:paraId="47B9600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G940158 B 2</w:t>
      </w:r>
    </w:p>
    <w:p w14:paraId="2DA4BF8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G940160 B 4</w:t>
      </w:r>
    </w:p>
    <w:p w14:paraId="2454B4F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G940162 B 1</w:t>
      </w:r>
    </w:p>
    <w:p w14:paraId="60AEA15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G940163 B 4</w:t>
      </w:r>
    </w:p>
    <w:p w14:paraId="2671A43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G940164 B 2</w:t>
      </w:r>
    </w:p>
    <w:p w14:paraId="70B5784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G940165 B 4</w:t>
      </w:r>
    </w:p>
    <w:p w14:paraId="7CD3C1E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G940167 B 4</w:t>
      </w:r>
    </w:p>
    <w:p w14:paraId="62C3E9F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G940168 B 2</w:t>
      </w:r>
    </w:p>
    <w:p w14:paraId="10F41B4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G940169 B 1</w:t>
      </w:r>
    </w:p>
    <w:p w14:paraId="7FC7252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G940171 B 3</w:t>
      </w:r>
    </w:p>
    <w:p w14:paraId="15E8D8A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G940172 B 2</w:t>
      </w:r>
    </w:p>
    <w:p w14:paraId="20CD55C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G940176 B 3</w:t>
      </w:r>
    </w:p>
    <w:p w14:paraId="00600FC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G940177 B 2</w:t>
      </w:r>
    </w:p>
    <w:p w14:paraId="004A1B6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G940178 B 3</w:t>
      </w:r>
    </w:p>
    <w:p w14:paraId="3609737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G940184 B 3</w:t>
      </w:r>
    </w:p>
    <w:p w14:paraId="23A0786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G940186 B 2</w:t>
      </w:r>
    </w:p>
    <w:p w14:paraId="5E382B9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G940188 B 3</w:t>
      </w:r>
    </w:p>
    <w:p w14:paraId="2BECF25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G940191 A 1</w:t>
      </w:r>
    </w:p>
    <w:p w14:paraId="3C1A773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G940192 A 1</w:t>
      </w:r>
    </w:p>
    <w:p w14:paraId="5E5CFB0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G940193 B 2</w:t>
      </w:r>
    </w:p>
    <w:p w14:paraId="301751A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G940194 B 3</w:t>
      </w:r>
    </w:p>
    <w:p w14:paraId="09A33A4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G950001 B 1</w:t>
      </w:r>
    </w:p>
    <w:p w14:paraId="560040E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G950002 B 1</w:t>
      </w:r>
    </w:p>
    <w:p w14:paraId="62C7198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G950003 B 4</w:t>
      </w:r>
    </w:p>
    <w:p w14:paraId="0B2B966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G950004 B 4</w:t>
      </w:r>
    </w:p>
    <w:p w14:paraId="2234D98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G950005 B 2</w:t>
      </w:r>
    </w:p>
    <w:p w14:paraId="60893AF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G950006 B 3</w:t>
      </w:r>
    </w:p>
    <w:p w14:paraId="0BA942A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G950009 B 3</w:t>
      </w:r>
    </w:p>
    <w:p w14:paraId="776D9C8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G950010 B 2</w:t>
      </w:r>
    </w:p>
    <w:p w14:paraId="431A23C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G950011 B 1</w:t>
      </w:r>
    </w:p>
    <w:p w14:paraId="0670B3E1">
      <w:pPr>
        <w:widowControl/>
        <w:jc w:val="left"/>
        <w:rPr>
          <w:rFonts w:ascii="Arial" w:hAnsi="Arial" w:eastAsia="Courier New" w:cs="Arial"/>
          <w:sz w:val="24"/>
          <w:szCs w:val="24"/>
        </w:rPr>
      </w:pPr>
      <w:r>
        <w:rPr>
          <w:rFonts w:ascii="Arial" w:hAnsi="Arial" w:cs="Arial"/>
          <w:sz w:val="24"/>
          <w:szCs w:val="24"/>
        </w:rPr>
        <w:br w:type="page"/>
      </w:r>
    </w:p>
    <w:p w14:paraId="5CDA9EF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G950012 B 1</w:t>
      </w:r>
    </w:p>
    <w:p w14:paraId="4A11739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G950013 B 2</w:t>
      </w:r>
    </w:p>
    <w:p w14:paraId="1A8C96D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G950014 B 3</w:t>
      </w:r>
    </w:p>
    <w:p w14:paraId="1E82886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G950015 B 4</w:t>
      </w:r>
    </w:p>
    <w:p w14:paraId="10B86F6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G950016 B 3</w:t>
      </w:r>
    </w:p>
    <w:p w14:paraId="0E977A6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G950017 B 4</w:t>
      </w:r>
    </w:p>
    <w:p w14:paraId="6440423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G950018 B 4</w:t>
      </w:r>
    </w:p>
    <w:p w14:paraId="1038648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G950019 B 3</w:t>
      </w:r>
    </w:p>
    <w:p w14:paraId="5E74C21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G950020 B 1</w:t>
      </w:r>
    </w:p>
    <w:p w14:paraId="4046D7A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G950021 B 1</w:t>
      </w:r>
    </w:p>
    <w:p w14:paraId="78CBFFB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G950023 B 1</w:t>
      </w:r>
    </w:p>
    <w:p w14:paraId="451D74A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G950024 B 1</w:t>
      </w:r>
    </w:p>
    <w:p w14:paraId="161129D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G950025 B 2</w:t>
      </w:r>
    </w:p>
    <w:p w14:paraId="2B7E407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G950026 B 4</w:t>
      </w:r>
    </w:p>
    <w:p w14:paraId="257D0E7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G950027 B 1</w:t>
      </w:r>
    </w:p>
    <w:p w14:paraId="49A1E71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G950028 B 1</w:t>
      </w:r>
    </w:p>
    <w:p w14:paraId="632C409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G950029 B 3</w:t>
      </w:r>
    </w:p>
    <w:p w14:paraId="33B6C0C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G950030 B 1</w:t>
      </w:r>
    </w:p>
    <w:p w14:paraId="050DE5D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G950031 B 1</w:t>
      </w:r>
    </w:p>
    <w:p w14:paraId="01380DC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G950032 B 2</w:t>
      </w:r>
    </w:p>
    <w:p w14:paraId="5E75518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G950033 B 2</w:t>
      </w:r>
    </w:p>
    <w:p w14:paraId="55C47CE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G950034 B 2</w:t>
      </w:r>
    </w:p>
    <w:p w14:paraId="6DF8BAAD">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G950035 B 3</w:t>
      </w:r>
    </w:p>
    <w:p w14:paraId="7A1E7C5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G950037 B 1</w:t>
      </w:r>
    </w:p>
    <w:p w14:paraId="7E956C1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G950038 B 4</w:t>
      </w:r>
    </w:p>
    <w:p w14:paraId="4561E2F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G950040 B 2</w:t>
      </w:r>
    </w:p>
    <w:p w14:paraId="574CE16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G950041 B 3</w:t>
      </w:r>
    </w:p>
    <w:p w14:paraId="3B6F93F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G950043 B 3</w:t>
      </w:r>
    </w:p>
    <w:p w14:paraId="428D48D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G950044 B 2</w:t>
      </w:r>
    </w:p>
    <w:p w14:paraId="4131656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G950045 B 2</w:t>
      </w:r>
    </w:p>
    <w:p w14:paraId="1F0D25A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G950046 B 1</w:t>
      </w:r>
    </w:p>
    <w:p w14:paraId="566B02D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G950047 B 3</w:t>
      </w:r>
    </w:p>
    <w:p w14:paraId="6259A7C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G950048 B 3</w:t>
      </w:r>
    </w:p>
    <w:p w14:paraId="2486992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G950049 B 3</w:t>
      </w:r>
    </w:p>
    <w:p w14:paraId="5AADF31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G950051 B 4</w:t>
      </w:r>
    </w:p>
    <w:p w14:paraId="5E537A3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G950053 B 2</w:t>
      </w:r>
    </w:p>
    <w:p w14:paraId="438581E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G950055 B 2</w:t>
      </w:r>
    </w:p>
    <w:p w14:paraId="73D54B8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G950056 B 1</w:t>
      </w:r>
    </w:p>
    <w:p w14:paraId="58BFD80E">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G950057 B 2</w:t>
      </w:r>
    </w:p>
    <w:p w14:paraId="52D072B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G950058 A 2</w:t>
      </w:r>
    </w:p>
    <w:p w14:paraId="21CDCA5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G950059 B 6</w:t>
      </w:r>
    </w:p>
    <w:p w14:paraId="311DDB22">
      <w:pPr>
        <w:widowControl/>
        <w:jc w:val="left"/>
        <w:rPr>
          <w:rFonts w:ascii="Arial" w:hAnsi="Arial" w:eastAsia="Courier New" w:cs="Arial"/>
          <w:sz w:val="24"/>
          <w:szCs w:val="24"/>
        </w:rPr>
      </w:pPr>
      <w:r>
        <w:rPr>
          <w:rFonts w:ascii="Arial" w:hAnsi="Arial" w:cs="Arial"/>
          <w:sz w:val="24"/>
          <w:szCs w:val="24"/>
        </w:rPr>
        <w:br w:type="page"/>
      </w:r>
    </w:p>
    <w:p w14:paraId="6ED77E9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G950060 B 1</w:t>
      </w:r>
    </w:p>
    <w:p w14:paraId="5C200F5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G950062 A 1</w:t>
      </w:r>
    </w:p>
    <w:p w14:paraId="54F87390">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G950063 B 3</w:t>
      </w:r>
    </w:p>
    <w:p w14:paraId="5A762CA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G950065 B 2</w:t>
      </w:r>
    </w:p>
    <w:p w14:paraId="029D197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G950067 B 2</w:t>
      </w:r>
    </w:p>
    <w:p w14:paraId="5FE655D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G950068 B 1</w:t>
      </w:r>
    </w:p>
    <w:p w14:paraId="2278567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G950069 B 4</w:t>
      </w:r>
    </w:p>
    <w:p w14:paraId="7D996AD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G950072 B 2</w:t>
      </w:r>
    </w:p>
    <w:p w14:paraId="01A4BDF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G950073 B 2</w:t>
      </w:r>
    </w:p>
    <w:p w14:paraId="2819140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G950074 B 3</w:t>
      </w:r>
    </w:p>
    <w:p w14:paraId="65226C8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G950075 B 4</w:t>
      </w:r>
    </w:p>
    <w:p w14:paraId="74AAFC9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G950076 B 2</w:t>
      </w:r>
    </w:p>
    <w:p w14:paraId="5EA8A77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G950077 B 1</w:t>
      </w:r>
    </w:p>
    <w:p w14:paraId="072D30B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G950078 B 3</w:t>
      </w:r>
    </w:p>
    <w:p w14:paraId="6BB27D9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G950080 B 3</w:t>
      </w:r>
    </w:p>
    <w:p w14:paraId="39893B5C">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G950081 B 3</w:t>
      </w:r>
    </w:p>
    <w:p w14:paraId="60B71E1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G950083 A 2</w:t>
      </w:r>
    </w:p>
    <w:p w14:paraId="6C0A9193">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G950084 B 3</w:t>
      </w:r>
    </w:p>
    <w:p w14:paraId="6C7FB53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G950086 B 2</w:t>
      </w:r>
    </w:p>
    <w:p w14:paraId="7A576F0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G950087 B 3</w:t>
      </w:r>
    </w:p>
    <w:p w14:paraId="074AF8A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G950088 B 1</w:t>
      </w:r>
    </w:p>
    <w:p w14:paraId="6231A61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G950089 B 4</w:t>
      </w:r>
    </w:p>
    <w:p w14:paraId="25BD7329">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G950092 B 1</w:t>
      </w:r>
    </w:p>
    <w:p w14:paraId="6FF7A536">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G950093 A 1</w:t>
      </w:r>
    </w:p>
    <w:p w14:paraId="0A8A071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G950095 B 4</w:t>
      </w:r>
    </w:p>
    <w:p w14:paraId="6C3F14EF">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G950096 A 1</w:t>
      </w:r>
    </w:p>
    <w:p w14:paraId="4B13004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G950098 B 1</w:t>
      </w:r>
    </w:p>
    <w:p w14:paraId="32FE430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G950099 B 2</w:t>
      </w:r>
    </w:p>
    <w:p w14:paraId="5F5EA6A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G950101 B 2</w:t>
      </w:r>
    </w:p>
    <w:p w14:paraId="4D2C5492">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G950104 B 4</w:t>
      </w:r>
    </w:p>
    <w:p w14:paraId="38B54134">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G950106 B 4</w:t>
      </w:r>
    </w:p>
    <w:p w14:paraId="1C932B6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G950107 B 3</w:t>
      </w:r>
    </w:p>
    <w:p w14:paraId="54F4DB2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G950108 B 4</w:t>
      </w:r>
    </w:p>
    <w:p w14:paraId="5087F44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G950109 B 6</w:t>
      </w:r>
    </w:p>
    <w:p w14:paraId="0AB33FD5">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G950110 B 6</w:t>
      </w:r>
    </w:p>
    <w:p w14:paraId="19A48168">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G950111 B 2</w:t>
      </w:r>
    </w:p>
    <w:p w14:paraId="57054101">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G950113 B 4</w:t>
      </w:r>
    </w:p>
    <w:p w14:paraId="7F9BB57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G950114 B 4</w:t>
      </w:r>
    </w:p>
    <w:p w14:paraId="138DFBAA">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G950116 B 4</w:t>
      </w:r>
    </w:p>
    <w:p w14:paraId="48FC6347">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G950117 B 2</w:t>
      </w:r>
    </w:p>
    <w:p w14:paraId="58DC339E">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G950118 B </w:t>
      </w:r>
      <w:r>
        <w:rPr>
          <w:rFonts w:ascii="Arial" w:hAnsi="Arial" w:cs="Arial"/>
          <w:spacing w:val="0"/>
          <w:sz w:val="24"/>
          <w:szCs w:val="24"/>
          <w:lang w:val="de"/>
        </w:rPr>
        <w:t>4</w:t>
      </w:r>
    </w:p>
    <w:p w14:paraId="291BFC8B">
      <w:pPr>
        <w:widowControl/>
        <w:snapToGrid w:val="0"/>
        <w:spacing w:line="300" w:lineRule="auto"/>
        <w:jc w:val="left"/>
        <w:rPr>
          <w:rFonts w:ascii="Arial" w:hAnsi="Arial" w:eastAsia="宋体" w:cs="Arial"/>
          <w:sz w:val="24"/>
          <w:szCs w:val="24"/>
        </w:rPr>
      </w:pPr>
      <w:r>
        <w:rPr>
          <w:rFonts w:ascii="Arial" w:hAnsi="Arial" w:eastAsia="宋体" w:cs="Arial"/>
          <w:sz w:val="24"/>
          <w:szCs w:val="24"/>
        </w:rPr>
        <w:br w:type="page"/>
      </w:r>
    </w:p>
    <w:p w14:paraId="188E5E88">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G950120 B 1 </w:t>
      </w:r>
    </w:p>
    <w:p w14:paraId="642AC3D7">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G950122 B 2 </w:t>
      </w:r>
    </w:p>
    <w:p w14:paraId="63B0EEC5">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G950123 </w:t>
      </w:r>
      <w:r>
        <w:rPr>
          <w:rFonts w:ascii="Arial" w:hAnsi="Arial" w:cs="Arial"/>
          <w:spacing w:val="0"/>
          <w:sz w:val="24"/>
          <w:szCs w:val="24"/>
          <w:lang w:val="fr"/>
        </w:rPr>
        <w:t xml:space="preserve">B </w:t>
      </w:r>
      <w:r>
        <w:rPr>
          <w:rFonts w:ascii="Arial" w:hAnsi="Arial" w:cs="Arial"/>
          <w:spacing w:val="0"/>
          <w:sz w:val="24"/>
          <w:szCs w:val="24"/>
        </w:rPr>
        <w:t xml:space="preserve">1 </w:t>
      </w:r>
    </w:p>
    <w:p w14:paraId="3BD141BB">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G950124 </w:t>
      </w:r>
      <w:r>
        <w:rPr>
          <w:rFonts w:ascii="Arial" w:hAnsi="Arial" w:cs="Arial"/>
          <w:spacing w:val="0"/>
          <w:sz w:val="24"/>
          <w:szCs w:val="24"/>
          <w:lang w:val="fr"/>
        </w:rPr>
        <w:t xml:space="preserve">B </w:t>
      </w:r>
      <w:r>
        <w:rPr>
          <w:rFonts w:ascii="Arial" w:hAnsi="Arial" w:cs="Arial"/>
          <w:spacing w:val="0"/>
          <w:sz w:val="24"/>
          <w:szCs w:val="24"/>
        </w:rPr>
        <w:t xml:space="preserve">1 </w:t>
      </w:r>
    </w:p>
    <w:p w14:paraId="79F6F12C">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G950125 B 2 </w:t>
      </w:r>
    </w:p>
    <w:p w14:paraId="3AC37D7F">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G950127 B 4 </w:t>
      </w:r>
    </w:p>
    <w:p w14:paraId="6A6650D4">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G950130 B 4 </w:t>
      </w:r>
    </w:p>
    <w:p w14:paraId="5EB1886B">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G950131 B 4 </w:t>
      </w:r>
    </w:p>
    <w:p w14:paraId="2120783D">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G950133 B 4 </w:t>
      </w:r>
    </w:p>
    <w:p w14:paraId="3719A397">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G950134 B 2 </w:t>
      </w:r>
    </w:p>
    <w:p w14:paraId="05ECEA61">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G950135 B 2 </w:t>
      </w:r>
    </w:p>
    <w:p w14:paraId="2367936A">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G950137 B 4 </w:t>
      </w:r>
    </w:p>
    <w:p w14:paraId="275D7540">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G950139 B 2 </w:t>
      </w:r>
    </w:p>
    <w:p w14:paraId="76AB9176">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G950146 B 3 </w:t>
      </w:r>
    </w:p>
    <w:p w14:paraId="059E1692">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G950148 </w:t>
      </w:r>
      <w:r>
        <w:rPr>
          <w:rFonts w:ascii="Arial" w:hAnsi="Arial" w:cs="Arial"/>
          <w:spacing w:val="0"/>
          <w:sz w:val="24"/>
          <w:szCs w:val="24"/>
          <w:lang w:val="fr"/>
        </w:rPr>
        <w:t xml:space="preserve">B </w:t>
      </w:r>
      <w:r>
        <w:rPr>
          <w:rFonts w:ascii="Arial" w:hAnsi="Arial" w:cs="Arial"/>
          <w:spacing w:val="0"/>
          <w:sz w:val="24"/>
          <w:szCs w:val="24"/>
        </w:rPr>
        <w:t xml:space="preserve">1 </w:t>
      </w:r>
    </w:p>
    <w:p w14:paraId="21D4C5D3">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G950149 B 2 </w:t>
      </w:r>
    </w:p>
    <w:p w14:paraId="3385E4BB">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G950150 B 4 </w:t>
      </w:r>
    </w:p>
    <w:p w14:paraId="74B0F7AB">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G950151 B 4 </w:t>
      </w:r>
    </w:p>
    <w:p w14:paraId="3DD8C2D2">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G950154 B 3 </w:t>
      </w:r>
    </w:p>
    <w:p w14:paraId="60A857D8">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G950159 B 4 </w:t>
      </w:r>
    </w:p>
    <w:p w14:paraId="46AD6A54">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G950160 </w:t>
      </w:r>
      <w:r>
        <w:rPr>
          <w:rFonts w:ascii="Arial" w:hAnsi="Arial" w:cs="Arial"/>
          <w:spacing w:val="0"/>
          <w:sz w:val="24"/>
          <w:szCs w:val="24"/>
          <w:lang w:val="fr"/>
        </w:rPr>
        <w:t xml:space="preserve">B </w:t>
      </w:r>
      <w:r>
        <w:rPr>
          <w:rFonts w:ascii="Arial" w:hAnsi="Arial" w:cs="Arial"/>
          <w:spacing w:val="0"/>
          <w:sz w:val="24"/>
          <w:szCs w:val="24"/>
        </w:rPr>
        <w:t xml:space="preserve">1 </w:t>
      </w:r>
    </w:p>
    <w:p w14:paraId="543A4C0D">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G950162 B 3 </w:t>
      </w:r>
    </w:p>
    <w:p w14:paraId="291E8713">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G950164 B 3 </w:t>
      </w:r>
    </w:p>
    <w:p w14:paraId="4DC40C86">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L002702 A 1 </w:t>
      </w:r>
    </w:p>
    <w:p w14:paraId="1CBB3962">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L010038 </w:t>
      </w:r>
      <w:r>
        <w:rPr>
          <w:rFonts w:ascii="Arial" w:hAnsi="Arial" w:cs="Arial"/>
          <w:spacing w:val="0"/>
          <w:sz w:val="24"/>
          <w:szCs w:val="24"/>
          <w:lang w:val="fr"/>
        </w:rPr>
        <w:t xml:space="preserve">B </w:t>
      </w:r>
      <w:r>
        <w:rPr>
          <w:rFonts w:ascii="Arial" w:hAnsi="Arial" w:cs="Arial"/>
          <w:spacing w:val="0"/>
          <w:sz w:val="24"/>
          <w:szCs w:val="24"/>
        </w:rPr>
        <w:t xml:space="preserve">1 </w:t>
      </w:r>
    </w:p>
    <w:p w14:paraId="5544F7DE">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L010109 B 2 </w:t>
      </w:r>
    </w:p>
    <w:p w14:paraId="78BBAEC1">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L010119 B 2 </w:t>
      </w:r>
    </w:p>
    <w:p w14:paraId="5C646F3E">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L010598 B 2 </w:t>
      </w:r>
    </w:p>
    <w:p w14:paraId="41F4E6C9">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L010913 B 2 </w:t>
      </w:r>
    </w:p>
    <w:p w14:paraId="0E093C91">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L011828 B 2 </w:t>
      </w:r>
    </w:p>
    <w:p w14:paraId="308E1826">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lang w:val="it"/>
        </w:rPr>
        <w:t>L0</w:t>
      </w:r>
      <w:r>
        <w:rPr>
          <w:rFonts w:ascii="Arial" w:hAnsi="Arial" w:cs="Arial"/>
          <w:spacing w:val="0"/>
          <w:sz w:val="24"/>
          <w:szCs w:val="24"/>
        </w:rPr>
        <w:t xml:space="preserve">13468 B 2 </w:t>
      </w:r>
    </w:p>
    <w:p w14:paraId="1D014E54">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lang w:val="it"/>
        </w:rPr>
        <w:t>L0</w:t>
      </w:r>
      <w:r>
        <w:rPr>
          <w:rFonts w:ascii="Arial" w:hAnsi="Arial" w:cs="Arial"/>
          <w:spacing w:val="0"/>
          <w:sz w:val="24"/>
          <w:szCs w:val="24"/>
        </w:rPr>
        <w:t xml:space="preserve">13469 B 2 </w:t>
      </w:r>
    </w:p>
    <w:p w14:paraId="2489914A">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rPr>
        <w:t xml:space="preserve">L014521 A 1 </w:t>
      </w:r>
    </w:p>
    <w:p w14:paraId="6D966A61">
      <w:pPr>
        <w:pStyle w:val="15"/>
        <w:shd w:val="clear" w:color="auto" w:fill="auto"/>
        <w:snapToGrid w:val="0"/>
        <w:spacing w:after="0" w:line="300" w:lineRule="auto"/>
        <w:jc w:val="left"/>
        <w:rPr>
          <w:rFonts w:ascii="Arial" w:hAnsi="Arial" w:cs="Arial" w:eastAsiaTheme="minorEastAsia"/>
          <w:spacing w:val="0"/>
          <w:sz w:val="24"/>
          <w:szCs w:val="24"/>
        </w:rPr>
      </w:pPr>
      <w:r>
        <w:rPr>
          <w:rFonts w:ascii="Arial" w:hAnsi="Arial" w:cs="Arial"/>
          <w:spacing w:val="0"/>
          <w:sz w:val="24"/>
          <w:szCs w:val="24"/>
          <w:lang w:val="it"/>
        </w:rPr>
        <w:t>L0</w:t>
      </w:r>
      <w:r>
        <w:rPr>
          <w:rFonts w:ascii="Arial" w:hAnsi="Arial" w:cs="Arial"/>
          <w:spacing w:val="0"/>
          <w:sz w:val="24"/>
          <w:szCs w:val="24"/>
        </w:rPr>
        <w:t xml:space="preserve">16548 </w:t>
      </w:r>
      <w:r>
        <w:rPr>
          <w:rFonts w:ascii="Arial" w:hAnsi="Arial" w:cs="Arial"/>
          <w:spacing w:val="0"/>
          <w:sz w:val="24"/>
          <w:szCs w:val="24"/>
          <w:lang w:val="fr"/>
        </w:rPr>
        <w:t xml:space="preserve">B </w:t>
      </w:r>
      <w:r>
        <w:rPr>
          <w:rFonts w:ascii="Arial" w:hAnsi="Arial" w:cs="Arial"/>
          <w:spacing w:val="0"/>
          <w:sz w:val="24"/>
          <w:szCs w:val="24"/>
        </w:rPr>
        <w:t xml:space="preserve">1 </w:t>
      </w:r>
    </w:p>
    <w:p w14:paraId="4D0A0AEB">
      <w:pPr>
        <w:pStyle w:val="15"/>
        <w:shd w:val="clear" w:color="auto" w:fill="auto"/>
        <w:snapToGrid w:val="0"/>
        <w:spacing w:after="0" w:line="300" w:lineRule="auto"/>
        <w:jc w:val="left"/>
        <w:rPr>
          <w:rFonts w:ascii="Arial" w:hAnsi="Arial" w:cs="Arial"/>
          <w:spacing w:val="0"/>
          <w:sz w:val="24"/>
          <w:szCs w:val="24"/>
        </w:rPr>
      </w:pPr>
      <w:r>
        <w:rPr>
          <w:rFonts w:ascii="Arial" w:hAnsi="Arial" w:cs="Arial"/>
          <w:spacing w:val="0"/>
          <w:sz w:val="24"/>
          <w:szCs w:val="24"/>
        </w:rPr>
        <w:t>L017238 B 3</w:t>
      </w:r>
    </w:p>
    <w:p w14:paraId="4D4D309F">
      <w:pPr>
        <w:tabs>
          <w:tab w:val="left" w:pos="3010"/>
        </w:tabs>
        <w:snapToGrid w:val="0"/>
        <w:spacing w:line="300" w:lineRule="auto"/>
        <w:ind w:right="4502" w:rightChars="2144"/>
        <w:rPr>
          <w:rFonts w:ascii="Arial" w:hAnsi="Arial" w:eastAsia="宋体" w:cs="Arial"/>
          <w:sz w:val="24"/>
          <w:szCs w:val="24"/>
        </w:rPr>
      </w:pPr>
    </w:p>
    <w:p w14:paraId="7E83C965">
      <w:pPr>
        <w:widowControl/>
        <w:jc w:val="left"/>
        <w:rPr>
          <w:rFonts w:ascii="Arial" w:hAnsi="Arial" w:cs="Arial"/>
          <w:sz w:val="24"/>
          <w:szCs w:val="24"/>
        </w:rPr>
      </w:pPr>
    </w:p>
    <w:tbl>
      <w:tblPr>
        <w:tblStyle w:val="7"/>
        <w:tblW w:w="0" w:type="auto"/>
        <w:tblInd w:w="0" w:type="dxa"/>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Layout w:type="autofit"/>
        <w:tblCellMar>
          <w:top w:w="0" w:type="dxa"/>
          <w:left w:w="108" w:type="dxa"/>
          <w:bottom w:w="0" w:type="dxa"/>
          <w:right w:w="108" w:type="dxa"/>
        </w:tblCellMar>
      </w:tblPr>
      <w:tblGrid>
        <w:gridCol w:w="9245"/>
      </w:tblGrid>
      <w:tr w14:paraId="66533DA5">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9245" w:type="dxa"/>
            <w:tcBorders>
              <w:top w:val="single" w:color="5B9BD5" w:themeColor="accent1" w:sz="12" w:space="0"/>
              <w:left w:val="single" w:color="5B9BD5" w:themeColor="accent1" w:sz="12" w:space="0"/>
              <w:bottom w:val="single" w:color="5B9BD5" w:themeColor="accent1" w:sz="12" w:space="0"/>
              <w:right w:val="single" w:color="5B9BD5" w:themeColor="accent1" w:sz="12" w:space="0"/>
            </w:tcBorders>
          </w:tcPr>
          <w:p w14:paraId="5F94B0E5">
            <w:pPr>
              <w:snapToGrid w:val="0"/>
              <w:spacing w:before="156" w:beforeLines="50" w:after="156" w:afterLines="50" w:line="276" w:lineRule="auto"/>
              <w:jc w:val="left"/>
              <w:rPr>
                <w:rFonts w:ascii="Arial" w:hAnsi="Arial" w:eastAsia="宋体" w:cs="Arial"/>
                <w:b/>
                <w:szCs w:val="21"/>
              </w:rPr>
            </w:pPr>
            <w:r>
              <w:rPr>
                <w:rStyle w:val="20"/>
                <w:rFonts w:hint="eastAsia" w:ascii="Arial" w:hAnsi="Arial" w:eastAsia="宋体" w:cs="Arial"/>
                <w:sz w:val="21"/>
                <w:szCs w:val="21"/>
              </w:rPr>
              <w:t>更多信息见指导性文件</w:t>
            </w:r>
            <w:r>
              <w:rPr>
                <w:rStyle w:val="20"/>
                <w:rFonts w:hint="eastAsia" w:ascii="Arial" w:hAnsi="Arial" w:eastAsia="宋体" w:cs="Arial"/>
                <w:b/>
                <w:sz w:val="21"/>
                <w:szCs w:val="21"/>
              </w:rPr>
              <w:t>（医疗器械和辐射产品）（</w:t>
            </w:r>
            <w:r>
              <w:rPr>
                <w:rStyle w:val="20"/>
                <w:rFonts w:ascii="Arial" w:hAnsi="Arial" w:eastAsia="宋体" w:cs="Arial"/>
                <w:b/>
                <w:sz w:val="21"/>
                <w:szCs w:val="21"/>
              </w:rPr>
              <w:t>/MedicalDevices/DeviceRegulationandGuidance/GuidanceDocuments/default.htm</w:t>
            </w:r>
            <w:r>
              <w:rPr>
                <w:rStyle w:val="20"/>
                <w:rFonts w:hint="eastAsia" w:ascii="Arial" w:hAnsi="Arial" w:eastAsia="宋体" w:cs="Arial"/>
                <w:b/>
                <w:sz w:val="21"/>
                <w:szCs w:val="21"/>
              </w:rPr>
              <w:t>）</w:t>
            </w:r>
          </w:p>
        </w:tc>
      </w:tr>
      <w:tr w14:paraId="5E14C7A4">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9245" w:type="dxa"/>
            <w:tcBorders>
              <w:top w:val="single" w:color="5B9BD5" w:themeColor="accent1" w:sz="12" w:space="0"/>
            </w:tcBorders>
          </w:tcPr>
          <w:p w14:paraId="2270D7D5">
            <w:pPr>
              <w:snapToGrid w:val="0"/>
              <w:spacing w:before="156" w:beforeLines="50" w:after="156" w:afterLines="50" w:line="276" w:lineRule="auto"/>
              <w:jc w:val="left"/>
              <w:rPr>
                <w:rFonts w:ascii="Arial" w:hAnsi="Arial" w:eastAsia="宋体" w:cs="Arial"/>
                <w:b/>
                <w:szCs w:val="21"/>
              </w:rPr>
            </w:pPr>
            <w:r>
              <w:rPr>
                <w:rStyle w:val="20"/>
                <w:rFonts w:hint="eastAsia" w:ascii="Arial" w:hAnsi="Arial" w:eastAsia="宋体" w:cs="Arial"/>
                <w:sz w:val="21"/>
                <w:szCs w:val="21"/>
              </w:rPr>
              <w:t>跨中心最终指南</w:t>
            </w:r>
            <w:r>
              <w:rPr>
                <w:rFonts w:ascii="Arial" w:hAnsi="Arial" w:eastAsia="宋体" w:cs="Arial"/>
                <w:b/>
                <w:szCs w:val="21"/>
              </w:rPr>
              <w:br w:type="textWrapping"/>
            </w:r>
            <w:r>
              <w:rPr>
                <w:rStyle w:val="20"/>
                <w:rFonts w:hint="eastAsia" w:ascii="Arial" w:hAnsi="Arial" w:eastAsia="宋体" w:cs="Arial"/>
                <w:b/>
                <w:sz w:val="21"/>
                <w:szCs w:val="21"/>
              </w:rPr>
              <w:t>（</w:t>
            </w:r>
            <w:r>
              <w:rPr>
                <w:rStyle w:val="20"/>
                <w:rFonts w:ascii="Arial" w:hAnsi="Arial" w:eastAsia="宋体" w:cs="Arial"/>
                <w:b/>
                <w:sz w:val="21"/>
                <w:szCs w:val="21"/>
              </w:rPr>
              <w:t>/MedicalDevices/DeviceRegulationandGuidance/GuidanceDocuments/ucm081752.htm</w:t>
            </w:r>
            <w:r>
              <w:rPr>
                <w:rStyle w:val="20"/>
                <w:rFonts w:hint="eastAsia" w:ascii="Arial" w:hAnsi="Arial" w:eastAsia="宋体" w:cs="Arial"/>
                <w:b/>
                <w:sz w:val="21"/>
                <w:szCs w:val="21"/>
              </w:rPr>
              <w:t>）</w:t>
            </w:r>
            <w:r>
              <w:rPr>
                <w:rStyle w:val="20"/>
                <w:rFonts w:ascii="Arial" w:hAnsi="Arial" w:eastAsia="宋体" w:cs="Arial"/>
                <w:b/>
                <w:sz w:val="21"/>
                <w:szCs w:val="21"/>
              </w:rPr>
              <w:t xml:space="preserve"> </w:t>
            </w:r>
          </w:p>
        </w:tc>
      </w:tr>
      <w:tr w14:paraId="355244B5">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9245" w:type="dxa"/>
          </w:tcPr>
          <w:p w14:paraId="5E3BC06F">
            <w:pPr>
              <w:snapToGrid w:val="0"/>
              <w:spacing w:before="156" w:beforeLines="50" w:after="156" w:afterLines="50" w:line="276" w:lineRule="auto"/>
              <w:jc w:val="left"/>
              <w:rPr>
                <w:rFonts w:ascii="Arial" w:hAnsi="Arial" w:eastAsia="宋体" w:cs="Arial"/>
                <w:b/>
                <w:szCs w:val="21"/>
              </w:rPr>
            </w:pPr>
            <w:r>
              <w:rPr>
                <w:rStyle w:val="20"/>
                <w:rFonts w:hint="eastAsia" w:ascii="Arial" w:hAnsi="Arial" w:eastAsia="宋体" w:cs="Arial"/>
                <w:b/>
                <w:sz w:val="21"/>
                <w:szCs w:val="21"/>
              </w:rPr>
              <w:t>合规办公室最终指南</w:t>
            </w:r>
            <w:r>
              <w:rPr>
                <w:rStyle w:val="20"/>
                <w:rFonts w:ascii="Arial" w:hAnsi="Arial" w:eastAsia="宋体" w:cs="Arial"/>
                <w:b/>
                <w:sz w:val="21"/>
                <w:szCs w:val="21"/>
              </w:rPr>
              <w:br w:type="textWrapping"/>
            </w:r>
            <w:r>
              <w:rPr>
                <w:rStyle w:val="20"/>
                <w:rFonts w:hint="eastAsia" w:ascii="Arial" w:hAnsi="Arial" w:eastAsia="宋体" w:cs="Arial"/>
                <w:b/>
                <w:sz w:val="21"/>
                <w:szCs w:val="21"/>
              </w:rPr>
              <w:t>（</w:t>
            </w:r>
            <w:r>
              <w:rPr>
                <w:rStyle w:val="20"/>
                <w:rFonts w:ascii="Arial" w:hAnsi="Arial" w:eastAsia="宋体" w:cs="Arial"/>
                <w:b/>
                <w:sz w:val="21"/>
                <w:szCs w:val="21"/>
              </w:rPr>
              <w:t>/MedicalDevices/DeviceRegulationandGuidance/GuidanceDocuments/ucm070269.htm</w:t>
            </w:r>
            <w:r>
              <w:rPr>
                <w:rStyle w:val="20"/>
                <w:rFonts w:hint="eastAsia" w:ascii="Arial" w:hAnsi="Arial" w:eastAsia="宋体" w:cs="Arial"/>
                <w:b/>
                <w:sz w:val="21"/>
                <w:szCs w:val="21"/>
              </w:rPr>
              <w:t>）</w:t>
            </w:r>
            <w:r>
              <w:rPr>
                <w:rStyle w:val="20"/>
                <w:rFonts w:ascii="Arial" w:hAnsi="Arial" w:eastAsia="宋体" w:cs="Arial"/>
                <w:b/>
                <w:sz w:val="21"/>
                <w:szCs w:val="21"/>
              </w:rPr>
              <w:t xml:space="preserve"> </w:t>
            </w:r>
          </w:p>
        </w:tc>
      </w:tr>
      <w:tr w14:paraId="3A81F363">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9245" w:type="dxa"/>
          </w:tcPr>
          <w:p w14:paraId="30229A30">
            <w:pPr>
              <w:snapToGrid w:val="0"/>
              <w:spacing w:before="156" w:beforeLines="50" w:after="156" w:afterLines="50" w:line="276" w:lineRule="auto"/>
              <w:jc w:val="left"/>
              <w:rPr>
                <w:rFonts w:ascii="Arial" w:hAnsi="Arial" w:eastAsia="宋体" w:cs="Arial"/>
                <w:b/>
                <w:szCs w:val="21"/>
              </w:rPr>
            </w:pPr>
            <w:r>
              <w:rPr>
                <w:rStyle w:val="20"/>
                <w:rFonts w:hint="eastAsia" w:ascii="Arial" w:hAnsi="Arial" w:eastAsia="宋体" w:cs="Arial"/>
                <w:b/>
                <w:sz w:val="21"/>
                <w:szCs w:val="21"/>
              </w:rPr>
              <w:t>中心负责人办公室最终指南</w:t>
            </w:r>
            <w:r>
              <w:rPr>
                <w:rStyle w:val="20"/>
                <w:rFonts w:ascii="Arial" w:hAnsi="Arial" w:eastAsia="宋体" w:cs="Arial"/>
                <w:b/>
                <w:sz w:val="21"/>
                <w:szCs w:val="21"/>
              </w:rPr>
              <w:br w:type="textWrapping"/>
            </w:r>
            <w:r>
              <w:rPr>
                <w:rStyle w:val="20"/>
                <w:rFonts w:hint="eastAsia" w:ascii="Arial" w:hAnsi="Arial" w:eastAsia="宋体" w:cs="Arial"/>
                <w:b/>
                <w:sz w:val="21"/>
                <w:szCs w:val="21"/>
              </w:rPr>
              <w:t>（</w:t>
            </w:r>
            <w:r>
              <w:rPr>
                <w:rStyle w:val="20"/>
                <w:rFonts w:ascii="Arial" w:hAnsi="Arial" w:eastAsia="宋体" w:cs="Arial"/>
                <w:b/>
                <w:sz w:val="21"/>
                <w:szCs w:val="21"/>
              </w:rPr>
              <w:t>/MedicalDevices/DeviceRegulationandGuidance/GuidanceDocuments/ucm110228.htm</w:t>
            </w:r>
            <w:r>
              <w:rPr>
                <w:rStyle w:val="20"/>
                <w:rFonts w:hint="eastAsia" w:ascii="Arial" w:hAnsi="Arial" w:eastAsia="宋体" w:cs="Arial"/>
                <w:b/>
                <w:sz w:val="21"/>
                <w:szCs w:val="21"/>
              </w:rPr>
              <w:t>）</w:t>
            </w:r>
            <w:r>
              <w:rPr>
                <w:rStyle w:val="20"/>
                <w:rFonts w:ascii="Arial" w:hAnsi="Arial" w:eastAsia="宋体" w:cs="Arial"/>
                <w:b/>
                <w:sz w:val="21"/>
                <w:szCs w:val="21"/>
              </w:rPr>
              <w:t xml:space="preserve"> </w:t>
            </w:r>
          </w:p>
        </w:tc>
      </w:tr>
      <w:tr w14:paraId="3C8C3B0E">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9245" w:type="dxa"/>
          </w:tcPr>
          <w:p w14:paraId="2662EF8A">
            <w:pPr>
              <w:snapToGrid w:val="0"/>
              <w:spacing w:before="156" w:beforeLines="50" w:after="156" w:afterLines="50" w:line="276" w:lineRule="auto"/>
              <w:jc w:val="left"/>
              <w:rPr>
                <w:rFonts w:ascii="Arial" w:hAnsi="Arial" w:eastAsia="宋体" w:cs="Arial"/>
                <w:b/>
                <w:szCs w:val="21"/>
              </w:rPr>
            </w:pPr>
            <w:r>
              <w:rPr>
                <w:rStyle w:val="20"/>
                <w:rFonts w:hint="eastAsia" w:ascii="Arial" w:hAnsi="Arial" w:eastAsia="宋体" w:cs="Arial"/>
                <w:b/>
                <w:sz w:val="21"/>
                <w:szCs w:val="21"/>
              </w:rPr>
              <w:t>交流和教育办公室最终指南</w:t>
            </w:r>
            <w:r>
              <w:rPr>
                <w:rStyle w:val="20"/>
                <w:rFonts w:ascii="Arial" w:hAnsi="Arial" w:eastAsia="宋体" w:cs="Arial"/>
                <w:b/>
                <w:sz w:val="21"/>
                <w:szCs w:val="21"/>
              </w:rPr>
              <w:br w:type="textWrapping"/>
            </w:r>
            <w:r>
              <w:rPr>
                <w:rStyle w:val="20"/>
                <w:rFonts w:hint="eastAsia" w:ascii="Arial" w:hAnsi="Arial" w:eastAsia="宋体" w:cs="Arial"/>
                <w:b/>
                <w:sz w:val="21"/>
                <w:szCs w:val="21"/>
              </w:rPr>
              <w:t>（</w:t>
            </w:r>
            <w:r>
              <w:rPr>
                <w:rStyle w:val="20"/>
                <w:rFonts w:ascii="Arial" w:hAnsi="Arial" w:eastAsia="宋体" w:cs="Arial"/>
                <w:b/>
                <w:sz w:val="21"/>
                <w:szCs w:val="21"/>
              </w:rPr>
              <w:t>/MedicalDevices/DeviceRegulationandGuidance/GuidanceDocuments/ucm070271.htm</w:t>
            </w:r>
            <w:r>
              <w:rPr>
                <w:rStyle w:val="20"/>
                <w:rFonts w:hint="eastAsia" w:ascii="Arial" w:hAnsi="Arial" w:eastAsia="宋体" w:cs="Arial"/>
                <w:b/>
                <w:sz w:val="21"/>
                <w:szCs w:val="21"/>
              </w:rPr>
              <w:t>）</w:t>
            </w:r>
          </w:p>
        </w:tc>
      </w:tr>
      <w:tr w14:paraId="3ACC99F5">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9245" w:type="dxa"/>
          </w:tcPr>
          <w:p w14:paraId="6AC24B38">
            <w:pPr>
              <w:snapToGrid w:val="0"/>
              <w:spacing w:before="156" w:beforeLines="50" w:after="156" w:afterLines="50" w:line="276" w:lineRule="auto"/>
              <w:jc w:val="left"/>
              <w:rPr>
                <w:rFonts w:ascii="Arial" w:hAnsi="Arial" w:eastAsia="宋体" w:cs="Arial"/>
                <w:b/>
                <w:szCs w:val="21"/>
              </w:rPr>
            </w:pPr>
            <w:r>
              <w:rPr>
                <w:rStyle w:val="20"/>
                <w:rFonts w:hint="eastAsia" w:ascii="Arial" w:hAnsi="Arial" w:eastAsia="宋体" w:cs="Arial"/>
                <w:b/>
                <w:sz w:val="21"/>
                <w:szCs w:val="21"/>
              </w:rPr>
              <w:t>器械评估办公室最终指南</w:t>
            </w:r>
            <w:r>
              <w:rPr>
                <w:rStyle w:val="20"/>
                <w:rFonts w:ascii="Arial" w:hAnsi="Arial" w:eastAsia="宋体" w:cs="Arial"/>
                <w:b/>
                <w:sz w:val="21"/>
                <w:szCs w:val="21"/>
              </w:rPr>
              <w:t>2010 – 2016</w:t>
            </w:r>
            <w:r>
              <w:rPr>
                <w:rStyle w:val="20"/>
                <w:rFonts w:ascii="Arial" w:hAnsi="Arial" w:eastAsia="宋体" w:cs="Arial"/>
                <w:b/>
                <w:sz w:val="21"/>
                <w:szCs w:val="21"/>
              </w:rPr>
              <w:br w:type="textWrapping"/>
            </w:r>
            <w:r>
              <w:rPr>
                <w:rStyle w:val="20"/>
                <w:rFonts w:hint="eastAsia" w:ascii="Arial" w:hAnsi="Arial" w:eastAsia="宋体" w:cs="Arial"/>
                <w:b/>
                <w:sz w:val="21"/>
                <w:szCs w:val="21"/>
              </w:rPr>
              <w:t>（</w:t>
            </w:r>
            <w:r>
              <w:rPr>
                <w:rStyle w:val="20"/>
                <w:rFonts w:ascii="Arial" w:hAnsi="Arial" w:eastAsia="宋体" w:cs="Arial"/>
                <w:b/>
                <w:sz w:val="21"/>
                <w:szCs w:val="21"/>
              </w:rPr>
              <w:t>/MedicalDevices/DeviceRegulationandGuidance/GuidanceDocuments/ucm198577.htm</w:t>
            </w:r>
            <w:r>
              <w:rPr>
                <w:rStyle w:val="20"/>
                <w:rFonts w:hint="eastAsia" w:ascii="Arial" w:hAnsi="Arial" w:eastAsia="宋体" w:cs="Arial"/>
                <w:b/>
                <w:sz w:val="21"/>
                <w:szCs w:val="21"/>
              </w:rPr>
              <w:t>）</w:t>
            </w:r>
          </w:p>
        </w:tc>
      </w:tr>
      <w:tr w14:paraId="337E5FCB">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9245" w:type="dxa"/>
          </w:tcPr>
          <w:p w14:paraId="563B1415">
            <w:pPr>
              <w:snapToGrid w:val="0"/>
              <w:spacing w:before="156" w:beforeLines="50" w:after="156" w:afterLines="50" w:line="276" w:lineRule="auto"/>
              <w:jc w:val="left"/>
              <w:rPr>
                <w:rFonts w:ascii="Arial" w:hAnsi="Arial" w:eastAsia="宋体" w:cs="Arial"/>
                <w:b/>
                <w:szCs w:val="21"/>
              </w:rPr>
            </w:pPr>
            <w:r>
              <w:rPr>
                <w:rStyle w:val="20"/>
                <w:rFonts w:hint="eastAsia" w:ascii="Arial" w:hAnsi="Arial" w:eastAsia="宋体" w:cs="Arial"/>
                <w:b/>
                <w:sz w:val="21"/>
                <w:szCs w:val="21"/>
              </w:rPr>
              <w:t>器械评估办公室最终指南</w:t>
            </w:r>
            <w:r>
              <w:rPr>
                <w:rStyle w:val="20"/>
                <w:rFonts w:ascii="Arial" w:hAnsi="Arial" w:eastAsia="宋体" w:cs="Arial"/>
                <w:b/>
                <w:sz w:val="21"/>
                <w:szCs w:val="21"/>
              </w:rPr>
              <w:t>1998 – 2009</w:t>
            </w:r>
            <w:r>
              <w:rPr>
                <w:rStyle w:val="20"/>
                <w:rFonts w:ascii="Arial" w:hAnsi="Arial" w:eastAsia="宋体" w:cs="Arial"/>
                <w:b/>
                <w:sz w:val="21"/>
                <w:szCs w:val="21"/>
              </w:rPr>
              <w:br w:type="textWrapping"/>
            </w:r>
            <w:r>
              <w:rPr>
                <w:rStyle w:val="20"/>
                <w:rFonts w:hint="eastAsia" w:ascii="Arial" w:hAnsi="Arial" w:eastAsia="宋体" w:cs="Arial"/>
                <w:b/>
                <w:sz w:val="21"/>
                <w:szCs w:val="21"/>
              </w:rPr>
              <w:t>（</w:t>
            </w:r>
            <w:r>
              <w:rPr>
                <w:rStyle w:val="20"/>
                <w:rFonts w:ascii="Arial" w:hAnsi="Arial" w:eastAsia="宋体" w:cs="Arial"/>
                <w:b/>
                <w:sz w:val="21"/>
                <w:szCs w:val="21"/>
              </w:rPr>
              <w:t>/MedicalDevices/DeviceRegulationandGuidance/GuidanceDocuments/ucm070272.htm</w:t>
            </w:r>
            <w:r>
              <w:rPr>
                <w:rStyle w:val="20"/>
                <w:rFonts w:hint="eastAsia" w:ascii="Arial" w:hAnsi="Arial" w:eastAsia="宋体" w:cs="Arial"/>
                <w:b/>
                <w:sz w:val="21"/>
                <w:szCs w:val="21"/>
              </w:rPr>
              <w:t>）</w:t>
            </w:r>
          </w:p>
        </w:tc>
      </w:tr>
      <w:tr w14:paraId="7E4778C3">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9245" w:type="dxa"/>
          </w:tcPr>
          <w:p w14:paraId="122DB362">
            <w:pPr>
              <w:snapToGrid w:val="0"/>
              <w:spacing w:before="156" w:beforeLines="50" w:after="156" w:afterLines="50" w:line="276" w:lineRule="auto"/>
              <w:jc w:val="left"/>
              <w:rPr>
                <w:rFonts w:ascii="Arial" w:hAnsi="Arial" w:eastAsia="宋体" w:cs="Arial"/>
                <w:b/>
                <w:szCs w:val="21"/>
              </w:rPr>
            </w:pPr>
            <w:r>
              <w:rPr>
                <w:rStyle w:val="20"/>
                <w:rFonts w:hint="eastAsia" w:ascii="Arial" w:hAnsi="Arial" w:eastAsia="宋体" w:cs="Arial"/>
                <w:b/>
                <w:sz w:val="21"/>
                <w:szCs w:val="21"/>
              </w:rPr>
              <w:t>器械评估办公室最终指南</w:t>
            </w:r>
            <w:r>
              <w:rPr>
                <w:rStyle w:val="20"/>
                <w:rFonts w:ascii="Arial" w:hAnsi="Arial" w:eastAsia="宋体" w:cs="Arial"/>
                <w:b/>
                <w:sz w:val="21"/>
                <w:szCs w:val="21"/>
              </w:rPr>
              <w:t>1976 -1997</w:t>
            </w:r>
            <w:r>
              <w:rPr>
                <w:rStyle w:val="20"/>
                <w:rFonts w:ascii="Arial" w:hAnsi="Arial" w:eastAsia="宋体" w:cs="Arial"/>
                <w:b/>
                <w:sz w:val="21"/>
                <w:szCs w:val="21"/>
              </w:rPr>
              <w:br w:type="textWrapping"/>
            </w:r>
            <w:r>
              <w:rPr>
                <w:rStyle w:val="20"/>
                <w:rFonts w:hint="eastAsia" w:ascii="Arial" w:hAnsi="Arial" w:eastAsia="宋体" w:cs="Arial"/>
                <w:b/>
                <w:sz w:val="21"/>
                <w:szCs w:val="21"/>
              </w:rPr>
              <w:t>（</w:t>
            </w:r>
            <w:r>
              <w:rPr>
                <w:rStyle w:val="20"/>
                <w:rFonts w:ascii="Arial" w:hAnsi="Arial" w:eastAsia="宋体" w:cs="Arial"/>
                <w:b/>
                <w:sz w:val="21"/>
                <w:szCs w:val="21"/>
              </w:rPr>
              <w:t>/MedicalDevices/DeviceRegulationandGuidance/GuidanceDocuments/ucm080283.htm</w:t>
            </w:r>
            <w:r>
              <w:rPr>
                <w:rStyle w:val="20"/>
                <w:rFonts w:hint="eastAsia" w:ascii="Arial" w:hAnsi="Arial" w:eastAsia="宋体" w:cs="Arial"/>
                <w:b/>
                <w:sz w:val="21"/>
                <w:szCs w:val="21"/>
              </w:rPr>
              <w:t>）</w:t>
            </w:r>
          </w:p>
        </w:tc>
      </w:tr>
      <w:tr w14:paraId="2C0CAD26">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9245" w:type="dxa"/>
          </w:tcPr>
          <w:p w14:paraId="16F0B998">
            <w:pPr>
              <w:snapToGrid w:val="0"/>
              <w:spacing w:before="156" w:beforeLines="50" w:after="156" w:afterLines="50" w:line="276" w:lineRule="auto"/>
              <w:jc w:val="left"/>
              <w:rPr>
                <w:rFonts w:ascii="Arial" w:hAnsi="Arial" w:eastAsia="宋体" w:cs="Arial"/>
                <w:b/>
                <w:szCs w:val="21"/>
              </w:rPr>
            </w:pPr>
            <w:r>
              <w:rPr>
                <w:rStyle w:val="20"/>
                <w:rFonts w:hint="eastAsia" w:ascii="Arial" w:hAnsi="Arial" w:eastAsia="宋体" w:cs="Arial"/>
                <w:b/>
                <w:sz w:val="21"/>
                <w:szCs w:val="21"/>
              </w:rPr>
              <w:t>体外诊断和放射卫生办公室最终指南</w:t>
            </w:r>
            <w:r>
              <w:rPr>
                <w:rStyle w:val="20"/>
                <w:rFonts w:ascii="Arial" w:hAnsi="Arial" w:eastAsia="宋体" w:cs="Arial"/>
                <w:b/>
                <w:sz w:val="21"/>
                <w:szCs w:val="21"/>
              </w:rPr>
              <w:br w:type="textWrapping"/>
            </w:r>
            <w:r>
              <w:rPr>
                <w:rStyle w:val="20"/>
                <w:rFonts w:hint="eastAsia" w:ascii="Arial" w:hAnsi="Arial" w:eastAsia="宋体" w:cs="Arial"/>
                <w:b/>
                <w:sz w:val="21"/>
                <w:szCs w:val="21"/>
              </w:rPr>
              <w:t>（</w:t>
            </w:r>
            <w:r>
              <w:rPr>
                <w:rStyle w:val="20"/>
                <w:rFonts w:ascii="Arial" w:hAnsi="Arial" w:eastAsia="宋体" w:cs="Arial"/>
                <w:b/>
                <w:sz w:val="21"/>
                <w:szCs w:val="21"/>
              </w:rPr>
              <w:t>/MedicalDevices/DeviceRegulationandGuidance/GuidanceDocuments/ucm070274.htm</w:t>
            </w:r>
            <w:r>
              <w:rPr>
                <w:rStyle w:val="20"/>
                <w:rFonts w:hint="eastAsia" w:ascii="Arial" w:hAnsi="Arial" w:eastAsia="宋体" w:cs="Arial"/>
                <w:b/>
                <w:sz w:val="21"/>
                <w:szCs w:val="21"/>
              </w:rPr>
              <w:t>）</w:t>
            </w:r>
          </w:p>
        </w:tc>
      </w:tr>
      <w:tr w14:paraId="33F4D95A">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9245" w:type="dxa"/>
          </w:tcPr>
          <w:p w14:paraId="7D5B55BB">
            <w:pPr>
              <w:snapToGrid w:val="0"/>
              <w:spacing w:before="156" w:beforeLines="50" w:after="156" w:afterLines="50" w:line="276" w:lineRule="auto"/>
              <w:jc w:val="left"/>
              <w:rPr>
                <w:rFonts w:ascii="Arial" w:hAnsi="Arial" w:eastAsia="宋体" w:cs="Arial"/>
                <w:b/>
                <w:szCs w:val="21"/>
              </w:rPr>
            </w:pPr>
            <w:r>
              <w:rPr>
                <w:rStyle w:val="20"/>
                <w:rFonts w:hint="eastAsia" w:ascii="Arial" w:hAnsi="Arial" w:eastAsia="宋体" w:cs="Arial"/>
                <w:b/>
                <w:sz w:val="21"/>
                <w:szCs w:val="21"/>
              </w:rPr>
              <w:t>监测和生物统计学办公室最终指南</w:t>
            </w:r>
            <w:r>
              <w:rPr>
                <w:rStyle w:val="20"/>
                <w:rFonts w:ascii="Arial" w:hAnsi="Arial" w:eastAsia="宋体" w:cs="Arial"/>
                <w:b/>
                <w:sz w:val="21"/>
                <w:szCs w:val="21"/>
              </w:rPr>
              <w:br w:type="textWrapping"/>
            </w:r>
            <w:r>
              <w:rPr>
                <w:rFonts w:hint="eastAsia" w:ascii="Arial" w:hAnsi="Arial" w:eastAsia="宋体" w:cs="Arial"/>
                <w:b/>
                <w:szCs w:val="21"/>
              </w:rPr>
              <w:t>（</w:t>
            </w:r>
            <w:r>
              <w:rPr>
                <w:rFonts w:ascii="Arial" w:hAnsi="Arial" w:eastAsia="宋体" w:cs="Arial"/>
                <w:b/>
                <w:szCs w:val="21"/>
              </w:rPr>
              <w:t>/MedicalDevices/DeviceRegulationandGuidance/GuidanceDocuments/ucm070275.htm</w:t>
            </w:r>
            <w:r>
              <w:rPr>
                <w:rFonts w:hint="eastAsia" w:ascii="Arial" w:hAnsi="Arial" w:eastAsia="宋体" w:cs="Arial"/>
                <w:b/>
                <w:szCs w:val="21"/>
              </w:rPr>
              <w:t>）</w:t>
            </w:r>
          </w:p>
        </w:tc>
      </w:tr>
      <w:tr w14:paraId="4F46A258">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9245" w:type="dxa"/>
          </w:tcPr>
          <w:p w14:paraId="53431342">
            <w:pPr>
              <w:snapToGrid w:val="0"/>
              <w:spacing w:before="156" w:beforeLines="50" w:after="156" w:afterLines="50" w:line="276" w:lineRule="auto"/>
              <w:jc w:val="left"/>
              <w:rPr>
                <w:rFonts w:ascii="Arial" w:hAnsi="Arial" w:eastAsia="宋体" w:cs="Arial"/>
                <w:b/>
                <w:szCs w:val="21"/>
              </w:rPr>
            </w:pPr>
            <w:r>
              <w:rPr>
                <w:rStyle w:val="20"/>
                <w:rFonts w:hint="eastAsia" w:ascii="Arial" w:hAnsi="Arial" w:eastAsia="宋体" w:cs="Arial"/>
                <w:b/>
                <w:sz w:val="21"/>
                <w:szCs w:val="21"/>
              </w:rPr>
              <w:t>科学和工程实验室办公室最终指南</w:t>
            </w:r>
            <w:r>
              <w:rPr>
                <w:rStyle w:val="20"/>
                <w:rFonts w:ascii="Arial" w:hAnsi="Arial" w:eastAsia="宋体" w:cs="Arial"/>
                <w:b/>
                <w:sz w:val="21"/>
                <w:szCs w:val="21"/>
              </w:rPr>
              <w:br w:type="textWrapping"/>
            </w:r>
            <w:r>
              <w:rPr>
                <w:rStyle w:val="20"/>
                <w:rFonts w:hint="eastAsia" w:ascii="Arial" w:hAnsi="Arial" w:eastAsia="宋体" w:cs="Arial"/>
                <w:b/>
                <w:sz w:val="21"/>
                <w:szCs w:val="21"/>
              </w:rPr>
              <w:t>（</w:t>
            </w:r>
            <w:r>
              <w:rPr>
                <w:rStyle w:val="20"/>
                <w:rFonts w:ascii="Arial" w:hAnsi="Arial" w:eastAsia="宋体" w:cs="Arial"/>
                <w:b/>
                <w:sz w:val="21"/>
                <w:szCs w:val="21"/>
              </w:rPr>
              <w:t>/MedicalDevices/DeviceRegulationandGuidance/GuidanceDocuments/ucm070277.htm</w:t>
            </w:r>
            <w:r>
              <w:rPr>
                <w:rStyle w:val="20"/>
                <w:rFonts w:hint="eastAsia" w:ascii="Arial" w:hAnsi="Arial" w:eastAsia="宋体" w:cs="Arial"/>
                <w:b/>
                <w:sz w:val="21"/>
                <w:szCs w:val="21"/>
              </w:rPr>
              <w:t>）</w:t>
            </w:r>
          </w:p>
        </w:tc>
      </w:tr>
      <w:tr w14:paraId="05353127">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9245" w:type="dxa"/>
          </w:tcPr>
          <w:p w14:paraId="4ABE64FE">
            <w:pPr>
              <w:snapToGrid w:val="0"/>
              <w:spacing w:before="156" w:beforeLines="50" w:after="156" w:afterLines="50" w:line="276" w:lineRule="auto"/>
              <w:jc w:val="left"/>
              <w:rPr>
                <w:rFonts w:ascii="Arial" w:hAnsi="Arial" w:eastAsia="宋体" w:cs="Arial"/>
                <w:b/>
                <w:szCs w:val="21"/>
              </w:rPr>
            </w:pPr>
            <w:r>
              <w:rPr>
                <w:rStyle w:val="20"/>
                <w:rFonts w:hint="eastAsia" w:ascii="Arial" w:hAnsi="Arial" w:eastAsia="宋体" w:cs="Arial"/>
                <w:b/>
                <w:sz w:val="21"/>
                <w:szCs w:val="21"/>
              </w:rPr>
              <w:t>指南草案</w:t>
            </w:r>
            <w:r>
              <w:rPr>
                <w:rStyle w:val="20"/>
                <w:rFonts w:ascii="Arial" w:hAnsi="Arial" w:eastAsia="宋体" w:cs="Arial"/>
                <w:b/>
                <w:sz w:val="21"/>
                <w:szCs w:val="21"/>
              </w:rPr>
              <w:br w:type="textWrapping"/>
            </w:r>
            <w:r>
              <w:rPr>
                <w:rStyle w:val="20"/>
                <w:rFonts w:hint="eastAsia" w:ascii="Arial" w:hAnsi="Arial" w:eastAsia="宋体" w:cs="Arial"/>
                <w:b/>
                <w:sz w:val="21"/>
                <w:szCs w:val="21"/>
              </w:rPr>
              <w:t>（</w:t>
            </w:r>
            <w:r>
              <w:rPr>
                <w:rStyle w:val="20"/>
                <w:rFonts w:ascii="Arial" w:hAnsi="Arial" w:eastAsia="宋体" w:cs="Arial"/>
                <w:b/>
                <w:sz w:val="21"/>
                <w:szCs w:val="21"/>
              </w:rPr>
              <w:t>/MedicalDevices/DeviceRegulationandGuidance/GuidanceDocuments/ucm407274.htm</w:t>
            </w:r>
            <w:r>
              <w:rPr>
                <w:rStyle w:val="20"/>
                <w:rFonts w:hint="eastAsia" w:ascii="Arial" w:hAnsi="Arial" w:eastAsia="宋体" w:cs="Arial"/>
                <w:b/>
                <w:sz w:val="21"/>
                <w:szCs w:val="21"/>
              </w:rPr>
              <w:t>）</w:t>
            </w:r>
          </w:p>
        </w:tc>
      </w:tr>
      <w:tr w14:paraId="1E8B2B90">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9245" w:type="dxa"/>
          </w:tcPr>
          <w:p w14:paraId="64AB6694">
            <w:pPr>
              <w:snapToGrid w:val="0"/>
              <w:spacing w:before="156" w:beforeLines="50" w:after="156" w:afterLines="50" w:line="276" w:lineRule="auto"/>
              <w:jc w:val="left"/>
              <w:rPr>
                <w:rFonts w:ascii="Arial" w:hAnsi="Arial" w:eastAsia="宋体" w:cs="Arial"/>
                <w:b/>
                <w:szCs w:val="21"/>
              </w:rPr>
            </w:pPr>
            <w:r>
              <w:rPr>
                <w:rStyle w:val="20"/>
                <w:rFonts w:hint="eastAsia" w:ascii="Arial" w:hAnsi="Arial" w:eastAsia="宋体" w:cs="Arial"/>
                <w:b/>
                <w:sz w:val="21"/>
                <w:szCs w:val="21"/>
              </w:rPr>
              <w:t>辐射产品指南</w:t>
            </w:r>
            <w:r>
              <w:rPr>
                <w:rStyle w:val="20"/>
                <w:rFonts w:ascii="Arial" w:hAnsi="Arial" w:eastAsia="宋体" w:cs="Arial"/>
                <w:b/>
                <w:sz w:val="21"/>
                <w:szCs w:val="21"/>
              </w:rPr>
              <w:br w:type="textWrapping"/>
            </w:r>
            <w:r>
              <w:rPr>
                <w:rStyle w:val="20"/>
                <w:rFonts w:hint="eastAsia" w:ascii="Arial" w:hAnsi="Arial" w:eastAsia="宋体" w:cs="Arial"/>
                <w:b/>
                <w:sz w:val="21"/>
                <w:szCs w:val="21"/>
              </w:rPr>
              <w:t>（</w:t>
            </w:r>
            <w:r>
              <w:rPr>
                <w:rStyle w:val="20"/>
                <w:rFonts w:ascii="Arial" w:hAnsi="Arial" w:eastAsia="宋体" w:cs="Arial"/>
                <w:b/>
                <w:sz w:val="21"/>
                <w:szCs w:val="21"/>
              </w:rPr>
              <w:t>/MedicalDevices/DeviceRegulationandGuidance/GuidanceDocuments/ucm283507.htm</w:t>
            </w:r>
            <w:r>
              <w:rPr>
                <w:rStyle w:val="20"/>
                <w:rFonts w:hint="eastAsia" w:ascii="Arial" w:hAnsi="Arial" w:eastAsia="宋体" w:cs="Arial"/>
                <w:b/>
                <w:sz w:val="21"/>
                <w:szCs w:val="21"/>
              </w:rPr>
              <w:t>）</w:t>
            </w:r>
          </w:p>
        </w:tc>
      </w:tr>
      <w:tr w14:paraId="5C382489">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rPr>
          <w:trHeight w:val="1000" w:hRule="atLeast"/>
        </w:trPr>
        <w:tc>
          <w:tcPr>
            <w:tcW w:w="9245" w:type="dxa"/>
          </w:tcPr>
          <w:p w14:paraId="5C12E716">
            <w:pPr>
              <w:snapToGrid w:val="0"/>
              <w:spacing w:before="156" w:beforeLines="50" w:after="156" w:afterLines="50" w:line="276" w:lineRule="auto"/>
              <w:jc w:val="left"/>
              <w:rPr>
                <w:rFonts w:ascii="Arial" w:hAnsi="Arial" w:eastAsia="宋体" w:cs="Arial"/>
                <w:b/>
                <w:szCs w:val="21"/>
              </w:rPr>
            </w:pPr>
            <w:r>
              <w:rPr>
                <w:rStyle w:val="20"/>
                <w:rFonts w:hint="eastAsia" w:ascii="Arial" w:hAnsi="Arial" w:eastAsia="宋体" w:cs="Arial"/>
                <w:b/>
                <w:sz w:val="21"/>
                <w:szCs w:val="21"/>
              </w:rPr>
              <w:t>退出指南</w:t>
            </w:r>
            <w:r>
              <w:rPr>
                <w:rStyle w:val="20"/>
                <w:rFonts w:ascii="Arial" w:hAnsi="Arial" w:eastAsia="宋体" w:cs="Arial"/>
                <w:b/>
                <w:sz w:val="21"/>
                <w:szCs w:val="21"/>
              </w:rPr>
              <w:br w:type="textWrapping"/>
            </w:r>
            <w:r>
              <w:rPr>
                <w:rStyle w:val="20"/>
                <w:rFonts w:hint="eastAsia" w:ascii="Arial" w:hAnsi="Arial" w:eastAsia="宋体" w:cs="Arial"/>
                <w:b/>
                <w:sz w:val="21"/>
                <w:szCs w:val="21"/>
              </w:rPr>
              <w:t>（</w:t>
            </w:r>
            <w:r>
              <w:rPr>
                <w:rStyle w:val="20"/>
                <w:rFonts w:ascii="Arial" w:hAnsi="Arial" w:eastAsia="宋体" w:cs="Arial"/>
                <w:b/>
                <w:sz w:val="21"/>
                <w:szCs w:val="21"/>
              </w:rPr>
              <w:t>/MedicalDevices/DeviceRegulationandGuidance/GuidanceDocuments/ucm425025.htm</w:t>
            </w:r>
            <w:r>
              <w:rPr>
                <w:rStyle w:val="20"/>
                <w:rFonts w:hint="eastAsia" w:ascii="Arial" w:hAnsi="Arial" w:eastAsia="宋体" w:cs="Arial"/>
                <w:b/>
                <w:sz w:val="21"/>
                <w:szCs w:val="21"/>
              </w:rPr>
              <w:t>）</w:t>
            </w:r>
          </w:p>
        </w:tc>
      </w:tr>
    </w:tbl>
    <w:p w14:paraId="7D2ABF8E">
      <w:pPr>
        <w:tabs>
          <w:tab w:val="left" w:pos="3010"/>
        </w:tabs>
        <w:snapToGrid w:val="0"/>
        <w:spacing w:line="300" w:lineRule="auto"/>
        <w:ind w:right="4502" w:rightChars="2144"/>
        <w:rPr>
          <w:rFonts w:ascii="Arial" w:hAnsi="Arial" w:eastAsia="宋体" w:cs="Arial"/>
          <w:sz w:val="24"/>
          <w:szCs w:val="24"/>
        </w:rPr>
      </w:pPr>
    </w:p>
    <w:p w14:paraId="0FC686AC">
      <w:pPr>
        <w:snapToGrid w:val="0"/>
        <w:spacing w:after="234" w:afterLines="75" w:line="300" w:lineRule="auto"/>
        <w:rPr>
          <w:rFonts w:hint="eastAsia" w:eastAsia="等线"/>
          <w:lang w:eastAsia="zh-CN"/>
        </w:rPr>
      </w:pPr>
    </w:p>
    <w:p w14:paraId="490152B4">
      <w:pPr>
        <w:snapToGrid w:val="0"/>
        <w:spacing w:after="234" w:afterLines="75" w:line="300" w:lineRule="auto"/>
        <w:jc w:val="center"/>
        <w:rPr>
          <w:rFonts w:hint="eastAsia" w:eastAsia="等线"/>
          <w:lang w:eastAsia="zh-CN"/>
        </w:rPr>
      </w:pPr>
    </w:p>
    <w:p w14:paraId="0236BFB8">
      <w:pPr>
        <w:snapToGrid w:val="0"/>
        <w:spacing w:after="234" w:afterLines="75" w:line="30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9" w:h="16834"/>
      <w:pgMar w:top="1134" w:right="1440" w:bottom="1134" w:left="1440" w:header="283"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58855">
    <w:pPr>
      <w:pStyle w:val="4"/>
      <w:tabs>
        <w:tab w:val="right" w:pos="9029"/>
        <w:tab w:val="clear" w:pos="8306"/>
      </w:tabs>
      <w:spacing w:line="300" w:lineRule="auto"/>
      <w:rPr>
        <w:rFonts w:ascii="Arial" w:hAnsi="Arial" w:cs="Arial"/>
        <w:sz w:val="16"/>
        <w:szCs w:val="16"/>
      </w:rPr>
    </w:pPr>
    <w:r>
      <w:rPr>
        <w:rFonts w:ascii="Arial" w:hAnsi="Arial" w:cs="Arial"/>
        <w:sz w:val="16"/>
        <w:szCs w:val="16"/>
      </w:rPr>
      <w:t>https:/www.fda.gov/MedicalDevices/DeviceRegulationandGuidance/GuidanceDocuments/ucm080302.htm</w:t>
    </w:r>
    <w:r>
      <w:rPr>
        <w:rFonts w:hint="eastAsia"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PAGE   \* MERGEFORMAT</w:instrText>
    </w:r>
    <w:r>
      <w:rPr>
        <w:rFonts w:ascii="Arial" w:hAnsi="Arial" w:cs="Arial"/>
        <w:sz w:val="16"/>
        <w:szCs w:val="16"/>
      </w:rPr>
      <w:fldChar w:fldCharType="separate"/>
    </w:r>
    <w:r>
      <w:rPr>
        <w:rFonts w:ascii="Arial" w:hAnsi="Arial" w:cs="Arial"/>
        <w:sz w:val="16"/>
        <w:szCs w:val="16"/>
        <w:lang w:val="zh-CN"/>
      </w:rPr>
      <w:t>47</w:t>
    </w:r>
    <w:r>
      <w:rPr>
        <w:rFonts w:ascii="Arial" w:hAnsi="Arial" w:cs="Arial"/>
        <w:sz w:val="16"/>
        <w:szCs w:val="16"/>
      </w:rPr>
      <w:fldChar w:fldCharType="end"/>
    </w:r>
    <w:r>
      <w:rPr>
        <w:rFonts w:hint="eastAsia" w:ascii="Arial" w:hAnsi="Arial" w:cs="Arial"/>
        <w:sz w:val="16"/>
        <w:szCs w:val="16"/>
      </w:rPr>
      <w:t>/47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EE32D">
    <w:pPr>
      <w:pStyle w:val="5"/>
      <w:pBdr>
        <w:bottom w:val="none" w:color="auto" w:sz="0" w:space="0"/>
      </w:pBdr>
      <w:spacing w:line="300" w:lineRule="auto"/>
      <w:jc w:val="left"/>
      <w:rPr>
        <w:rFonts w:ascii="Arial" w:hAnsi="Arial" w:eastAsia="宋体" w:cs="Arial"/>
        <w:sz w:val="16"/>
        <w:szCs w:val="16"/>
      </w:rPr>
    </w:pPr>
    <w:r>
      <w:rPr>
        <w:rFonts w:ascii="Arial" w:hAnsi="Arial" w:eastAsia="宋体" w:cs="Arial"/>
        <w:sz w:val="16"/>
        <w:szCs w:val="16"/>
      </w:rPr>
      <w:t xml:space="preserve">2017/8/10  </w:t>
    </w:r>
    <w:r>
      <w:rPr>
        <w:rFonts w:hint="eastAsia" w:ascii="Arial" w:hAnsi="Arial" w:eastAsia="宋体" w:cs="Arial"/>
        <w:sz w:val="16"/>
        <w:szCs w:val="16"/>
      </w:rPr>
      <w:t>指导性文件（医疗器械和辐射产品）</w:t>
    </w:r>
    <w:r>
      <w:rPr>
        <w:rFonts w:ascii="Arial" w:hAnsi="Arial" w:eastAsia="宋体" w:cs="Arial"/>
        <w:sz w:val="16"/>
        <w:szCs w:val="16"/>
      </w:rPr>
      <w:t>&gt;</w:t>
    </w:r>
    <w:r>
      <w:rPr>
        <w:rFonts w:hint="eastAsia" w:ascii="Arial" w:hAnsi="Arial" w:eastAsia="宋体" w:cs="Arial"/>
        <w:sz w:val="16"/>
        <w:szCs w:val="16"/>
      </w:rPr>
      <w:t>关于研究性器械补贴类别的跨部门协议实施，附件</w:t>
    </w:r>
    <w:r>
      <w:rPr>
        <w:rFonts w:ascii="Arial" w:hAnsi="Arial" w:eastAsia="宋体" w:cs="Arial"/>
        <w:sz w:val="16"/>
        <w:szCs w:val="16"/>
      </w:rPr>
      <w:t>A跨部门协议，附件B研究性器械分类标准，附件C列表-编号D95-2（蓝皮书备忘录）（仅文本）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AD31D5"/>
    <w:multiLevelType w:val="multilevel"/>
    <w:tmpl w:val="3AAD31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AAB37CD"/>
    <w:multiLevelType w:val="multilevel"/>
    <w:tmpl w:val="4AAB37C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4C2916B1"/>
    <w:multiLevelType w:val="multilevel"/>
    <w:tmpl w:val="4C2916B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00B6FF2"/>
    <w:multiLevelType w:val="multilevel"/>
    <w:tmpl w:val="500B6FF2"/>
    <w:lvl w:ilvl="0" w:tentative="0">
      <w:start w:val="1"/>
      <w:numFmt w:val="upperRoman"/>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0EC7AEE"/>
    <w:multiLevelType w:val="multilevel"/>
    <w:tmpl w:val="60EC7AE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CDA"/>
    <w:rsid w:val="0000452C"/>
    <w:rsid w:val="0002558A"/>
    <w:rsid w:val="000338F9"/>
    <w:rsid w:val="00040FCE"/>
    <w:rsid w:val="00063809"/>
    <w:rsid w:val="000723F3"/>
    <w:rsid w:val="00081496"/>
    <w:rsid w:val="000D420D"/>
    <w:rsid w:val="000F035A"/>
    <w:rsid w:val="00107CDA"/>
    <w:rsid w:val="00114F79"/>
    <w:rsid w:val="00123300"/>
    <w:rsid w:val="00131693"/>
    <w:rsid w:val="00140110"/>
    <w:rsid w:val="00144590"/>
    <w:rsid w:val="00161E4F"/>
    <w:rsid w:val="00162C08"/>
    <w:rsid w:val="0018462A"/>
    <w:rsid w:val="001C1BC9"/>
    <w:rsid w:val="001D3F3F"/>
    <w:rsid w:val="001F766F"/>
    <w:rsid w:val="00222C97"/>
    <w:rsid w:val="00265D86"/>
    <w:rsid w:val="002771FD"/>
    <w:rsid w:val="0027754D"/>
    <w:rsid w:val="0028369F"/>
    <w:rsid w:val="002B3DCA"/>
    <w:rsid w:val="002B7DE0"/>
    <w:rsid w:val="002D49C6"/>
    <w:rsid w:val="00363B47"/>
    <w:rsid w:val="00393747"/>
    <w:rsid w:val="003C0F70"/>
    <w:rsid w:val="003C61A0"/>
    <w:rsid w:val="003E2B96"/>
    <w:rsid w:val="0041291D"/>
    <w:rsid w:val="00491CBA"/>
    <w:rsid w:val="004D4BC6"/>
    <w:rsid w:val="005056BA"/>
    <w:rsid w:val="00511ED3"/>
    <w:rsid w:val="00521120"/>
    <w:rsid w:val="005866AE"/>
    <w:rsid w:val="005B3D91"/>
    <w:rsid w:val="005D20D4"/>
    <w:rsid w:val="005E2C11"/>
    <w:rsid w:val="005E70F6"/>
    <w:rsid w:val="005F2A4C"/>
    <w:rsid w:val="006115CC"/>
    <w:rsid w:val="00614970"/>
    <w:rsid w:val="00626DFD"/>
    <w:rsid w:val="006420BE"/>
    <w:rsid w:val="0065141D"/>
    <w:rsid w:val="006624D5"/>
    <w:rsid w:val="006A305E"/>
    <w:rsid w:val="006A653B"/>
    <w:rsid w:val="00726A22"/>
    <w:rsid w:val="0073291A"/>
    <w:rsid w:val="007C7C13"/>
    <w:rsid w:val="007D0D51"/>
    <w:rsid w:val="007D3DE0"/>
    <w:rsid w:val="008334AF"/>
    <w:rsid w:val="00847C0B"/>
    <w:rsid w:val="00884933"/>
    <w:rsid w:val="008A578E"/>
    <w:rsid w:val="008C0ADE"/>
    <w:rsid w:val="00911E05"/>
    <w:rsid w:val="00924E86"/>
    <w:rsid w:val="00933315"/>
    <w:rsid w:val="00937A3A"/>
    <w:rsid w:val="00946059"/>
    <w:rsid w:val="00964D2B"/>
    <w:rsid w:val="00964F95"/>
    <w:rsid w:val="009A12BB"/>
    <w:rsid w:val="009B45BD"/>
    <w:rsid w:val="009C33A1"/>
    <w:rsid w:val="009E2BBC"/>
    <w:rsid w:val="00A3754B"/>
    <w:rsid w:val="00A417D2"/>
    <w:rsid w:val="00A420F2"/>
    <w:rsid w:val="00A46909"/>
    <w:rsid w:val="00A76AB3"/>
    <w:rsid w:val="00AB65B3"/>
    <w:rsid w:val="00B042CE"/>
    <w:rsid w:val="00B07785"/>
    <w:rsid w:val="00B175F9"/>
    <w:rsid w:val="00B67EE2"/>
    <w:rsid w:val="00B9798F"/>
    <w:rsid w:val="00C5277B"/>
    <w:rsid w:val="00C63F5C"/>
    <w:rsid w:val="00D05FCB"/>
    <w:rsid w:val="00D31795"/>
    <w:rsid w:val="00D4261B"/>
    <w:rsid w:val="00D438CE"/>
    <w:rsid w:val="00D5516B"/>
    <w:rsid w:val="00D64529"/>
    <w:rsid w:val="00DA086B"/>
    <w:rsid w:val="00DB7076"/>
    <w:rsid w:val="00DE7B4B"/>
    <w:rsid w:val="00E36851"/>
    <w:rsid w:val="00E44348"/>
    <w:rsid w:val="00E97E7C"/>
    <w:rsid w:val="00F13453"/>
    <w:rsid w:val="00F50E29"/>
    <w:rsid w:val="00F55E32"/>
    <w:rsid w:val="00F65E44"/>
    <w:rsid w:val="00FD383A"/>
    <w:rsid w:val="00FD5C5F"/>
    <w:rsid w:val="00FF1F82"/>
    <w:rsid w:val="31937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21"/>
    <w:semiHidden/>
    <w:unhideWhenUsed/>
    <w:qFormat/>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66CC"/>
      <w:u w:val="single"/>
    </w:rPr>
  </w:style>
  <w:style w:type="paragraph" w:styleId="10">
    <w:name w:val="List Paragraph"/>
    <w:basedOn w:val="1"/>
    <w:qFormat/>
    <w:uiPriority w:val="34"/>
    <w:pPr>
      <w:ind w:firstLine="420" w:firstLineChars="200"/>
    </w:pPr>
  </w:style>
  <w:style w:type="character" w:customStyle="1" w:styleId="11">
    <w:name w:val="日期 Char"/>
    <w:basedOn w:val="8"/>
    <w:link w:val="2"/>
    <w:semiHidden/>
    <w:uiPriority w:val="99"/>
  </w:style>
  <w:style w:type="character" w:customStyle="1" w:styleId="12">
    <w:name w:val="页眉 Char"/>
    <w:basedOn w:val="8"/>
    <w:link w:val="5"/>
    <w:uiPriority w:val="99"/>
    <w:rPr>
      <w:sz w:val="18"/>
      <w:szCs w:val="18"/>
    </w:rPr>
  </w:style>
  <w:style w:type="character" w:customStyle="1" w:styleId="13">
    <w:name w:val="页脚 Char"/>
    <w:basedOn w:val="8"/>
    <w:link w:val="4"/>
    <w:uiPriority w:val="99"/>
    <w:rPr>
      <w:sz w:val="18"/>
      <w:szCs w:val="18"/>
    </w:rPr>
  </w:style>
  <w:style w:type="character" w:customStyle="1" w:styleId="14">
    <w:name w:val="正文文本_"/>
    <w:basedOn w:val="8"/>
    <w:link w:val="15"/>
    <w:qFormat/>
    <w:uiPriority w:val="0"/>
    <w:rPr>
      <w:rFonts w:ascii="Courier New" w:hAnsi="Courier New" w:eastAsia="Courier New" w:cs="Courier New"/>
      <w:spacing w:val="-20"/>
      <w:sz w:val="23"/>
      <w:szCs w:val="23"/>
      <w:shd w:val="clear" w:color="auto" w:fill="FFFFFF"/>
    </w:rPr>
  </w:style>
  <w:style w:type="paragraph" w:customStyle="1" w:styleId="15">
    <w:name w:val="正文文本1"/>
    <w:basedOn w:val="1"/>
    <w:link w:val="14"/>
    <w:qFormat/>
    <w:uiPriority w:val="0"/>
    <w:pPr>
      <w:widowControl/>
      <w:shd w:val="clear" w:color="auto" w:fill="FFFFFF"/>
      <w:spacing w:after="300" w:line="365" w:lineRule="exact"/>
    </w:pPr>
    <w:rPr>
      <w:rFonts w:ascii="Courier New" w:hAnsi="Courier New" w:eastAsia="Courier New" w:cs="Courier New"/>
      <w:spacing w:val="-20"/>
      <w:sz w:val="23"/>
      <w:szCs w:val="23"/>
    </w:rPr>
  </w:style>
  <w:style w:type="character" w:customStyle="1" w:styleId="16">
    <w:name w:val="页眉或页脚_"/>
    <w:basedOn w:val="8"/>
    <w:link w:val="17"/>
    <w:qFormat/>
    <w:uiPriority w:val="0"/>
    <w:rPr>
      <w:rFonts w:ascii="Times New Roman" w:hAnsi="Times New Roman" w:eastAsia="Times New Roman" w:cs="Times New Roman"/>
      <w:sz w:val="20"/>
      <w:szCs w:val="20"/>
      <w:shd w:val="clear" w:color="auto" w:fill="FFFFFF"/>
    </w:rPr>
  </w:style>
  <w:style w:type="paragraph" w:customStyle="1" w:styleId="17">
    <w:name w:val="页眉或页脚"/>
    <w:basedOn w:val="1"/>
    <w:link w:val="16"/>
    <w:qFormat/>
    <w:uiPriority w:val="0"/>
    <w:pPr>
      <w:widowControl/>
      <w:shd w:val="clear" w:color="auto" w:fill="FFFFFF"/>
      <w:jc w:val="left"/>
    </w:pPr>
    <w:rPr>
      <w:rFonts w:ascii="Times New Roman" w:hAnsi="Times New Roman" w:eastAsia="Times New Roman" w:cs="Times New Roman"/>
      <w:sz w:val="20"/>
      <w:szCs w:val="20"/>
    </w:rPr>
  </w:style>
  <w:style w:type="character" w:customStyle="1" w:styleId="18">
    <w:name w:val="页眉或页脚 + Arial Unicode MS"/>
    <w:basedOn w:val="16"/>
    <w:uiPriority w:val="0"/>
    <w:rPr>
      <w:rFonts w:ascii="Arial Unicode MS" w:hAnsi="Arial Unicode MS" w:eastAsia="Arial Unicode MS" w:cs="Arial Unicode MS"/>
      <w:b/>
      <w:bCs/>
      <w:spacing w:val="0"/>
      <w:sz w:val="15"/>
      <w:szCs w:val="15"/>
      <w:shd w:val="clear" w:color="auto" w:fill="FFFFFF"/>
    </w:rPr>
  </w:style>
  <w:style w:type="character" w:customStyle="1" w:styleId="19">
    <w:name w:val="正文文本 (2)_"/>
    <w:basedOn w:val="8"/>
    <w:uiPriority w:val="0"/>
    <w:rPr>
      <w:rFonts w:ascii="Arial Unicode MS" w:hAnsi="Arial Unicode MS" w:eastAsia="Arial Unicode MS" w:cs="Arial Unicode MS"/>
      <w:spacing w:val="0"/>
      <w:sz w:val="23"/>
      <w:szCs w:val="23"/>
    </w:rPr>
  </w:style>
  <w:style w:type="character" w:customStyle="1" w:styleId="20">
    <w:name w:val="正文文本 (2)"/>
    <w:basedOn w:val="19"/>
    <w:qFormat/>
    <w:uiPriority w:val="0"/>
    <w:rPr>
      <w:rFonts w:ascii="Arial Unicode MS" w:hAnsi="Arial Unicode MS" w:eastAsia="Arial Unicode MS" w:cs="Arial Unicode MS"/>
      <w:spacing w:val="0"/>
      <w:sz w:val="23"/>
      <w:szCs w:val="23"/>
      <w:u w:val="single"/>
    </w:rPr>
  </w:style>
  <w:style w:type="character" w:customStyle="1" w:styleId="21">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C1F96-6417-460E-B14D-30637BE1DD8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48</Pages>
  <Words>10340</Words>
  <Characters>18135</Characters>
  <Lines>162</Lines>
  <Paragraphs>45</Paragraphs>
  <TotalTime>1</TotalTime>
  <ScaleCrop>false</ScaleCrop>
  <LinksUpToDate>false</LinksUpToDate>
  <CharactersWithSpaces>20531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2017-12-18T15:04:00Z</dcterms:created>
  <dc:creator>Guozhen Liu</dc:creator>
  <cp:lastModifiedBy>太极箫客</cp:lastModifiedBy>
  <dcterms:modified xsi:type="dcterms:W3CDTF">2025-08-14T06:16:34Z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8CD7B17F6C0E4678B8A5471BEE85FC5E_12</vt:lpwstr>
  </property>
</Properties>
</file>