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221FF">
      <w:pPr>
        <w:pStyle w:val="41"/>
        <w:overflowPunct w:val="0"/>
        <w:adjustRightInd w:val="0"/>
        <w:snapToGrid w:val="0"/>
        <w:spacing w:after="0" w:line="300" w:lineRule="auto"/>
        <w:rPr>
          <w:rFonts w:ascii="Arial" w:hAnsi="Arial" w:eastAsia="宋体" w:cs="Arial"/>
        </w:rPr>
      </w:pPr>
      <w:bookmarkStart w:id="0" w:name="_GoBack"/>
      <w:bookmarkEnd w:id="0"/>
      <w:r>
        <w:rPr>
          <w:rFonts w:ascii="Arial" w:hAnsi="Arial" w:eastAsia="宋体" w:cs="Arial"/>
        </w:rPr>
        <w:t xml:space="preserve">FDA 3674表 – </w:t>
      </w:r>
      <w:r>
        <w:rPr>
          <w:rFonts w:hint="eastAsia" w:ascii="Arial" w:hAnsi="Arial" w:eastAsia="宋体" w:cs="Arial"/>
        </w:rPr>
        <w:t>伴随</w:t>
      </w:r>
      <w:r>
        <w:rPr>
          <w:rFonts w:ascii="Arial" w:hAnsi="Arial" w:eastAsia="宋体" w:cs="Arial"/>
        </w:rPr>
        <w:t>药品、生物制剂和器械</w:t>
      </w:r>
    </w:p>
    <w:p w14:paraId="1C271B20">
      <w:pPr>
        <w:pStyle w:val="41"/>
        <w:overflowPunct w:val="0"/>
        <w:adjustRightInd w:val="0"/>
        <w:snapToGrid w:val="0"/>
        <w:spacing w:after="0" w:line="300" w:lineRule="auto"/>
        <w:rPr>
          <w:rFonts w:ascii="Arial" w:hAnsi="Arial" w:eastAsia="宋体" w:cs="Arial"/>
        </w:rPr>
      </w:pPr>
      <w:r>
        <w:rPr>
          <w:rFonts w:ascii="Arial" w:hAnsi="Arial" w:eastAsia="宋体" w:cs="Arial"/>
        </w:rPr>
        <w:t>申请/提交的认证：</w:t>
      </w:r>
    </w:p>
    <w:p w14:paraId="1468FADD">
      <w:pPr>
        <w:pStyle w:val="41"/>
        <w:overflowPunct w:val="0"/>
        <w:adjustRightInd w:val="0"/>
        <w:snapToGrid w:val="0"/>
        <w:spacing w:after="0" w:line="300" w:lineRule="auto"/>
        <w:rPr>
          <w:rFonts w:ascii="Arial" w:hAnsi="Arial" w:eastAsia="宋体" w:cs="Arial"/>
        </w:rPr>
      </w:pPr>
    </w:p>
    <w:p w14:paraId="3100AEF2">
      <w:pPr>
        <w:pStyle w:val="41"/>
        <w:overflowPunct w:val="0"/>
        <w:adjustRightInd w:val="0"/>
        <w:snapToGrid w:val="0"/>
        <w:spacing w:after="0" w:line="300" w:lineRule="auto"/>
        <w:rPr>
          <w:rFonts w:ascii="Arial" w:hAnsi="Arial" w:eastAsia="宋体" w:cs="Arial"/>
        </w:rPr>
      </w:pPr>
      <w:r>
        <w:rPr>
          <w:rFonts w:ascii="Arial" w:hAnsi="Arial" w:eastAsia="宋体" w:cs="Arial"/>
        </w:rPr>
        <w:t>申办方、行业、研究人员、研究者、</w:t>
      </w:r>
    </w:p>
    <w:p w14:paraId="4037BCAD">
      <w:pPr>
        <w:pStyle w:val="41"/>
        <w:overflowPunct w:val="0"/>
        <w:adjustRightInd w:val="0"/>
        <w:snapToGrid w:val="0"/>
        <w:spacing w:after="0" w:line="300" w:lineRule="auto"/>
        <w:rPr>
          <w:rFonts w:ascii="Arial" w:hAnsi="Arial" w:eastAsia="宋体" w:cs="Arial"/>
        </w:rPr>
      </w:pPr>
      <w:r>
        <w:rPr>
          <w:rFonts w:ascii="Arial" w:hAnsi="Arial" w:eastAsia="宋体" w:cs="Arial"/>
        </w:rPr>
        <w:t>食品药品监督管理人员指南</w:t>
      </w:r>
    </w:p>
    <w:p w14:paraId="320C5E72">
      <w:pPr>
        <w:overflowPunct w:val="0"/>
        <w:adjustRightInd w:val="0"/>
        <w:snapToGrid w:val="0"/>
        <w:spacing w:after="0" w:line="300" w:lineRule="auto"/>
        <w:rPr>
          <w:rFonts w:ascii="Arial" w:hAnsi="Arial" w:eastAsia="宋体" w:cs="Arial"/>
        </w:rPr>
      </w:pPr>
    </w:p>
    <w:p w14:paraId="26AB853F">
      <w:pPr>
        <w:overflowPunct w:val="0"/>
        <w:adjustRightInd w:val="0"/>
        <w:snapToGrid w:val="0"/>
        <w:spacing w:after="0" w:line="300" w:lineRule="auto"/>
        <w:jc w:val="center"/>
        <w:rPr>
          <w:rFonts w:ascii="Arial" w:hAnsi="Arial" w:eastAsia="宋体" w:cs="Arial"/>
        </w:rPr>
      </w:pPr>
      <w:r>
        <w:rPr>
          <w:rFonts w:ascii="Arial" w:hAnsi="Arial" w:eastAsia="宋体" w:cs="Arial"/>
        </w:rPr>
        <w:t>其他副本可</w:t>
      </w:r>
      <w:r>
        <w:rPr>
          <w:rFonts w:hint="eastAsia" w:ascii="Arial" w:hAnsi="Arial" w:eastAsia="宋体" w:cs="Arial"/>
        </w:rPr>
        <w:t>通过以下方式获得</w:t>
      </w:r>
      <w:r>
        <w:rPr>
          <w:rFonts w:ascii="Arial" w:hAnsi="Arial" w:eastAsia="宋体" w:cs="Arial"/>
        </w:rPr>
        <w:t>：</w:t>
      </w:r>
    </w:p>
    <w:p w14:paraId="346D3071">
      <w:pPr>
        <w:overflowPunct w:val="0"/>
        <w:adjustRightInd w:val="0"/>
        <w:snapToGrid w:val="0"/>
        <w:spacing w:after="0" w:line="300" w:lineRule="auto"/>
        <w:jc w:val="center"/>
        <w:rPr>
          <w:rFonts w:ascii="Arial" w:hAnsi="Arial" w:eastAsia="宋体" w:cs="Arial"/>
        </w:rPr>
      </w:pPr>
      <w:r>
        <w:rPr>
          <w:rFonts w:ascii="Arial" w:hAnsi="Arial" w:eastAsia="宋体" w:cs="Arial"/>
        </w:rPr>
        <w:t>良好临床实践办公室，特殊医疗项目办公室</w:t>
      </w:r>
    </w:p>
    <w:p w14:paraId="764772DE">
      <w:pPr>
        <w:overflowPunct w:val="0"/>
        <w:adjustRightInd w:val="0"/>
        <w:snapToGrid w:val="0"/>
        <w:spacing w:after="0" w:line="300" w:lineRule="auto"/>
        <w:jc w:val="center"/>
        <w:rPr>
          <w:rFonts w:ascii="Arial" w:hAnsi="Arial" w:eastAsia="宋体" w:cs="Arial"/>
        </w:rPr>
      </w:pPr>
      <w:r>
        <w:rPr>
          <w:rFonts w:ascii="Arial" w:hAnsi="Arial" w:eastAsia="宋体" w:cs="Arial"/>
        </w:rPr>
        <w:t>食品药品监督管理局</w:t>
      </w:r>
    </w:p>
    <w:p w14:paraId="063ABB6A">
      <w:pPr>
        <w:pStyle w:val="43"/>
        <w:shd w:val="clear" w:color="auto" w:fill="auto"/>
        <w:overflowPunct w:val="0"/>
        <w:adjustRightInd w:val="0"/>
        <w:snapToGrid w:val="0"/>
        <w:spacing w:before="0" w:line="300" w:lineRule="auto"/>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WO Bldg. 32, Room 5172</w:t>
      </w:r>
      <w:r>
        <w:rPr>
          <w:rFonts w:ascii="Arial" w:hAnsi="Arial" w:eastAsia="宋体" w:cs="Arial"/>
          <w:color w:val="000000" w:themeColor="text1"/>
          <w14:textFill>
            <w14:solidFill>
              <w14:schemeClr w14:val="tx1"/>
            </w14:solidFill>
          </w14:textFill>
        </w:rPr>
        <w:br w:type="textWrapping"/>
      </w:r>
      <w:r>
        <w:rPr>
          <w:rFonts w:ascii="Arial" w:hAnsi="Arial" w:eastAsia="宋体" w:cs="Arial"/>
          <w:color w:val="000000" w:themeColor="text1"/>
          <w14:textFill>
            <w14:solidFill>
              <w14:schemeClr w14:val="tx1"/>
            </w14:solidFill>
          </w14:textFill>
        </w:rPr>
        <w:t>10903 New Hampshire Avenue</w:t>
      </w:r>
      <w:r>
        <w:rPr>
          <w:rFonts w:ascii="Arial" w:hAnsi="Arial" w:eastAsia="宋体" w:cs="Arial"/>
          <w:color w:val="000000" w:themeColor="text1"/>
          <w14:textFill>
            <w14:solidFill>
              <w14:schemeClr w14:val="tx1"/>
            </w14:solidFill>
          </w14:textFill>
        </w:rPr>
        <w:br w:type="textWrapping"/>
      </w:r>
      <w:r>
        <w:rPr>
          <w:rFonts w:ascii="Arial" w:hAnsi="Arial" w:eastAsia="宋体" w:cs="Arial"/>
          <w:color w:val="000000" w:themeColor="text1"/>
          <w14:textFill>
            <w14:solidFill>
              <w14:schemeClr w14:val="tx1"/>
            </w14:solidFill>
          </w14:textFill>
        </w:rPr>
        <w:t>Silver Spring, MD, 20993-0002</w:t>
      </w:r>
      <w:r>
        <w:rPr>
          <w:rFonts w:ascii="Arial" w:hAnsi="Arial" w:eastAsia="宋体" w:cs="Arial"/>
          <w:color w:val="000000" w:themeColor="text1"/>
          <w14:textFill>
            <w14:solidFill>
              <w14:schemeClr w14:val="tx1"/>
            </w14:solidFill>
          </w14:textFill>
        </w:rPr>
        <w:br w:type="textWrapping"/>
      </w:r>
      <w:r>
        <w:rPr>
          <w:rFonts w:ascii="Arial" w:hAnsi="Arial" w:eastAsia="宋体" w:cs="Arial"/>
          <w:color w:val="000000" w:themeColor="text1"/>
          <w14:textFill>
            <w14:solidFill>
              <w14:schemeClr w14:val="tx1"/>
            </w14:solidFill>
          </w14:textFill>
        </w:rPr>
        <w:t>301-796-8340</w:t>
      </w:r>
      <w:r>
        <w:rPr>
          <w:rFonts w:ascii="Arial" w:hAnsi="Arial" w:eastAsia="宋体" w:cs="Arial"/>
          <w:color w:val="000000" w:themeColor="text1"/>
          <w14:textFill>
            <w14:solidFill>
              <w14:schemeClr w14:val="tx1"/>
            </w14:solidFill>
          </w14:textFill>
        </w:rPr>
        <w:br w:type="textWrapping"/>
      </w:r>
      <w:r>
        <w:fldChar w:fldCharType="begin"/>
      </w:r>
      <w:r>
        <w:instrText xml:space="preserve"> HYPERLINK "mailto:gcp.questions@fda.hhs.gov" </w:instrText>
      </w:r>
      <w:r>
        <w:fldChar w:fldCharType="separate"/>
      </w:r>
      <w:r>
        <w:rPr>
          <w:rStyle w:val="20"/>
          <w:rFonts w:ascii="Arial" w:hAnsi="Arial" w:eastAsia="宋体" w:cs="Arial"/>
          <w:color w:val="000000" w:themeColor="text1"/>
          <w:u w:val="none"/>
          <w14:textFill>
            <w14:solidFill>
              <w14:schemeClr w14:val="tx1"/>
            </w14:solidFill>
          </w14:textFill>
        </w:rPr>
        <w:t>gcp.questions@fda.hhs.gov</w:t>
      </w:r>
      <w:r>
        <w:rPr>
          <w:rStyle w:val="20"/>
          <w:rFonts w:ascii="Arial" w:hAnsi="Arial" w:eastAsia="宋体" w:cs="Arial"/>
          <w:color w:val="000000" w:themeColor="text1"/>
          <w:u w:val="none"/>
          <w14:textFill>
            <w14:solidFill>
              <w14:schemeClr w14:val="tx1"/>
            </w14:solidFill>
          </w14:textFill>
        </w:rPr>
        <w:fldChar w:fldCharType="end"/>
      </w:r>
    </w:p>
    <w:p w14:paraId="0CE70A9C">
      <w:pPr>
        <w:overflowPunct w:val="0"/>
        <w:adjustRightInd w:val="0"/>
        <w:snapToGrid w:val="0"/>
        <w:spacing w:after="0" w:line="300" w:lineRule="auto"/>
        <w:jc w:val="center"/>
        <w:rPr>
          <w:rFonts w:ascii="Arial" w:hAnsi="Arial" w:eastAsia="宋体" w:cs="Arial"/>
        </w:rPr>
      </w:pPr>
    </w:p>
    <w:p w14:paraId="1043939D">
      <w:pPr>
        <w:overflowPunct w:val="0"/>
        <w:adjustRightInd w:val="0"/>
        <w:snapToGrid w:val="0"/>
        <w:spacing w:after="0" w:line="300" w:lineRule="auto"/>
        <w:jc w:val="center"/>
        <w:rPr>
          <w:rFonts w:ascii="Arial" w:hAnsi="Arial" w:eastAsia="宋体" w:cs="Arial"/>
          <w:b/>
        </w:rPr>
      </w:pPr>
      <w:r>
        <w:rPr>
          <w:rFonts w:ascii="Arial" w:hAnsi="Arial" w:eastAsia="宋体" w:cs="Arial"/>
          <w:b/>
        </w:rPr>
        <w:t>美国卫生</w:t>
      </w:r>
      <w:r>
        <w:rPr>
          <w:rFonts w:hint="eastAsia" w:ascii="Arial" w:hAnsi="Arial" w:eastAsia="宋体" w:cs="Arial"/>
          <w:b/>
        </w:rPr>
        <w:t>和人类</w:t>
      </w:r>
      <w:r>
        <w:rPr>
          <w:rFonts w:ascii="Arial" w:hAnsi="Arial" w:eastAsia="宋体" w:cs="Arial"/>
          <w:b/>
        </w:rPr>
        <w:t>服务</w:t>
      </w:r>
      <w:r>
        <w:rPr>
          <w:rFonts w:hint="eastAsia" w:ascii="Arial" w:hAnsi="Arial" w:eastAsia="宋体" w:cs="Arial"/>
          <w:b/>
        </w:rPr>
        <w:t>署</w:t>
      </w:r>
    </w:p>
    <w:p w14:paraId="2927A504">
      <w:pPr>
        <w:overflowPunct w:val="0"/>
        <w:adjustRightInd w:val="0"/>
        <w:snapToGrid w:val="0"/>
        <w:spacing w:after="0" w:line="300" w:lineRule="auto"/>
        <w:jc w:val="center"/>
        <w:rPr>
          <w:rFonts w:ascii="Arial" w:hAnsi="Arial" w:eastAsia="宋体" w:cs="Arial"/>
          <w:b/>
        </w:rPr>
      </w:pPr>
      <w:r>
        <w:rPr>
          <w:rFonts w:ascii="Arial" w:hAnsi="Arial" w:eastAsia="宋体" w:cs="Arial"/>
          <w:b/>
        </w:rPr>
        <w:t>食品药品监督管理局</w:t>
      </w:r>
    </w:p>
    <w:p w14:paraId="6FBE1494">
      <w:pPr>
        <w:overflowPunct w:val="0"/>
        <w:adjustRightInd w:val="0"/>
        <w:snapToGrid w:val="0"/>
        <w:spacing w:after="0" w:line="300" w:lineRule="auto"/>
        <w:jc w:val="center"/>
        <w:rPr>
          <w:rFonts w:ascii="Arial" w:hAnsi="Arial" w:eastAsia="宋体" w:cs="Arial"/>
          <w:b/>
        </w:rPr>
      </w:pPr>
      <w:r>
        <w:rPr>
          <w:rFonts w:ascii="Arial" w:hAnsi="Arial" w:eastAsia="宋体" w:cs="Arial"/>
          <w:b/>
        </w:rPr>
        <w:t>良好临床实践办公室，特殊医疗项目办公室</w:t>
      </w:r>
    </w:p>
    <w:p w14:paraId="44357CDE">
      <w:pPr>
        <w:overflowPunct w:val="0"/>
        <w:adjustRightInd w:val="0"/>
        <w:snapToGrid w:val="0"/>
        <w:spacing w:after="0" w:line="300" w:lineRule="auto"/>
        <w:jc w:val="center"/>
        <w:rPr>
          <w:rFonts w:ascii="Arial" w:hAnsi="Arial" w:eastAsia="宋体" w:cs="Arial"/>
          <w:b/>
        </w:rPr>
      </w:pPr>
      <w:r>
        <w:rPr>
          <w:rFonts w:ascii="Arial" w:hAnsi="Arial" w:eastAsia="宋体" w:cs="Arial"/>
          <w:b/>
        </w:rPr>
        <w:t>2017年6月修订</w:t>
      </w:r>
    </w:p>
    <w:p w14:paraId="06536292">
      <w:pPr>
        <w:overflowPunct w:val="0"/>
        <w:adjustRightInd w:val="0"/>
        <w:snapToGrid w:val="0"/>
        <w:spacing w:after="0" w:line="300" w:lineRule="auto"/>
        <w:jc w:val="center"/>
        <w:rPr>
          <w:rFonts w:ascii="Arial" w:hAnsi="Arial" w:eastAsia="宋体" w:cs="Arial"/>
        </w:rPr>
      </w:pPr>
    </w:p>
    <w:p w14:paraId="42CB7B94">
      <w:pPr>
        <w:overflowPunct w:val="0"/>
        <w:adjustRightInd w:val="0"/>
        <w:snapToGrid w:val="0"/>
        <w:spacing w:after="0" w:line="300" w:lineRule="auto"/>
        <w:jc w:val="center"/>
        <w:rPr>
          <w:rFonts w:ascii="Arial" w:hAnsi="Arial" w:eastAsia="宋体" w:cs="Arial"/>
        </w:rPr>
      </w:pPr>
    </w:p>
    <w:p w14:paraId="200B2432">
      <w:pPr>
        <w:overflowPunct w:val="0"/>
        <w:adjustRightInd w:val="0"/>
        <w:snapToGrid w:val="0"/>
        <w:spacing w:after="0" w:line="300" w:lineRule="auto"/>
        <w:jc w:val="center"/>
        <w:rPr>
          <w:rFonts w:ascii="Arial" w:hAnsi="Arial" w:eastAsia="宋体" w:cs="Arial"/>
        </w:rPr>
      </w:pPr>
      <w:r>
        <w:rPr>
          <w:rFonts w:ascii="Arial" w:hAnsi="Arial" w:eastAsia="宋体" w:cs="Arial"/>
        </w:rPr>
        <w:t>OMB控制编号0910-0616</w:t>
      </w:r>
    </w:p>
    <w:p w14:paraId="47C1B227">
      <w:pPr>
        <w:overflowPunct w:val="0"/>
        <w:adjustRightInd w:val="0"/>
        <w:snapToGrid w:val="0"/>
        <w:spacing w:after="0" w:line="300" w:lineRule="auto"/>
        <w:jc w:val="center"/>
        <w:rPr>
          <w:rFonts w:ascii="Arial" w:hAnsi="Arial" w:eastAsia="宋体" w:cs="Arial"/>
        </w:rPr>
        <w:sectPr>
          <w:pgSz w:w="11906" w:h="16838"/>
          <w:pgMar w:top="1440" w:right="1800" w:bottom="1440" w:left="1800" w:header="851" w:footer="992" w:gutter="0"/>
          <w:cols w:space="425" w:num="1"/>
          <w:docGrid w:type="lines" w:linePitch="312" w:charSpace="0"/>
        </w:sectPr>
      </w:pPr>
      <w:r>
        <w:rPr>
          <w:rFonts w:ascii="Arial" w:hAnsi="Arial" w:eastAsia="宋体" w:cs="Arial"/>
        </w:rPr>
        <w:t>请参见本指南第IV部分中的其他PRA声明。</w:t>
      </w:r>
    </w:p>
    <w:p w14:paraId="29146CE2">
      <w:pPr>
        <w:pStyle w:val="41"/>
        <w:overflowPunct w:val="0"/>
        <w:adjustRightInd w:val="0"/>
        <w:snapToGrid w:val="0"/>
        <w:spacing w:after="0" w:line="300" w:lineRule="auto"/>
        <w:ind w:firstLine="482"/>
        <w:rPr>
          <w:rFonts w:ascii="Arial" w:hAnsi="Arial" w:eastAsia="宋体" w:cs="Arial"/>
          <w:sz w:val="36"/>
          <w:szCs w:val="36"/>
        </w:rPr>
      </w:pPr>
      <w:r>
        <w:rPr>
          <w:rFonts w:ascii="Arial" w:hAnsi="Arial" w:eastAsia="宋体" w:cs="Arial"/>
          <w:sz w:val="36"/>
          <w:szCs w:val="36"/>
        </w:rPr>
        <w:t>FDA 3674表 – 伴随药品、生物制剂和器械</w:t>
      </w:r>
    </w:p>
    <w:p w14:paraId="1263A19E">
      <w:pPr>
        <w:pStyle w:val="41"/>
        <w:overflowPunct w:val="0"/>
        <w:adjustRightInd w:val="0"/>
        <w:snapToGrid w:val="0"/>
        <w:spacing w:after="0" w:line="300" w:lineRule="auto"/>
        <w:ind w:firstLine="482"/>
        <w:rPr>
          <w:rFonts w:ascii="Arial" w:hAnsi="Arial" w:eastAsia="宋体" w:cs="Arial"/>
          <w:sz w:val="36"/>
          <w:szCs w:val="36"/>
        </w:rPr>
      </w:pPr>
      <w:r>
        <w:rPr>
          <w:rFonts w:ascii="Arial" w:hAnsi="Arial" w:eastAsia="宋体" w:cs="Arial"/>
          <w:sz w:val="36"/>
          <w:szCs w:val="36"/>
        </w:rPr>
        <w:t>申请/提交的认证：</w:t>
      </w:r>
    </w:p>
    <w:p w14:paraId="758EC81B">
      <w:pPr>
        <w:pStyle w:val="41"/>
        <w:overflowPunct w:val="0"/>
        <w:adjustRightInd w:val="0"/>
        <w:snapToGrid w:val="0"/>
        <w:spacing w:after="0" w:line="300" w:lineRule="auto"/>
        <w:ind w:firstLine="482"/>
        <w:rPr>
          <w:rFonts w:ascii="Arial" w:hAnsi="Arial" w:eastAsia="宋体" w:cs="Arial"/>
        </w:rPr>
      </w:pPr>
    </w:p>
    <w:p w14:paraId="637CF2A8">
      <w:pPr>
        <w:pStyle w:val="41"/>
        <w:overflowPunct w:val="0"/>
        <w:adjustRightInd w:val="0"/>
        <w:snapToGrid w:val="0"/>
        <w:spacing w:after="0" w:line="300" w:lineRule="auto"/>
        <w:ind w:firstLine="482"/>
        <w:rPr>
          <w:rFonts w:ascii="Arial" w:hAnsi="Arial" w:eastAsia="宋体" w:cs="Arial"/>
          <w:sz w:val="32"/>
          <w:szCs w:val="32"/>
        </w:rPr>
      </w:pPr>
      <w:r>
        <w:rPr>
          <w:rFonts w:ascii="Arial" w:hAnsi="Arial" w:eastAsia="宋体" w:cs="Arial"/>
          <w:sz w:val="32"/>
          <w:szCs w:val="32"/>
        </w:rPr>
        <w:t>申办方、行业、研究人员、研究者、</w:t>
      </w:r>
    </w:p>
    <w:p w14:paraId="2F4D907C">
      <w:pPr>
        <w:pStyle w:val="41"/>
        <w:overflowPunct w:val="0"/>
        <w:adjustRightInd w:val="0"/>
        <w:snapToGrid w:val="0"/>
        <w:spacing w:after="0" w:line="300" w:lineRule="auto"/>
        <w:ind w:firstLine="482"/>
        <w:rPr>
          <w:rFonts w:ascii="Arial" w:hAnsi="Arial" w:eastAsia="宋体" w:cs="Arial"/>
          <w:sz w:val="32"/>
          <w:szCs w:val="32"/>
        </w:rPr>
      </w:pPr>
      <w:r>
        <w:rPr>
          <w:rFonts w:ascii="Arial" w:hAnsi="Arial" w:eastAsia="宋体" w:cs="Arial"/>
          <w:sz w:val="32"/>
          <w:szCs w:val="32"/>
        </w:rPr>
        <w:t>食品药品监督管理人员指南</w:t>
      </w:r>
    </w:p>
    <w:p w14:paraId="2CE54C72">
      <w:pPr>
        <w:pStyle w:val="41"/>
        <w:overflowPunct w:val="0"/>
        <w:adjustRightInd w:val="0"/>
        <w:snapToGrid w:val="0"/>
        <w:spacing w:after="0" w:line="300" w:lineRule="auto"/>
        <w:ind w:firstLine="482"/>
        <w:rPr>
          <w:rFonts w:ascii="Arial" w:hAnsi="Arial" w:eastAsia="宋体" w:cs="Arial"/>
          <w:sz w:val="32"/>
          <w:szCs w:val="32"/>
        </w:rPr>
      </w:pPr>
    </w:p>
    <w:tbl>
      <w:tblPr>
        <w:tblStyle w:val="18"/>
        <w:tblW w:w="0" w:type="auto"/>
        <w:tblInd w:w="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autofit"/>
        <w:tblCellMar>
          <w:top w:w="0" w:type="dxa"/>
          <w:left w:w="108" w:type="dxa"/>
          <w:bottom w:w="0" w:type="dxa"/>
          <w:right w:w="108" w:type="dxa"/>
        </w:tblCellMar>
      </w:tblPr>
      <w:tblGrid>
        <w:gridCol w:w="8906"/>
      </w:tblGrid>
      <w:tr w14:paraId="1A138A90">
        <w:tblPrEx>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top w:w="0" w:type="dxa"/>
            <w:left w:w="108" w:type="dxa"/>
            <w:bottom w:w="0" w:type="dxa"/>
            <w:right w:w="108" w:type="dxa"/>
          </w:tblCellMar>
        </w:tblPrEx>
        <w:trPr>
          <w:trHeight w:val="1814" w:hRule="atLeast"/>
        </w:trPr>
        <w:tc>
          <w:tcPr>
            <w:tcW w:w="9331" w:type="dxa"/>
          </w:tcPr>
          <w:p w14:paraId="2DA0F12C">
            <w:pPr>
              <w:pStyle w:val="45"/>
              <w:shd w:val="clear" w:color="auto" w:fill="auto"/>
              <w:overflowPunct w:val="0"/>
              <w:adjustRightInd w:val="0"/>
              <w:snapToGrid w:val="0"/>
              <w:spacing w:before="156" w:beforeLines="50" w:after="0" w:line="300" w:lineRule="auto"/>
              <w:rPr>
                <w:rFonts w:ascii="Arial" w:hAnsi="Arial" w:eastAsia="宋体" w:cs="Arial"/>
                <w:b w:val="0"/>
                <w:sz w:val="21"/>
                <w:szCs w:val="21"/>
              </w:rPr>
            </w:pPr>
            <w:r>
              <w:rPr>
                <w:rFonts w:ascii="Arial" w:hAnsi="Arial" w:eastAsia="宋体" w:cs="Arial"/>
                <w:b w:val="0"/>
                <w:sz w:val="21"/>
                <w:szCs w:val="21"/>
              </w:rPr>
              <w:t>本指南代表了食品药品监督管理局（FDA或</w:t>
            </w:r>
            <w:r>
              <w:rPr>
                <w:rFonts w:hint="eastAsia" w:ascii="Arial" w:hAnsi="Arial" w:eastAsia="宋体" w:cs="Arial"/>
                <w:b w:val="0"/>
                <w:sz w:val="21"/>
                <w:szCs w:val="21"/>
              </w:rPr>
              <w:t>机构</w:t>
            </w:r>
            <w:r>
              <w:rPr>
                <w:rFonts w:ascii="Arial" w:hAnsi="Arial" w:eastAsia="宋体" w:cs="Arial"/>
                <w:b w:val="0"/>
                <w:sz w:val="21"/>
                <w:szCs w:val="21"/>
              </w:rPr>
              <w:t>）目前对于该主题的</w:t>
            </w:r>
            <w:r>
              <w:rPr>
                <w:rFonts w:hint="eastAsia" w:ascii="Arial" w:hAnsi="Arial" w:eastAsia="宋体" w:cs="Arial"/>
                <w:b w:val="0"/>
                <w:sz w:val="21"/>
                <w:szCs w:val="21"/>
              </w:rPr>
              <w:t>考虑</w:t>
            </w:r>
            <w:r>
              <w:rPr>
                <w:rFonts w:ascii="Arial" w:hAnsi="Arial" w:eastAsia="宋体" w:cs="Arial"/>
                <w:b w:val="0"/>
                <w:sz w:val="21"/>
                <w:szCs w:val="21"/>
              </w:rPr>
              <w:t>。</w:t>
            </w:r>
            <w:r>
              <w:rPr>
                <w:rFonts w:hint="eastAsia" w:ascii="Arial" w:hAnsi="Arial" w:eastAsia="宋体" w:cs="Arial"/>
                <w:b w:val="0"/>
                <w:sz w:val="21"/>
                <w:szCs w:val="21"/>
              </w:rPr>
              <w:t>其</w:t>
            </w:r>
            <w:r>
              <w:rPr>
                <w:rFonts w:ascii="Arial" w:hAnsi="Arial" w:eastAsia="宋体" w:cs="Arial"/>
                <w:b w:val="0"/>
                <w:sz w:val="21"/>
                <w:szCs w:val="21"/>
              </w:rPr>
              <w:t>不会为任何人创造或赋予任何权利，也不会约束FDA或公众。如果替代方法可以满足适用的法规和/或条例的要求，可以使用该替代方法。如果想讨论一种替代方法，可以联系负责实施本指南的FDA工作人员。如果无法确定适当的FDA工作人员，请拨打本指南标题页上列出的适用号码。</w:t>
            </w:r>
          </w:p>
        </w:tc>
      </w:tr>
    </w:tbl>
    <w:p w14:paraId="3F04C9DB">
      <w:pPr>
        <w:pStyle w:val="45"/>
        <w:shd w:val="clear" w:color="auto" w:fill="auto"/>
        <w:overflowPunct w:val="0"/>
        <w:adjustRightInd w:val="0"/>
        <w:snapToGrid w:val="0"/>
        <w:spacing w:after="0" w:line="300" w:lineRule="auto"/>
        <w:ind w:right="23"/>
        <w:rPr>
          <w:rFonts w:ascii="Arial" w:hAnsi="Arial" w:eastAsia="宋体" w:cs="Arial"/>
          <w:sz w:val="30"/>
          <w:szCs w:val="30"/>
        </w:rPr>
      </w:pPr>
    </w:p>
    <w:p w14:paraId="313F2C66">
      <w:pPr>
        <w:pStyle w:val="45"/>
        <w:numPr>
          <w:ilvl w:val="0"/>
          <w:numId w:val="2"/>
        </w:numPr>
        <w:shd w:val="clear" w:color="auto" w:fill="auto"/>
        <w:overflowPunct w:val="0"/>
        <w:adjustRightInd w:val="0"/>
        <w:snapToGrid w:val="0"/>
        <w:spacing w:after="156" w:afterLines="50" w:line="480" w:lineRule="auto"/>
        <w:rPr>
          <w:rFonts w:ascii="Arial" w:hAnsi="Arial" w:eastAsia="宋体" w:cs="Arial"/>
          <w:sz w:val="30"/>
          <w:szCs w:val="30"/>
        </w:rPr>
      </w:pPr>
      <w:r>
        <w:rPr>
          <w:rFonts w:ascii="Arial" w:hAnsi="Arial" w:eastAsia="宋体" w:cs="Arial"/>
          <w:sz w:val="30"/>
          <w:szCs w:val="30"/>
        </w:rPr>
        <w:t>简介</w:t>
      </w:r>
    </w:p>
    <w:p w14:paraId="1ECAD9DD">
      <w:pPr>
        <w:pStyle w:val="43"/>
        <w:shd w:val="clear" w:color="auto" w:fill="auto"/>
        <w:overflowPunct w:val="0"/>
        <w:adjustRightInd w:val="0"/>
        <w:snapToGrid w:val="0"/>
        <w:spacing w:before="0" w:after="156" w:afterLines="50" w:line="360" w:lineRule="auto"/>
        <w:jc w:val="both"/>
        <w:rPr>
          <w:rFonts w:ascii="Arial" w:hAnsi="Arial" w:eastAsia="宋体" w:cs="Arial"/>
          <w:sz w:val="28"/>
          <w:szCs w:val="28"/>
        </w:rPr>
      </w:pPr>
      <w:r>
        <w:rPr>
          <w:rFonts w:ascii="Arial" w:hAnsi="Arial" w:eastAsia="宋体" w:cs="Arial"/>
          <w:sz w:val="28"/>
          <w:szCs w:val="28"/>
        </w:rPr>
        <w:t>本指南</w:t>
      </w:r>
      <w:r>
        <w:rPr>
          <w:rFonts w:hint="eastAsia" w:ascii="Arial" w:hAnsi="Arial" w:eastAsia="宋体" w:cs="Arial"/>
          <w:sz w:val="28"/>
          <w:szCs w:val="28"/>
        </w:rPr>
        <w:t>描述了</w:t>
      </w:r>
      <w:r>
        <w:rPr>
          <w:rFonts w:ascii="Arial" w:hAnsi="Arial" w:eastAsia="宋体" w:cs="Arial"/>
          <w:sz w:val="28"/>
          <w:szCs w:val="28"/>
        </w:rPr>
        <w:t>食品药品监督管理局（FDA</w:t>
      </w:r>
      <w:r>
        <w:rPr>
          <w:rFonts w:hint="eastAsia" w:ascii="Arial" w:hAnsi="Arial" w:eastAsia="宋体" w:cs="Arial"/>
          <w:sz w:val="28"/>
          <w:szCs w:val="28"/>
        </w:rPr>
        <w:t>、</w:t>
      </w:r>
      <w:r>
        <w:rPr>
          <w:rFonts w:ascii="Arial" w:hAnsi="Arial" w:eastAsia="宋体" w:cs="Arial"/>
          <w:sz w:val="28"/>
          <w:szCs w:val="28"/>
        </w:rPr>
        <w:t>我们或</w:t>
      </w:r>
      <w:r>
        <w:rPr>
          <w:rFonts w:hint="eastAsia" w:ascii="Arial" w:hAnsi="Arial" w:eastAsia="宋体" w:cs="Arial"/>
          <w:sz w:val="28"/>
          <w:szCs w:val="28"/>
        </w:rPr>
        <w:t>机构</w:t>
      </w:r>
      <w:r>
        <w:rPr>
          <w:rFonts w:ascii="Arial" w:hAnsi="Arial" w:eastAsia="宋体" w:cs="Arial"/>
          <w:sz w:val="28"/>
          <w:szCs w:val="28"/>
        </w:rPr>
        <w:t>），目前关于申办方、行业、研究人员和研究者根据</w:t>
      </w:r>
      <w:r>
        <w:rPr>
          <w:rFonts w:ascii="宋体" w:hAnsi="宋体" w:eastAsia="宋体" w:cs="Arial"/>
          <w:sz w:val="28"/>
          <w:szCs w:val="28"/>
        </w:rPr>
        <w:t>“</w:t>
      </w:r>
      <w:r>
        <w:rPr>
          <w:rFonts w:ascii="Arial" w:hAnsi="Arial" w:eastAsia="宋体" w:cs="Arial"/>
          <w:sz w:val="28"/>
          <w:szCs w:val="28"/>
        </w:rPr>
        <w:t>公共卫生服务法</w:t>
      </w:r>
      <w:r>
        <w:rPr>
          <w:rFonts w:ascii="宋体" w:hAnsi="宋体" w:eastAsia="宋体" w:cs="Arial"/>
          <w:sz w:val="28"/>
          <w:szCs w:val="28"/>
        </w:rPr>
        <w:t>”</w:t>
      </w:r>
      <w:r>
        <w:rPr>
          <w:rFonts w:ascii="Arial" w:hAnsi="Arial" w:eastAsia="宋体" w:cs="Arial"/>
          <w:sz w:val="28"/>
          <w:szCs w:val="28"/>
        </w:rPr>
        <w:t>（PHS 法案）第402（j）（5）（B）</w:t>
      </w:r>
      <w:r>
        <w:rPr>
          <w:rFonts w:hint="eastAsia" w:ascii="Arial" w:hAnsi="Arial" w:eastAsia="宋体" w:cs="Arial"/>
          <w:sz w:val="28"/>
          <w:szCs w:val="28"/>
        </w:rPr>
        <w:t>部分</w:t>
      </w:r>
      <w:r>
        <w:rPr>
          <w:rFonts w:ascii="Arial" w:hAnsi="Arial" w:eastAsia="宋体" w:cs="Arial"/>
          <w:sz w:val="28"/>
          <w:szCs w:val="28"/>
        </w:rPr>
        <w:t>，42 U.S.C. § 282（j）（5）（B），向FDA提交的申请类型和申请资料中同时提交的（FDA</w:t>
      </w:r>
      <w:r>
        <w:rPr>
          <w:rFonts w:hint="eastAsia" w:ascii="Arial" w:hAnsi="Arial" w:eastAsia="宋体" w:cs="Arial"/>
          <w:sz w:val="28"/>
          <w:szCs w:val="28"/>
        </w:rPr>
        <w:t xml:space="preserve"> </w:t>
      </w:r>
      <w:r>
        <w:rPr>
          <w:rFonts w:ascii="Arial" w:hAnsi="Arial" w:eastAsia="宋体" w:cs="Arial"/>
          <w:sz w:val="28"/>
          <w:szCs w:val="28"/>
        </w:rPr>
        <w:t>3674表）的看法。PHS法案第402（j）</w:t>
      </w:r>
      <w:r>
        <w:rPr>
          <w:rFonts w:hint="eastAsia" w:ascii="Arial" w:hAnsi="Arial" w:eastAsia="宋体" w:cs="Arial"/>
          <w:sz w:val="28"/>
          <w:szCs w:val="28"/>
        </w:rPr>
        <w:t>部分，</w:t>
      </w:r>
      <w:r>
        <w:rPr>
          <w:rFonts w:ascii="Arial" w:hAnsi="Arial" w:eastAsia="宋体" w:cs="Arial"/>
          <w:sz w:val="28"/>
          <w:szCs w:val="28"/>
        </w:rPr>
        <w:t>2007年食品药品监督管理局修正案（FDAAA）（公法110-85）增加了第VIII</w:t>
      </w:r>
      <w:r>
        <w:rPr>
          <w:rFonts w:hint="eastAsia" w:ascii="Arial" w:hAnsi="Arial" w:eastAsia="宋体" w:cs="Arial"/>
          <w:sz w:val="28"/>
          <w:szCs w:val="28"/>
        </w:rPr>
        <w:t>卷</w:t>
      </w:r>
      <w:r>
        <w:rPr>
          <w:rFonts w:ascii="Arial" w:hAnsi="Arial" w:eastAsia="宋体" w:cs="Arial"/>
          <w:sz w:val="28"/>
          <w:szCs w:val="28"/>
        </w:rPr>
        <w:t>。</w:t>
      </w:r>
    </w:p>
    <w:p w14:paraId="339E7842">
      <w:pPr>
        <w:pStyle w:val="43"/>
        <w:shd w:val="clear" w:color="auto" w:fill="auto"/>
        <w:overflowPunct w:val="0"/>
        <w:adjustRightInd w:val="0"/>
        <w:snapToGrid w:val="0"/>
        <w:spacing w:before="0" w:after="156" w:afterLines="50" w:line="360" w:lineRule="auto"/>
        <w:jc w:val="both"/>
        <w:rPr>
          <w:rFonts w:ascii="Arial" w:hAnsi="Arial" w:eastAsia="宋体" w:cs="Arial"/>
          <w:sz w:val="28"/>
          <w:szCs w:val="28"/>
        </w:rPr>
      </w:pPr>
      <w:r>
        <w:rPr>
          <w:rFonts w:ascii="Arial" w:hAnsi="Arial" w:eastAsia="宋体" w:cs="Arial"/>
          <w:sz w:val="28"/>
          <w:szCs w:val="28"/>
        </w:rPr>
        <w:t>FDA的指导性文件（包括本指南），不构成法律上的强制权利或责任。相反，指南描述了FDA目前对某一主题的看法，除非引用了具体的法规或</w:t>
      </w:r>
      <w:r>
        <w:rPr>
          <w:rFonts w:hint="eastAsia" w:ascii="Arial" w:hAnsi="Arial" w:eastAsia="宋体" w:cs="Arial"/>
          <w:sz w:val="28"/>
          <w:szCs w:val="28"/>
        </w:rPr>
        <w:t>法律</w:t>
      </w:r>
      <w:r>
        <w:rPr>
          <w:rFonts w:ascii="Arial" w:hAnsi="Arial" w:eastAsia="宋体" w:cs="Arial"/>
          <w:sz w:val="28"/>
          <w:szCs w:val="28"/>
        </w:rPr>
        <w:t>要求，否则应仅将其视为建议。</w:t>
      </w:r>
      <w:r>
        <w:rPr>
          <w:rFonts w:ascii="Arial" w:hAnsi="Arial" w:eastAsia="宋体" w:cs="Arial"/>
          <w:sz w:val="28"/>
          <w:szCs w:val="28"/>
        </w:rPr>
        <w:br w:type="page"/>
      </w:r>
    </w:p>
    <w:p w14:paraId="1B6CD95C">
      <w:pPr>
        <w:pStyle w:val="43"/>
        <w:shd w:val="clear" w:color="auto" w:fill="auto"/>
        <w:overflowPunct w:val="0"/>
        <w:adjustRightInd w:val="0"/>
        <w:snapToGrid w:val="0"/>
        <w:spacing w:before="0" w:after="468" w:afterLines="150" w:line="360" w:lineRule="auto"/>
        <w:jc w:val="both"/>
        <w:rPr>
          <w:rFonts w:ascii="Arial" w:hAnsi="Arial" w:eastAsia="宋体" w:cs="Arial"/>
          <w:sz w:val="28"/>
          <w:szCs w:val="28"/>
        </w:rPr>
      </w:pPr>
      <w:r>
        <w:rPr>
          <w:rFonts w:ascii="Arial" w:hAnsi="Arial" w:eastAsia="宋体" w:cs="Arial"/>
          <w:sz w:val="28"/>
          <w:szCs w:val="28"/>
        </w:rPr>
        <w:t>在FDA的指南中使用</w:t>
      </w:r>
      <w:r>
        <w:rPr>
          <w:rFonts w:hint="eastAsia" w:ascii="Arial" w:hAnsi="Arial" w:eastAsia="宋体" w:cs="Arial"/>
          <w:sz w:val="28"/>
          <w:szCs w:val="28"/>
        </w:rPr>
        <w:t>术语</w:t>
      </w:r>
      <w:r>
        <w:rPr>
          <w:rFonts w:ascii="宋体" w:hAnsi="宋体" w:eastAsia="宋体" w:cs="Arial"/>
          <w:sz w:val="28"/>
          <w:szCs w:val="28"/>
        </w:rPr>
        <w:t>“</w:t>
      </w:r>
      <w:r>
        <w:rPr>
          <w:rFonts w:ascii="Arial" w:hAnsi="Arial" w:eastAsia="宋体" w:cs="Arial"/>
          <w:sz w:val="28"/>
          <w:szCs w:val="28"/>
        </w:rPr>
        <w:t>应</w:t>
      </w:r>
      <w:r>
        <w:rPr>
          <w:rFonts w:ascii="宋体" w:hAnsi="宋体" w:eastAsia="宋体" w:cs="Arial"/>
          <w:sz w:val="28"/>
          <w:szCs w:val="28"/>
        </w:rPr>
        <w:t>”</w:t>
      </w:r>
      <w:r>
        <w:rPr>
          <w:rFonts w:ascii="Arial" w:hAnsi="Arial" w:eastAsia="宋体" w:cs="Arial"/>
          <w:sz w:val="28"/>
          <w:szCs w:val="28"/>
        </w:rPr>
        <w:t>，</w:t>
      </w:r>
      <w:r>
        <w:rPr>
          <w:rFonts w:hint="eastAsia" w:ascii="Arial" w:hAnsi="Arial" w:eastAsia="宋体" w:cs="Arial"/>
          <w:sz w:val="28"/>
          <w:szCs w:val="28"/>
        </w:rPr>
        <w:t>表示</w:t>
      </w:r>
      <w:r>
        <w:rPr>
          <w:rFonts w:ascii="Arial" w:hAnsi="Arial" w:eastAsia="宋体" w:cs="Arial"/>
          <w:sz w:val="28"/>
          <w:szCs w:val="28"/>
        </w:rPr>
        <w:t>建议或推荐某事，但并不是必需。</w:t>
      </w:r>
    </w:p>
    <w:p w14:paraId="7D77DC17">
      <w:pPr>
        <w:pStyle w:val="45"/>
        <w:numPr>
          <w:ilvl w:val="0"/>
          <w:numId w:val="2"/>
        </w:numPr>
        <w:shd w:val="clear" w:color="auto" w:fill="auto"/>
        <w:overflowPunct w:val="0"/>
        <w:adjustRightInd w:val="0"/>
        <w:snapToGrid w:val="0"/>
        <w:spacing w:after="156" w:afterLines="50" w:line="480" w:lineRule="auto"/>
        <w:rPr>
          <w:rFonts w:ascii="Arial" w:hAnsi="Arial" w:eastAsia="宋体" w:cs="Arial"/>
          <w:sz w:val="30"/>
          <w:szCs w:val="30"/>
        </w:rPr>
      </w:pPr>
      <w:r>
        <w:rPr>
          <w:rFonts w:ascii="Arial" w:hAnsi="Arial" w:eastAsia="宋体" w:cs="Arial"/>
          <w:sz w:val="30"/>
          <w:szCs w:val="30"/>
        </w:rPr>
        <w:t>背景</w:t>
      </w:r>
    </w:p>
    <w:p w14:paraId="2C82EFA2">
      <w:pPr>
        <w:pStyle w:val="43"/>
        <w:shd w:val="clear" w:color="auto" w:fill="auto"/>
        <w:overflowPunct w:val="0"/>
        <w:snapToGrid w:val="0"/>
        <w:spacing w:before="0" w:after="468" w:afterLines="150" w:line="360" w:lineRule="auto"/>
        <w:jc w:val="both"/>
        <w:rPr>
          <w:rFonts w:ascii="Arial" w:hAnsi="Arial" w:eastAsia="宋体" w:cs="Arial"/>
          <w:sz w:val="28"/>
          <w:szCs w:val="28"/>
        </w:rPr>
      </w:pPr>
      <w:r>
        <w:rPr>
          <w:rFonts w:ascii="Arial" w:hAnsi="Arial" w:eastAsia="宋体" w:cs="Arial"/>
          <w:sz w:val="28"/>
          <w:szCs w:val="28"/>
        </w:rPr>
        <w:t>FDAAA第VIII章，对PHS法案</w:t>
      </w:r>
      <w:r>
        <w:rPr>
          <w:rFonts w:hint="eastAsia" w:ascii="Arial" w:hAnsi="Arial" w:eastAsia="宋体" w:cs="Arial"/>
          <w:sz w:val="28"/>
          <w:szCs w:val="28"/>
        </w:rPr>
        <w:t>修订</w:t>
      </w:r>
      <w:r>
        <w:rPr>
          <w:rFonts w:ascii="Arial" w:hAnsi="Arial" w:eastAsia="宋体" w:cs="Arial"/>
          <w:sz w:val="28"/>
          <w:szCs w:val="28"/>
        </w:rPr>
        <w:t>时</w:t>
      </w:r>
      <w:r>
        <w:rPr>
          <w:rFonts w:hint="eastAsia" w:ascii="Arial" w:hAnsi="Arial" w:eastAsia="宋体" w:cs="Arial"/>
          <w:sz w:val="28"/>
          <w:szCs w:val="28"/>
        </w:rPr>
        <w:t>添加了</w:t>
      </w:r>
      <w:r>
        <w:rPr>
          <w:rFonts w:ascii="Arial" w:hAnsi="Arial" w:eastAsia="宋体" w:cs="Arial"/>
          <w:sz w:val="28"/>
          <w:szCs w:val="28"/>
        </w:rPr>
        <w:t>第402（j）</w:t>
      </w:r>
      <w:r>
        <w:rPr>
          <w:rFonts w:hint="eastAsia" w:ascii="Arial" w:hAnsi="Arial" w:eastAsia="宋体" w:cs="Arial"/>
          <w:sz w:val="28"/>
          <w:szCs w:val="28"/>
        </w:rPr>
        <w:t>部分</w:t>
      </w:r>
      <w:r>
        <w:rPr>
          <w:rFonts w:ascii="Arial" w:hAnsi="Arial" w:eastAsia="宋体" w:cs="Arial"/>
          <w:sz w:val="28"/>
          <w:szCs w:val="28"/>
        </w:rPr>
        <w:t>，42 U.S.C. § 282（j）。这些条款要求向美国国立卫生研究院（NIH）/国家医学图书馆（NLM）运营的临床试验数据库</w:t>
      </w:r>
      <w:r>
        <w:rPr>
          <w:rFonts w:ascii="Arial" w:hAnsi="Arial" w:eastAsia="宋体" w:cs="Arial"/>
          <w:color w:val="000000" w:themeColor="text1"/>
          <w:sz w:val="28"/>
          <w:szCs w:val="28"/>
          <w14:textFill>
            <w14:solidFill>
              <w14:schemeClr w14:val="tx1"/>
            </w14:solidFill>
          </w14:textFill>
        </w:rPr>
        <w:fldChar w:fldCharType="begin"/>
      </w:r>
      <w:r>
        <w:rPr>
          <w:rFonts w:ascii="Arial" w:hAnsi="Arial" w:eastAsia="宋体" w:cs="Arial"/>
          <w:color w:val="000000" w:themeColor="text1"/>
          <w:sz w:val="28"/>
          <w:szCs w:val="28"/>
          <w14:textFill>
            <w14:solidFill>
              <w14:schemeClr w14:val="tx1"/>
            </w14:solidFill>
          </w14:textFill>
        </w:rPr>
        <w:instrText xml:space="preserve">HYPERLINK "http://www.clinicaltrials.gov/"</w:instrText>
      </w:r>
      <w:r>
        <w:rPr>
          <w:rFonts w:ascii="Arial" w:hAnsi="Arial" w:eastAsia="宋体" w:cs="Arial"/>
          <w:color w:val="000000" w:themeColor="text1"/>
          <w:sz w:val="28"/>
          <w:szCs w:val="28"/>
          <w14:textFill>
            <w14:solidFill>
              <w14:schemeClr w14:val="tx1"/>
            </w14:solidFill>
          </w14:textFill>
        </w:rPr>
        <w:fldChar w:fldCharType="separate"/>
      </w:r>
      <w:r>
        <w:rPr>
          <w:rStyle w:val="20"/>
          <w:rFonts w:ascii="Arial" w:hAnsi="Arial" w:eastAsia="宋体" w:cs="Arial"/>
          <w:color w:val="000000" w:themeColor="text1"/>
          <w:sz w:val="28"/>
          <w:szCs w:val="28"/>
          <w:u w:val="none"/>
          <w14:textFill>
            <w14:solidFill>
              <w14:schemeClr w14:val="tx1"/>
            </w14:solidFill>
          </w14:textFill>
        </w:rPr>
        <w:t>（</w:t>
      </w:r>
      <w:r>
        <w:rPr>
          <w:rStyle w:val="20"/>
          <w:rFonts w:ascii="Arial" w:hAnsi="Arial" w:eastAsia="宋体" w:cs="Arial"/>
          <w:color w:val="0000FF"/>
          <w:sz w:val="28"/>
          <w:szCs w:val="28"/>
        </w:rPr>
        <w:t>www.ClinicalTrials.gov</w:t>
      </w:r>
      <w:r>
        <w:rPr>
          <w:rStyle w:val="20"/>
          <w:rFonts w:ascii="Arial" w:hAnsi="Arial" w:eastAsia="宋体" w:cs="Arial"/>
          <w:color w:val="000000" w:themeColor="text1"/>
          <w:sz w:val="28"/>
          <w:szCs w:val="28"/>
          <w:u w:val="none"/>
          <w14:textFill>
            <w14:solidFill>
              <w14:schemeClr w14:val="tx1"/>
            </w14:solidFill>
          </w14:textFill>
        </w:rPr>
        <w:t>）</w:t>
      </w:r>
      <w:r>
        <w:rPr>
          <w:rFonts w:ascii="Arial" w:hAnsi="Arial" w:eastAsia="宋体" w:cs="Arial"/>
          <w:color w:val="000000" w:themeColor="text1"/>
          <w:sz w:val="28"/>
          <w:szCs w:val="28"/>
          <w14:textFill>
            <w14:solidFill>
              <w14:schemeClr w14:val="tx1"/>
            </w14:solidFill>
          </w14:textFill>
        </w:rPr>
        <w:fldChar w:fldCharType="end"/>
      </w:r>
      <w:r>
        <w:rPr>
          <w:rFonts w:ascii="Arial" w:hAnsi="Arial" w:eastAsia="宋体" w:cs="Arial"/>
          <w:sz w:val="28"/>
          <w:szCs w:val="28"/>
        </w:rPr>
        <w:t>提交</w:t>
      </w:r>
      <w:r>
        <w:rPr>
          <w:rFonts w:hint="eastAsia" w:ascii="Arial" w:hAnsi="Arial" w:eastAsia="宋体" w:cs="Arial"/>
          <w:sz w:val="28"/>
          <w:szCs w:val="28"/>
        </w:rPr>
        <w:t>其他</w:t>
      </w:r>
      <w:r>
        <w:rPr>
          <w:rFonts w:ascii="Arial" w:hAnsi="Arial" w:eastAsia="宋体" w:cs="Arial"/>
          <w:sz w:val="28"/>
          <w:szCs w:val="28"/>
        </w:rPr>
        <w:t>信息，包括有关临床试验的扩展信息和临床试验结果的总结信息。</w:t>
      </w:r>
    </w:p>
    <w:p w14:paraId="47667709">
      <w:pPr>
        <w:pStyle w:val="43"/>
        <w:shd w:val="clear" w:color="auto" w:fill="auto"/>
        <w:overflowPunct w:val="0"/>
        <w:snapToGrid w:val="0"/>
        <w:spacing w:before="0" w:after="468" w:afterLines="150" w:line="360" w:lineRule="auto"/>
        <w:jc w:val="both"/>
        <w:rPr>
          <w:rFonts w:ascii="Arial" w:hAnsi="Arial" w:eastAsia="宋体" w:cs="Arial"/>
          <w:sz w:val="28"/>
          <w:szCs w:val="28"/>
        </w:rPr>
      </w:pPr>
      <w:r>
        <w:rPr>
          <w:rFonts w:ascii="Arial" w:hAnsi="Arial" w:eastAsia="宋体" w:cs="Arial"/>
          <w:sz w:val="28"/>
          <w:szCs w:val="28"/>
        </w:rPr>
        <w:t>条款42 U.S.C. § 282（j）（5）（B），PHS法案第402（j）（5）（B）</w:t>
      </w:r>
      <w:r>
        <w:rPr>
          <w:rFonts w:hint="eastAsia" w:ascii="Arial" w:hAnsi="Arial" w:eastAsia="宋体" w:cs="Arial"/>
          <w:sz w:val="28"/>
          <w:szCs w:val="28"/>
        </w:rPr>
        <w:t>部分</w:t>
      </w:r>
      <w:r>
        <w:rPr>
          <w:rFonts w:ascii="Arial" w:hAnsi="Arial" w:eastAsia="宋体" w:cs="Arial"/>
          <w:sz w:val="28"/>
          <w:szCs w:val="28"/>
        </w:rPr>
        <w:t>，要求对某些人用药、生物制剂和器械申请进行认证，并</w:t>
      </w:r>
      <w:r>
        <w:rPr>
          <w:rFonts w:hint="eastAsia" w:ascii="Arial" w:hAnsi="Arial" w:eastAsia="宋体" w:cs="Arial"/>
          <w:sz w:val="28"/>
          <w:szCs w:val="28"/>
        </w:rPr>
        <w:t>提交至</w:t>
      </w:r>
      <w:r>
        <w:rPr>
          <w:rFonts w:ascii="Arial" w:hAnsi="Arial" w:eastAsia="宋体" w:cs="Arial"/>
          <w:sz w:val="28"/>
          <w:szCs w:val="28"/>
        </w:rPr>
        <w:t>FDA。该条款</w:t>
      </w:r>
      <w:r>
        <w:rPr>
          <w:rFonts w:hint="eastAsia" w:ascii="Arial" w:hAnsi="Arial" w:eastAsia="宋体" w:cs="Arial"/>
          <w:sz w:val="28"/>
          <w:szCs w:val="28"/>
        </w:rPr>
        <w:t>内容</w:t>
      </w:r>
      <w:r>
        <w:rPr>
          <w:rFonts w:ascii="Arial" w:hAnsi="Arial" w:eastAsia="宋体" w:cs="Arial"/>
          <w:sz w:val="28"/>
          <w:szCs w:val="28"/>
        </w:rPr>
        <w:t>如下：</w:t>
      </w:r>
    </w:p>
    <w:p w14:paraId="19FB0689">
      <w:pPr>
        <w:pStyle w:val="41"/>
        <w:keepNext/>
        <w:keepLines/>
        <w:overflowPunct w:val="0"/>
        <w:adjustRightInd w:val="0"/>
        <w:snapToGrid w:val="0"/>
        <w:spacing w:after="468" w:afterLines="150" w:line="360" w:lineRule="auto"/>
        <w:ind w:left="1217" w:leftChars="553"/>
        <w:jc w:val="both"/>
        <w:rPr>
          <w:rFonts w:ascii="Arial" w:hAnsi="Arial" w:eastAsia="宋体" w:cs="Arial"/>
          <w:b w:val="0"/>
          <w:bCs w:val="0"/>
          <w:sz w:val="28"/>
          <w:szCs w:val="28"/>
        </w:rPr>
      </w:pPr>
      <w:r>
        <w:rPr>
          <w:rFonts w:ascii="Arial" w:hAnsi="Arial" w:eastAsia="宋体" w:cs="Arial"/>
          <w:b w:val="0"/>
          <w:bCs w:val="0"/>
          <w:sz w:val="28"/>
          <w:szCs w:val="28"/>
        </w:rPr>
        <w:t xml:space="preserve">（B） 药品、生物制剂和器械申请/提交时同时提交的 </w:t>
      </w:r>
      <w:r>
        <w:rPr>
          <w:rFonts w:ascii="Arial" w:hAnsi="Arial" w:eastAsia="宋体" w:cs="Arial"/>
          <w:sz w:val="28"/>
          <w:szCs w:val="28"/>
        </w:rPr>
        <w:t xml:space="preserve">— </w:t>
      </w:r>
      <w:r>
        <w:rPr>
          <w:rFonts w:ascii="Arial" w:hAnsi="Arial" w:eastAsia="宋体" w:cs="Arial"/>
          <w:b w:val="0"/>
          <w:bCs w:val="0"/>
          <w:sz w:val="28"/>
          <w:szCs w:val="28"/>
        </w:rPr>
        <w:t>根据</w:t>
      </w:r>
      <w:r>
        <w:rPr>
          <w:rFonts w:ascii="宋体" w:hAnsi="宋体" w:eastAsia="宋体" w:cs="Arial"/>
          <w:b w:val="0"/>
          <w:bCs w:val="0"/>
          <w:sz w:val="28"/>
          <w:szCs w:val="28"/>
        </w:rPr>
        <w:t>“</w:t>
      </w:r>
      <w:r>
        <w:rPr>
          <w:rFonts w:ascii="Arial" w:hAnsi="Arial" w:eastAsia="宋体" w:cs="Arial"/>
          <w:b w:val="0"/>
          <w:bCs w:val="0"/>
          <w:sz w:val="28"/>
          <w:szCs w:val="28"/>
        </w:rPr>
        <w:t>联邦食品、药品和化妆品法案</w:t>
      </w:r>
      <w:r>
        <w:rPr>
          <w:rFonts w:ascii="宋体" w:hAnsi="宋体" w:eastAsia="宋体" w:cs="Arial"/>
          <w:b w:val="0"/>
          <w:bCs w:val="0"/>
          <w:sz w:val="28"/>
          <w:szCs w:val="28"/>
        </w:rPr>
        <w:t>”</w:t>
      </w:r>
      <w:r>
        <w:rPr>
          <w:rFonts w:ascii="Arial" w:hAnsi="Arial" w:eastAsia="宋体" w:cs="Arial"/>
          <w:b w:val="0"/>
          <w:bCs w:val="0"/>
          <w:sz w:val="28"/>
          <w:szCs w:val="28"/>
        </w:rPr>
        <w:t>第505</w:t>
      </w:r>
      <w:r>
        <w:rPr>
          <w:rFonts w:hint="eastAsia" w:ascii="Arial" w:hAnsi="Arial" w:eastAsia="宋体" w:cs="Arial"/>
          <w:b w:val="0"/>
          <w:bCs w:val="0"/>
          <w:sz w:val="28"/>
          <w:szCs w:val="28"/>
        </w:rPr>
        <w:t>部分</w:t>
      </w:r>
      <w:r>
        <w:rPr>
          <w:rFonts w:ascii="Arial" w:hAnsi="Arial" w:eastAsia="宋体" w:cs="Arial"/>
          <w:b w:val="0"/>
          <w:bCs w:val="0"/>
          <w:sz w:val="28"/>
          <w:szCs w:val="28"/>
        </w:rPr>
        <w:t>、该法案第515</w:t>
      </w:r>
      <w:r>
        <w:rPr>
          <w:rFonts w:hint="eastAsia" w:ascii="Arial" w:hAnsi="Arial" w:eastAsia="宋体" w:cs="Arial"/>
          <w:b w:val="0"/>
          <w:bCs w:val="0"/>
          <w:sz w:val="28"/>
          <w:szCs w:val="28"/>
        </w:rPr>
        <w:t>部分</w:t>
      </w:r>
      <w:r>
        <w:rPr>
          <w:rFonts w:ascii="Arial" w:hAnsi="Arial" w:eastAsia="宋体" w:cs="Arial"/>
          <w:b w:val="0"/>
          <w:bCs w:val="0"/>
          <w:sz w:val="28"/>
          <w:szCs w:val="28"/>
        </w:rPr>
        <w:t>、该法案520（m）</w:t>
      </w:r>
      <w:r>
        <w:rPr>
          <w:rFonts w:hint="eastAsia" w:ascii="Arial" w:hAnsi="Arial" w:eastAsia="宋体" w:cs="Arial"/>
          <w:b w:val="0"/>
          <w:bCs w:val="0"/>
          <w:sz w:val="28"/>
          <w:szCs w:val="28"/>
        </w:rPr>
        <w:t>部分</w:t>
      </w:r>
      <w:r>
        <w:rPr>
          <w:rFonts w:ascii="Arial" w:hAnsi="Arial" w:eastAsia="宋体" w:cs="Arial"/>
          <w:b w:val="0"/>
          <w:bCs w:val="0"/>
          <w:sz w:val="28"/>
          <w:szCs w:val="28"/>
        </w:rPr>
        <w:t>、或该法案第351</w:t>
      </w:r>
      <w:r>
        <w:rPr>
          <w:rFonts w:hint="eastAsia" w:ascii="Arial" w:hAnsi="Arial" w:eastAsia="宋体" w:cs="Arial"/>
          <w:b w:val="0"/>
          <w:bCs w:val="0"/>
          <w:sz w:val="28"/>
          <w:szCs w:val="28"/>
        </w:rPr>
        <w:t>部分</w:t>
      </w:r>
      <w:r>
        <w:rPr>
          <w:rFonts w:ascii="Arial" w:hAnsi="Arial" w:eastAsia="宋体" w:cs="Arial"/>
          <w:b w:val="0"/>
          <w:bCs w:val="0"/>
          <w:sz w:val="28"/>
          <w:szCs w:val="28"/>
        </w:rPr>
        <w:t>提交申请时，或根据该法案第510（k）</w:t>
      </w:r>
      <w:r>
        <w:rPr>
          <w:rFonts w:hint="eastAsia" w:ascii="Arial" w:hAnsi="Arial" w:eastAsia="宋体" w:cs="Arial"/>
          <w:b w:val="0"/>
          <w:bCs w:val="0"/>
          <w:sz w:val="28"/>
          <w:szCs w:val="28"/>
        </w:rPr>
        <w:t>部分</w:t>
      </w:r>
      <w:r>
        <w:rPr>
          <w:rFonts w:ascii="Arial" w:hAnsi="Arial" w:eastAsia="宋体" w:cs="Arial"/>
          <w:b w:val="0"/>
          <w:bCs w:val="0"/>
          <w:sz w:val="28"/>
          <w:szCs w:val="28"/>
        </w:rPr>
        <w:t>提交报告时，此类申请或提交应附有认证，证明该</w:t>
      </w:r>
      <w:r>
        <w:rPr>
          <w:rFonts w:hint="eastAsia" w:ascii="Arial" w:hAnsi="Arial" w:eastAsia="宋体" w:cs="Arial"/>
          <w:b w:val="0"/>
          <w:bCs w:val="0"/>
          <w:sz w:val="28"/>
          <w:szCs w:val="28"/>
        </w:rPr>
        <w:t>部分</w:t>
      </w:r>
      <w:r>
        <w:rPr>
          <w:rFonts w:ascii="Arial" w:hAnsi="Arial" w:eastAsia="宋体" w:cs="Arial"/>
          <w:b w:val="0"/>
          <w:bCs w:val="0"/>
          <w:sz w:val="28"/>
          <w:szCs w:val="28"/>
        </w:rPr>
        <w:t>的所有适用要求均已满足。如果有，这种应包括适当的国家临床试验控制编号。</w:t>
      </w:r>
    </w:p>
    <w:p w14:paraId="345ED304">
      <w:pPr>
        <w:overflowPunct w:val="0"/>
        <w:snapToGrid w:val="0"/>
        <w:spacing w:after="468" w:afterLines="150" w:line="360" w:lineRule="auto"/>
        <w:rPr>
          <w:rFonts w:ascii="Arial" w:hAnsi="Arial" w:eastAsia="宋体" w:cs="Arial"/>
          <w:kern w:val="2"/>
          <w:sz w:val="28"/>
          <w:szCs w:val="28"/>
        </w:rPr>
      </w:pPr>
      <w:r>
        <w:rPr>
          <w:rFonts w:ascii="Arial" w:hAnsi="Arial" w:eastAsia="宋体" w:cs="Arial"/>
          <w:sz w:val="28"/>
          <w:szCs w:val="28"/>
        </w:rPr>
        <w:br w:type="page"/>
      </w:r>
    </w:p>
    <w:p w14:paraId="39D318A8">
      <w:pPr>
        <w:pStyle w:val="43"/>
        <w:overflowPunct w:val="0"/>
        <w:snapToGrid w:val="0"/>
        <w:spacing w:before="0" w:line="480" w:lineRule="auto"/>
        <w:jc w:val="both"/>
        <w:rPr>
          <w:rFonts w:ascii="Arial" w:hAnsi="Arial" w:eastAsia="宋体" w:cs="Arial"/>
          <w:sz w:val="28"/>
          <w:szCs w:val="28"/>
          <w:lang w:val="de-DE"/>
        </w:rPr>
      </w:pPr>
      <w:r>
        <w:rPr>
          <w:rFonts w:ascii="Arial" w:hAnsi="Arial" w:eastAsia="宋体" w:cs="Arial"/>
          <w:sz w:val="28"/>
          <w:szCs w:val="28"/>
        </w:rPr>
        <w:t>该认证要求于2007年12月26日生效。为了协助申办方、行业、研究人员和研究者符合要求，我们制定了一套认证表单（FDA 3674表），用于满足认证要求。</w:t>
      </w:r>
      <w:r>
        <w:rPr>
          <w:rFonts w:ascii="Arial" w:hAnsi="Arial" w:eastAsia="宋体" w:cs="Arial"/>
          <w:sz w:val="28"/>
          <w:szCs w:val="28"/>
          <w:lang w:val="de-DE"/>
        </w:rPr>
        <w:t>FDA 3674</w:t>
      </w:r>
      <w:r>
        <w:rPr>
          <w:rFonts w:ascii="Arial" w:hAnsi="Arial" w:eastAsia="宋体" w:cs="Arial"/>
          <w:sz w:val="28"/>
          <w:szCs w:val="28"/>
        </w:rPr>
        <w:t>表可通过以下方式获得</w:t>
      </w:r>
      <w:r>
        <w:rPr>
          <w:rFonts w:ascii="Arial" w:hAnsi="Arial" w:eastAsia="宋体" w:cs="Arial"/>
          <w:sz w:val="28"/>
          <w:szCs w:val="28"/>
          <w:lang w:val="de-DE"/>
        </w:rPr>
        <w:t>：</w:t>
      </w:r>
    </w:p>
    <w:p w14:paraId="1EACD413">
      <w:pPr>
        <w:pStyle w:val="43"/>
        <w:shd w:val="clear" w:color="auto" w:fill="auto"/>
        <w:overflowPunct w:val="0"/>
        <w:snapToGrid w:val="0"/>
        <w:spacing w:before="0" w:after="468" w:afterLines="150" w:line="480" w:lineRule="auto"/>
        <w:jc w:val="both"/>
        <w:rPr>
          <w:rFonts w:ascii="Arial" w:hAnsi="Arial" w:eastAsia="宋体" w:cs="Arial"/>
          <w:color w:val="0000FF"/>
          <w:sz w:val="28"/>
          <w:szCs w:val="28"/>
          <w:lang w:val="de-DE"/>
        </w:rPr>
      </w:pPr>
      <w:r>
        <w:fldChar w:fldCharType="begin"/>
      </w:r>
      <w:r>
        <w:instrText xml:space="preserve"> HYPERLINK "http://www.fda.gov/AboutFDA/ReportsManualsForms/Forms/default.htm" </w:instrText>
      </w:r>
      <w:r>
        <w:fldChar w:fldCharType="separate"/>
      </w:r>
      <w:r>
        <w:rPr>
          <w:rStyle w:val="20"/>
          <w:rFonts w:ascii="Arial" w:hAnsi="Arial" w:eastAsia="宋体" w:cs="Arial"/>
          <w:color w:val="0000FF"/>
          <w:sz w:val="28"/>
          <w:szCs w:val="28"/>
          <w:lang w:val="de-DE"/>
        </w:rPr>
        <w:t>http://www.fda.gov/AboutFDA/ReportsManualsForms/Forms/default.htm</w:t>
      </w:r>
      <w:r>
        <w:rPr>
          <w:rStyle w:val="20"/>
          <w:rFonts w:ascii="Arial" w:hAnsi="Arial" w:eastAsia="宋体" w:cs="Arial"/>
          <w:color w:val="0000FF"/>
          <w:sz w:val="28"/>
          <w:szCs w:val="28"/>
          <w:lang w:val="de-DE"/>
        </w:rPr>
        <w:fldChar w:fldCharType="end"/>
      </w:r>
    </w:p>
    <w:p w14:paraId="44522A60">
      <w:pPr>
        <w:pStyle w:val="45"/>
        <w:numPr>
          <w:ilvl w:val="0"/>
          <w:numId w:val="2"/>
        </w:numPr>
        <w:shd w:val="clear" w:color="auto" w:fill="auto"/>
        <w:overflowPunct w:val="0"/>
        <w:adjustRightInd w:val="0"/>
        <w:snapToGrid w:val="0"/>
        <w:spacing w:after="468" w:afterLines="150" w:line="480" w:lineRule="auto"/>
        <w:jc w:val="both"/>
        <w:rPr>
          <w:rFonts w:ascii="Arial" w:hAnsi="Arial" w:eastAsia="宋体" w:cs="Arial"/>
          <w:sz w:val="30"/>
          <w:szCs w:val="30"/>
        </w:rPr>
      </w:pPr>
      <w:r>
        <w:rPr>
          <w:rFonts w:ascii="Arial" w:hAnsi="Arial" w:eastAsia="宋体" w:cs="Arial"/>
          <w:sz w:val="30"/>
          <w:szCs w:val="30"/>
        </w:rPr>
        <w:t>目的和</w:t>
      </w:r>
      <w:r>
        <w:rPr>
          <w:rFonts w:hint="eastAsia" w:ascii="Arial" w:hAnsi="Arial" w:eastAsia="宋体" w:cs="Arial"/>
          <w:sz w:val="30"/>
          <w:szCs w:val="30"/>
        </w:rPr>
        <w:t>机构</w:t>
      </w:r>
      <w:r>
        <w:rPr>
          <w:rFonts w:ascii="Arial" w:hAnsi="Arial" w:eastAsia="宋体" w:cs="Arial"/>
          <w:sz w:val="30"/>
          <w:szCs w:val="30"/>
        </w:rPr>
        <w:t>建议</w:t>
      </w:r>
    </w:p>
    <w:p w14:paraId="2EE39F0F">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我们收到许多</w:t>
      </w:r>
      <w:r>
        <w:rPr>
          <w:rFonts w:hint="eastAsia" w:ascii="Arial" w:hAnsi="Arial" w:eastAsia="宋体" w:cs="Arial"/>
          <w:sz w:val="28"/>
          <w:szCs w:val="28"/>
        </w:rPr>
        <w:t>咨询</w:t>
      </w:r>
      <w:r>
        <w:rPr>
          <w:rFonts w:ascii="Arial" w:hAnsi="Arial" w:eastAsia="宋体" w:cs="Arial"/>
          <w:sz w:val="28"/>
          <w:szCs w:val="28"/>
        </w:rPr>
        <w:t>，咨询申办方、行业、研究人员和研究者向FDA提交的各种信息和文件是否必须附有（FDA 3674表）。自2007年12月该表单实施以来，我们也有些认证提交的经验。本指南提供了FDA当前的看法，关于申办方、行业、研究人员临床研究者根据</w:t>
      </w:r>
      <w:r>
        <w:rPr>
          <w:rFonts w:ascii="宋体" w:hAnsi="宋体" w:eastAsia="宋体" w:cs="Arial"/>
          <w:sz w:val="28"/>
          <w:szCs w:val="28"/>
        </w:rPr>
        <w:t>“</w:t>
      </w:r>
      <w:r>
        <w:rPr>
          <w:rFonts w:ascii="Arial" w:hAnsi="Arial" w:eastAsia="宋体" w:cs="Arial"/>
          <w:sz w:val="28"/>
          <w:szCs w:val="28"/>
        </w:rPr>
        <w:t>联邦食品、药品和化妆品法案</w:t>
      </w:r>
      <w:r>
        <w:rPr>
          <w:rFonts w:ascii="宋体" w:hAnsi="宋体" w:eastAsia="宋体" w:cs="Arial"/>
          <w:sz w:val="28"/>
          <w:szCs w:val="28"/>
        </w:rPr>
        <w:t>”</w:t>
      </w:r>
      <w:r>
        <w:rPr>
          <w:rFonts w:ascii="Arial" w:hAnsi="Arial" w:eastAsia="宋体" w:cs="Arial"/>
          <w:sz w:val="28"/>
          <w:szCs w:val="28"/>
        </w:rPr>
        <w:t>（FD&amp;C法案）第505</w:t>
      </w:r>
      <w:r>
        <w:rPr>
          <w:rFonts w:hint="eastAsia" w:ascii="Arial" w:hAnsi="Arial" w:eastAsia="宋体" w:cs="Arial"/>
          <w:sz w:val="28"/>
          <w:szCs w:val="28"/>
        </w:rPr>
        <w:t>、</w:t>
      </w:r>
      <w:r>
        <w:rPr>
          <w:rFonts w:ascii="Arial" w:hAnsi="Arial" w:eastAsia="宋体" w:cs="Arial"/>
          <w:sz w:val="28"/>
          <w:szCs w:val="28"/>
        </w:rPr>
        <w:t>515</w:t>
      </w:r>
      <w:r>
        <w:rPr>
          <w:rFonts w:hint="eastAsia" w:ascii="Arial" w:hAnsi="Arial" w:eastAsia="宋体" w:cs="Arial"/>
          <w:sz w:val="28"/>
          <w:szCs w:val="28"/>
        </w:rPr>
        <w:t>、</w:t>
      </w:r>
      <w:r>
        <w:rPr>
          <w:rFonts w:ascii="Arial" w:hAnsi="Arial" w:eastAsia="宋体" w:cs="Arial"/>
          <w:sz w:val="28"/>
          <w:szCs w:val="28"/>
        </w:rPr>
        <w:t>520（m）或510（k）</w:t>
      </w:r>
      <w:r>
        <w:rPr>
          <w:rFonts w:hint="eastAsia" w:ascii="Arial" w:hAnsi="Arial" w:eastAsia="宋体" w:cs="Arial"/>
          <w:sz w:val="28"/>
          <w:szCs w:val="28"/>
        </w:rPr>
        <w:t>部分</w:t>
      </w:r>
      <w:r>
        <w:rPr>
          <w:rFonts w:ascii="Arial" w:hAnsi="Arial" w:eastAsia="宋体" w:cs="Arial"/>
          <w:sz w:val="28"/>
          <w:szCs w:val="28"/>
        </w:rPr>
        <w:t>，或PHS法案第351</w:t>
      </w:r>
      <w:r>
        <w:rPr>
          <w:rFonts w:hint="eastAsia" w:ascii="Arial" w:hAnsi="Arial" w:eastAsia="宋体" w:cs="Arial"/>
          <w:sz w:val="28"/>
          <w:szCs w:val="28"/>
        </w:rPr>
        <w:t>部分</w:t>
      </w:r>
      <w:r>
        <w:rPr>
          <w:rFonts w:ascii="Arial" w:hAnsi="Arial" w:eastAsia="宋体" w:cs="Arial"/>
          <w:sz w:val="28"/>
          <w:szCs w:val="28"/>
        </w:rPr>
        <w:t>，向FDA提交的申请类型和申请资料，以及402（j）（5）（B）</w:t>
      </w:r>
      <w:r>
        <w:rPr>
          <w:rFonts w:hint="eastAsia" w:ascii="Arial" w:hAnsi="Arial" w:eastAsia="宋体" w:cs="Arial"/>
          <w:sz w:val="28"/>
          <w:szCs w:val="28"/>
        </w:rPr>
        <w:t>，</w:t>
      </w:r>
      <w:r>
        <w:rPr>
          <w:rFonts w:ascii="Arial" w:hAnsi="Arial" w:eastAsia="宋体" w:cs="Arial"/>
          <w:sz w:val="28"/>
          <w:szCs w:val="28"/>
        </w:rPr>
        <w:t>42 U.S.C § 282G）（5）（B）中所述的同时提交的，目的是为了FDAAA第VIII</w:t>
      </w:r>
      <w:r>
        <w:rPr>
          <w:rFonts w:hint="eastAsia" w:ascii="Arial" w:hAnsi="Arial" w:eastAsia="宋体" w:cs="Arial"/>
          <w:sz w:val="28"/>
          <w:szCs w:val="28"/>
        </w:rPr>
        <w:t>卷</w:t>
      </w:r>
      <w:r>
        <w:rPr>
          <w:rStyle w:val="21"/>
          <w:rFonts w:ascii="Arial" w:hAnsi="Arial" w:eastAsia="宋体" w:cs="Arial"/>
          <w:sz w:val="28"/>
          <w:szCs w:val="28"/>
        </w:rPr>
        <w:footnoteReference w:id="0"/>
      </w:r>
      <w:r>
        <w:rPr>
          <w:rFonts w:ascii="Arial" w:hAnsi="Arial" w:eastAsia="宋体" w:cs="Arial"/>
          <w:sz w:val="28"/>
          <w:szCs w:val="28"/>
        </w:rPr>
        <w:t>的持续实施。</w:t>
      </w:r>
      <w:r>
        <w:rPr>
          <w:rFonts w:ascii="Arial" w:hAnsi="Arial" w:eastAsia="宋体" w:cs="Arial"/>
          <w:sz w:val="28"/>
          <w:szCs w:val="28"/>
        </w:rPr>
        <w:br w:type="page"/>
      </w:r>
    </w:p>
    <w:p w14:paraId="44A59411">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FDAAA第VIII</w:t>
      </w:r>
      <w:r>
        <w:rPr>
          <w:rFonts w:hint="eastAsia" w:ascii="Arial" w:hAnsi="Arial" w:eastAsia="宋体" w:cs="Arial"/>
          <w:sz w:val="28"/>
          <w:szCs w:val="28"/>
        </w:rPr>
        <w:t>卷</w:t>
      </w:r>
      <w:r>
        <w:rPr>
          <w:rFonts w:ascii="Arial" w:hAnsi="Arial" w:eastAsia="宋体" w:cs="Arial"/>
          <w:sz w:val="28"/>
          <w:szCs w:val="28"/>
        </w:rPr>
        <w:t>的目的是提供一种方法，确保公众可以获取关于某些临床试验的信息</w:t>
      </w:r>
      <w:r>
        <w:rPr>
          <w:rStyle w:val="21"/>
          <w:rFonts w:ascii="Arial" w:hAnsi="Arial" w:eastAsia="宋体" w:cs="Arial"/>
          <w:sz w:val="28"/>
          <w:szCs w:val="28"/>
        </w:rPr>
        <w:footnoteReference w:id="1"/>
      </w:r>
      <w:r>
        <w:rPr>
          <w:rFonts w:ascii="Arial" w:hAnsi="Arial" w:eastAsia="宋体" w:cs="Arial"/>
          <w:sz w:val="28"/>
          <w:szCs w:val="28"/>
        </w:rPr>
        <w:t>。具体而言，第VIII</w:t>
      </w:r>
      <w:r>
        <w:rPr>
          <w:rFonts w:hint="eastAsia" w:ascii="Arial" w:hAnsi="Arial" w:eastAsia="宋体" w:cs="Arial"/>
          <w:sz w:val="28"/>
          <w:szCs w:val="28"/>
        </w:rPr>
        <w:t>卷</w:t>
      </w:r>
      <w:r>
        <w:rPr>
          <w:rFonts w:ascii="Arial" w:hAnsi="Arial" w:eastAsia="宋体" w:cs="Arial"/>
          <w:sz w:val="28"/>
          <w:szCs w:val="28"/>
        </w:rPr>
        <w:t>旨在提供一种机制，让公众了解正在进行的某些临床试验，以及这些试验的总结结果信息。在确定目前对于根据上述法定条款提交的具体申请和提交资料以及同时提交的时，FDA重点关注认证在帮助实现FDAAA第VIII</w:t>
      </w:r>
      <w:r>
        <w:rPr>
          <w:rFonts w:hint="eastAsia" w:ascii="Arial" w:hAnsi="Arial" w:eastAsia="宋体" w:cs="Arial"/>
          <w:sz w:val="28"/>
          <w:szCs w:val="28"/>
        </w:rPr>
        <w:t>卷</w:t>
      </w:r>
      <w:r>
        <w:rPr>
          <w:rFonts w:ascii="Arial" w:hAnsi="Arial" w:eastAsia="宋体" w:cs="Arial"/>
          <w:sz w:val="28"/>
          <w:szCs w:val="28"/>
        </w:rPr>
        <w:t>的目标方面所发挥的作用。</w:t>
      </w:r>
    </w:p>
    <w:p w14:paraId="630AB35C">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认证的目的是要求提交者确认符合第VIII</w:t>
      </w:r>
      <w:r>
        <w:rPr>
          <w:rFonts w:hint="eastAsia" w:ascii="Arial" w:hAnsi="Arial" w:eastAsia="宋体" w:cs="Arial"/>
          <w:sz w:val="28"/>
          <w:szCs w:val="28"/>
        </w:rPr>
        <w:t>卷</w:t>
      </w:r>
      <w:r>
        <w:rPr>
          <w:rFonts w:ascii="Arial" w:hAnsi="Arial" w:eastAsia="宋体" w:cs="Arial"/>
          <w:sz w:val="28"/>
          <w:szCs w:val="28"/>
        </w:rPr>
        <w:t>的所有适用要求，包括适用的实施条例，例如注册适用的临床试验的要求</w:t>
      </w:r>
      <w:r>
        <w:rPr>
          <w:rStyle w:val="21"/>
          <w:rFonts w:ascii="Arial" w:hAnsi="Arial" w:eastAsia="宋体" w:cs="Arial"/>
          <w:sz w:val="28"/>
          <w:szCs w:val="28"/>
        </w:rPr>
        <w:footnoteReference w:id="2"/>
      </w:r>
      <w:r>
        <w:rPr>
          <w:rFonts w:ascii="Arial" w:hAnsi="Arial" w:eastAsia="宋体" w:cs="Arial"/>
          <w:sz w:val="28"/>
          <w:szCs w:val="28"/>
        </w:rPr>
        <w:t>。未能提交认证、故意提交虚假认证、未能提交所需的临床试验信息和提交虚假或误导的临床试验信息，均为FD&amp;C法</w:t>
      </w:r>
      <w:r>
        <w:rPr>
          <w:rFonts w:hint="eastAsia" w:ascii="Arial" w:hAnsi="Arial" w:eastAsia="宋体" w:cs="Arial"/>
          <w:sz w:val="28"/>
          <w:szCs w:val="28"/>
        </w:rPr>
        <w:t>案</w:t>
      </w:r>
      <w:r>
        <w:rPr>
          <w:rFonts w:ascii="Arial" w:hAnsi="Arial" w:eastAsia="宋体" w:cs="Arial"/>
          <w:sz w:val="28"/>
          <w:szCs w:val="28"/>
        </w:rPr>
        <w:t>第301（jj）</w:t>
      </w:r>
      <w:r>
        <w:rPr>
          <w:rFonts w:hint="eastAsia" w:ascii="Arial" w:hAnsi="Arial" w:eastAsia="宋体" w:cs="Arial"/>
          <w:sz w:val="28"/>
          <w:szCs w:val="28"/>
        </w:rPr>
        <w:t>部分</w:t>
      </w:r>
      <w:r>
        <w:rPr>
          <w:rFonts w:ascii="Arial" w:hAnsi="Arial" w:eastAsia="宋体" w:cs="Arial"/>
          <w:sz w:val="28"/>
          <w:szCs w:val="28"/>
        </w:rPr>
        <w:t>所禁止的行为（21 USC§331（JJ））</w:t>
      </w:r>
      <w:r>
        <w:rPr>
          <w:rStyle w:val="21"/>
          <w:rFonts w:ascii="Arial" w:hAnsi="Arial" w:eastAsia="宋体" w:cs="Arial"/>
          <w:sz w:val="28"/>
          <w:szCs w:val="28"/>
        </w:rPr>
        <w:footnoteReference w:id="3"/>
      </w:r>
      <w:r>
        <w:rPr>
          <w:rFonts w:ascii="Arial" w:hAnsi="Arial" w:eastAsia="宋体" w:cs="Arial"/>
          <w:sz w:val="28"/>
          <w:szCs w:val="28"/>
        </w:rPr>
        <w:t>。因此，提交</w:t>
      </w:r>
      <w:r>
        <w:rPr>
          <w:rFonts w:hint="eastAsia" w:ascii="Arial" w:hAnsi="Arial" w:eastAsia="宋体" w:cs="Arial"/>
          <w:sz w:val="28"/>
          <w:szCs w:val="28"/>
        </w:rPr>
        <w:t>至</w:t>
      </w:r>
      <w:r>
        <w:rPr>
          <w:rFonts w:ascii="Arial" w:hAnsi="Arial" w:eastAsia="宋体" w:cs="Arial"/>
          <w:sz w:val="28"/>
          <w:szCs w:val="28"/>
        </w:rPr>
        <w:t>FDA的某些申请和提交文件必须获得认证（FDA 3674表），这是鼓励遵守法律规定和所有适用的实施条例的一种方式。</w:t>
      </w:r>
      <w:r>
        <w:rPr>
          <w:rFonts w:ascii="Arial" w:hAnsi="Arial" w:eastAsia="宋体" w:cs="Arial"/>
          <w:sz w:val="28"/>
          <w:szCs w:val="28"/>
        </w:rPr>
        <w:br w:type="page"/>
      </w:r>
    </w:p>
    <w:p w14:paraId="620B3742">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认证（FDA 3674表）也有助于FDA依法履责。例如，如前所述，FDAAA制定了与遵守第VIII</w:t>
      </w:r>
      <w:r>
        <w:rPr>
          <w:rFonts w:hint="eastAsia" w:ascii="Arial" w:hAnsi="Arial" w:eastAsia="宋体" w:cs="Arial"/>
          <w:sz w:val="28"/>
          <w:szCs w:val="28"/>
        </w:rPr>
        <w:t>卷</w:t>
      </w:r>
      <w:r>
        <w:rPr>
          <w:rFonts w:ascii="Arial" w:hAnsi="Arial" w:eastAsia="宋体" w:cs="Arial"/>
          <w:sz w:val="28"/>
          <w:szCs w:val="28"/>
        </w:rPr>
        <w:t>要求一致的四项禁止行为，包括对于提交认证的要求符合性。认证要求对于确定</w:t>
      </w:r>
      <w:r>
        <w:rPr>
          <w:rFonts w:hint="eastAsia" w:ascii="Arial" w:hAnsi="Arial" w:eastAsia="宋体" w:cs="Arial"/>
          <w:sz w:val="28"/>
          <w:szCs w:val="28"/>
        </w:rPr>
        <w:t>是否遵守</w:t>
      </w:r>
      <w:r>
        <w:rPr>
          <w:rFonts w:ascii="Arial" w:hAnsi="Arial" w:eastAsia="宋体" w:cs="Arial"/>
          <w:sz w:val="28"/>
          <w:szCs w:val="28"/>
        </w:rPr>
        <w:t>法律以及执法</w:t>
      </w:r>
      <w:r>
        <w:rPr>
          <w:rFonts w:hint="eastAsia" w:ascii="Arial" w:hAnsi="Arial" w:eastAsia="宋体" w:cs="Arial"/>
          <w:sz w:val="28"/>
          <w:szCs w:val="28"/>
        </w:rPr>
        <w:t>措施</w:t>
      </w:r>
      <w:r>
        <w:rPr>
          <w:rFonts w:ascii="Arial" w:hAnsi="Arial" w:eastAsia="宋体" w:cs="Arial"/>
          <w:sz w:val="28"/>
          <w:szCs w:val="28"/>
        </w:rPr>
        <w:t>是否适当的能力至关重要。此外，</w:t>
      </w:r>
      <w:r>
        <w:rPr>
          <w:rFonts w:ascii="宋体" w:hAnsi="宋体" w:eastAsia="宋体" w:cs="Arial"/>
          <w:sz w:val="28"/>
          <w:szCs w:val="28"/>
        </w:rPr>
        <w:t>“</w:t>
      </w:r>
      <w:r>
        <w:rPr>
          <w:rFonts w:ascii="Arial" w:hAnsi="Arial" w:eastAsia="宋体" w:cs="Arial"/>
          <w:sz w:val="28"/>
          <w:szCs w:val="28"/>
        </w:rPr>
        <w:t>PHS法案</w:t>
      </w:r>
      <w:r>
        <w:rPr>
          <w:rFonts w:ascii="宋体" w:hAnsi="宋体" w:eastAsia="宋体" w:cs="Arial"/>
          <w:sz w:val="28"/>
          <w:szCs w:val="28"/>
        </w:rPr>
        <w:t>”</w:t>
      </w:r>
      <w:r>
        <w:rPr>
          <w:rFonts w:ascii="Arial" w:hAnsi="Arial" w:eastAsia="宋体" w:cs="Arial"/>
          <w:sz w:val="28"/>
          <w:szCs w:val="28"/>
        </w:rPr>
        <w:t>第402（j）（3）（F）</w:t>
      </w:r>
      <w:r>
        <w:rPr>
          <w:rFonts w:hint="eastAsia" w:ascii="Arial" w:hAnsi="Arial" w:eastAsia="宋体" w:cs="Arial"/>
          <w:sz w:val="28"/>
          <w:szCs w:val="28"/>
        </w:rPr>
        <w:t>部分</w:t>
      </w:r>
      <w:r>
        <w:rPr>
          <w:rFonts w:ascii="Arial" w:hAnsi="Arial" w:eastAsia="宋体" w:cs="Arial"/>
          <w:sz w:val="28"/>
          <w:szCs w:val="28"/>
        </w:rPr>
        <w:t>（42 U.S.C. § 282（j）（3）（F））要求FDA通知NIH主任对同时提交的申请和报告采取的某些</w:t>
      </w:r>
      <w:r>
        <w:rPr>
          <w:rFonts w:hint="eastAsia" w:ascii="Arial" w:hAnsi="Arial" w:eastAsia="宋体" w:cs="Arial"/>
          <w:sz w:val="28"/>
          <w:szCs w:val="28"/>
        </w:rPr>
        <w:t>措施</w:t>
      </w:r>
      <w:r>
        <w:rPr>
          <w:rFonts w:ascii="Arial" w:hAnsi="Arial" w:eastAsia="宋体" w:cs="Arial"/>
          <w:sz w:val="28"/>
          <w:szCs w:val="28"/>
        </w:rPr>
        <w:t>。该项通知提醒NIH，责任方必须在一定时间内提交临床试验的总结结果信息，从而协助NIH根据第VIII</w:t>
      </w:r>
      <w:r>
        <w:rPr>
          <w:rFonts w:hint="eastAsia" w:ascii="Arial" w:hAnsi="Arial" w:eastAsia="宋体" w:cs="Arial"/>
          <w:sz w:val="28"/>
          <w:szCs w:val="28"/>
        </w:rPr>
        <w:t>卷</w:t>
      </w:r>
      <w:r>
        <w:rPr>
          <w:rFonts w:ascii="Arial" w:hAnsi="Arial" w:eastAsia="宋体" w:cs="Arial"/>
          <w:sz w:val="28"/>
          <w:szCs w:val="28"/>
        </w:rPr>
        <w:t>来履行职责。认证表中提供的信息有助于帮助NIH将FDA网站上发布的关于某些FDA监管行动的</w:t>
      </w:r>
      <w:r>
        <w:rPr>
          <w:rFonts w:ascii="宋体" w:hAnsi="宋体" w:eastAsia="宋体" w:cs="Arial"/>
          <w:sz w:val="28"/>
          <w:szCs w:val="28"/>
        </w:rPr>
        <w:t>“</w:t>
      </w:r>
      <w:r>
        <w:rPr>
          <w:rFonts w:ascii="Arial" w:hAnsi="Arial" w:eastAsia="宋体" w:cs="Arial"/>
          <w:sz w:val="28"/>
          <w:szCs w:val="28"/>
        </w:rPr>
        <w:t>链接</w:t>
      </w:r>
      <w:r>
        <w:rPr>
          <w:rFonts w:ascii="宋体" w:hAnsi="宋体" w:eastAsia="宋体" w:cs="Arial"/>
          <w:sz w:val="28"/>
          <w:szCs w:val="28"/>
        </w:rPr>
        <w:t>”</w:t>
      </w:r>
      <w:r>
        <w:rPr>
          <w:rFonts w:ascii="Arial" w:hAnsi="Arial" w:eastAsia="宋体" w:cs="Arial"/>
          <w:sz w:val="28"/>
          <w:szCs w:val="28"/>
        </w:rPr>
        <w:t>信息与列入注册表和数据库的具体适用的临床试验联系起来。这种联系，使用了FDA 3674表中的信息，特别是表中需要有NCT（国家临床试验）编号，可允许FDA帮助公众更容易地将各种报告、医学审查、公告、健康警戒、咨询委员会行动和其他材料与具体适用的临床试验（在</w:t>
      </w:r>
      <w:r>
        <w:fldChar w:fldCharType="begin"/>
      </w:r>
      <w:r>
        <w:instrText xml:space="preserve"> HYPERLINK "http://www.ClinicalTrials.gov" </w:instrText>
      </w:r>
      <w:r>
        <w:fldChar w:fldCharType="separate"/>
      </w:r>
      <w:r>
        <w:rPr>
          <w:rStyle w:val="20"/>
          <w:rFonts w:ascii="Arial" w:hAnsi="Arial" w:eastAsia="宋体" w:cs="Arial"/>
          <w:color w:val="0000FF"/>
          <w:sz w:val="28"/>
          <w:szCs w:val="28"/>
        </w:rPr>
        <w:t>www.ClinicalTrials.gov</w:t>
      </w:r>
      <w:r>
        <w:rPr>
          <w:rStyle w:val="20"/>
          <w:rFonts w:ascii="Arial" w:hAnsi="Arial" w:eastAsia="宋体" w:cs="Arial"/>
          <w:color w:val="0000FF"/>
          <w:sz w:val="28"/>
          <w:szCs w:val="28"/>
        </w:rPr>
        <w:fldChar w:fldCharType="end"/>
      </w:r>
      <w:r>
        <w:rPr>
          <w:rFonts w:ascii="Arial" w:hAnsi="Arial" w:eastAsia="宋体" w:cs="Arial"/>
          <w:sz w:val="28"/>
          <w:szCs w:val="28"/>
        </w:rPr>
        <w:t>注册）相关联，可由NCT编号进行识别。</w:t>
      </w:r>
    </w:p>
    <w:p w14:paraId="2F14E683">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新药申请（NDA）</w:t>
      </w:r>
      <w:r>
        <w:rPr>
          <w:rFonts w:hint="eastAsia" w:ascii="Arial" w:hAnsi="Arial" w:eastAsia="宋体" w:cs="Arial"/>
          <w:sz w:val="28"/>
          <w:szCs w:val="28"/>
        </w:rPr>
        <w:t>、</w:t>
      </w:r>
      <w:r>
        <w:rPr>
          <w:rFonts w:ascii="Arial" w:hAnsi="Arial" w:eastAsia="宋体" w:cs="Arial"/>
          <w:sz w:val="28"/>
          <w:szCs w:val="28"/>
        </w:rPr>
        <w:t>补充NDA</w:t>
      </w:r>
      <w:r>
        <w:rPr>
          <w:rFonts w:hint="eastAsia" w:ascii="Arial" w:hAnsi="Arial" w:eastAsia="宋体" w:cs="Arial"/>
          <w:sz w:val="28"/>
          <w:szCs w:val="28"/>
        </w:rPr>
        <w:t>、</w:t>
      </w:r>
      <w:r>
        <w:rPr>
          <w:rFonts w:ascii="Arial" w:hAnsi="Arial" w:eastAsia="宋体" w:cs="Arial"/>
          <w:sz w:val="28"/>
          <w:szCs w:val="28"/>
        </w:rPr>
        <w:t>生物制剂许可证申请（BLA）</w:t>
      </w:r>
      <w:r>
        <w:rPr>
          <w:rFonts w:hint="eastAsia" w:ascii="Arial" w:hAnsi="Arial" w:eastAsia="宋体" w:cs="Arial"/>
          <w:sz w:val="28"/>
          <w:szCs w:val="28"/>
        </w:rPr>
        <w:t>、</w:t>
      </w:r>
      <w:r>
        <w:rPr>
          <w:rFonts w:ascii="Arial" w:hAnsi="Arial" w:eastAsia="宋体" w:cs="Arial"/>
          <w:sz w:val="28"/>
          <w:szCs w:val="28"/>
        </w:rPr>
        <w:t>补充BLA</w:t>
      </w:r>
      <w:r>
        <w:rPr>
          <w:rFonts w:hint="eastAsia" w:ascii="Arial" w:hAnsi="Arial" w:eastAsia="宋体" w:cs="Arial"/>
          <w:sz w:val="28"/>
          <w:szCs w:val="28"/>
        </w:rPr>
        <w:t>、</w:t>
      </w:r>
      <w:r>
        <w:rPr>
          <w:rFonts w:ascii="Arial" w:hAnsi="Arial" w:eastAsia="宋体" w:cs="Arial"/>
          <w:sz w:val="28"/>
          <w:szCs w:val="28"/>
        </w:rPr>
        <w:t>简略新药申请（ANDA）</w:t>
      </w:r>
      <w:r>
        <w:rPr>
          <w:rFonts w:hint="eastAsia" w:ascii="Arial" w:hAnsi="Arial" w:eastAsia="宋体" w:cs="Arial"/>
          <w:sz w:val="28"/>
          <w:szCs w:val="28"/>
        </w:rPr>
        <w:t>、</w:t>
      </w:r>
      <w:r>
        <w:rPr>
          <w:rFonts w:ascii="Arial" w:hAnsi="Arial" w:eastAsia="宋体" w:cs="Arial"/>
          <w:sz w:val="28"/>
          <w:szCs w:val="28"/>
        </w:rPr>
        <w:t>上市前批准申请（PMA）</w:t>
      </w:r>
      <w:r>
        <w:rPr>
          <w:rFonts w:hint="eastAsia" w:ascii="Arial" w:hAnsi="Arial" w:eastAsia="宋体" w:cs="Arial"/>
          <w:sz w:val="28"/>
          <w:szCs w:val="28"/>
        </w:rPr>
        <w:t>、</w:t>
      </w:r>
      <w:r>
        <w:rPr>
          <w:rFonts w:ascii="Arial" w:hAnsi="Arial" w:eastAsia="宋体" w:cs="Arial"/>
          <w:sz w:val="28"/>
          <w:szCs w:val="28"/>
        </w:rPr>
        <w:t>PMA</w:t>
      </w:r>
      <w:r>
        <w:rPr>
          <w:rFonts w:ascii="宋体" w:hAnsi="宋体" w:eastAsia="宋体" w:cs="Arial"/>
          <w:sz w:val="28"/>
          <w:szCs w:val="28"/>
        </w:rPr>
        <w:t>“</w:t>
      </w:r>
      <w:r>
        <w:rPr>
          <w:rFonts w:ascii="Arial" w:hAnsi="Arial" w:eastAsia="宋体" w:cs="Arial"/>
          <w:sz w:val="28"/>
          <w:szCs w:val="28"/>
        </w:rPr>
        <w:t>小组跟踪</w:t>
      </w:r>
      <w:r>
        <w:rPr>
          <w:rFonts w:ascii="宋体" w:hAnsi="宋体" w:eastAsia="宋体" w:cs="Arial"/>
          <w:sz w:val="28"/>
          <w:szCs w:val="28"/>
        </w:rPr>
        <w:t>”</w:t>
      </w:r>
      <w:r>
        <w:rPr>
          <w:rFonts w:ascii="Arial" w:hAnsi="Arial" w:eastAsia="宋体" w:cs="Arial"/>
          <w:sz w:val="28"/>
          <w:szCs w:val="28"/>
        </w:rPr>
        <w:t>补充</w:t>
      </w:r>
      <w:r>
        <w:rPr>
          <w:rFonts w:hint="eastAsia" w:ascii="Arial" w:hAnsi="Arial" w:eastAsia="宋体" w:cs="Arial"/>
          <w:sz w:val="28"/>
          <w:szCs w:val="28"/>
        </w:rPr>
        <w:t>、</w:t>
      </w:r>
      <w:r>
        <w:rPr>
          <w:rFonts w:ascii="Arial" w:hAnsi="Arial" w:eastAsia="宋体" w:cs="Arial"/>
          <w:sz w:val="28"/>
          <w:szCs w:val="28"/>
        </w:rPr>
        <w:t>人道主义器械豁免（HDE）和这些申请的再提交，所有这些</w:t>
      </w:r>
      <w:r>
        <w:rPr>
          <w:rFonts w:ascii="宋体" w:hAnsi="宋体" w:eastAsia="宋体" w:cs="Arial"/>
          <w:sz w:val="28"/>
          <w:szCs w:val="28"/>
        </w:rPr>
        <w:t>“</w:t>
      </w:r>
      <w:r>
        <w:rPr>
          <w:rFonts w:ascii="Arial" w:hAnsi="Arial" w:eastAsia="宋体" w:cs="Arial"/>
          <w:sz w:val="28"/>
          <w:szCs w:val="28"/>
        </w:rPr>
        <w:t>申请</w:t>
      </w:r>
      <w:r>
        <w:rPr>
          <w:rFonts w:ascii="宋体" w:hAnsi="宋体" w:eastAsia="宋体" w:cs="Arial"/>
          <w:sz w:val="28"/>
          <w:szCs w:val="28"/>
        </w:rPr>
        <w:t>”</w:t>
      </w:r>
      <w:r>
        <w:rPr>
          <w:rFonts w:ascii="Arial" w:hAnsi="Arial" w:eastAsia="宋体" w:cs="Arial"/>
          <w:sz w:val="28"/>
          <w:szCs w:val="28"/>
        </w:rPr>
        <w:t>在FD&amp;C法案或PHS法案下有各自的</w:t>
      </w:r>
      <w:r>
        <w:rPr>
          <w:rFonts w:hint="eastAsia" w:ascii="Arial" w:hAnsi="Arial" w:eastAsia="宋体" w:cs="Arial"/>
          <w:sz w:val="28"/>
          <w:szCs w:val="28"/>
        </w:rPr>
        <w:t>章节</w:t>
      </w:r>
      <w:r>
        <w:rPr>
          <w:rFonts w:ascii="Arial" w:hAnsi="Arial" w:eastAsia="宋体" w:cs="Arial"/>
          <w:sz w:val="28"/>
          <w:szCs w:val="28"/>
        </w:rPr>
        <w:t>。同样地，510（k）是根据</w:t>
      </w:r>
      <w:r>
        <w:rPr>
          <w:rFonts w:ascii="宋体" w:hAnsi="宋体" w:eastAsia="宋体" w:cs="Arial"/>
          <w:sz w:val="28"/>
          <w:szCs w:val="28"/>
        </w:rPr>
        <w:t>“</w:t>
      </w:r>
      <w:r>
        <w:rPr>
          <w:rFonts w:ascii="Arial" w:hAnsi="Arial" w:eastAsia="宋体" w:cs="Arial"/>
          <w:sz w:val="28"/>
          <w:szCs w:val="28"/>
        </w:rPr>
        <w:t>FD&amp;C法案</w:t>
      </w:r>
      <w:r>
        <w:rPr>
          <w:rFonts w:ascii="宋体" w:hAnsi="宋体" w:eastAsia="宋体" w:cs="Arial"/>
          <w:sz w:val="28"/>
          <w:szCs w:val="28"/>
        </w:rPr>
        <w:t>”</w:t>
      </w:r>
      <w:r>
        <w:rPr>
          <w:rFonts w:ascii="Arial" w:hAnsi="Arial" w:eastAsia="宋体" w:cs="Arial"/>
          <w:sz w:val="28"/>
          <w:szCs w:val="28"/>
        </w:rPr>
        <w:t>的这一节</w:t>
      </w:r>
      <w:r>
        <w:rPr>
          <w:rFonts w:ascii="宋体" w:hAnsi="宋体" w:eastAsia="宋体" w:cs="Arial"/>
          <w:sz w:val="28"/>
          <w:szCs w:val="28"/>
        </w:rPr>
        <w:t>“</w:t>
      </w:r>
      <w:r>
        <w:rPr>
          <w:rFonts w:ascii="Arial" w:hAnsi="Arial" w:eastAsia="宋体" w:cs="Arial"/>
          <w:sz w:val="28"/>
          <w:szCs w:val="28"/>
        </w:rPr>
        <w:t>提交的报告</w:t>
      </w:r>
      <w:r>
        <w:rPr>
          <w:rFonts w:ascii="宋体" w:hAnsi="宋体" w:eastAsia="宋体" w:cs="Arial"/>
          <w:sz w:val="28"/>
          <w:szCs w:val="28"/>
        </w:rPr>
        <w:t>”</w:t>
      </w:r>
      <w:r>
        <w:rPr>
          <w:rFonts w:ascii="Arial" w:hAnsi="Arial" w:eastAsia="宋体" w:cs="Arial"/>
          <w:sz w:val="28"/>
          <w:szCs w:val="28"/>
        </w:rPr>
        <w:t>。因此，所有这些指定的申请和提交都属于法定条款的明语。此外，这些都代表了监管审查流程的启动，通过该流程，此前未获批的医疗产品的支持性临床研究提交</w:t>
      </w:r>
      <w:r>
        <w:rPr>
          <w:rFonts w:hint="eastAsia" w:ascii="Arial" w:hAnsi="Arial" w:eastAsia="宋体" w:cs="Arial"/>
          <w:sz w:val="28"/>
          <w:szCs w:val="28"/>
        </w:rPr>
        <w:t>至</w:t>
      </w:r>
      <w:r>
        <w:rPr>
          <w:rFonts w:ascii="Arial" w:hAnsi="Arial" w:eastAsia="宋体" w:cs="Arial"/>
          <w:sz w:val="28"/>
          <w:szCs w:val="28"/>
        </w:rPr>
        <w:t>FDA，进入该产品的</w:t>
      </w:r>
      <w:r>
        <w:rPr>
          <w:rFonts w:hint="eastAsia" w:ascii="Arial" w:hAnsi="Arial" w:eastAsia="宋体" w:cs="Arial"/>
          <w:sz w:val="28"/>
          <w:szCs w:val="28"/>
        </w:rPr>
        <w:t>上市</w:t>
      </w:r>
      <w:r>
        <w:rPr>
          <w:rFonts w:ascii="Arial" w:hAnsi="Arial" w:eastAsia="宋体" w:cs="Arial"/>
          <w:sz w:val="28"/>
          <w:szCs w:val="28"/>
        </w:rPr>
        <w:t>批准程序。由于针对未决申请、未决的补充申请或510（k）的未决申请的修订，并不是独立的</w:t>
      </w:r>
      <w:r>
        <w:rPr>
          <w:rFonts w:ascii="宋体" w:hAnsi="宋体" w:eastAsia="宋体" w:cs="Arial"/>
          <w:sz w:val="28"/>
          <w:szCs w:val="28"/>
        </w:rPr>
        <w:t>“</w:t>
      </w:r>
      <w:r>
        <w:rPr>
          <w:rFonts w:ascii="Arial" w:hAnsi="Arial" w:eastAsia="宋体" w:cs="Arial"/>
          <w:sz w:val="28"/>
          <w:szCs w:val="28"/>
        </w:rPr>
        <w:t>申请</w:t>
      </w:r>
      <w:r>
        <w:rPr>
          <w:rFonts w:ascii="宋体" w:hAnsi="宋体" w:eastAsia="宋体" w:cs="Arial"/>
          <w:sz w:val="28"/>
          <w:szCs w:val="28"/>
        </w:rPr>
        <w:t>”</w:t>
      </w:r>
      <w:r>
        <w:rPr>
          <w:rFonts w:ascii="Arial" w:hAnsi="Arial" w:eastAsia="宋体" w:cs="Arial"/>
          <w:sz w:val="28"/>
          <w:szCs w:val="28"/>
        </w:rPr>
        <w:t>或</w:t>
      </w:r>
      <w:r>
        <w:rPr>
          <w:rFonts w:ascii="宋体" w:hAnsi="宋体" w:eastAsia="宋体" w:cs="Arial"/>
          <w:sz w:val="28"/>
          <w:szCs w:val="28"/>
        </w:rPr>
        <w:t>“</w:t>
      </w:r>
      <w:r>
        <w:rPr>
          <w:rFonts w:ascii="Arial" w:hAnsi="Arial" w:eastAsia="宋体" w:cs="Arial"/>
          <w:sz w:val="28"/>
          <w:szCs w:val="28"/>
        </w:rPr>
        <w:t>根据510（k）提交的报告</w:t>
      </w:r>
      <w:r>
        <w:rPr>
          <w:rFonts w:ascii="宋体" w:hAnsi="宋体" w:eastAsia="宋体" w:cs="Arial"/>
          <w:sz w:val="28"/>
          <w:szCs w:val="28"/>
        </w:rPr>
        <w:t>”</w:t>
      </w:r>
      <w:r>
        <w:rPr>
          <w:rFonts w:ascii="Arial" w:hAnsi="Arial" w:eastAsia="宋体" w:cs="Arial"/>
          <w:sz w:val="28"/>
          <w:szCs w:val="28"/>
        </w:rPr>
        <w:t>，</w:t>
      </w:r>
      <w:r>
        <w:rPr>
          <w:rFonts w:hint="eastAsia" w:ascii="Arial" w:hAnsi="Arial" w:eastAsia="宋体" w:cs="Arial"/>
          <w:sz w:val="28"/>
          <w:szCs w:val="28"/>
        </w:rPr>
        <w:t>因此</w:t>
      </w:r>
      <w:r>
        <w:rPr>
          <w:rFonts w:ascii="Arial" w:hAnsi="Arial" w:eastAsia="宋体" w:cs="Arial"/>
          <w:sz w:val="28"/>
          <w:szCs w:val="28"/>
        </w:rPr>
        <w:t>这些修订不需要同时提交（FDA表3674）。</w:t>
      </w:r>
    </w:p>
    <w:p w14:paraId="5353ED3A">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 xml:space="preserve">我们的结论是，提交的法定要求也适用于研究性新药申请（IND）和IND新方案的提交。IND的批准是按照FD&amp;C法案的§ 505（i） </w:t>
      </w:r>
      <w:r>
        <w:rPr>
          <w:rFonts w:hint="eastAsia" w:ascii="Arial" w:hAnsi="Arial" w:eastAsia="宋体" w:cs="Arial"/>
          <w:sz w:val="28"/>
          <w:szCs w:val="28"/>
        </w:rPr>
        <w:t>部分</w:t>
      </w:r>
      <w:r>
        <w:rPr>
          <w:rFonts w:ascii="Arial" w:hAnsi="Arial" w:eastAsia="宋体" w:cs="Arial"/>
          <w:sz w:val="28"/>
          <w:szCs w:val="28"/>
        </w:rPr>
        <w:t>规定（另见21 C.F.R.§312.3（将</w:t>
      </w:r>
      <w:r>
        <w:rPr>
          <w:rFonts w:ascii="宋体" w:hAnsi="宋体" w:eastAsia="宋体" w:cs="Arial"/>
          <w:sz w:val="28"/>
          <w:szCs w:val="28"/>
        </w:rPr>
        <w:t>“</w:t>
      </w:r>
      <w:r>
        <w:rPr>
          <w:rFonts w:ascii="Arial" w:hAnsi="Arial" w:eastAsia="宋体" w:cs="Arial"/>
          <w:sz w:val="28"/>
          <w:szCs w:val="28"/>
        </w:rPr>
        <w:t>IND</w:t>
      </w:r>
      <w:r>
        <w:rPr>
          <w:rFonts w:ascii="宋体" w:hAnsi="宋体" w:eastAsia="宋体" w:cs="Arial"/>
          <w:sz w:val="28"/>
          <w:szCs w:val="28"/>
        </w:rPr>
        <w:t>”</w:t>
      </w:r>
      <w:r>
        <w:rPr>
          <w:rFonts w:ascii="Arial" w:hAnsi="Arial" w:eastAsia="宋体" w:cs="Arial"/>
          <w:sz w:val="28"/>
          <w:szCs w:val="28"/>
        </w:rPr>
        <w:t>定义为</w:t>
      </w:r>
      <w:r>
        <w:rPr>
          <w:rFonts w:ascii="宋体" w:hAnsi="宋体" w:eastAsia="宋体" w:cs="Arial"/>
          <w:sz w:val="28"/>
          <w:szCs w:val="28"/>
        </w:rPr>
        <w:t>“</w:t>
      </w:r>
      <w:r>
        <w:rPr>
          <w:rFonts w:ascii="Arial" w:hAnsi="Arial" w:eastAsia="宋体" w:cs="Arial"/>
          <w:sz w:val="28"/>
          <w:szCs w:val="28"/>
        </w:rPr>
        <w:t>研究性新药申请</w:t>
      </w:r>
      <w:r>
        <w:rPr>
          <w:rFonts w:ascii="宋体" w:hAnsi="宋体" w:eastAsia="宋体" w:cs="Arial"/>
          <w:sz w:val="28"/>
          <w:szCs w:val="28"/>
        </w:rPr>
        <w:t>”</w:t>
      </w:r>
      <w:r>
        <w:rPr>
          <w:rFonts w:ascii="Arial" w:hAnsi="Arial" w:eastAsia="宋体" w:cs="Arial"/>
          <w:sz w:val="28"/>
          <w:szCs w:val="28"/>
        </w:rPr>
        <w:t>））。我们还得出结论，如21 CFR§312.30（a）中所述，IND提交新的临床方案时必须同时提交FDA 3674表。根据FDA规定，IND的许多不同类型的提交称为</w:t>
      </w:r>
      <w:r>
        <w:rPr>
          <w:rFonts w:ascii="宋体" w:hAnsi="宋体" w:eastAsia="宋体" w:cs="Arial"/>
          <w:sz w:val="28"/>
          <w:szCs w:val="28"/>
        </w:rPr>
        <w:t>“</w:t>
      </w:r>
      <w:r>
        <w:rPr>
          <w:rFonts w:ascii="Arial" w:hAnsi="Arial" w:eastAsia="宋体" w:cs="Arial"/>
          <w:sz w:val="28"/>
          <w:szCs w:val="28"/>
        </w:rPr>
        <w:t>修订</w:t>
      </w:r>
      <w:r>
        <w:rPr>
          <w:rFonts w:ascii="宋体" w:hAnsi="宋体" w:eastAsia="宋体" w:cs="Arial"/>
          <w:sz w:val="28"/>
          <w:szCs w:val="28"/>
        </w:rPr>
        <w:t>”</w:t>
      </w:r>
      <w:r>
        <w:rPr>
          <w:rFonts w:ascii="Arial" w:hAnsi="Arial" w:eastAsia="宋体" w:cs="Arial"/>
          <w:sz w:val="28"/>
          <w:szCs w:val="28"/>
        </w:rPr>
        <w:t>，但是这些类型的提交因其目的和在注册过程中的作用而各不相同。提交的一种类型是为一个未决的IND提交一项新的方案。提交</w:t>
      </w:r>
      <w:r>
        <w:rPr>
          <w:rFonts w:hint="eastAsia" w:ascii="Arial" w:hAnsi="Arial" w:eastAsia="宋体" w:cs="Arial"/>
          <w:sz w:val="28"/>
          <w:szCs w:val="28"/>
        </w:rPr>
        <w:t>至</w:t>
      </w:r>
      <w:r>
        <w:rPr>
          <w:rFonts w:ascii="Arial" w:hAnsi="Arial" w:eastAsia="宋体" w:cs="Arial"/>
          <w:sz w:val="28"/>
          <w:szCs w:val="28"/>
        </w:rPr>
        <w:t>未决IND的新临床方案，对于尚未包括在现有方案中的研究，是为了现有申请中并未涵盖的新适应症，类似于对NDA或BLA疗效补充的研究阶段。新方案称为IND</w:t>
      </w:r>
      <w:r>
        <w:rPr>
          <w:rFonts w:hint="eastAsia" w:ascii="Arial" w:hAnsi="Arial" w:eastAsia="宋体" w:cs="Arial"/>
          <w:sz w:val="28"/>
          <w:szCs w:val="28"/>
        </w:rPr>
        <w:t>修订案</w:t>
      </w:r>
      <w:r>
        <w:rPr>
          <w:rFonts w:ascii="Arial" w:hAnsi="Arial" w:eastAsia="宋体" w:cs="Arial"/>
          <w:sz w:val="28"/>
          <w:szCs w:val="28"/>
        </w:rPr>
        <w:t>，</w:t>
      </w:r>
      <w:r>
        <w:rPr>
          <w:rFonts w:hint="eastAsia" w:ascii="Arial" w:hAnsi="Arial" w:eastAsia="宋体" w:cs="Arial"/>
          <w:sz w:val="28"/>
          <w:szCs w:val="28"/>
        </w:rPr>
        <w:t>并</w:t>
      </w:r>
      <w:r>
        <w:rPr>
          <w:rFonts w:ascii="Arial" w:hAnsi="Arial" w:eastAsia="宋体" w:cs="Arial"/>
          <w:sz w:val="28"/>
          <w:szCs w:val="28"/>
        </w:rPr>
        <w:t>作为</w:t>
      </w:r>
      <w:r>
        <w:rPr>
          <w:rFonts w:hint="eastAsia" w:ascii="Arial" w:hAnsi="Arial" w:eastAsia="宋体" w:cs="Arial"/>
          <w:sz w:val="28"/>
          <w:szCs w:val="28"/>
        </w:rPr>
        <w:t>监管过程事件</w:t>
      </w:r>
      <w:r>
        <w:rPr>
          <w:rFonts w:ascii="Arial" w:hAnsi="Arial" w:eastAsia="宋体" w:cs="Arial"/>
          <w:sz w:val="28"/>
          <w:szCs w:val="28"/>
        </w:rPr>
        <w:t>提交</w:t>
      </w:r>
      <w:r>
        <w:rPr>
          <w:rFonts w:hint="eastAsia" w:ascii="Arial" w:hAnsi="Arial" w:eastAsia="宋体" w:cs="Arial"/>
          <w:sz w:val="28"/>
          <w:szCs w:val="28"/>
        </w:rPr>
        <w:t>至</w:t>
      </w:r>
      <w:r>
        <w:rPr>
          <w:rFonts w:ascii="Arial" w:hAnsi="Arial" w:eastAsia="宋体" w:cs="Arial"/>
          <w:sz w:val="28"/>
          <w:szCs w:val="28"/>
        </w:rPr>
        <w:t>现有的IND。可以要求向FDA提交的新方案提交</w:t>
      </w:r>
      <w:r>
        <w:rPr>
          <w:rFonts w:hint="eastAsia" w:ascii="Arial" w:hAnsi="Arial" w:eastAsia="宋体" w:cs="Arial"/>
          <w:sz w:val="28"/>
          <w:szCs w:val="28"/>
        </w:rPr>
        <w:t>至</w:t>
      </w:r>
      <w:r>
        <w:rPr>
          <w:rFonts w:ascii="Arial" w:hAnsi="Arial" w:eastAsia="宋体" w:cs="Arial"/>
          <w:sz w:val="28"/>
          <w:szCs w:val="28"/>
        </w:rPr>
        <w:t>新的IND，但是为了便于监管，可以选择将</w:t>
      </w:r>
      <w:r>
        <w:rPr>
          <w:rFonts w:hint="eastAsia" w:ascii="Arial" w:hAnsi="Arial" w:eastAsia="宋体" w:cs="Arial"/>
          <w:sz w:val="28"/>
          <w:szCs w:val="28"/>
        </w:rPr>
        <w:t>其</w:t>
      </w:r>
      <w:r>
        <w:rPr>
          <w:rFonts w:ascii="Arial" w:hAnsi="Arial" w:eastAsia="宋体" w:cs="Arial"/>
          <w:sz w:val="28"/>
          <w:szCs w:val="28"/>
        </w:rPr>
        <w:t>提交</w:t>
      </w:r>
      <w:r>
        <w:rPr>
          <w:rFonts w:hint="eastAsia" w:ascii="Arial" w:hAnsi="Arial" w:eastAsia="宋体" w:cs="Arial"/>
          <w:sz w:val="28"/>
          <w:szCs w:val="28"/>
        </w:rPr>
        <w:t>至</w:t>
      </w:r>
      <w:r>
        <w:rPr>
          <w:rFonts w:ascii="Arial" w:hAnsi="Arial" w:eastAsia="宋体" w:cs="Arial"/>
          <w:sz w:val="28"/>
          <w:szCs w:val="28"/>
        </w:rPr>
        <w:t>现有的IND。相比之下，其他类型对于IND的修订更类似于对NDA</w:t>
      </w:r>
      <w:r>
        <w:rPr>
          <w:rFonts w:hint="eastAsia" w:ascii="Arial" w:hAnsi="Arial" w:eastAsia="宋体" w:cs="Arial"/>
          <w:sz w:val="28"/>
          <w:szCs w:val="28"/>
        </w:rPr>
        <w:t>，</w:t>
      </w:r>
      <w:r>
        <w:rPr>
          <w:rFonts w:ascii="Arial" w:hAnsi="Arial" w:eastAsia="宋体" w:cs="Arial"/>
          <w:sz w:val="28"/>
          <w:szCs w:val="28"/>
        </w:rPr>
        <w:t>BLA和PMA的修订；因此，根据对NDA</w:t>
      </w:r>
      <w:r>
        <w:rPr>
          <w:rFonts w:hint="eastAsia" w:ascii="Arial" w:hAnsi="Arial" w:eastAsia="宋体" w:cs="Arial"/>
          <w:sz w:val="28"/>
          <w:szCs w:val="28"/>
        </w:rPr>
        <w:t>、</w:t>
      </w:r>
      <w:r>
        <w:rPr>
          <w:rFonts w:ascii="Arial" w:hAnsi="Arial" w:eastAsia="宋体" w:cs="Arial"/>
          <w:sz w:val="28"/>
          <w:szCs w:val="28"/>
        </w:rPr>
        <w:t>BLA和PMA修订法规的解释，对于IND的修订，除了向现有IND提交新方案之外，不需要提交（FDA 3674表）。</w:t>
      </w:r>
    </w:p>
    <w:p w14:paraId="2983EA5B">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FDA计划对四类申请和提交行使认证提交的强制执行自由裁量权：1）对已批准的NDA</w:t>
      </w:r>
      <w:r>
        <w:rPr>
          <w:rFonts w:hint="eastAsia" w:ascii="Arial" w:hAnsi="Arial" w:eastAsia="宋体" w:cs="Arial"/>
          <w:sz w:val="28"/>
          <w:szCs w:val="28"/>
        </w:rPr>
        <w:t>、</w:t>
      </w:r>
      <w:r>
        <w:rPr>
          <w:rFonts w:ascii="Arial" w:hAnsi="Arial" w:eastAsia="宋体" w:cs="Arial"/>
          <w:sz w:val="28"/>
          <w:szCs w:val="28"/>
        </w:rPr>
        <w:t>BLA或PMA进行的补充，除了疗效补充（适用于NDA和BLA）或小组跟踪补充</w:t>
      </w:r>
      <w:r>
        <w:rPr>
          <w:rFonts w:hint="eastAsia" w:ascii="Arial" w:hAnsi="Arial" w:eastAsia="宋体" w:cs="Arial"/>
          <w:sz w:val="28"/>
          <w:szCs w:val="28"/>
        </w:rPr>
        <w:t>（</w:t>
      </w:r>
      <w:r>
        <w:rPr>
          <w:rFonts w:ascii="Arial" w:hAnsi="Arial" w:eastAsia="宋体" w:cs="Arial"/>
          <w:sz w:val="28"/>
          <w:szCs w:val="28"/>
        </w:rPr>
        <w:t>适用于PMA</w:t>
      </w:r>
      <w:r>
        <w:rPr>
          <w:rFonts w:hint="eastAsia" w:ascii="Arial" w:hAnsi="Arial" w:eastAsia="宋体" w:cs="Arial"/>
          <w:sz w:val="28"/>
          <w:szCs w:val="28"/>
        </w:rPr>
        <w:t>）</w:t>
      </w:r>
      <w:r>
        <w:rPr>
          <w:rFonts w:ascii="Arial" w:hAnsi="Arial" w:eastAsia="宋体" w:cs="Arial"/>
          <w:sz w:val="28"/>
          <w:szCs w:val="28"/>
        </w:rPr>
        <w:t>，2）对已批准的ANDA进行的补充，3）IND类型属于FD&amp;C法案第561</w:t>
      </w:r>
      <w:r>
        <w:rPr>
          <w:rFonts w:hint="eastAsia" w:ascii="Arial" w:hAnsi="Arial" w:eastAsia="宋体" w:cs="Arial"/>
          <w:sz w:val="28"/>
          <w:szCs w:val="28"/>
        </w:rPr>
        <w:t>部分</w:t>
      </w:r>
      <w:r>
        <w:rPr>
          <w:rFonts w:ascii="Arial" w:hAnsi="Arial" w:eastAsia="宋体" w:cs="Arial"/>
          <w:sz w:val="28"/>
          <w:szCs w:val="28"/>
        </w:rPr>
        <w:t>（21 USC§360bbb）描述的IND，以及4）510（k）提交，若该提交不参考、不涉及或不包括临床试验或来自临床试验的信息。FDA认为，与上述申请和提交的类型相比，大多数批准的NDA、BLA和PMA的补充均不参考、不涉及或不包括临床试验或来自临床试验的信息。此外，即使从某方面来说，比如，对已批准的NDA进行</w:t>
      </w:r>
      <w:r>
        <w:rPr>
          <w:rFonts w:hint="eastAsia" w:ascii="Arial" w:hAnsi="Arial" w:eastAsia="宋体" w:cs="Arial"/>
          <w:sz w:val="28"/>
          <w:szCs w:val="28"/>
        </w:rPr>
        <w:t>的</w:t>
      </w:r>
      <w:r>
        <w:rPr>
          <w:rFonts w:ascii="Arial" w:hAnsi="Arial" w:eastAsia="宋体" w:cs="Arial"/>
          <w:sz w:val="28"/>
          <w:szCs w:val="28"/>
        </w:rPr>
        <w:t>标签补充也许会参考、涉及或包括来自一项或多项临床试验的信息，</w:t>
      </w:r>
      <w:r>
        <w:rPr>
          <w:rFonts w:hint="eastAsia" w:ascii="Arial" w:hAnsi="Arial" w:eastAsia="宋体" w:cs="Arial"/>
          <w:sz w:val="28"/>
          <w:szCs w:val="28"/>
        </w:rPr>
        <w:t>这些</w:t>
      </w:r>
      <w:r>
        <w:rPr>
          <w:rFonts w:ascii="Arial" w:hAnsi="Arial" w:eastAsia="宋体" w:cs="Arial"/>
          <w:sz w:val="28"/>
          <w:szCs w:val="28"/>
        </w:rPr>
        <w:t>临床试验极有可能是按照IND进行的，因此申办方已经在研究阶段提交了关于</w:t>
      </w:r>
      <w:r>
        <w:rPr>
          <w:rFonts w:hint="eastAsia" w:ascii="Arial" w:hAnsi="Arial" w:eastAsia="宋体" w:cs="Arial"/>
          <w:sz w:val="28"/>
          <w:szCs w:val="28"/>
        </w:rPr>
        <w:t>这些</w:t>
      </w:r>
      <w:r>
        <w:rPr>
          <w:rFonts w:ascii="Arial" w:hAnsi="Arial" w:eastAsia="宋体" w:cs="Arial"/>
          <w:sz w:val="28"/>
          <w:szCs w:val="28"/>
        </w:rPr>
        <w:t>临床试验的</w:t>
      </w:r>
      <w:r>
        <w:rPr>
          <w:rFonts w:hint="eastAsia" w:ascii="Arial" w:hAnsi="Arial" w:eastAsia="宋体" w:cs="Arial"/>
          <w:sz w:val="28"/>
          <w:szCs w:val="28"/>
        </w:rPr>
        <w:t>（</w:t>
      </w:r>
      <w:r>
        <w:rPr>
          <w:rFonts w:ascii="Arial" w:hAnsi="Arial" w:eastAsia="宋体" w:cs="Arial"/>
          <w:sz w:val="28"/>
          <w:szCs w:val="28"/>
        </w:rPr>
        <w:t>FDA3674表</w:t>
      </w:r>
      <w:r>
        <w:rPr>
          <w:rFonts w:hint="eastAsia" w:ascii="Arial" w:hAnsi="Arial" w:eastAsia="宋体" w:cs="Arial"/>
          <w:sz w:val="28"/>
          <w:szCs w:val="28"/>
        </w:rPr>
        <w:t>）</w:t>
      </w:r>
      <w:r>
        <w:rPr>
          <w:rFonts w:ascii="Arial" w:hAnsi="Arial" w:eastAsia="宋体" w:cs="Arial"/>
          <w:sz w:val="28"/>
          <w:szCs w:val="28"/>
        </w:rPr>
        <w:t>。这将是重复的，让申办方就同一临床试验反复证明符合FDAAA第VIII</w:t>
      </w:r>
      <w:r>
        <w:rPr>
          <w:rFonts w:hint="eastAsia" w:ascii="Arial" w:hAnsi="Arial" w:eastAsia="宋体" w:cs="Arial"/>
          <w:sz w:val="28"/>
          <w:szCs w:val="28"/>
        </w:rPr>
        <w:t>卷</w:t>
      </w:r>
      <w:r>
        <w:rPr>
          <w:rFonts w:ascii="Arial" w:hAnsi="Arial" w:eastAsia="宋体" w:cs="Arial"/>
          <w:sz w:val="28"/>
          <w:szCs w:val="28"/>
        </w:rPr>
        <w:t>（包括任何适用的实施条例）的要求，几乎无目的性可言。</w:t>
      </w:r>
    </w:p>
    <w:p w14:paraId="7AC879E4">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关于针对批准的ANDA进行的补充，即使这些补充旨在增加额外的说明（例如，当现有专利或独占权已</w:t>
      </w:r>
      <w:r>
        <w:rPr>
          <w:rFonts w:hint="eastAsia" w:ascii="Arial" w:hAnsi="Arial" w:eastAsia="宋体" w:cs="Arial"/>
          <w:sz w:val="28"/>
          <w:szCs w:val="28"/>
        </w:rPr>
        <w:t>失效</w:t>
      </w:r>
      <w:r>
        <w:rPr>
          <w:rFonts w:ascii="Arial" w:hAnsi="Arial" w:eastAsia="宋体" w:cs="Arial"/>
          <w:sz w:val="28"/>
          <w:szCs w:val="28"/>
        </w:rPr>
        <w:t>时），这种补充通常不参考、不涉及或不包括临床试验或来自临床试验的信息（除了在原始ANDA提交时参考或引用的</w:t>
      </w:r>
      <w:r>
        <w:rPr>
          <w:rFonts w:hint="eastAsia" w:ascii="Arial" w:hAnsi="Arial" w:eastAsia="宋体" w:cs="Arial"/>
          <w:sz w:val="28"/>
          <w:szCs w:val="28"/>
        </w:rPr>
        <w:t>这些</w:t>
      </w:r>
      <w:r>
        <w:rPr>
          <w:rFonts w:ascii="Arial" w:hAnsi="Arial" w:eastAsia="宋体" w:cs="Arial"/>
          <w:sz w:val="28"/>
          <w:szCs w:val="28"/>
        </w:rPr>
        <w:t>临床试验）。因此，与针对已批准的NDA和BLA进行非疗效的补充相同，对已批准的PMA进行的小组跟踪补充，补充ANDA时的将是重复的，</w:t>
      </w:r>
      <w:r>
        <w:rPr>
          <w:rFonts w:hint="eastAsia" w:ascii="Arial" w:hAnsi="Arial" w:eastAsia="宋体" w:cs="Arial"/>
          <w:sz w:val="28"/>
          <w:szCs w:val="28"/>
        </w:rPr>
        <w:t>对于确保</w:t>
      </w:r>
      <w:r>
        <w:rPr>
          <w:rFonts w:ascii="Arial" w:hAnsi="Arial" w:eastAsia="宋体" w:cs="Arial"/>
          <w:sz w:val="28"/>
          <w:szCs w:val="28"/>
        </w:rPr>
        <w:t>符合FDAAA第VIII</w:t>
      </w:r>
      <w:r>
        <w:rPr>
          <w:rFonts w:hint="eastAsia" w:ascii="Arial" w:hAnsi="Arial" w:eastAsia="宋体" w:cs="Arial"/>
          <w:sz w:val="28"/>
          <w:szCs w:val="28"/>
        </w:rPr>
        <w:t>卷</w:t>
      </w:r>
      <w:r>
        <w:rPr>
          <w:rFonts w:ascii="Arial" w:hAnsi="Arial" w:eastAsia="宋体" w:cs="Arial"/>
          <w:sz w:val="28"/>
          <w:szCs w:val="28"/>
        </w:rPr>
        <w:t>（包括任何适用的实施条例）的要求，几乎无目的性可言。</w:t>
      </w:r>
    </w:p>
    <w:p w14:paraId="23685BA0">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关于IND类型属于FD&amp;C法案第561</w:t>
      </w:r>
      <w:r>
        <w:rPr>
          <w:rFonts w:hint="eastAsia" w:ascii="Arial" w:hAnsi="Arial" w:eastAsia="宋体" w:cs="Arial"/>
          <w:sz w:val="28"/>
          <w:szCs w:val="28"/>
        </w:rPr>
        <w:t>部分</w:t>
      </w:r>
      <w:r>
        <w:rPr>
          <w:rFonts w:ascii="Arial" w:hAnsi="Arial" w:eastAsia="宋体" w:cs="Arial"/>
          <w:sz w:val="28"/>
          <w:szCs w:val="28"/>
        </w:rPr>
        <w:t>（21 USC§360bbb）描述的IND，</w:t>
      </w:r>
      <w:r>
        <w:rPr>
          <w:rFonts w:hint="eastAsia" w:ascii="Arial" w:hAnsi="Arial" w:eastAsia="宋体" w:cs="Arial"/>
          <w:sz w:val="28"/>
          <w:szCs w:val="28"/>
        </w:rPr>
        <w:t>基于</w:t>
      </w:r>
      <w:r>
        <w:rPr>
          <w:rFonts w:ascii="Arial" w:hAnsi="Arial" w:eastAsia="宋体" w:cs="Arial"/>
          <w:sz w:val="28"/>
          <w:szCs w:val="28"/>
        </w:rPr>
        <w:t>认证和完成FDA 3674表的目的，按照此类IND进行的临床试验不视为PHS法案第402（j）（1）（A）（iii）</w:t>
      </w:r>
      <w:r>
        <w:rPr>
          <w:rFonts w:hint="eastAsia" w:ascii="Arial" w:hAnsi="Arial" w:eastAsia="宋体" w:cs="Arial"/>
          <w:sz w:val="28"/>
          <w:szCs w:val="28"/>
        </w:rPr>
        <w:t>部分</w:t>
      </w:r>
      <w:r>
        <w:rPr>
          <w:rFonts w:ascii="Arial" w:hAnsi="Arial" w:eastAsia="宋体" w:cs="Arial"/>
          <w:sz w:val="28"/>
          <w:szCs w:val="28"/>
        </w:rPr>
        <w:t>中定义的</w:t>
      </w:r>
      <w:r>
        <w:rPr>
          <w:rFonts w:ascii="宋体" w:hAnsi="宋体" w:eastAsia="宋体" w:cs="Arial"/>
          <w:sz w:val="28"/>
          <w:szCs w:val="28"/>
        </w:rPr>
        <w:t>“</w:t>
      </w:r>
      <w:r>
        <w:rPr>
          <w:rFonts w:ascii="Arial" w:hAnsi="Arial" w:eastAsia="宋体" w:cs="Arial"/>
          <w:sz w:val="28"/>
          <w:szCs w:val="28"/>
        </w:rPr>
        <w:t>适用的药物临床试验</w:t>
      </w:r>
      <w:r>
        <w:rPr>
          <w:rFonts w:ascii="宋体" w:hAnsi="宋体" w:eastAsia="宋体" w:cs="Arial"/>
          <w:sz w:val="28"/>
          <w:szCs w:val="28"/>
        </w:rPr>
        <w:t>”</w:t>
      </w:r>
      <w:r>
        <w:rPr>
          <w:rFonts w:hint="eastAsia" w:ascii="Arial" w:hAnsi="Arial" w:eastAsia="宋体" w:cs="Arial"/>
          <w:sz w:val="28"/>
          <w:szCs w:val="28"/>
        </w:rPr>
        <w:t>（</w:t>
      </w:r>
      <w:r>
        <w:rPr>
          <w:rFonts w:ascii="Arial" w:hAnsi="Arial" w:eastAsia="宋体" w:cs="Arial"/>
          <w:sz w:val="28"/>
          <w:szCs w:val="28"/>
        </w:rPr>
        <w:t>42 U.S.C. § 282</w:t>
      </w:r>
      <w:r>
        <w:rPr>
          <w:rFonts w:hint="eastAsia" w:ascii="Arial" w:hAnsi="Arial" w:eastAsia="宋体" w:cs="Arial"/>
          <w:sz w:val="28"/>
          <w:szCs w:val="28"/>
        </w:rPr>
        <w:t>（</w:t>
      </w:r>
      <w:r>
        <w:rPr>
          <w:rFonts w:ascii="Arial" w:hAnsi="Arial" w:eastAsia="宋体" w:cs="Arial"/>
          <w:sz w:val="28"/>
          <w:szCs w:val="28"/>
        </w:rPr>
        <w:t>j</w:t>
      </w:r>
      <w:r>
        <w:rPr>
          <w:rFonts w:hint="eastAsia" w:ascii="Arial" w:hAnsi="Arial" w:eastAsia="宋体" w:cs="Arial"/>
          <w:sz w:val="28"/>
          <w:szCs w:val="28"/>
        </w:rPr>
        <w:t>）（</w:t>
      </w:r>
      <w:r>
        <w:rPr>
          <w:rFonts w:ascii="Arial" w:hAnsi="Arial" w:eastAsia="宋体" w:cs="Arial"/>
          <w:sz w:val="28"/>
          <w:szCs w:val="28"/>
        </w:rPr>
        <w:t>1）（A）（iii））</w:t>
      </w:r>
      <w:r>
        <w:rPr>
          <w:rStyle w:val="21"/>
          <w:rFonts w:ascii="Arial" w:hAnsi="Arial" w:eastAsia="宋体" w:cs="Arial"/>
          <w:sz w:val="28"/>
          <w:szCs w:val="28"/>
        </w:rPr>
        <w:footnoteReference w:id="4"/>
      </w:r>
      <w:r>
        <w:rPr>
          <w:rFonts w:ascii="Arial" w:hAnsi="Arial" w:eastAsia="宋体" w:cs="Arial"/>
          <w:sz w:val="28"/>
          <w:szCs w:val="28"/>
        </w:rPr>
        <w:t>。</w:t>
      </w:r>
      <w:r>
        <w:rPr>
          <w:rFonts w:hint="eastAsia" w:ascii="Arial" w:hAnsi="Arial" w:eastAsia="宋体" w:cs="Arial"/>
          <w:sz w:val="28"/>
          <w:szCs w:val="28"/>
        </w:rPr>
        <w:t>这些</w:t>
      </w:r>
      <w:r>
        <w:rPr>
          <w:rFonts w:ascii="Arial" w:hAnsi="Arial" w:eastAsia="宋体" w:cs="Arial"/>
          <w:sz w:val="28"/>
          <w:szCs w:val="28"/>
        </w:rPr>
        <w:t>试验</w:t>
      </w:r>
      <w:r>
        <w:rPr>
          <w:rFonts w:hint="eastAsia" w:ascii="Arial" w:hAnsi="Arial" w:eastAsia="宋体" w:cs="Arial"/>
          <w:sz w:val="28"/>
          <w:szCs w:val="28"/>
        </w:rPr>
        <w:t>均不受“FDAAA第VIII卷，或42 CFR第11部分”规定的个体</w:t>
      </w:r>
      <w:r>
        <w:rPr>
          <w:rFonts w:ascii="Arial" w:hAnsi="Arial" w:eastAsia="宋体" w:cs="Arial"/>
          <w:sz w:val="28"/>
          <w:szCs w:val="28"/>
        </w:rPr>
        <w:t>注册和报告要求的</w:t>
      </w:r>
      <w:r>
        <w:rPr>
          <w:rFonts w:hint="eastAsia" w:ascii="Arial" w:hAnsi="Arial" w:eastAsia="宋体" w:cs="Arial"/>
          <w:sz w:val="28"/>
          <w:szCs w:val="28"/>
        </w:rPr>
        <w:t>管制</w:t>
      </w:r>
      <w:r>
        <w:rPr>
          <w:rFonts w:ascii="Arial" w:hAnsi="Arial" w:eastAsia="宋体" w:cs="Arial"/>
          <w:sz w:val="28"/>
          <w:szCs w:val="28"/>
        </w:rPr>
        <w:t>。因为根据IND（FD&amp;C法案第561</w:t>
      </w:r>
      <w:r>
        <w:rPr>
          <w:rFonts w:hint="eastAsia" w:ascii="Arial" w:hAnsi="Arial" w:eastAsia="宋体" w:cs="Arial"/>
          <w:sz w:val="28"/>
          <w:szCs w:val="28"/>
        </w:rPr>
        <w:t>部分</w:t>
      </w:r>
      <w:r>
        <w:rPr>
          <w:rFonts w:ascii="Arial" w:hAnsi="Arial" w:eastAsia="宋体" w:cs="Arial"/>
          <w:sz w:val="28"/>
          <w:szCs w:val="28"/>
        </w:rPr>
        <w:t>所描述的类型）进行的临床试验</w:t>
      </w:r>
      <w:r>
        <w:rPr>
          <w:rFonts w:hint="eastAsia" w:ascii="Arial" w:hAnsi="Arial" w:eastAsia="宋体" w:cs="Arial"/>
          <w:sz w:val="28"/>
          <w:szCs w:val="28"/>
        </w:rPr>
        <w:t>均不符合第VIII，FDAAA或42 CFR第11部分的要求</w:t>
      </w:r>
      <w:r>
        <w:rPr>
          <w:rFonts w:ascii="Arial" w:hAnsi="Arial" w:eastAsia="宋体" w:cs="Arial"/>
          <w:sz w:val="28"/>
          <w:szCs w:val="28"/>
        </w:rPr>
        <w:t>，这些</w:t>
      </w:r>
      <w:r>
        <w:rPr>
          <w:rFonts w:hint="eastAsia" w:ascii="Arial" w:hAnsi="Arial" w:eastAsia="宋体" w:cs="Arial"/>
          <w:sz w:val="28"/>
          <w:szCs w:val="28"/>
        </w:rPr>
        <w:t>临床</w:t>
      </w:r>
      <w:r>
        <w:rPr>
          <w:rFonts w:ascii="Arial" w:hAnsi="Arial" w:eastAsia="宋体" w:cs="Arial"/>
          <w:sz w:val="28"/>
          <w:szCs w:val="28"/>
        </w:rPr>
        <w:t>试验不视为适用的临床试验，因此</w:t>
      </w:r>
      <w:r>
        <w:rPr>
          <w:rFonts w:hint="eastAsia" w:ascii="Arial" w:hAnsi="Arial" w:eastAsia="宋体" w:cs="Arial"/>
          <w:sz w:val="28"/>
          <w:szCs w:val="28"/>
        </w:rPr>
        <w:t>为这些临床试验</w:t>
      </w:r>
      <w:r>
        <w:rPr>
          <w:rFonts w:ascii="Arial" w:hAnsi="Arial" w:eastAsia="宋体" w:cs="Arial"/>
          <w:sz w:val="28"/>
          <w:szCs w:val="28"/>
        </w:rPr>
        <w:t>提交IND时，</w:t>
      </w:r>
      <w:r>
        <w:rPr>
          <w:rFonts w:hint="eastAsia" w:ascii="Arial" w:hAnsi="Arial" w:eastAsia="宋体" w:cs="Arial"/>
          <w:sz w:val="28"/>
          <w:szCs w:val="28"/>
        </w:rPr>
        <w:t>以确保</w:t>
      </w:r>
      <w:r>
        <w:rPr>
          <w:rFonts w:ascii="Arial" w:hAnsi="Arial" w:eastAsia="宋体" w:cs="Arial"/>
          <w:sz w:val="28"/>
          <w:szCs w:val="28"/>
        </w:rPr>
        <w:t>符合FDAAA第VIII</w:t>
      </w:r>
      <w:r>
        <w:rPr>
          <w:rFonts w:hint="eastAsia" w:ascii="Arial" w:hAnsi="Arial" w:eastAsia="宋体" w:cs="Arial"/>
          <w:sz w:val="28"/>
          <w:szCs w:val="28"/>
        </w:rPr>
        <w:t>卷</w:t>
      </w:r>
      <w:r>
        <w:rPr>
          <w:rFonts w:ascii="Arial" w:hAnsi="Arial" w:eastAsia="宋体" w:cs="Arial"/>
          <w:sz w:val="28"/>
          <w:szCs w:val="28"/>
        </w:rPr>
        <w:t>或42 CFR第 11部分的要求，几乎无目的性可言。</w:t>
      </w:r>
    </w:p>
    <w:p w14:paraId="1E95DE3A">
      <w:pPr>
        <w:overflowPunct w:val="0"/>
        <w:adjustRightInd w:val="0"/>
        <w:snapToGrid w:val="0"/>
        <w:spacing w:after="468" w:afterLines="150" w:line="480" w:lineRule="auto"/>
        <w:jc w:val="both"/>
        <w:rPr>
          <w:rFonts w:ascii="Arial" w:hAnsi="Arial" w:eastAsia="宋体" w:cs="Arial"/>
          <w:sz w:val="28"/>
          <w:szCs w:val="28"/>
        </w:rPr>
      </w:pPr>
      <w:r>
        <w:rPr>
          <w:rFonts w:ascii="Arial" w:hAnsi="Arial" w:eastAsia="宋体" w:cs="Arial"/>
          <w:sz w:val="28"/>
          <w:szCs w:val="28"/>
        </w:rPr>
        <w:t>最后，关于510（k），510（k）提交的大多数并不参考、不涉及或不包括临床试验或来自临床试验的信息。因此，FDA认为，510（k）提交不参考、不涉及或不包括临床试验或来自临床试验的信息</w:t>
      </w:r>
      <w:r>
        <w:rPr>
          <w:rFonts w:hint="eastAsia" w:ascii="Arial" w:hAnsi="Arial" w:eastAsia="宋体" w:cs="Arial"/>
          <w:sz w:val="28"/>
          <w:szCs w:val="28"/>
        </w:rPr>
        <w:t>认证时</w:t>
      </w:r>
      <w:r>
        <w:rPr>
          <w:rFonts w:ascii="Arial" w:hAnsi="Arial" w:eastAsia="宋体" w:cs="Arial"/>
          <w:sz w:val="28"/>
          <w:szCs w:val="28"/>
        </w:rPr>
        <w:t>，</w:t>
      </w:r>
      <w:r>
        <w:rPr>
          <w:rFonts w:hint="eastAsia" w:ascii="Arial" w:hAnsi="Arial" w:eastAsia="宋体" w:cs="Arial"/>
          <w:sz w:val="28"/>
          <w:szCs w:val="28"/>
        </w:rPr>
        <w:t>对于确保</w:t>
      </w:r>
      <w:r>
        <w:rPr>
          <w:rFonts w:ascii="Arial" w:hAnsi="Arial" w:eastAsia="宋体" w:cs="Arial"/>
          <w:sz w:val="28"/>
          <w:szCs w:val="28"/>
        </w:rPr>
        <w:t>符合FDAAA第VIII章或42 CFR第 11部分的要求，几乎无目的性可言。</w:t>
      </w:r>
    </w:p>
    <w:p w14:paraId="6AA299BE">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因为FDA认为，与这四类申请和提交一起提交的（FDA3674表）将不会</w:t>
      </w:r>
      <w:r>
        <w:rPr>
          <w:rFonts w:hint="eastAsia" w:ascii="Arial" w:hAnsi="Arial" w:eastAsia="宋体" w:cs="Arial"/>
          <w:sz w:val="28"/>
          <w:szCs w:val="28"/>
        </w:rPr>
        <w:t>不会进一步推进</w:t>
      </w:r>
      <w:r>
        <w:rPr>
          <w:rFonts w:ascii="Arial" w:hAnsi="Arial" w:eastAsia="宋体" w:cs="Arial"/>
          <w:sz w:val="28"/>
          <w:szCs w:val="28"/>
        </w:rPr>
        <w:t>第VIII章的法定目的，我们计划对这些申请和提交的</w:t>
      </w:r>
      <w:r>
        <w:rPr>
          <w:rFonts w:hint="eastAsia" w:ascii="Arial" w:hAnsi="Arial" w:eastAsia="宋体" w:cs="Arial"/>
          <w:sz w:val="28"/>
          <w:szCs w:val="28"/>
        </w:rPr>
        <w:t>认证</w:t>
      </w:r>
      <w:r>
        <w:rPr>
          <w:rFonts w:ascii="Arial" w:hAnsi="Arial" w:eastAsia="宋体" w:cs="Arial"/>
          <w:sz w:val="28"/>
          <w:szCs w:val="28"/>
        </w:rPr>
        <w:t>行使强制执行自由裁量权。</w:t>
      </w:r>
    </w:p>
    <w:p w14:paraId="6657AC7C">
      <w:pPr>
        <w:pStyle w:val="43"/>
        <w:shd w:val="clear" w:color="auto" w:fill="auto"/>
        <w:overflowPunct w:val="0"/>
        <w:snapToGrid w:val="0"/>
        <w:spacing w:before="0" w:after="468" w:afterLines="150" w:line="480" w:lineRule="auto"/>
        <w:jc w:val="both"/>
        <w:rPr>
          <w:rFonts w:ascii="Arial" w:hAnsi="Arial" w:eastAsia="宋体" w:cs="Arial"/>
          <w:sz w:val="28"/>
          <w:szCs w:val="28"/>
        </w:rPr>
      </w:pPr>
      <w:r>
        <w:rPr>
          <w:rFonts w:ascii="Arial" w:hAnsi="Arial" w:eastAsia="宋体" w:cs="Arial"/>
          <w:sz w:val="28"/>
          <w:szCs w:val="28"/>
        </w:rPr>
        <w:t>基于这些考虑，如上所述，FDA建议在以下类型的申请和提交</w:t>
      </w:r>
      <w:r>
        <w:rPr>
          <w:rFonts w:hint="eastAsia" w:ascii="Arial" w:hAnsi="Arial" w:eastAsia="宋体" w:cs="Arial"/>
          <w:sz w:val="28"/>
          <w:szCs w:val="28"/>
        </w:rPr>
        <w:t>认证</w:t>
      </w:r>
      <w:r>
        <w:rPr>
          <w:rFonts w:ascii="Arial" w:hAnsi="Arial" w:eastAsia="宋体" w:cs="Arial"/>
          <w:sz w:val="28"/>
          <w:szCs w:val="28"/>
        </w:rPr>
        <w:t>时，使用FDA 3674表提交：</w:t>
      </w:r>
    </w:p>
    <w:p w14:paraId="4D149264">
      <w:pPr>
        <w:pStyle w:val="43"/>
        <w:shd w:val="clear" w:color="auto" w:fill="auto"/>
        <w:overflowPunct w:val="0"/>
        <w:snapToGrid w:val="0"/>
        <w:spacing w:before="0" w:line="360" w:lineRule="auto"/>
        <w:jc w:val="both"/>
        <w:rPr>
          <w:rFonts w:ascii="Arial" w:hAnsi="Arial" w:eastAsia="宋体" w:cs="Arial"/>
          <w:b/>
          <w:sz w:val="28"/>
          <w:szCs w:val="28"/>
        </w:rPr>
      </w:pPr>
      <w:r>
        <w:rPr>
          <w:rFonts w:ascii="Arial" w:hAnsi="Arial" w:eastAsia="宋体" w:cs="Arial"/>
          <w:b/>
          <w:sz w:val="28"/>
          <w:szCs w:val="28"/>
        </w:rPr>
        <w:t>申请/提交（包括再提交）</w:t>
      </w:r>
    </w:p>
    <w:p w14:paraId="35A5A5F7">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IND</w:t>
      </w:r>
    </w:p>
    <w:p w14:paraId="061A5480">
      <w:pPr>
        <w:pStyle w:val="43"/>
        <w:shd w:val="clear" w:color="auto" w:fill="auto"/>
        <w:overflowPunct w:val="0"/>
        <w:snapToGrid w:val="0"/>
        <w:spacing w:before="0" w:line="360" w:lineRule="auto"/>
        <w:jc w:val="both"/>
        <w:rPr>
          <w:rFonts w:ascii="Arial" w:hAnsi="Arial" w:eastAsia="宋体" w:cs="Arial"/>
          <w:sz w:val="28"/>
          <w:szCs w:val="28"/>
        </w:rPr>
      </w:pPr>
      <w:r>
        <w:rPr>
          <w:rFonts w:hint="eastAsia" w:ascii="Arial" w:hAnsi="Arial" w:eastAsia="宋体" w:cs="Arial"/>
          <w:sz w:val="28"/>
          <w:szCs w:val="28"/>
        </w:rPr>
        <w:t>提交至</w:t>
      </w:r>
      <w:r>
        <w:rPr>
          <w:rFonts w:ascii="Arial" w:hAnsi="Arial" w:eastAsia="宋体" w:cs="Arial"/>
          <w:sz w:val="28"/>
          <w:szCs w:val="28"/>
        </w:rPr>
        <w:t>IND</w:t>
      </w:r>
      <w:r>
        <w:rPr>
          <w:rFonts w:hint="eastAsia" w:ascii="Arial" w:hAnsi="Arial" w:eastAsia="宋体" w:cs="Arial"/>
          <w:sz w:val="28"/>
          <w:szCs w:val="28"/>
        </w:rPr>
        <w:t>的</w:t>
      </w:r>
      <w:r>
        <w:rPr>
          <w:rFonts w:ascii="Arial" w:hAnsi="Arial" w:eastAsia="宋体" w:cs="Arial"/>
          <w:sz w:val="28"/>
          <w:szCs w:val="28"/>
        </w:rPr>
        <w:t>新临床方案</w:t>
      </w:r>
    </w:p>
    <w:p w14:paraId="6A5B4232">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NDA</w:t>
      </w:r>
    </w:p>
    <w:p w14:paraId="1300D8A4">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对已批准NDA</w:t>
      </w:r>
      <w:r>
        <w:rPr>
          <w:rFonts w:hint="eastAsia" w:ascii="Arial" w:hAnsi="Arial" w:eastAsia="宋体" w:cs="Arial"/>
          <w:sz w:val="28"/>
          <w:szCs w:val="28"/>
        </w:rPr>
        <w:t>的有效</w:t>
      </w:r>
      <w:r>
        <w:rPr>
          <w:rFonts w:ascii="Arial" w:hAnsi="Arial" w:eastAsia="宋体" w:cs="Arial"/>
          <w:sz w:val="28"/>
          <w:szCs w:val="28"/>
        </w:rPr>
        <w:t>补充</w:t>
      </w:r>
    </w:p>
    <w:p w14:paraId="39673956">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BLA</w:t>
      </w:r>
    </w:p>
    <w:p w14:paraId="4CBAA111">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对已批准BLA</w:t>
      </w:r>
      <w:r>
        <w:rPr>
          <w:rFonts w:hint="eastAsia" w:ascii="Arial" w:hAnsi="Arial" w:eastAsia="宋体" w:cs="Arial"/>
          <w:sz w:val="28"/>
          <w:szCs w:val="28"/>
        </w:rPr>
        <w:t>的有效</w:t>
      </w:r>
      <w:r>
        <w:rPr>
          <w:rFonts w:ascii="Arial" w:hAnsi="Arial" w:eastAsia="宋体" w:cs="Arial"/>
          <w:sz w:val="28"/>
          <w:szCs w:val="28"/>
        </w:rPr>
        <w:t>补充</w:t>
      </w:r>
    </w:p>
    <w:p w14:paraId="175B557B">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ANDA</w:t>
      </w:r>
    </w:p>
    <w:p w14:paraId="2976A04C">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PMA</w:t>
      </w:r>
    </w:p>
    <w:p w14:paraId="3D28B7B2">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PMA小组跟踪补充</w:t>
      </w:r>
    </w:p>
    <w:p w14:paraId="7D063AA5">
      <w:pPr>
        <w:pStyle w:val="43"/>
        <w:shd w:val="clear" w:color="auto" w:fill="auto"/>
        <w:overflowPunct w:val="0"/>
        <w:snapToGrid w:val="0"/>
        <w:spacing w:before="0" w:line="360" w:lineRule="auto"/>
        <w:jc w:val="both"/>
        <w:rPr>
          <w:rFonts w:ascii="Arial" w:hAnsi="Arial" w:eastAsia="宋体" w:cs="Arial"/>
          <w:sz w:val="28"/>
          <w:szCs w:val="28"/>
        </w:rPr>
      </w:pPr>
      <w:r>
        <w:rPr>
          <w:rFonts w:ascii="Arial" w:hAnsi="Arial" w:eastAsia="宋体" w:cs="Arial"/>
          <w:sz w:val="28"/>
          <w:szCs w:val="28"/>
        </w:rPr>
        <w:t>HDE</w:t>
      </w:r>
    </w:p>
    <w:p w14:paraId="15C3DA97">
      <w:pPr>
        <w:pStyle w:val="43"/>
        <w:shd w:val="clear" w:color="auto" w:fill="auto"/>
        <w:overflowPunct w:val="0"/>
        <w:snapToGrid w:val="0"/>
        <w:spacing w:before="0" w:after="468" w:afterLines="150" w:line="360" w:lineRule="auto"/>
        <w:jc w:val="both"/>
        <w:rPr>
          <w:rFonts w:ascii="Arial" w:hAnsi="Arial" w:eastAsia="宋体" w:cs="Arial"/>
          <w:sz w:val="28"/>
          <w:szCs w:val="28"/>
        </w:rPr>
      </w:pPr>
      <w:r>
        <w:rPr>
          <w:rFonts w:ascii="Arial" w:hAnsi="Arial" w:eastAsia="宋体" w:cs="Arial"/>
          <w:sz w:val="28"/>
          <w:szCs w:val="28"/>
        </w:rPr>
        <w:t>参考、涉及或包括临床试验或来自临床试验的信息的510（k）</w:t>
      </w:r>
    </w:p>
    <w:p w14:paraId="579CF2F7">
      <w:pPr>
        <w:pStyle w:val="45"/>
        <w:numPr>
          <w:ilvl w:val="0"/>
          <w:numId w:val="2"/>
        </w:numPr>
        <w:shd w:val="clear" w:color="auto" w:fill="auto"/>
        <w:overflowPunct w:val="0"/>
        <w:adjustRightInd w:val="0"/>
        <w:snapToGrid w:val="0"/>
        <w:spacing w:after="468" w:afterLines="150" w:line="360" w:lineRule="auto"/>
        <w:jc w:val="both"/>
        <w:rPr>
          <w:rFonts w:ascii="Arial" w:hAnsi="Arial" w:eastAsia="宋体" w:cs="Arial"/>
          <w:sz w:val="30"/>
          <w:szCs w:val="30"/>
        </w:rPr>
      </w:pPr>
      <w:r>
        <w:rPr>
          <w:rFonts w:ascii="Arial" w:hAnsi="Arial" w:eastAsia="宋体" w:cs="Arial"/>
          <w:sz w:val="30"/>
          <w:szCs w:val="30"/>
        </w:rPr>
        <w:t>文书削减法案（1995年）</w:t>
      </w:r>
    </w:p>
    <w:p w14:paraId="68530846">
      <w:pPr>
        <w:pStyle w:val="43"/>
        <w:shd w:val="clear" w:color="auto" w:fill="auto"/>
        <w:overflowPunct w:val="0"/>
        <w:snapToGrid w:val="0"/>
        <w:spacing w:before="0" w:after="468" w:afterLines="150" w:line="360" w:lineRule="auto"/>
        <w:jc w:val="both"/>
        <w:rPr>
          <w:rFonts w:ascii="Arial" w:hAnsi="Arial" w:eastAsia="宋体" w:cs="Arial"/>
          <w:sz w:val="28"/>
          <w:szCs w:val="28"/>
        </w:rPr>
      </w:pPr>
      <w:r>
        <w:rPr>
          <w:rFonts w:ascii="Arial" w:hAnsi="Arial" w:eastAsia="宋体" w:cs="Arial"/>
          <w:sz w:val="28"/>
          <w:szCs w:val="28"/>
        </w:rPr>
        <w:t>本指南引用了此前已批准的信息收集。管理和预算办公室（OMB）根据1995年</w:t>
      </w:r>
      <w:r>
        <w:rPr>
          <w:rFonts w:ascii="宋体" w:hAnsi="宋体" w:eastAsia="宋体" w:cs="Arial"/>
          <w:sz w:val="28"/>
          <w:szCs w:val="28"/>
        </w:rPr>
        <w:t>“</w:t>
      </w:r>
      <w:r>
        <w:rPr>
          <w:rFonts w:ascii="Arial" w:hAnsi="Arial" w:eastAsia="宋体" w:cs="Arial"/>
          <w:sz w:val="28"/>
          <w:szCs w:val="28"/>
        </w:rPr>
        <w:t>文书削减法案</w:t>
      </w:r>
      <w:r>
        <w:rPr>
          <w:rFonts w:ascii="宋体" w:hAnsi="宋体" w:eastAsia="宋体" w:cs="Arial"/>
          <w:sz w:val="28"/>
          <w:szCs w:val="28"/>
        </w:rPr>
        <w:t>”</w:t>
      </w:r>
      <w:r>
        <w:rPr>
          <w:rFonts w:ascii="Arial" w:hAnsi="Arial" w:eastAsia="宋体" w:cs="Arial"/>
          <w:sz w:val="28"/>
          <w:szCs w:val="28"/>
        </w:rPr>
        <w:t>（44U.S.C.§§3501-3520）对这些信息的收集情况进行审查。信息的收集已经根据OMB控制编号0910-0616获得批准。</w:t>
      </w:r>
    </w:p>
    <w:p w14:paraId="13079307">
      <w:pPr>
        <w:pStyle w:val="41"/>
        <w:overflowPunct w:val="0"/>
        <w:adjustRightInd w:val="0"/>
        <w:snapToGrid w:val="0"/>
        <w:spacing w:after="0" w:line="300" w:lineRule="auto"/>
        <w:rPr>
          <w:rFonts w:hint="eastAsia" w:eastAsia="宋体"/>
          <w:lang w:eastAsia="zh-CN"/>
        </w:rPr>
      </w:pPr>
    </w:p>
    <w:p w14:paraId="0DCA7F79">
      <w:pPr>
        <w:pStyle w:val="41"/>
        <w:overflowPunct w:val="0"/>
        <w:adjustRightInd w:val="0"/>
        <w:snapToGrid w:val="0"/>
        <w:spacing w:after="0" w:line="300" w:lineRule="auto"/>
        <w:jc w:val="center"/>
        <w:rPr>
          <w:rFonts w:hint="eastAsia" w:eastAsia="宋体"/>
          <w:lang w:eastAsia="zh-CN"/>
        </w:rPr>
      </w:pPr>
    </w:p>
    <w:p w14:paraId="7958B07D">
      <w:pPr>
        <w:pStyle w:val="41"/>
        <w:overflowPunct w:val="0"/>
        <w:adjustRightInd w:val="0"/>
        <w:snapToGrid w:val="0"/>
        <w:spacing w:after="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440" w:right="1416"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570775705"/>
      <w:docPartObj>
        <w:docPartGallery w:val="AutoText"/>
      </w:docPartObj>
    </w:sdtPr>
    <w:sdtEndPr>
      <w:rPr>
        <w:rFonts w:ascii="Arial" w:hAnsi="Arial" w:cs="Arial"/>
        <w:sz w:val="21"/>
        <w:szCs w:val="21"/>
      </w:rPr>
    </w:sdtEndPr>
    <w:sdtContent>
      <w:p w14:paraId="47C8161D">
        <w:pPr>
          <w:pStyle w:val="1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PAGE   \* MERGEFORMAT </w:instrText>
        </w:r>
        <w:r>
          <w:rPr>
            <w:rFonts w:ascii="Arial" w:hAnsi="Arial" w:cs="Arial"/>
            <w:sz w:val="21"/>
            <w:szCs w:val="21"/>
          </w:rPr>
          <w:fldChar w:fldCharType="separate"/>
        </w:r>
        <w:r>
          <w:rPr>
            <w:rFonts w:ascii="Arial" w:hAnsi="Arial" w:cs="Arial"/>
            <w:sz w:val="21"/>
            <w:szCs w:val="21"/>
            <w:lang w:val="zh-CN"/>
          </w:rPr>
          <w:t>4</w:t>
        </w:r>
        <w:r>
          <w:rPr>
            <w:rFonts w:ascii="Arial" w:hAnsi="Arial" w:cs="Arial"/>
            <w:sz w:val="21"/>
            <w:szCs w:val="21"/>
            <w:lang w:val="zh-CN"/>
          </w:rPr>
          <w:fldChar w:fldCharType="end"/>
        </w:r>
      </w:p>
    </w:sdtContent>
  </w:sdt>
  <w:p w14:paraId="6B1ABDEE">
    <w:pPr>
      <w:pStyle w:val="14"/>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59" w:lineRule="auto"/>
      </w:pPr>
      <w:r>
        <w:separator/>
      </w:r>
    </w:p>
  </w:footnote>
  <w:footnote w:type="continuationSeparator" w:id="11">
    <w:p>
      <w:pPr>
        <w:spacing w:before="0" w:after="0" w:line="259" w:lineRule="auto"/>
      </w:pPr>
      <w:r>
        <w:continuationSeparator/>
      </w:r>
    </w:p>
  </w:footnote>
  <w:footnote w:id="0">
    <w:p w14:paraId="6E62FEBF">
      <w:pPr>
        <w:pStyle w:val="16"/>
        <w:spacing w:after="0" w:line="300" w:lineRule="auto"/>
        <w:jc w:val="both"/>
        <w:rPr>
          <w:rFonts w:ascii="Arial" w:hAnsi="Arial" w:eastAsia="宋体" w:cs="Arial"/>
          <w:sz w:val="21"/>
          <w:szCs w:val="21"/>
        </w:rPr>
      </w:pPr>
      <w:r>
        <w:rPr>
          <w:rStyle w:val="21"/>
          <w:rFonts w:ascii="Arial" w:hAnsi="Arial" w:eastAsia="宋体" w:cs="Arial"/>
          <w:sz w:val="21"/>
          <w:szCs w:val="21"/>
        </w:rPr>
        <w:footnoteRef/>
      </w:r>
      <w:r>
        <w:rPr>
          <w:rFonts w:ascii="Arial" w:hAnsi="Arial" w:eastAsia="宋体" w:cs="Arial"/>
          <w:sz w:val="21"/>
          <w:szCs w:val="21"/>
        </w:rPr>
        <w:t xml:space="preserve"> 特别是，</w:t>
      </w:r>
      <w:r>
        <w:rPr>
          <w:rFonts w:hint="eastAsia" w:ascii="Arial" w:hAnsi="Arial" w:eastAsia="宋体" w:cs="Arial"/>
          <w:sz w:val="21"/>
          <w:szCs w:val="21"/>
        </w:rPr>
        <w:t>机构</w:t>
      </w:r>
      <w:r>
        <w:rPr>
          <w:rFonts w:ascii="Arial" w:hAnsi="Arial" w:eastAsia="宋体" w:cs="Arial"/>
          <w:sz w:val="21"/>
          <w:szCs w:val="21"/>
        </w:rPr>
        <w:t>在本指南中对</w:t>
      </w:r>
      <w:r>
        <w:rPr>
          <w:rFonts w:hint="eastAsia" w:ascii="Arial" w:hAnsi="Arial" w:eastAsia="宋体" w:cs="Arial"/>
          <w:sz w:val="21"/>
          <w:szCs w:val="21"/>
        </w:rPr>
        <w:t>“</w:t>
      </w:r>
      <w:r>
        <w:rPr>
          <w:rFonts w:ascii="Arial" w:hAnsi="Arial" w:eastAsia="宋体" w:cs="Arial"/>
          <w:sz w:val="21"/>
          <w:szCs w:val="21"/>
        </w:rPr>
        <w:t>申请</w:t>
      </w:r>
      <w:r>
        <w:rPr>
          <w:rFonts w:hint="eastAsia" w:ascii="Arial" w:hAnsi="Arial" w:eastAsia="宋体" w:cs="Arial"/>
          <w:sz w:val="21"/>
          <w:szCs w:val="21"/>
        </w:rPr>
        <w:t>”</w:t>
      </w:r>
      <w:r>
        <w:rPr>
          <w:rFonts w:ascii="Arial" w:hAnsi="Arial" w:eastAsia="宋体" w:cs="Arial"/>
          <w:sz w:val="21"/>
          <w:szCs w:val="21"/>
        </w:rPr>
        <w:t>和</w:t>
      </w:r>
      <w:r>
        <w:rPr>
          <w:rFonts w:hint="eastAsia" w:ascii="Arial" w:hAnsi="Arial" w:eastAsia="宋体" w:cs="Arial"/>
          <w:sz w:val="21"/>
          <w:szCs w:val="21"/>
        </w:rPr>
        <w:t>“</w:t>
      </w:r>
      <w:r>
        <w:rPr>
          <w:rFonts w:ascii="Arial" w:hAnsi="Arial" w:eastAsia="宋体" w:cs="Arial"/>
          <w:sz w:val="21"/>
          <w:szCs w:val="21"/>
        </w:rPr>
        <w:t>提交</w:t>
      </w:r>
      <w:r>
        <w:rPr>
          <w:rFonts w:hint="eastAsia" w:ascii="Arial" w:hAnsi="Arial" w:eastAsia="宋体" w:cs="Arial"/>
          <w:sz w:val="21"/>
          <w:szCs w:val="21"/>
        </w:rPr>
        <w:t>”</w:t>
      </w:r>
      <w:r>
        <w:rPr>
          <w:rFonts w:ascii="Arial" w:hAnsi="Arial" w:eastAsia="宋体" w:cs="Arial"/>
          <w:sz w:val="21"/>
          <w:szCs w:val="21"/>
        </w:rPr>
        <w:t>的讨论不一定适用于其他法律规定。</w:t>
      </w:r>
    </w:p>
  </w:footnote>
  <w:footnote w:id="1">
    <w:p w14:paraId="4271CCE4">
      <w:pPr>
        <w:pStyle w:val="16"/>
        <w:spacing w:after="0" w:line="300" w:lineRule="auto"/>
        <w:jc w:val="both"/>
        <w:rPr>
          <w:rFonts w:ascii="Arial" w:hAnsi="Arial" w:cs="Arial"/>
          <w:sz w:val="21"/>
          <w:szCs w:val="21"/>
        </w:rPr>
      </w:pPr>
      <w:r>
        <w:rPr>
          <w:rStyle w:val="21"/>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自实施FDA 3674表后，FDA颁布了21 CFR § 50.25（c)，要求在提交给数据库（www.ClinicalTrials.gov)的信息中，某些知情同意文件内需要有一个声明。此外，在2016年9月21日，NIH发布了PHS法案的</w:t>
      </w:r>
      <w:r>
        <w:rPr>
          <w:rFonts w:hint="eastAsia" w:ascii="Arial" w:hAnsi="Arial" w:eastAsia="宋体" w:cs="Arial"/>
          <w:sz w:val="21"/>
          <w:szCs w:val="21"/>
        </w:rPr>
        <w:t>“</w:t>
      </w:r>
      <w:r>
        <w:rPr>
          <w:rFonts w:ascii="Arial" w:hAnsi="Arial" w:eastAsia="宋体" w:cs="Arial"/>
          <w:sz w:val="21"/>
          <w:szCs w:val="21"/>
        </w:rPr>
        <w:t>最终法规实施细则</w:t>
      </w:r>
      <w:r>
        <w:rPr>
          <w:rFonts w:hint="eastAsia" w:ascii="Arial" w:hAnsi="Arial" w:eastAsia="宋体" w:cs="Arial"/>
          <w:sz w:val="21"/>
          <w:szCs w:val="21"/>
        </w:rPr>
        <w:t>”</w:t>
      </w:r>
      <w:r>
        <w:rPr>
          <w:rFonts w:ascii="Arial" w:hAnsi="Arial" w:eastAsia="宋体" w:cs="Arial"/>
          <w:sz w:val="21"/>
          <w:szCs w:val="21"/>
        </w:rPr>
        <w:t>第402（j))</w:t>
      </w:r>
      <w:r>
        <w:rPr>
          <w:rFonts w:hint="eastAsia" w:ascii="Arial" w:hAnsi="Arial" w:eastAsia="宋体" w:cs="Arial"/>
          <w:sz w:val="21"/>
          <w:szCs w:val="21"/>
        </w:rPr>
        <w:t>部分</w:t>
      </w:r>
      <w:r>
        <w:rPr>
          <w:rFonts w:ascii="Arial" w:hAnsi="Arial" w:eastAsia="宋体" w:cs="Arial"/>
          <w:sz w:val="21"/>
          <w:szCs w:val="21"/>
        </w:rPr>
        <w:t>（42 U.S.C. § 282（ j)) （见42 CFR第 11部分)。最终法规未包括与该FDA认证有关的规定，除了明确不遵守PHS法案第402（j)</w:t>
      </w:r>
      <w:r>
        <w:rPr>
          <w:rFonts w:hint="eastAsia" w:ascii="Arial" w:hAnsi="Arial" w:eastAsia="宋体" w:cs="Arial"/>
          <w:sz w:val="21"/>
          <w:szCs w:val="21"/>
        </w:rPr>
        <w:t>部分</w:t>
      </w:r>
      <w:r>
        <w:rPr>
          <w:rFonts w:ascii="Arial" w:hAnsi="Arial" w:eastAsia="宋体" w:cs="Arial"/>
          <w:sz w:val="21"/>
          <w:szCs w:val="21"/>
        </w:rPr>
        <w:t>而可能受到的强制性处罚（42 U.S.C. § 282（j))（见42 CFR 11.66）。</w:t>
      </w:r>
    </w:p>
  </w:footnote>
  <w:footnote w:id="2">
    <w:p w14:paraId="4EC2F5D1">
      <w:pPr>
        <w:pStyle w:val="16"/>
        <w:spacing w:after="0" w:line="300" w:lineRule="auto"/>
        <w:jc w:val="both"/>
        <w:rPr>
          <w:rFonts w:ascii="Arial" w:hAnsi="Arial" w:cs="Arial"/>
          <w:sz w:val="21"/>
          <w:szCs w:val="21"/>
        </w:rPr>
      </w:pPr>
      <w:r>
        <w:rPr>
          <w:rStyle w:val="21"/>
          <w:rFonts w:ascii="Arial" w:hAnsi="Arial" w:cs="Arial"/>
          <w:sz w:val="21"/>
          <w:szCs w:val="21"/>
        </w:rPr>
        <w:footnoteRef/>
      </w:r>
      <w:r>
        <w:rPr>
          <w:rFonts w:ascii="Arial" w:hAnsi="Arial" w:cs="Arial"/>
          <w:sz w:val="21"/>
          <w:szCs w:val="21"/>
        </w:rPr>
        <w:t xml:space="preserve"> </w:t>
      </w:r>
      <w:r>
        <w:rPr>
          <w:rFonts w:hint="eastAsia" w:ascii="Arial" w:hAnsi="Arial" w:eastAsia="宋体" w:cs="Arial"/>
          <w:sz w:val="21"/>
          <w:szCs w:val="21"/>
        </w:rPr>
        <w:t>“</w:t>
      </w:r>
      <w:r>
        <w:rPr>
          <w:rFonts w:ascii="Arial" w:hAnsi="Arial" w:eastAsia="宋体" w:cs="Arial"/>
          <w:sz w:val="21"/>
          <w:szCs w:val="21"/>
        </w:rPr>
        <w:t>适用的临床试验</w:t>
      </w:r>
      <w:r>
        <w:rPr>
          <w:rFonts w:hint="eastAsia" w:ascii="Arial" w:hAnsi="Arial" w:eastAsia="宋体" w:cs="Arial"/>
          <w:sz w:val="21"/>
          <w:szCs w:val="21"/>
        </w:rPr>
        <w:t>”</w:t>
      </w:r>
      <w:r>
        <w:rPr>
          <w:rFonts w:ascii="Arial" w:hAnsi="Arial" w:eastAsia="宋体" w:cs="Arial"/>
          <w:sz w:val="21"/>
          <w:szCs w:val="21"/>
        </w:rPr>
        <w:t>是在</w:t>
      </w:r>
      <w:r>
        <w:rPr>
          <w:rFonts w:hint="eastAsia" w:ascii="Arial" w:hAnsi="Arial" w:eastAsia="宋体" w:cs="Arial"/>
          <w:sz w:val="21"/>
          <w:szCs w:val="21"/>
        </w:rPr>
        <w:t>“</w:t>
      </w:r>
      <w:r>
        <w:rPr>
          <w:rFonts w:ascii="Arial" w:hAnsi="Arial" w:eastAsia="宋体" w:cs="Arial"/>
          <w:sz w:val="21"/>
          <w:szCs w:val="21"/>
        </w:rPr>
        <w:t>PHS法案</w:t>
      </w:r>
      <w:r>
        <w:rPr>
          <w:rFonts w:hint="eastAsia" w:ascii="Arial" w:hAnsi="Arial" w:eastAsia="宋体" w:cs="Arial"/>
          <w:sz w:val="21"/>
          <w:szCs w:val="21"/>
        </w:rPr>
        <w:t>”</w:t>
      </w:r>
      <w:r>
        <w:rPr>
          <w:rFonts w:ascii="Arial" w:hAnsi="Arial" w:eastAsia="宋体" w:cs="Arial"/>
          <w:sz w:val="21"/>
          <w:szCs w:val="21"/>
        </w:rPr>
        <w:t xml:space="preserve">的第402（j)（1)（A)（i) </w:t>
      </w:r>
      <w:r>
        <w:rPr>
          <w:rFonts w:hint="eastAsia" w:ascii="Arial" w:hAnsi="Arial" w:eastAsia="宋体" w:cs="Arial"/>
          <w:sz w:val="21"/>
          <w:szCs w:val="21"/>
        </w:rPr>
        <w:t>部分</w:t>
      </w:r>
      <w:r>
        <w:rPr>
          <w:rFonts w:ascii="Arial" w:hAnsi="Arial" w:eastAsia="宋体" w:cs="Arial"/>
          <w:sz w:val="21"/>
          <w:szCs w:val="21"/>
        </w:rPr>
        <w:t>（42 U.S.C. § 282（j)（1)（A)（i)) 以及在 42 CFR 11.10.中的定义。更多信息，请访问</w:t>
      </w:r>
      <w:r>
        <w:fldChar w:fldCharType="begin"/>
      </w:r>
      <w:r>
        <w:instrText xml:space="preserve"> HYPERLINK "http://prsinfo.clinicaltrials.gov/" </w:instrText>
      </w:r>
      <w:r>
        <w:fldChar w:fldCharType="separate"/>
      </w:r>
      <w:r>
        <w:rPr>
          <w:rStyle w:val="20"/>
          <w:rFonts w:ascii="Arial" w:hAnsi="Arial" w:eastAsia="宋体" w:cs="Arial"/>
          <w:sz w:val="21"/>
          <w:szCs w:val="21"/>
          <w:u w:val="none"/>
        </w:rPr>
        <w:t xml:space="preserve"> </w:t>
      </w:r>
      <w:r>
        <w:rPr>
          <w:rStyle w:val="20"/>
          <w:rFonts w:ascii="Arial" w:hAnsi="Arial" w:eastAsia="宋体" w:cs="Arial"/>
          <w:color w:val="0000FF"/>
          <w:sz w:val="21"/>
          <w:szCs w:val="21"/>
        </w:rPr>
        <w:t>http://prsinfo.climcaltrials.gov</w:t>
      </w:r>
      <w:r>
        <w:rPr>
          <w:rFonts w:ascii="Arial" w:hAnsi="Arial" w:eastAsia="宋体" w:cs="Arial"/>
          <w:sz w:val="21"/>
          <w:szCs w:val="21"/>
        </w:rPr>
        <w:t>。</w:t>
      </w:r>
      <w:r>
        <w:rPr>
          <w:rFonts w:ascii="Arial" w:hAnsi="Arial" w:eastAsia="宋体" w:cs="Arial"/>
          <w:sz w:val="21"/>
          <w:szCs w:val="21"/>
        </w:rPr>
        <w:fldChar w:fldCharType="end"/>
      </w:r>
    </w:p>
  </w:footnote>
  <w:footnote w:id="3">
    <w:p w14:paraId="29DC747A">
      <w:pPr>
        <w:pStyle w:val="16"/>
        <w:spacing w:after="0" w:line="300" w:lineRule="auto"/>
        <w:jc w:val="both"/>
        <w:rPr>
          <w:rFonts w:ascii="Arial" w:hAnsi="Arial" w:cs="Arial"/>
          <w:sz w:val="21"/>
          <w:szCs w:val="21"/>
        </w:rPr>
      </w:pPr>
      <w:r>
        <w:rPr>
          <w:rStyle w:val="21"/>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不遵守法律的后果，亦可参见42 CFR 11.66。</w:t>
      </w:r>
    </w:p>
  </w:footnote>
  <w:footnote w:id="4">
    <w:p w14:paraId="1B5E0C6E">
      <w:pPr>
        <w:pStyle w:val="16"/>
        <w:rPr>
          <w:rFonts w:ascii="Arial" w:hAnsi="Arial" w:cs="Arial"/>
          <w:sz w:val="21"/>
          <w:szCs w:val="21"/>
        </w:rPr>
      </w:pPr>
      <w:r>
        <w:rPr>
          <w:rStyle w:val="21"/>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42 CFR 11.10中适用的临床试验的定义，</w:t>
      </w:r>
      <w:r>
        <w:rPr>
          <w:rFonts w:hint="eastAsia" w:ascii="Arial" w:hAnsi="Arial" w:eastAsia="宋体" w:cs="Arial"/>
          <w:sz w:val="21"/>
          <w:szCs w:val="21"/>
        </w:rPr>
        <w:t>“</w:t>
      </w:r>
      <w:r>
        <w:rPr>
          <w:rFonts w:ascii="Arial" w:hAnsi="Arial" w:eastAsia="宋体" w:cs="Arial"/>
          <w:sz w:val="21"/>
          <w:szCs w:val="21"/>
        </w:rPr>
        <w:t>适用的临床试验</w:t>
      </w:r>
      <w:r>
        <w:rPr>
          <w:rFonts w:hint="eastAsia" w:ascii="Arial" w:hAnsi="Arial" w:eastAsia="宋体" w:cs="Arial"/>
          <w:sz w:val="21"/>
          <w:szCs w:val="21"/>
        </w:rPr>
        <w:t>”</w:t>
      </w:r>
      <w:r>
        <w:rPr>
          <w:rFonts w:ascii="Arial" w:hAnsi="Arial" w:eastAsia="宋体" w:cs="Arial"/>
          <w:sz w:val="21"/>
          <w:szCs w:val="21"/>
        </w:rPr>
        <w:t>不包括FD&amp;C法案第561</w:t>
      </w:r>
      <w:r>
        <w:rPr>
          <w:rFonts w:hint="eastAsia" w:ascii="Arial" w:hAnsi="Arial" w:eastAsia="宋体" w:cs="Arial"/>
          <w:sz w:val="21"/>
          <w:szCs w:val="21"/>
        </w:rPr>
        <w:t>部分</w:t>
      </w:r>
      <w:r>
        <w:rPr>
          <w:rFonts w:ascii="Arial" w:hAnsi="Arial" w:eastAsia="宋体" w:cs="Arial"/>
          <w:sz w:val="21"/>
          <w:szCs w:val="21"/>
        </w:rPr>
        <w:t>项下的</w:t>
      </w:r>
      <w:r>
        <w:rPr>
          <w:rFonts w:hint="eastAsia" w:ascii="Arial" w:hAnsi="Arial" w:eastAsia="宋体" w:cs="Arial"/>
          <w:sz w:val="21"/>
          <w:szCs w:val="21"/>
        </w:rPr>
        <w:t>扩展</w:t>
      </w:r>
      <w:r>
        <w:rPr>
          <w:rFonts w:ascii="Arial" w:hAnsi="Arial" w:eastAsia="宋体" w:cs="Arial"/>
          <w:sz w:val="21"/>
          <w:szCs w:val="21"/>
        </w:rPr>
        <w:t>应用。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96D8">
    <w:pPr>
      <w:pStyle w:val="15"/>
      <w:pBdr>
        <w:bottom w:val="none" w:color="auto" w:sz="0" w:space="0"/>
      </w:pBdr>
      <w:rPr>
        <w:rFonts w:ascii="Arial" w:hAnsi="Arial" w:cs="Arial"/>
        <w:b/>
        <w:bCs/>
        <w:sz w:val="21"/>
        <w:szCs w:val="21"/>
      </w:rPr>
    </w:pPr>
    <w:r>
      <w:rPr>
        <w:rFonts w:hint="eastAsia" w:ascii="Arial" w:hAnsi="Arial" w:cs="Arial"/>
        <w:b/>
        <w:bCs/>
        <w:sz w:val="21"/>
        <w:szCs w:val="21"/>
      </w:rPr>
      <w:t>所含建议不具约束力</w:t>
    </w:r>
  </w:p>
  <w:p w14:paraId="18ED4DAD">
    <w:pPr>
      <w:pStyle w:val="15"/>
      <w:pBdr>
        <w:bottom w:val="none" w:color="auto" w:sz="0" w:space="0"/>
      </w:pBdr>
      <w:rPr>
        <w:rFonts w:ascii="Arial" w:hAnsi="Arial" w:cs="Arial"/>
        <w:b/>
        <w:bCs/>
        <w:sz w:val="21"/>
        <w:szCs w:val="21"/>
      </w:rPr>
    </w:pPr>
  </w:p>
  <w:p w14:paraId="0D878989">
    <w:pPr>
      <w:pStyle w:val="15"/>
      <w:pBdr>
        <w:bottom w:val="none" w:color="auto" w:sz="0" w:space="0"/>
      </w:pBdr>
      <w:rPr>
        <w:rFonts w:ascii="Arial" w:hAnsi="Arial" w:cs="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771C4F25"/>
    <w:multiLevelType w:val="multilevel"/>
    <w:tmpl w:val="771C4F25"/>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7E"/>
    <w:rsid w:val="00002443"/>
    <w:rsid w:val="00020A4C"/>
    <w:rsid w:val="00043486"/>
    <w:rsid w:val="00053527"/>
    <w:rsid w:val="00066ED1"/>
    <w:rsid w:val="00074D39"/>
    <w:rsid w:val="000B4DA1"/>
    <w:rsid w:val="000E5145"/>
    <w:rsid w:val="0010130D"/>
    <w:rsid w:val="00126B38"/>
    <w:rsid w:val="001550CC"/>
    <w:rsid w:val="00170815"/>
    <w:rsid w:val="00220336"/>
    <w:rsid w:val="00221CCC"/>
    <w:rsid w:val="002226A4"/>
    <w:rsid w:val="00223842"/>
    <w:rsid w:val="00226E0F"/>
    <w:rsid w:val="00272D1A"/>
    <w:rsid w:val="002A1622"/>
    <w:rsid w:val="002B37AD"/>
    <w:rsid w:val="002C4BB8"/>
    <w:rsid w:val="002E2EFF"/>
    <w:rsid w:val="002F4362"/>
    <w:rsid w:val="00317142"/>
    <w:rsid w:val="0033182F"/>
    <w:rsid w:val="00341149"/>
    <w:rsid w:val="003843F9"/>
    <w:rsid w:val="003B4E54"/>
    <w:rsid w:val="003B6927"/>
    <w:rsid w:val="00401FFF"/>
    <w:rsid w:val="004239FC"/>
    <w:rsid w:val="00435DB6"/>
    <w:rsid w:val="00477862"/>
    <w:rsid w:val="00497DDC"/>
    <w:rsid w:val="004B78FB"/>
    <w:rsid w:val="004D1EBE"/>
    <w:rsid w:val="004E5B9C"/>
    <w:rsid w:val="004F35AC"/>
    <w:rsid w:val="00533075"/>
    <w:rsid w:val="005514D6"/>
    <w:rsid w:val="0055557E"/>
    <w:rsid w:val="00570DAF"/>
    <w:rsid w:val="005B43C6"/>
    <w:rsid w:val="005B44A4"/>
    <w:rsid w:val="005E206D"/>
    <w:rsid w:val="00607100"/>
    <w:rsid w:val="006147B7"/>
    <w:rsid w:val="006974C5"/>
    <w:rsid w:val="006B64FE"/>
    <w:rsid w:val="006C7129"/>
    <w:rsid w:val="006C788C"/>
    <w:rsid w:val="00705E92"/>
    <w:rsid w:val="00747075"/>
    <w:rsid w:val="00747124"/>
    <w:rsid w:val="007514D3"/>
    <w:rsid w:val="007745CE"/>
    <w:rsid w:val="007875BC"/>
    <w:rsid w:val="00794144"/>
    <w:rsid w:val="007C7DD3"/>
    <w:rsid w:val="007F05DC"/>
    <w:rsid w:val="007F1391"/>
    <w:rsid w:val="008204BF"/>
    <w:rsid w:val="00850036"/>
    <w:rsid w:val="00854220"/>
    <w:rsid w:val="008A3FFE"/>
    <w:rsid w:val="008B42D3"/>
    <w:rsid w:val="008C5CA0"/>
    <w:rsid w:val="008C6D9A"/>
    <w:rsid w:val="008D4555"/>
    <w:rsid w:val="008D5ECA"/>
    <w:rsid w:val="00903FDF"/>
    <w:rsid w:val="0091342C"/>
    <w:rsid w:val="00920347"/>
    <w:rsid w:val="00921DC4"/>
    <w:rsid w:val="00923E3F"/>
    <w:rsid w:val="00933F0A"/>
    <w:rsid w:val="009614E5"/>
    <w:rsid w:val="00970ED5"/>
    <w:rsid w:val="00974218"/>
    <w:rsid w:val="0097696F"/>
    <w:rsid w:val="00976B9B"/>
    <w:rsid w:val="00983FAC"/>
    <w:rsid w:val="009855ED"/>
    <w:rsid w:val="00985AE7"/>
    <w:rsid w:val="00990187"/>
    <w:rsid w:val="009E51DF"/>
    <w:rsid w:val="00A02DBB"/>
    <w:rsid w:val="00A03888"/>
    <w:rsid w:val="00A35DE3"/>
    <w:rsid w:val="00A40584"/>
    <w:rsid w:val="00A47E35"/>
    <w:rsid w:val="00A6525C"/>
    <w:rsid w:val="00A72D93"/>
    <w:rsid w:val="00A916F6"/>
    <w:rsid w:val="00A932EF"/>
    <w:rsid w:val="00A9788F"/>
    <w:rsid w:val="00AA582F"/>
    <w:rsid w:val="00AB79E3"/>
    <w:rsid w:val="00B10B90"/>
    <w:rsid w:val="00B1319F"/>
    <w:rsid w:val="00B52DA2"/>
    <w:rsid w:val="00B53591"/>
    <w:rsid w:val="00B761BD"/>
    <w:rsid w:val="00B815AA"/>
    <w:rsid w:val="00BA0C1B"/>
    <w:rsid w:val="00BF016B"/>
    <w:rsid w:val="00C17BC9"/>
    <w:rsid w:val="00C21441"/>
    <w:rsid w:val="00C464CD"/>
    <w:rsid w:val="00C92B0A"/>
    <w:rsid w:val="00C96278"/>
    <w:rsid w:val="00CB0E75"/>
    <w:rsid w:val="00CB54A0"/>
    <w:rsid w:val="00CC6F1C"/>
    <w:rsid w:val="00CD1381"/>
    <w:rsid w:val="00CE0B03"/>
    <w:rsid w:val="00CE637D"/>
    <w:rsid w:val="00D0337B"/>
    <w:rsid w:val="00D22810"/>
    <w:rsid w:val="00D514D8"/>
    <w:rsid w:val="00D72483"/>
    <w:rsid w:val="00D7362A"/>
    <w:rsid w:val="00D879F5"/>
    <w:rsid w:val="00D9767C"/>
    <w:rsid w:val="00DC650D"/>
    <w:rsid w:val="00DD62E2"/>
    <w:rsid w:val="00DF7686"/>
    <w:rsid w:val="00E047CB"/>
    <w:rsid w:val="00E27FD4"/>
    <w:rsid w:val="00E51456"/>
    <w:rsid w:val="00E649A5"/>
    <w:rsid w:val="00E67326"/>
    <w:rsid w:val="00E75EAE"/>
    <w:rsid w:val="00EB42C5"/>
    <w:rsid w:val="00EB44D4"/>
    <w:rsid w:val="00F00609"/>
    <w:rsid w:val="00F047DB"/>
    <w:rsid w:val="00F20424"/>
    <w:rsid w:val="00F61FFD"/>
    <w:rsid w:val="00F64E1C"/>
    <w:rsid w:val="00F72469"/>
    <w:rsid w:val="00FA2BBA"/>
    <w:rsid w:val="00FC5D30"/>
    <w:rsid w:val="502E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2"/>
      <w:szCs w:val="21"/>
      <w:lang w:val="en-US" w:eastAsia="zh-CN" w:bidi="ar-SA"/>
    </w:rPr>
  </w:style>
  <w:style w:type="paragraph" w:styleId="2">
    <w:name w:val="heading 1"/>
    <w:basedOn w:val="3"/>
    <w:next w:val="1"/>
    <w:link w:val="22"/>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3"/>
    <w:qFormat/>
    <w:uiPriority w:val="9"/>
    <w:pPr>
      <w:pageBreakBefore w:val="0"/>
      <w:numPr>
        <w:ilvl w:val="1"/>
      </w:numPr>
      <w:tabs>
        <w:tab w:val="left" w:pos="851"/>
        <w:tab w:val="clear" w:pos="864"/>
        <w:tab w:val="clear" w:pos="1152"/>
      </w:tabs>
      <w:spacing w:before="0" w:after="0" w:line="360" w:lineRule="auto"/>
      <w:outlineLvl w:val="1"/>
    </w:pPr>
    <w:rPr>
      <w:rFonts w:eastAsia="宋体"/>
      <w:caps w:val="0"/>
      <w:sz w:val="24"/>
      <w:lang w:eastAsia="zh-CN"/>
    </w:rPr>
  </w:style>
  <w:style w:type="paragraph" w:styleId="5">
    <w:name w:val="heading 3"/>
    <w:basedOn w:val="4"/>
    <w:next w:val="1"/>
    <w:link w:val="24"/>
    <w:qFormat/>
    <w:uiPriority w:val="9"/>
    <w:pPr>
      <w:keepNext/>
      <w:numPr>
        <w:ilvl w:val="2"/>
      </w:numPr>
      <w:tabs>
        <w:tab w:val="left" w:pos="720"/>
        <w:tab w:val="clear" w:pos="851"/>
      </w:tabs>
      <w:outlineLvl w:val="2"/>
    </w:pPr>
    <w:rPr>
      <w:szCs w:val="24"/>
    </w:rPr>
  </w:style>
  <w:style w:type="paragraph" w:styleId="6">
    <w:name w:val="heading 4"/>
    <w:basedOn w:val="5"/>
    <w:next w:val="1"/>
    <w:link w:val="25"/>
    <w:qFormat/>
    <w:uiPriority w:val="9"/>
    <w:pPr>
      <w:numPr>
        <w:ilvl w:val="3"/>
      </w:numPr>
      <w:tabs>
        <w:tab w:val="left" w:pos="851"/>
      </w:tabs>
      <w:outlineLvl w:val="3"/>
    </w:pPr>
  </w:style>
  <w:style w:type="paragraph" w:styleId="7">
    <w:name w:val="heading 5"/>
    <w:basedOn w:val="6"/>
    <w:next w:val="1"/>
    <w:link w:val="26"/>
    <w:qFormat/>
    <w:uiPriority w:val="9"/>
    <w:pPr>
      <w:numPr>
        <w:ilvl w:val="4"/>
      </w:numPr>
      <w:outlineLvl w:val="4"/>
    </w:pPr>
    <w:rPr>
      <w:i/>
    </w:rPr>
  </w:style>
  <w:style w:type="paragraph" w:styleId="8">
    <w:name w:val="heading 6"/>
    <w:basedOn w:val="7"/>
    <w:next w:val="1"/>
    <w:link w:val="27"/>
    <w:qFormat/>
    <w:uiPriority w:val="9"/>
    <w:pPr>
      <w:numPr>
        <w:ilvl w:val="5"/>
      </w:numPr>
      <w:outlineLvl w:val="5"/>
    </w:pPr>
  </w:style>
  <w:style w:type="paragraph" w:styleId="9">
    <w:name w:val="heading 7"/>
    <w:basedOn w:val="8"/>
    <w:next w:val="1"/>
    <w:link w:val="28"/>
    <w:qFormat/>
    <w:uiPriority w:val="9"/>
    <w:pPr>
      <w:numPr>
        <w:ilvl w:val="6"/>
      </w:numPr>
      <w:outlineLvl w:val="6"/>
    </w:pPr>
  </w:style>
  <w:style w:type="paragraph" w:styleId="10">
    <w:name w:val="heading 8"/>
    <w:basedOn w:val="9"/>
    <w:next w:val="1"/>
    <w:link w:val="29"/>
    <w:qFormat/>
    <w:uiPriority w:val="9"/>
    <w:pPr>
      <w:numPr>
        <w:ilvl w:val="7"/>
      </w:numPr>
      <w:outlineLvl w:val="7"/>
    </w:pPr>
  </w:style>
  <w:style w:type="paragraph" w:styleId="11">
    <w:name w:val="heading 9"/>
    <w:basedOn w:val="10"/>
    <w:next w:val="1"/>
    <w:link w:val="30"/>
    <w:qFormat/>
    <w:uiPriority w:val="9"/>
    <w:pPr>
      <w:numPr>
        <w:ilvl w:val="8"/>
      </w:numPr>
      <w:outlineLvl w:val="8"/>
    </w:p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semiHidden/>
    <w:unhideWhenUsed/>
    <w:qFormat/>
    <w:uiPriority w:val="39"/>
  </w:style>
  <w:style w:type="paragraph" w:styleId="12">
    <w:name w:val="caption"/>
    <w:basedOn w:val="1"/>
    <w:next w:val="1"/>
    <w:link w:val="31"/>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51"/>
    <w:semiHidden/>
    <w:unhideWhenUsed/>
    <w:qFormat/>
    <w:uiPriority w:val="99"/>
    <w:pPr>
      <w:spacing w:after="0" w:line="240" w:lineRule="auto"/>
    </w:pPr>
    <w:rPr>
      <w:sz w:val="18"/>
      <w:szCs w:val="18"/>
    </w:rPr>
  </w:style>
  <w:style w:type="paragraph" w:styleId="14">
    <w:name w:val="footer"/>
    <w:basedOn w:val="1"/>
    <w:link w:val="49"/>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footnote text"/>
    <w:basedOn w:val="1"/>
    <w:link w:val="50"/>
    <w:semiHidden/>
    <w:unhideWhenUsed/>
    <w:qFormat/>
    <w:uiPriority w:val="99"/>
    <w:pPr>
      <w:snapToGrid w:val="0"/>
    </w:pPr>
    <w:rPr>
      <w:sz w:val="18"/>
      <w:szCs w:val="18"/>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66CC"/>
      <w:u w:val="single"/>
    </w:rPr>
  </w:style>
  <w:style w:type="character" w:styleId="21">
    <w:name w:val="footnote reference"/>
    <w:basedOn w:val="19"/>
    <w:semiHidden/>
    <w:unhideWhenUsed/>
    <w:qFormat/>
    <w:uiPriority w:val="99"/>
    <w:rPr>
      <w:vertAlign w:val="superscript"/>
    </w:rPr>
  </w:style>
  <w:style w:type="character" w:customStyle="1" w:styleId="22">
    <w:name w:val="标题 1 Char"/>
    <w:basedOn w:val="19"/>
    <w:link w:val="2"/>
    <w:qFormat/>
    <w:uiPriority w:val="9"/>
    <w:rPr>
      <w:rFonts w:ascii="Times New Roman" w:hAnsi="Times New Roman" w:eastAsia="Times New Roman" w:cs="Times New Roman"/>
      <w:b/>
      <w:caps/>
      <w:kern w:val="28"/>
      <w:sz w:val="22"/>
      <w:szCs w:val="20"/>
      <w:lang w:eastAsia="en-US"/>
    </w:rPr>
  </w:style>
  <w:style w:type="character" w:customStyle="1" w:styleId="23">
    <w:name w:val="标题 2 Char"/>
    <w:basedOn w:val="19"/>
    <w:link w:val="4"/>
    <w:qFormat/>
    <w:uiPriority w:val="9"/>
    <w:rPr>
      <w:rFonts w:ascii="Times New Roman" w:hAnsi="Times New Roman" w:eastAsia="宋体" w:cs="Times New Roman"/>
      <w:b/>
      <w:kern w:val="28"/>
      <w:sz w:val="24"/>
      <w:szCs w:val="20"/>
    </w:rPr>
  </w:style>
  <w:style w:type="character" w:customStyle="1" w:styleId="24">
    <w:name w:val="标题 3 Char"/>
    <w:basedOn w:val="19"/>
    <w:link w:val="5"/>
    <w:qFormat/>
    <w:uiPriority w:val="9"/>
    <w:rPr>
      <w:rFonts w:ascii="Times New Roman" w:hAnsi="Times New Roman" w:eastAsia="宋体" w:cs="Times New Roman"/>
      <w:b/>
      <w:kern w:val="28"/>
      <w:sz w:val="24"/>
      <w:szCs w:val="24"/>
    </w:rPr>
  </w:style>
  <w:style w:type="character" w:customStyle="1" w:styleId="25">
    <w:name w:val="标题 4 Char"/>
    <w:basedOn w:val="19"/>
    <w:link w:val="6"/>
    <w:qFormat/>
    <w:uiPriority w:val="9"/>
    <w:rPr>
      <w:rFonts w:ascii="Times New Roman" w:hAnsi="Times New Roman" w:eastAsia="宋体" w:cs="Times New Roman"/>
      <w:b/>
      <w:kern w:val="28"/>
      <w:sz w:val="24"/>
      <w:szCs w:val="24"/>
    </w:rPr>
  </w:style>
  <w:style w:type="character" w:customStyle="1" w:styleId="26">
    <w:name w:val="标题 5 Char"/>
    <w:basedOn w:val="19"/>
    <w:link w:val="7"/>
    <w:qFormat/>
    <w:uiPriority w:val="9"/>
    <w:rPr>
      <w:rFonts w:ascii="Times New Roman" w:hAnsi="Times New Roman" w:eastAsia="宋体" w:cs="Times New Roman"/>
      <w:b/>
      <w:i/>
      <w:kern w:val="28"/>
      <w:sz w:val="24"/>
      <w:szCs w:val="24"/>
    </w:rPr>
  </w:style>
  <w:style w:type="character" w:customStyle="1" w:styleId="27">
    <w:name w:val="标题 6 Char"/>
    <w:basedOn w:val="19"/>
    <w:link w:val="8"/>
    <w:qFormat/>
    <w:uiPriority w:val="9"/>
    <w:rPr>
      <w:rFonts w:ascii="Times New Roman" w:hAnsi="Times New Roman" w:eastAsia="宋体" w:cs="Times New Roman"/>
      <w:b/>
      <w:i/>
      <w:kern w:val="28"/>
      <w:sz w:val="24"/>
      <w:szCs w:val="24"/>
    </w:rPr>
  </w:style>
  <w:style w:type="character" w:customStyle="1" w:styleId="28">
    <w:name w:val="标题 7 Char"/>
    <w:basedOn w:val="19"/>
    <w:link w:val="9"/>
    <w:qFormat/>
    <w:uiPriority w:val="9"/>
    <w:rPr>
      <w:rFonts w:ascii="Times New Roman" w:hAnsi="Times New Roman" w:eastAsia="宋体" w:cs="Times New Roman"/>
      <w:b/>
      <w:i/>
      <w:kern w:val="28"/>
      <w:sz w:val="24"/>
      <w:szCs w:val="24"/>
    </w:rPr>
  </w:style>
  <w:style w:type="character" w:customStyle="1" w:styleId="29">
    <w:name w:val="标题 8 Char"/>
    <w:basedOn w:val="19"/>
    <w:link w:val="10"/>
    <w:qFormat/>
    <w:uiPriority w:val="9"/>
    <w:rPr>
      <w:rFonts w:ascii="Times New Roman" w:hAnsi="Times New Roman" w:eastAsia="宋体" w:cs="Times New Roman"/>
      <w:b/>
      <w:i/>
      <w:kern w:val="28"/>
      <w:sz w:val="24"/>
      <w:szCs w:val="24"/>
    </w:rPr>
  </w:style>
  <w:style w:type="character" w:customStyle="1" w:styleId="30">
    <w:name w:val="标题 9 Char"/>
    <w:basedOn w:val="19"/>
    <w:link w:val="11"/>
    <w:qFormat/>
    <w:uiPriority w:val="9"/>
    <w:rPr>
      <w:rFonts w:ascii="Times New Roman" w:hAnsi="Times New Roman" w:eastAsia="宋体" w:cs="Times New Roman"/>
      <w:b/>
      <w:i/>
      <w:kern w:val="28"/>
      <w:sz w:val="24"/>
      <w:szCs w:val="24"/>
    </w:rPr>
  </w:style>
  <w:style w:type="character" w:customStyle="1" w:styleId="31">
    <w:name w:val="题注 Char"/>
    <w:link w:val="12"/>
    <w:qFormat/>
    <w:uiPriority w:val="0"/>
    <w:rPr>
      <w:i/>
      <w:iCs/>
      <w:color w:val="1F497D" w:themeColor="text2"/>
      <w:kern w:val="0"/>
      <w:sz w:val="18"/>
      <w:szCs w:val="18"/>
      <w14:textFill>
        <w14:solidFill>
          <w14:schemeClr w14:val="tx2"/>
        </w14:solidFill>
      </w14:textFill>
    </w:rPr>
  </w:style>
  <w:style w:type="paragraph" w:styleId="32">
    <w:name w:val="List Paragraph"/>
    <w:basedOn w:val="1"/>
    <w:unhideWhenUsed/>
    <w:qFormat/>
    <w:uiPriority w:val="34"/>
    <w:pPr>
      <w:ind w:firstLine="420" w:firstLineChars="200"/>
    </w:pPr>
  </w:style>
  <w:style w:type="paragraph" w:customStyle="1" w:styleId="33">
    <w:name w:val="Para"/>
    <w:basedOn w:val="1"/>
    <w:link w:val="34"/>
    <w:qFormat/>
    <w:uiPriority w:val="99"/>
    <w:pPr>
      <w:spacing w:after="240" w:line="312" w:lineRule="atLeast"/>
    </w:pPr>
    <w:rPr>
      <w:rFonts w:ascii="Times" w:hAnsi="Times" w:eastAsia="Times New Roman" w:cs="Times New Roman"/>
      <w:sz w:val="24"/>
      <w:szCs w:val="20"/>
      <w:lang w:eastAsia="en-US"/>
    </w:rPr>
  </w:style>
  <w:style w:type="character" w:customStyle="1" w:styleId="34">
    <w:name w:val="Para Char"/>
    <w:link w:val="33"/>
    <w:qFormat/>
    <w:locked/>
    <w:uiPriority w:val="99"/>
    <w:rPr>
      <w:rFonts w:ascii="Times" w:hAnsi="Times" w:eastAsia="Times New Roman" w:cs="Times New Roman"/>
      <w:kern w:val="0"/>
      <w:sz w:val="24"/>
      <w:szCs w:val="20"/>
      <w:lang w:eastAsia="en-US"/>
    </w:rPr>
  </w:style>
  <w:style w:type="paragraph" w:customStyle="1" w:styleId="35">
    <w:name w:val="List Paragraph1"/>
    <w:basedOn w:val="1"/>
    <w:qFormat/>
    <w:uiPriority w:val="34"/>
    <w:pPr>
      <w:ind w:left="720"/>
      <w:contextualSpacing/>
    </w:pPr>
  </w:style>
  <w:style w:type="paragraph" w:customStyle="1" w:styleId="36">
    <w:name w:val="申报正文"/>
    <w:basedOn w:val="1"/>
    <w:link w:val="37"/>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 w:val="24"/>
      <w:szCs w:val="24"/>
    </w:rPr>
  </w:style>
  <w:style w:type="character" w:customStyle="1" w:styleId="37">
    <w:name w:val="申报正文 Char"/>
    <w:link w:val="36"/>
    <w:qFormat/>
    <w:uiPriority w:val="0"/>
    <w:rPr>
      <w:rFonts w:ascii="Times New Roman" w:hAnsi="宋体" w:eastAsia="宋体" w:cs="Times New Roman"/>
      <w:sz w:val="24"/>
      <w:szCs w:val="24"/>
    </w:rPr>
  </w:style>
  <w:style w:type="paragraph" w:customStyle="1" w:styleId="38">
    <w:name w:val="标注"/>
    <w:basedOn w:val="1"/>
    <w:link w:val="39"/>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9">
    <w:name w:val="标注 Char"/>
    <w:link w:val="38"/>
    <w:qFormat/>
    <w:uiPriority w:val="0"/>
    <w:rPr>
      <w:rFonts w:ascii="Times New Roman" w:hAnsi="宋体" w:eastAsia="宋体" w:cs="Times New Roman"/>
      <w:szCs w:val="21"/>
    </w:rPr>
  </w:style>
  <w:style w:type="character" w:customStyle="1" w:styleId="40">
    <w:name w:val="标题 #1_"/>
    <w:basedOn w:val="19"/>
    <w:link w:val="41"/>
    <w:qFormat/>
    <w:uiPriority w:val="0"/>
    <w:rPr>
      <w:rFonts w:ascii="Times New Roman" w:hAnsi="Times New Roman" w:eastAsia="Times New Roman" w:cs="Times New Roman"/>
      <w:b/>
      <w:bCs/>
      <w:sz w:val="40"/>
      <w:szCs w:val="40"/>
      <w:shd w:val="clear" w:color="auto" w:fill="FFFFFF"/>
    </w:rPr>
  </w:style>
  <w:style w:type="paragraph" w:customStyle="1" w:styleId="41">
    <w:name w:val="标题 #1"/>
    <w:basedOn w:val="1"/>
    <w:link w:val="40"/>
    <w:qFormat/>
    <w:uiPriority w:val="0"/>
    <w:pPr>
      <w:widowControl w:val="0"/>
      <w:shd w:val="clear" w:color="auto" w:fill="FFFFFF"/>
      <w:spacing w:after="360" w:line="461" w:lineRule="exact"/>
      <w:jc w:val="center"/>
      <w:outlineLvl w:val="0"/>
    </w:pPr>
    <w:rPr>
      <w:rFonts w:ascii="Times New Roman" w:hAnsi="Times New Roman" w:eastAsia="Times New Roman" w:cs="Times New Roman"/>
      <w:b/>
      <w:bCs/>
      <w:kern w:val="2"/>
      <w:sz w:val="40"/>
      <w:szCs w:val="40"/>
    </w:rPr>
  </w:style>
  <w:style w:type="character" w:customStyle="1" w:styleId="42">
    <w:name w:val="正文文本 (2)_"/>
    <w:basedOn w:val="19"/>
    <w:link w:val="43"/>
    <w:qFormat/>
    <w:uiPriority w:val="0"/>
    <w:rPr>
      <w:rFonts w:ascii="Times New Roman" w:hAnsi="Times New Roman" w:eastAsia="Times New Roman" w:cs="Times New Roman"/>
      <w:sz w:val="22"/>
      <w:szCs w:val="22"/>
      <w:shd w:val="clear" w:color="auto" w:fill="FFFFFF"/>
    </w:rPr>
  </w:style>
  <w:style w:type="paragraph" w:customStyle="1" w:styleId="43">
    <w:name w:val="正文文本 (2)"/>
    <w:basedOn w:val="1"/>
    <w:link w:val="42"/>
    <w:qFormat/>
    <w:uiPriority w:val="0"/>
    <w:pPr>
      <w:widowControl w:val="0"/>
      <w:shd w:val="clear" w:color="auto" w:fill="FFFFFF"/>
      <w:spacing w:before="360" w:after="0" w:line="250" w:lineRule="exact"/>
      <w:jc w:val="center"/>
    </w:pPr>
    <w:rPr>
      <w:rFonts w:ascii="Times New Roman" w:hAnsi="Times New Roman" w:eastAsia="Times New Roman" w:cs="Times New Roman"/>
      <w:kern w:val="2"/>
      <w:szCs w:val="22"/>
    </w:rPr>
  </w:style>
  <w:style w:type="character" w:customStyle="1" w:styleId="44">
    <w:name w:val="正文文本 (3)_"/>
    <w:basedOn w:val="19"/>
    <w:link w:val="45"/>
    <w:qFormat/>
    <w:uiPriority w:val="0"/>
    <w:rPr>
      <w:rFonts w:ascii="Times New Roman" w:hAnsi="Times New Roman" w:eastAsia="Times New Roman" w:cs="Times New Roman"/>
      <w:b/>
      <w:bCs/>
      <w:sz w:val="60"/>
      <w:szCs w:val="60"/>
      <w:shd w:val="clear" w:color="auto" w:fill="FFFFFF"/>
    </w:rPr>
  </w:style>
  <w:style w:type="paragraph" w:customStyle="1" w:styleId="45">
    <w:name w:val="正文文本 (3)"/>
    <w:basedOn w:val="1"/>
    <w:link w:val="44"/>
    <w:qFormat/>
    <w:uiPriority w:val="0"/>
    <w:pPr>
      <w:widowControl w:val="0"/>
      <w:shd w:val="clear" w:color="auto" w:fill="FFFFFF"/>
      <w:spacing w:after="240" w:line="0" w:lineRule="atLeast"/>
    </w:pPr>
    <w:rPr>
      <w:rFonts w:ascii="Times New Roman" w:hAnsi="Times New Roman" w:eastAsia="Times New Roman" w:cs="Times New Roman"/>
      <w:b/>
      <w:bCs/>
      <w:kern w:val="2"/>
      <w:sz w:val="60"/>
      <w:szCs w:val="60"/>
    </w:rPr>
  </w:style>
  <w:style w:type="character" w:customStyle="1" w:styleId="46">
    <w:name w:val="脚注_"/>
    <w:basedOn w:val="19"/>
    <w:link w:val="47"/>
    <w:qFormat/>
    <w:uiPriority w:val="0"/>
    <w:rPr>
      <w:rFonts w:ascii="Times New Roman" w:hAnsi="Times New Roman" w:eastAsia="Times New Roman" w:cs="Times New Roman"/>
      <w:sz w:val="22"/>
      <w:szCs w:val="22"/>
      <w:shd w:val="clear" w:color="auto" w:fill="FFFFFF"/>
    </w:rPr>
  </w:style>
  <w:style w:type="paragraph" w:customStyle="1" w:styleId="47">
    <w:name w:val="脚注"/>
    <w:basedOn w:val="1"/>
    <w:link w:val="46"/>
    <w:qFormat/>
    <w:uiPriority w:val="0"/>
    <w:pPr>
      <w:widowControl w:val="0"/>
      <w:shd w:val="clear" w:color="auto" w:fill="FFFFFF"/>
      <w:spacing w:after="0" w:line="230" w:lineRule="exact"/>
    </w:pPr>
    <w:rPr>
      <w:rFonts w:ascii="Times New Roman" w:hAnsi="Times New Roman" w:eastAsia="Times New Roman" w:cs="Times New Roman"/>
      <w:kern w:val="2"/>
      <w:szCs w:val="22"/>
    </w:rPr>
  </w:style>
  <w:style w:type="character" w:customStyle="1" w:styleId="48">
    <w:name w:val="页眉 Char"/>
    <w:basedOn w:val="19"/>
    <w:link w:val="15"/>
    <w:qFormat/>
    <w:uiPriority w:val="99"/>
    <w:rPr>
      <w:kern w:val="0"/>
      <w:sz w:val="18"/>
      <w:szCs w:val="18"/>
    </w:rPr>
  </w:style>
  <w:style w:type="character" w:customStyle="1" w:styleId="49">
    <w:name w:val="页脚 Char"/>
    <w:basedOn w:val="19"/>
    <w:link w:val="14"/>
    <w:qFormat/>
    <w:uiPriority w:val="99"/>
    <w:rPr>
      <w:kern w:val="0"/>
      <w:sz w:val="18"/>
      <w:szCs w:val="18"/>
    </w:rPr>
  </w:style>
  <w:style w:type="character" w:customStyle="1" w:styleId="50">
    <w:name w:val="脚注文本 Char"/>
    <w:basedOn w:val="19"/>
    <w:link w:val="16"/>
    <w:semiHidden/>
    <w:qFormat/>
    <w:uiPriority w:val="99"/>
    <w:rPr>
      <w:kern w:val="0"/>
      <w:sz w:val="18"/>
      <w:szCs w:val="18"/>
    </w:rPr>
  </w:style>
  <w:style w:type="character" w:customStyle="1" w:styleId="51">
    <w:name w:val="批注框文本 Char"/>
    <w:basedOn w:val="19"/>
    <w:link w:val="13"/>
    <w:semiHidden/>
    <w:qFormat/>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52679-46EC-46FC-BD93-5824B749F9D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11</Pages>
  <Words>3897</Words>
  <Characters>4780</Characters>
  <Lines>36</Lines>
  <Paragraphs>10</Paragraphs>
  <TotalTime>3</TotalTime>
  <ScaleCrop>false</ScaleCrop>
  <LinksUpToDate>false</LinksUpToDate>
  <CharactersWithSpaces>4842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2017-10-27T09:08:00Z</dcterms:created>
  <dc:creator>y li</dc:creator>
  <cp:lastModifiedBy>太极箫客</cp:lastModifiedBy>
  <dcterms:modified xsi:type="dcterms:W3CDTF">2025-08-14T06:16:33Z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494A7E96953F4C5989A00CE2F8C08F9C_12</vt:lpwstr>
  </property>
</Properties>
</file>