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1B5EE">
      <w:pPr>
        <w:pStyle w:val="24"/>
        <w:jc w:val="both"/>
        <w:rPr>
          <w:rFonts w:ascii="Calibri" w:hAnsi="Calibri"/>
        </w:rPr>
      </w:pPr>
      <w:bookmarkStart w:id="89" w:name="_GoBack"/>
      <w:bookmarkEnd w:id="89"/>
    </w:p>
    <w:p w14:paraId="7B88E6D1">
      <w:pPr>
        <w:pStyle w:val="24"/>
        <w:jc w:val="both"/>
        <w:rPr>
          <w:rFonts w:ascii="Calibri" w:hAnsi="Calibri"/>
        </w:rPr>
      </w:pPr>
    </w:p>
    <w:p w14:paraId="4C7D4007">
      <w:pPr>
        <w:pStyle w:val="24"/>
        <w:pBdr>
          <w:top w:val="single" w:color="auto" w:sz="4" w:space="1"/>
          <w:bottom w:val="single" w:color="auto" w:sz="4" w:space="1"/>
        </w:pBdr>
        <w:jc w:val="both"/>
        <w:rPr>
          <w:rFonts w:ascii="Calibri" w:hAnsi="Calibri"/>
          <w:sz w:val="24"/>
          <w:szCs w:val="24"/>
        </w:rPr>
      </w:pPr>
    </w:p>
    <w:p w14:paraId="52F070F6">
      <w:pPr>
        <w:pStyle w:val="24"/>
        <w:pBdr>
          <w:top w:val="single" w:color="auto" w:sz="4" w:space="1"/>
          <w:bottom w:val="single" w:color="auto" w:sz="4" w:space="1"/>
        </w:pBdr>
        <w:rPr>
          <w:rFonts w:ascii="Calibri" w:hAnsi="Calibri"/>
        </w:rPr>
      </w:pPr>
      <w:bookmarkStart w:id="0" w:name="_Toc92616283"/>
      <w:r>
        <w:rPr>
          <w:rFonts w:ascii="Calibri" w:hAnsi="Calibri"/>
        </w:rPr>
        <w:t xml:space="preserve">Clinical Evaluation </w:t>
      </w:r>
      <w:bookmarkEnd w:id="0"/>
      <w:r>
        <w:rPr>
          <w:rFonts w:ascii="Calibri" w:hAnsi="Calibri"/>
        </w:rPr>
        <w:t>Report</w:t>
      </w:r>
    </w:p>
    <w:p w14:paraId="522BBB23">
      <w:pPr>
        <w:pStyle w:val="24"/>
        <w:pBdr>
          <w:top w:val="single" w:color="auto" w:sz="4" w:space="1"/>
          <w:bottom w:val="single" w:color="auto" w:sz="4" w:space="1"/>
        </w:pBdr>
        <w:rPr>
          <w:rFonts w:ascii="Calibri" w:hAnsi="Calibri"/>
          <w:color w:val="0000FF"/>
          <w:sz w:val="24"/>
          <w:szCs w:val="24"/>
          <w:lang w:val="en-GB"/>
        </w:rPr>
      </w:pPr>
      <w:r>
        <w:t>&lt;</w:t>
      </w:r>
      <w:r>
        <w:rPr>
          <w:i/>
        </w:rPr>
        <w:t>Product Name</w:t>
      </w:r>
      <w:r>
        <w:t>&gt;</w:t>
      </w:r>
    </w:p>
    <w:p w14:paraId="77B952E7">
      <w:pPr>
        <w:jc w:val="both"/>
      </w:pPr>
    </w:p>
    <w:p w14:paraId="29D929E9">
      <w:pPr>
        <w:ind w:left="720"/>
        <w:jc w:val="both"/>
        <w:rPr>
          <w:rStyle w:val="40"/>
          <w:sz w:val="24"/>
        </w:rPr>
      </w:pPr>
    </w:p>
    <w:p w14:paraId="7634603F">
      <w:pPr>
        <w:ind w:left="720"/>
        <w:jc w:val="both"/>
        <w:rPr>
          <w:rStyle w:val="40"/>
          <w:sz w:val="24"/>
        </w:rPr>
      </w:pPr>
    </w:p>
    <w:p w14:paraId="0979DC80">
      <w:pPr>
        <w:ind w:left="720"/>
        <w:jc w:val="both"/>
        <w:rPr>
          <w:rStyle w:val="40"/>
          <w:sz w:val="24"/>
        </w:rPr>
      </w:pPr>
    </w:p>
    <w:p w14:paraId="794D0BF9">
      <w:pPr>
        <w:ind w:left="720"/>
        <w:jc w:val="both"/>
        <w:rPr>
          <w:rStyle w:val="40"/>
          <w:sz w:val="24"/>
        </w:rPr>
      </w:pPr>
    </w:p>
    <w:p w14:paraId="25557A34">
      <w:pPr>
        <w:ind w:left="720"/>
        <w:jc w:val="both"/>
        <w:rPr>
          <w:rStyle w:val="40"/>
          <w:sz w:val="24"/>
        </w:rPr>
      </w:pPr>
      <w:r>
        <w:rPr>
          <w:rStyle w:val="40"/>
          <w:sz w:val="24"/>
        </w:rPr>
        <w:t>Evaluators:</w:t>
      </w:r>
    </w:p>
    <w:p w14:paraId="23AC96CC">
      <w:pPr>
        <w:ind w:left="720"/>
        <w:jc w:val="both"/>
        <w:rPr>
          <w:rStyle w:val="40"/>
          <w:b w:val="0"/>
          <w:i/>
          <w:sz w:val="24"/>
          <w:lang w:eastAsia="zh-CN"/>
        </w:rPr>
      </w:pPr>
      <w:r>
        <w:rPr>
          <w:rStyle w:val="40"/>
          <w:rFonts w:hint="eastAsia"/>
          <w:b w:val="0"/>
          <w:i/>
          <w:sz w:val="24"/>
          <w:lang w:eastAsia="zh-CN"/>
        </w:rPr>
        <w:t>&lt;Name, Title&gt;</w:t>
      </w:r>
    </w:p>
    <w:p w14:paraId="132DC775">
      <w:pPr>
        <w:ind w:left="720"/>
        <w:jc w:val="both"/>
        <w:rPr>
          <w:rStyle w:val="40"/>
          <w:b w:val="0"/>
          <w:i/>
          <w:sz w:val="24"/>
          <w:lang w:eastAsia="zh-CN"/>
        </w:rPr>
      </w:pPr>
      <w:r>
        <w:rPr>
          <w:rStyle w:val="40"/>
          <w:rFonts w:hint="eastAsia"/>
          <w:b w:val="0"/>
          <w:i/>
          <w:sz w:val="24"/>
          <w:lang w:eastAsia="zh-CN"/>
        </w:rPr>
        <w:t>&lt;Name, Title&gt;</w:t>
      </w:r>
    </w:p>
    <w:p w14:paraId="224ECE98">
      <w:pPr>
        <w:ind w:left="720"/>
        <w:jc w:val="both"/>
        <w:rPr>
          <w:rStyle w:val="40"/>
          <w:b w:val="0"/>
          <w:i/>
          <w:sz w:val="24"/>
          <w:lang w:eastAsia="zh-CN"/>
        </w:rPr>
      </w:pPr>
      <w:r>
        <w:rPr>
          <w:rStyle w:val="40"/>
          <w:rFonts w:hint="eastAsia"/>
          <w:b w:val="0"/>
          <w:i/>
          <w:sz w:val="24"/>
          <w:lang w:eastAsia="zh-CN"/>
        </w:rPr>
        <w:t>&lt;Name, Title&gt;</w:t>
      </w:r>
    </w:p>
    <w:p w14:paraId="2D30D8FF">
      <w:pPr>
        <w:jc w:val="both"/>
        <w:rPr>
          <w:rStyle w:val="40"/>
          <w:b w:val="0"/>
          <w:sz w:val="24"/>
        </w:rPr>
      </w:pPr>
    </w:p>
    <w:p w14:paraId="6A0C71DC">
      <w:pPr>
        <w:ind w:left="720"/>
        <w:jc w:val="both"/>
        <w:rPr>
          <w:rStyle w:val="40"/>
          <w:sz w:val="24"/>
        </w:rPr>
      </w:pPr>
      <w:r>
        <w:rPr>
          <w:rStyle w:val="40"/>
          <w:sz w:val="24"/>
        </w:rPr>
        <w:t>Reviewed by:</w:t>
      </w:r>
    </w:p>
    <w:p w14:paraId="0A602489">
      <w:pPr>
        <w:ind w:left="720"/>
        <w:jc w:val="both"/>
        <w:rPr>
          <w:rStyle w:val="40"/>
          <w:b w:val="0"/>
          <w:i/>
          <w:sz w:val="24"/>
          <w:lang w:eastAsia="zh-CN"/>
        </w:rPr>
      </w:pPr>
      <w:r>
        <w:rPr>
          <w:rStyle w:val="40"/>
          <w:rFonts w:hint="eastAsia"/>
          <w:b w:val="0"/>
          <w:i/>
          <w:sz w:val="24"/>
          <w:lang w:eastAsia="zh-CN"/>
        </w:rPr>
        <w:t>&lt;Name, Title&gt;</w:t>
      </w:r>
    </w:p>
    <w:p w14:paraId="3B3744F5">
      <w:pPr>
        <w:ind w:left="720"/>
        <w:jc w:val="both"/>
        <w:rPr>
          <w:rStyle w:val="40"/>
          <w:b w:val="0"/>
          <w:i/>
          <w:sz w:val="24"/>
          <w:lang w:eastAsia="zh-CN"/>
        </w:rPr>
      </w:pPr>
      <w:r>
        <w:rPr>
          <w:rStyle w:val="40"/>
          <w:rFonts w:hint="eastAsia"/>
          <w:b w:val="0"/>
          <w:i/>
          <w:sz w:val="24"/>
          <w:lang w:eastAsia="zh-CN"/>
        </w:rPr>
        <w:t>&lt;Name, Title&gt;</w:t>
      </w:r>
    </w:p>
    <w:p w14:paraId="4D87990F">
      <w:pPr>
        <w:ind w:left="720"/>
        <w:jc w:val="both"/>
        <w:rPr>
          <w:rStyle w:val="40"/>
          <w:sz w:val="24"/>
        </w:rPr>
      </w:pPr>
    </w:p>
    <w:p w14:paraId="6C395ED9">
      <w:pPr>
        <w:ind w:left="720"/>
        <w:jc w:val="both"/>
        <w:rPr>
          <w:rStyle w:val="40"/>
          <w:sz w:val="24"/>
        </w:rPr>
      </w:pPr>
      <w:r>
        <w:rPr>
          <w:rStyle w:val="40"/>
          <w:sz w:val="24"/>
        </w:rPr>
        <w:t xml:space="preserve">Approved by: </w:t>
      </w:r>
    </w:p>
    <w:p w14:paraId="5532A7B4">
      <w:pPr>
        <w:ind w:left="720"/>
        <w:jc w:val="both"/>
        <w:rPr>
          <w:rStyle w:val="40"/>
          <w:b w:val="0"/>
          <w:i/>
          <w:sz w:val="24"/>
          <w:lang w:eastAsia="zh-CN"/>
        </w:rPr>
      </w:pPr>
      <w:r>
        <w:rPr>
          <w:rStyle w:val="40"/>
          <w:rFonts w:hint="eastAsia"/>
          <w:b w:val="0"/>
          <w:i/>
          <w:sz w:val="24"/>
          <w:lang w:eastAsia="zh-CN"/>
        </w:rPr>
        <w:t>&lt;Name, Title&gt;</w:t>
      </w:r>
    </w:p>
    <w:p w14:paraId="1FC90A84">
      <w:pPr>
        <w:ind w:left="720"/>
        <w:jc w:val="both"/>
        <w:rPr>
          <w:rStyle w:val="40"/>
          <w:b w:val="0"/>
          <w:i/>
          <w:sz w:val="24"/>
          <w:lang w:eastAsia="zh-CN"/>
        </w:rPr>
      </w:pPr>
      <w:r>
        <w:rPr>
          <w:rStyle w:val="40"/>
          <w:rFonts w:hint="eastAsia"/>
          <w:b w:val="0"/>
          <w:i/>
          <w:sz w:val="24"/>
          <w:lang w:eastAsia="zh-CN"/>
        </w:rPr>
        <w:t>&lt;Name, Title&gt;</w:t>
      </w:r>
    </w:p>
    <w:p w14:paraId="0F5BE296">
      <w:pPr>
        <w:ind w:left="720"/>
        <w:jc w:val="both"/>
        <w:rPr>
          <w:rStyle w:val="40"/>
          <w:b w:val="0"/>
          <w:sz w:val="24"/>
        </w:rPr>
      </w:pPr>
    </w:p>
    <w:p w14:paraId="17CDC68B">
      <w:pPr>
        <w:ind w:left="142" w:leftChars="59" w:firstLine="566" w:firstLineChars="236"/>
        <w:rPr>
          <w:rFonts w:cs="Arial"/>
          <w:b/>
          <w:sz w:val="32"/>
          <w:szCs w:val="32"/>
        </w:rPr>
      </w:pPr>
      <w:r>
        <w:br w:type="page"/>
      </w:r>
      <w:r>
        <w:rPr>
          <w:rFonts w:cs="Arial"/>
          <w:b/>
          <w:sz w:val="32"/>
          <w:szCs w:val="32"/>
        </w:rPr>
        <w:t>Table of contents</w:t>
      </w:r>
    </w:p>
    <w:p w14:paraId="7F8A1923">
      <w:pPr>
        <w:jc w:val="both"/>
        <w:rPr>
          <w:b/>
          <w:bCs/>
        </w:rPr>
      </w:pPr>
    </w:p>
    <w:p w14:paraId="642B6EC0">
      <w:pPr>
        <w:pStyle w:val="20"/>
        <w:tabs>
          <w:tab w:val="right" w:leader="dot" w:pos="8636"/>
        </w:tabs>
        <w:rPr>
          <w:rFonts w:eastAsia="Times New Roman"/>
          <w:sz w:val="22"/>
          <w:szCs w:val="22"/>
          <w:lang w:val="fi-FI" w:eastAsia="fi-FI"/>
        </w:rPr>
      </w:pPr>
      <w:r>
        <w:rPr>
          <w:b/>
          <w:bCs/>
        </w:rPr>
        <w:fldChar w:fldCharType="begin"/>
      </w:r>
      <w:r>
        <w:rPr>
          <w:b/>
          <w:bCs/>
        </w:rPr>
        <w:instrText xml:space="preserve"> TOC \o "2-3" \h \z \t "Heading 1;1" </w:instrText>
      </w:r>
      <w:r>
        <w:rPr>
          <w:b/>
          <w:bCs/>
        </w:rPr>
        <w:fldChar w:fldCharType="separate"/>
      </w:r>
      <w:r>
        <w:fldChar w:fldCharType="begin"/>
      </w:r>
      <w:r>
        <w:instrText xml:space="preserve"> HYPERLINK \l "_Toc480979545" </w:instrText>
      </w:r>
      <w:r>
        <w:fldChar w:fldCharType="separate"/>
      </w:r>
      <w:r>
        <w:rPr>
          <w:rStyle w:val="33"/>
        </w:rPr>
        <w:t>Executive summary</w:t>
      </w:r>
      <w:r>
        <w:tab/>
      </w:r>
      <w:r>
        <w:fldChar w:fldCharType="begin"/>
      </w:r>
      <w:r>
        <w:instrText xml:space="preserve"> PAGEREF _Toc480979545 \h </w:instrText>
      </w:r>
      <w:r>
        <w:fldChar w:fldCharType="separate"/>
      </w:r>
      <w:r>
        <w:t>4</w:t>
      </w:r>
      <w:r>
        <w:fldChar w:fldCharType="end"/>
      </w:r>
      <w:r>
        <w:fldChar w:fldCharType="end"/>
      </w:r>
    </w:p>
    <w:p w14:paraId="036087A3">
      <w:pPr>
        <w:pStyle w:val="20"/>
        <w:tabs>
          <w:tab w:val="left" w:pos="480"/>
          <w:tab w:val="right" w:leader="dot" w:pos="8636"/>
        </w:tabs>
        <w:rPr>
          <w:rFonts w:eastAsia="Times New Roman"/>
          <w:sz w:val="22"/>
          <w:szCs w:val="22"/>
          <w:lang w:val="fi-FI" w:eastAsia="fi-FI"/>
        </w:rPr>
      </w:pPr>
      <w:r>
        <w:fldChar w:fldCharType="begin"/>
      </w:r>
      <w:r>
        <w:instrText xml:space="preserve"> HYPERLINK \l "_Toc480979546" </w:instrText>
      </w:r>
      <w:r>
        <w:fldChar w:fldCharType="separate"/>
      </w:r>
      <w:r>
        <w:rPr>
          <w:rStyle w:val="33"/>
        </w:rPr>
        <w:t>1.</w:t>
      </w:r>
      <w:r>
        <w:rPr>
          <w:rFonts w:eastAsia="Times New Roman"/>
          <w:sz w:val="22"/>
          <w:szCs w:val="22"/>
          <w:lang w:val="fi-FI" w:eastAsia="fi-FI"/>
        </w:rPr>
        <w:tab/>
      </w:r>
      <w:r>
        <w:rPr>
          <w:rStyle w:val="33"/>
        </w:rPr>
        <w:t>Scope of the clinical evaluation</w:t>
      </w:r>
      <w:r>
        <w:tab/>
      </w:r>
      <w:r>
        <w:fldChar w:fldCharType="begin"/>
      </w:r>
      <w:r>
        <w:instrText xml:space="preserve"> PAGEREF _Toc480979546 \h </w:instrText>
      </w:r>
      <w:r>
        <w:fldChar w:fldCharType="separate"/>
      </w:r>
      <w:r>
        <w:t>5</w:t>
      </w:r>
      <w:r>
        <w:fldChar w:fldCharType="end"/>
      </w:r>
      <w:r>
        <w:fldChar w:fldCharType="end"/>
      </w:r>
    </w:p>
    <w:p w14:paraId="4DC52746">
      <w:pPr>
        <w:pStyle w:val="23"/>
        <w:rPr>
          <w:rFonts w:eastAsia="Times New Roman"/>
          <w:sz w:val="22"/>
          <w:szCs w:val="22"/>
          <w:lang w:val="fi-FI" w:eastAsia="fi-FI"/>
        </w:rPr>
      </w:pPr>
      <w:r>
        <w:fldChar w:fldCharType="begin"/>
      </w:r>
      <w:r>
        <w:instrText xml:space="preserve"> HYPERLINK \l "_Toc480979547" </w:instrText>
      </w:r>
      <w:r>
        <w:fldChar w:fldCharType="separate"/>
      </w:r>
      <w:r>
        <w:rPr>
          <w:rStyle w:val="33"/>
        </w:rPr>
        <w:t>1.1</w:t>
      </w:r>
      <w:r>
        <w:rPr>
          <w:rFonts w:eastAsia="Times New Roman"/>
          <w:sz w:val="22"/>
          <w:szCs w:val="22"/>
          <w:lang w:val="fi-FI" w:eastAsia="fi-FI"/>
        </w:rPr>
        <w:tab/>
      </w:r>
      <w:r>
        <w:rPr>
          <w:rStyle w:val="33"/>
        </w:rPr>
        <w:t>Device description</w:t>
      </w:r>
      <w:r>
        <w:tab/>
      </w:r>
      <w:r>
        <w:fldChar w:fldCharType="begin"/>
      </w:r>
      <w:r>
        <w:instrText xml:space="preserve"> PAGEREF _Toc480979547 \h </w:instrText>
      </w:r>
      <w:r>
        <w:fldChar w:fldCharType="separate"/>
      </w:r>
      <w:r>
        <w:t>5</w:t>
      </w:r>
      <w:r>
        <w:fldChar w:fldCharType="end"/>
      </w:r>
      <w:r>
        <w:fldChar w:fldCharType="end"/>
      </w:r>
    </w:p>
    <w:p w14:paraId="08203A69">
      <w:pPr>
        <w:pStyle w:val="15"/>
        <w:tabs>
          <w:tab w:val="left" w:pos="1320"/>
          <w:tab w:val="right" w:leader="dot" w:pos="8636"/>
        </w:tabs>
        <w:rPr>
          <w:rFonts w:eastAsia="Times New Roman"/>
          <w:sz w:val="22"/>
          <w:szCs w:val="22"/>
          <w:lang w:val="fi-FI" w:eastAsia="fi-FI"/>
        </w:rPr>
      </w:pPr>
      <w:r>
        <w:fldChar w:fldCharType="begin"/>
      </w:r>
      <w:r>
        <w:instrText xml:space="preserve"> HYPERLINK \l "_Toc480979548" </w:instrText>
      </w:r>
      <w:r>
        <w:fldChar w:fldCharType="separate"/>
      </w:r>
      <w:r>
        <w:rPr>
          <w:rStyle w:val="33"/>
        </w:rPr>
        <w:t>1.1.1</w:t>
      </w:r>
      <w:r>
        <w:rPr>
          <w:rFonts w:eastAsia="Times New Roman"/>
          <w:sz w:val="22"/>
          <w:szCs w:val="22"/>
          <w:lang w:val="fi-FI" w:eastAsia="fi-FI"/>
        </w:rPr>
        <w:tab/>
      </w:r>
      <w:r>
        <w:rPr>
          <w:rStyle w:val="33"/>
        </w:rPr>
        <w:t>Components</w:t>
      </w:r>
      <w:r>
        <w:tab/>
      </w:r>
      <w:r>
        <w:fldChar w:fldCharType="begin"/>
      </w:r>
      <w:r>
        <w:instrText xml:space="preserve"> PAGEREF _Toc480979548 \h </w:instrText>
      </w:r>
      <w:r>
        <w:fldChar w:fldCharType="separate"/>
      </w:r>
      <w:r>
        <w:t>6</w:t>
      </w:r>
      <w:r>
        <w:fldChar w:fldCharType="end"/>
      </w:r>
      <w:r>
        <w:fldChar w:fldCharType="end"/>
      </w:r>
    </w:p>
    <w:p w14:paraId="32A38BD8">
      <w:pPr>
        <w:pStyle w:val="15"/>
        <w:tabs>
          <w:tab w:val="left" w:pos="1320"/>
          <w:tab w:val="right" w:leader="dot" w:pos="8636"/>
        </w:tabs>
        <w:rPr>
          <w:rFonts w:eastAsia="Times New Roman"/>
          <w:sz w:val="22"/>
          <w:szCs w:val="22"/>
          <w:lang w:val="fi-FI" w:eastAsia="fi-FI"/>
        </w:rPr>
      </w:pPr>
      <w:r>
        <w:fldChar w:fldCharType="begin"/>
      </w:r>
      <w:r>
        <w:instrText xml:space="preserve"> HYPERLINK \l "_Toc480979549" </w:instrText>
      </w:r>
      <w:r>
        <w:fldChar w:fldCharType="separate"/>
      </w:r>
      <w:r>
        <w:rPr>
          <w:rStyle w:val="33"/>
        </w:rPr>
        <w:t>1.1.2</w:t>
      </w:r>
      <w:r>
        <w:rPr>
          <w:rFonts w:eastAsia="Times New Roman"/>
          <w:sz w:val="22"/>
          <w:szCs w:val="22"/>
          <w:lang w:val="fi-FI" w:eastAsia="fi-FI"/>
        </w:rPr>
        <w:tab/>
      </w:r>
      <w:r>
        <w:rPr>
          <w:rStyle w:val="33"/>
        </w:rPr>
        <w:t>Materials</w:t>
      </w:r>
      <w:r>
        <w:tab/>
      </w:r>
      <w:r>
        <w:fldChar w:fldCharType="begin"/>
      </w:r>
      <w:r>
        <w:instrText xml:space="preserve"> PAGEREF _Toc480979549 \h </w:instrText>
      </w:r>
      <w:r>
        <w:fldChar w:fldCharType="separate"/>
      </w:r>
      <w:r>
        <w:t>11</w:t>
      </w:r>
      <w:r>
        <w:fldChar w:fldCharType="end"/>
      </w:r>
      <w:r>
        <w:fldChar w:fldCharType="end"/>
      </w:r>
    </w:p>
    <w:p w14:paraId="21F85F05">
      <w:pPr>
        <w:pStyle w:val="15"/>
        <w:tabs>
          <w:tab w:val="left" w:pos="1320"/>
          <w:tab w:val="right" w:leader="dot" w:pos="8636"/>
        </w:tabs>
        <w:rPr>
          <w:rFonts w:eastAsia="Times New Roman"/>
          <w:sz w:val="22"/>
          <w:szCs w:val="22"/>
          <w:lang w:val="fi-FI" w:eastAsia="fi-FI"/>
        </w:rPr>
      </w:pPr>
      <w:r>
        <w:fldChar w:fldCharType="begin"/>
      </w:r>
      <w:r>
        <w:instrText xml:space="preserve"> HYPERLINK \l "_Toc480979550" </w:instrText>
      </w:r>
      <w:r>
        <w:fldChar w:fldCharType="separate"/>
      </w:r>
      <w:r>
        <w:rPr>
          <w:rStyle w:val="33"/>
        </w:rPr>
        <w:t>1.1.3</w:t>
      </w:r>
      <w:r>
        <w:rPr>
          <w:rFonts w:eastAsia="Times New Roman"/>
          <w:sz w:val="22"/>
          <w:szCs w:val="22"/>
          <w:lang w:val="fi-FI" w:eastAsia="fi-FI"/>
        </w:rPr>
        <w:tab/>
      </w:r>
      <w:r>
        <w:rPr>
          <w:rStyle w:val="33"/>
        </w:rPr>
        <w:t>Mechanical characteristics</w:t>
      </w:r>
      <w:r>
        <w:tab/>
      </w:r>
      <w:r>
        <w:fldChar w:fldCharType="begin"/>
      </w:r>
      <w:r>
        <w:instrText xml:space="preserve"> PAGEREF _Toc480979550 \h </w:instrText>
      </w:r>
      <w:r>
        <w:fldChar w:fldCharType="separate"/>
      </w:r>
      <w:r>
        <w:t>11</w:t>
      </w:r>
      <w:r>
        <w:fldChar w:fldCharType="end"/>
      </w:r>
      <w:r>
        <w:fldChar w:fldCharType="end"/>
      </w:r>
    </w:p>
    <w:p w14:paraId="1BA811B5">
      <w:pPr>
        <w:pStyle w:val="15"/>
        <w:tabs>
          <w:tab w:val="left" w:pos="1320"/>
          <w:tab w:val="right" w:leader="dot" w:pos="8636"/>
        </w:tabs>
        <w:rPr>
          <w:rFonts w:eastAsia="Times New Roman"/>
          <w:sz w:val="22"/>
          <w:szCs w:val="22"/>
          <w:lang w:val="fi-FI" w:eastAsia="fi-FI"/>
        </w:rPr>
      </w:pPr>
      <w:r>
        <w:fldChar w:fldCharType="begin"/>
      </w:r>
      <w:r>
        <w:instrText xml:space="preserve"> HYPERLINK \l "_Toc480979551" </w:instrText>
      </w:r>
      <w:r>
        <w:fldChar w:fldCharType="separate"/>
      </w:r>
      <w:r>
        <w:rPr>
          <w:rStyle w:val="33"/>
        </w:rPr>
        <w:t>1.1.4</w:t>
      </w:r>
      <w:r>
        <w:rPr>
          <w:rFonts w:eastAsia="Times New Roman"/>
          <w:sz w:val="22"/>
          <w:szCs w:val="22"/>
          <w:lang w:val="fi-FI" w:eastAsia="fi-FI"/>
        </w:rPr>
        <w:tab/>
      </w:r>
      <w:r>
        <w:rPr>
          <w:rStyle w:val="33"/>
        </w:rPr>
        <w:t>Principles of operation</w:t>
      </w:r>
      <w:r>
        <w:tab/>
      </w:r>
      <w:r>
        <w:fldChar w:fldCharType="begin"/>
      </w:r>
      <w:r>
        <w:instrText xml:space="preserve"> PAGEREF _Toc480979551 \h </w:instrText>
      </w:r>
      <w:r>
        <w:fldChar w:fldCharType="separate"/>
      </w:r>
      <w:r>
        <w:t>12</w:t>
      </w:r>
      <w:r>
        <w:fldChar w:fldCharType="end"/>
      </w:r>
      <w:r>
        <w:fldChar w:fldCharType="end"/>
      </w:r>
    </w:p>
    <w:p w14:paraId="4B7CD4DF">
      <w:pPr>
        <w:pStyle w:val="15"/>
        <w:tabs>
          <w:tab w:val="left" w:pos="1320"/>
          <w:tab w:val="right" w:leader="dot" w:pos="8636"/>
        </w:tabs>
        <w:rPr>
          <w:rFonts w:eastAsia="Times New Roman"/>
          <w:sz w:val="22"/>
          <w:szCs w:val="22"/>
          <w:lang w:val="fi-FI" w:eastAsia="fi-FI"/>
        </w:rPr>
      </w:pPr>
      <w:r>
        <w:fldChar w:fldCharType="begin"/>
      </w:r>
      <w:r>
        <w:instrText xml:space="preserve"> HYPERLINK \l "_Toc480979552" </w:instrText>
      </w:r>
      <w:r>
        <w:fldChar w:fldCharType="separate"/>
      </w:r>
      <w:r>
        <w:rPr>
          <w:rStyle w:val="33"/>
        </w:rPr>
        <w:t>1.1.5</w:t>
      </w:r>
      <w:r>
        <w:rPr>
          <w:rFonts w:eastAsia="Times New Roman"/>
          <w:sz w:val="22"/>
          <w:szCs w:val="22"/>
          <w:lang w:val="fi-FI" w:eastAsia="fi-FI"/>
        </w:rPr>
        <w:tab/>
      </w:r>
      <w:r>
        <w:rPr>
          <w:rStyle w:val="33"/>
        </w:rPr>
        <w:t>Chemical characteristics</w:t>
      </w:r>
      <w:r>
        <w:tab/>
      </w:r>
      <w:r>
        <w:fldChar w:fldCharType="begin"/>
      </w:r>
      <w:r>
        <w:instrText xml:space="preserve"> PAGEREF _Toc480979552 \h </w:instrText>
      </w:r>
      <w:r>
        <w:fldChar w:fldCharType="separate"/>
      </w:r>
      <w:r>
        <w:t>12</w:t>
      </w:r>
      <w:r>
        <w:fldChar w:fldCharType="end"/>
      </w:r>
      <w:r>
        <w:fldChar w:fldCharType="end"/>
      </w:r>
    </w:p>
    <w:p w14:paraId="5D4C4282">
      <w:pPr>
        <w:pStyle w:val="23"/>
        <w:rPr>
          <w:rFonts w:eastAsia="Times New Roman"/>
          <w:sz w:val="22"/>
          <w:szCs w:val="22"/>
          <w:lang w:val="fi-FI" w:eastAsia="fi-FI"/>
        </w:rPr>
      </w:pPr>
      <w:r>
        <w:fldChar w:fldCharType="begin"/>
      </w:r>
      <w:r>
        <w:instrText xml:space="preserve"> HYPERLINK \l "_Toc480979553" </w:instrText>
      </w:r>
      <w:r>
        <w:fldChar w:fldCharType="separate"/>
      </w:r>
      <w:r>
        <w:rPr>
          <w:rStyle w:val="33"/>
        </w:rPr>
        <w:t>1.2</w:t>
      </w:r>
      <w:r>
        <w:rPr>
          <w:rFonts w:eastAsia="Times New Roman"/>
          <w:sz w:val="22"/>
          <w:szCs w:val="22"/>
          <w:lang w:val="fi-FI" w:eastAsia="fi-FI"/>
        </w:rPr>
        <w:tab/>
      </w:r>
      <w:r>
        <w:rPr>
          <w:rStyle w:val="33"/>
        </w:rPr>
        <w:t>Intended purpose of the device</w:t>
      </w:r>
      <w:r>
        <w:tab/>
      </w:r>
      <w:r>
        <w:fldChar w:fldCharType="begin"/>
      </w:r>
      <w:r>
        <w:instrText xml:space="preserve"> PAGEREF _Toc480979553 \h </w:instrText>
      </w:r>
      <w:r>
        <w:fldChar w:fldCharType="separate"/>
      </w:r>
      <w:r>
        <w:t>12</w:t>
      </w:r>
      <w:r>
        <w:fldChar w:fldCharType="end"/>
      </w:r>
      <w:r>
        <w:fldChar w:fldCharType="end"/>
      </w:r>
    </w:p>
    <w:p w14:paraId="06F6396C">
      <w:pPr>
        <w:pStyle w:val="23"/>
        <w:rPr>
          <w:rFonts w:eastAsia="Times New Roman"/>
          <w:sz w:val="22"/>
          <w:szCs w:val="22"/>
          <w:lang w:val="fi-FI" w:eastAsia="fi-FI"/>
        </w:rPr>
      </w:pPr>
      <w:r>
        <w:fldChar w:fldCharType="begin"/>
      </w:r>
      <w:r>
        <w:instrText xml:space="preserve"> HYPERLINK \l "_Toc480979554" </w:instrText>
      </w:r>
      <w:r>
        <w:fldChar w:fldCharType="separate"/>
      </w:r>
      <w:r>
        <w:rPr>
          <w:rStyle w:val="33"/>
        </w:rPr>
        <w:t>1.3</w:t>
      </w:r>
      <w:r>
        <w:rPr>
          <w:rFonts w:eastAsia="Times New Roman"/>
          <w:sz w:val="22"/>
          <w:szCs w:val="22"/>
          <w:lang w:val="fi-FI" w:eastAsia="fi-FI"/>
        </w:rPr>
        <w:tab/>
      </w:r>
      <w:r>
        <w:rPr>
          <w:rStyle w:val="33"/>
        </w:rPr>
        <w:t>Changes since the last report</w:t>
      </w:r>
      <w:r>
        <w:tab/>
      </w:r>
      <w:r>
        <w:fldChar w:fldCharType="begin"/>
      </w:r>
      <w:r>
        <w:instrText xml:space="preserve"> PAGEREF _Toc480979554 \h </w:instrText>
      </w:r>
      <w:r>
        <w:fldChar w:fldCharType="separate"/>
      </w:r>
      <w:r>
        <w:t>14</w:t>
      </w:r>
      <w:r>
        <w:fldChar w:fldCharType="end"/>
      </w:r>
      <w:r>
        <w:fldChar w:fldCharType="end"/>
      </w:r>
    </w:p>
    <w:p w14:paraId="1A1A42DE">
      <w:pPr>
        <w:pStyle w:val="23"/>
        <w:rPr>
          <w:rFonts w:eastAsia="Times New Roman"/>
          <w:sz w:val="22"/>
          <w:szCs w:val="22"/>
          <w:lang w:val="fi-FI" w:eastAsia="fi-FI"/>
        </w:rPr>
      </w:pPr>
      <w:r>
        <w:fldChar w:fldCharType="begin"/>
      </w:r>
      <w:r>
        <w:instrText xml:space="preserve"> HYPERLINK \l "_Toc480979555" </w:instrText>
      </w:r>
      <w:r>
        <w:fldChar w:fldCharType="separate"/>
      </w:r>
      <w:r>
        <w:rPr>
          <w:rStyle w:val="33"/>
        </w:rPr>
        <w:t>1.4</w:t>
      </w:r>
      <w:r>
        <w:rPr>
          <w:rFonts w:eastAsia="Times New Roman"/>
          <w:sz w:val="22"/>
          <w:szCs w:val="22"/>
          <w:lang w:val="fi-FI" w:eastAsia="fi-FI"/>
        </w:rPr>
        <w:tab/>
      </w:r>
      <w:r>
        <w:rPr>
          <w:rStyle w:val="33"/>
        </w:rPr>
        <w:t>Relevant regulations</w:t>
      </w:r>
      <w:r>
        <w:tab/>
      </w:r>
      <w:r>
        <w:fldChar w:fldCharType="begin"/>
      </w:r>
      <w:r>
        <w:instrText xml:space="preserve"> PAGEREF _Toc480979555 \h </w:instrText>
      </w:r>
      <w:r>
        <w:fldChar w:fldCharType="separate"/>
      </w:r>
      <w:r>
        <w:t>14</w:t>
      </w:r>
      <w:r>
        <w:fldChar w:fldCharType="end"/>
      </w:r>
      <w:r>
        <w:fldChar w:fldCharType="end"/>
      </w:r>
    </w:p>
    <w:p w14:paraId="263E4FB4">
      <w:pPr>
        <w:pStyle w:val="20"/>
        <w:tabs>
          <w:tab w:val="left" w:pos="480"/>
          <w:tab w:val="right" w:leader="dot" w:pos="8636"/>
        </w:tabs>
        <w:rPr>
          <w:rFonts w:eastAsia="Times New Roman"/>
          <w:sz w:val="22"/>
          <w:szCs w:val="22"/>
          <w:lang w:val="fi-FI" w:eastAsia="fi-FI"/>
        </w:rPr>
      </w:pPr>
      <w:r>
        <w:fldChar w:fldCharType="begin"/>
      </w:r>
      <w:r>
        <w:instrText xml:space="preserve"> HYPERLINK \l "_Toc480979556" </w:instrText>
      </w:r>
      <w:r>
        <w:fldChar w:fldCharType="separate"/>
      </w:r>
      <w:r>
        <w:rPr>
          <w:rStyle w:val="33"/>
        </w:rPr>
        <w:t>2.</w:t>
      </w:r>
      <w:r>
        <w:rPr>
          <w:rFonts w:eastAsia="Times New Roman"/>
          <w:sz w:val="22"/>
          <w:szCs w:val="22"/>
          <w:lang w:val="fi-FI" w:eastAsia="fi-FI"/>
        </w:rPr>
        <w:tab/>
      </w:r>
      <w:r>
        <w:rPr>
          <w:rStyle w:val="33"/>
        </w:rPr>
        <w:t>State of the art</w:t>
      </w:r>
      <w:r>
        <w:tab/>
      </w:r>
      <w:r>
        <w:fldChar w:fldCharType="begin"/>
      </w:r>
      <w:r>
        <w:instrText xml:space="preserve"> PAGEREF _Toc480979556 \h </w:instrText>
      </w:r>
      <w:r>
        <w:fldChar w:fldCharType="separate"/>
      </w:r>
      <w:r>
        <w:t>16</w:t>
      </w:r>
      <w:r>
        <w:fldChar w:fldCharType="end"/>
      </w:r>
      <w:r>
        <w:fldChar w:fldCharType="end"/>
      </w:r>
    </w:p>
    <w:p w14:paraId="36C8B8D2">
      <w:pPr>
        <w:pStyle w:val="20"/>
        <w:tabs>
          <w:tab w:val="left" w:pos="480"/>
          <w:tab w:val="right" w:leader="dot" w:pos="8636"/>
        </w:tabs>
        <w:rPr>
          <w:rFonts w:eastAsia="Times New Roman"/>
          <w:sz w:val="22"/>
          <w:szCs w:val="22"/>
          <w:lang w:val="fi-FI" w:eastAsia="fi-FI"/>
        </w:rPr>
      </w:pPr>
      <w:r>
        <w:fldChar w:fldCharType="begin"/>
      </w:r>
      <w:r>
        <w:instrText xml:space="preserve"> HYPERLINK \l "_Toc480979557" </w:instrText>
      </w:r>
      <w:r>
        <w:fldChar w:fldCharType="separate"/>
      </w:r>
      <w:r>
        <w:rPr>
          <w:rStyle w:val="33"/>
        </w:rPr>
        <w:t>3.</w:t>
      </w:r>
      <w:r>
        <w:rPr>
          <w:rFonts w:eastAsia="Times New Roman"/>
          <w:sz w:val="22"/>
          <w:szCs w:val="22"/>
          <w:lang w:val="fi-FI" w:eastAsia="fi-FI"/>
        </w:rPr>
        <w:tab/>
      </w:r>
      <w:r>
        <w:rPr>
          <w:rStyle w:val="33"/>
        </w:rPr>
        <w:t>Identification of relevant clinical data</w:t>
      </w:r>
      <w:r>
        <w:tab/>
      </w:r>
      <w:r>
        <w:fldChar w:fldCharType="begin"/>
      </w:r>
      <w:r>
        <w:instrText xml:space="preserve"> PAGEREF _Toc480979557 \h </w:instrText>
      </w:r>
      <w:r>
        <w:fldChar w:fldCharType="separate"/>
      </w:r>
      <w:r>
        <w:t>23</w:t>
      </w:r>
      <w:r>
        <w:fldChar w:fldCharType="end"/>
      </w:r>
      <w:r>
        <w:fldChar w:fldCharType="end"/>
      </w:r>
    </w:p>
    <w:p w14:paraId="49F572FE">
      <w:pPr>
        <w:pStyle w:val="23"/>
        <w:rPr>
          <w:rFonts w:eastAsia="Times New Roman"/>
          <w:sz w:val="22"/>
          <w:szCs w:val="22"/>
          <w:lang w:val="fi-FI" w:eastAsia="fi-FI"/>
        </w:rPr>
      </w:pPr>
      <w:r>
        <w:fldChar w:fldCharType="begin"/>
      </w:r>
      <w:r>
        <w:instrText xml:space="preserve"> HYPERLINK \l "_Toc480979558" </w:instrText>
      </w:r>
      <w:r>
        <w:fldChar w:fldCharType="separate"/>
      </w:r>
      <w:r>
        <w:rPr>
          <w:rStyle w:val="33"/>
          <w:lang w:eastAsia="fi-FI"/>
        </w:rPr>
        <w:t>3.1</w:t>
      </w:r>
      <w:r>
        <w:rPr>
          <w:rFonts w:eastAsia="Times New Roman"/>
          <w:sz w:val="22"/>
          <w:szCs w:val="22"/>
          <w:lang w:val="fi-FI" w:eastAsia="fi-FI"/>
        </w:rPr>
        <w:tab/>
      </w:r>
      <w:r>
        <w:rPr>
          <w:rStyle w:val="33"/>
          <w:lang w:eastAsia="fi-FI"/>
        </w:rPr>
        <w:t>Literature search strategy</w:t>
      </w:r>
      <w:r>
        <w:tab/>
      </w:r>
      <w:r>
        <w:fldChar w:fldCharType="begin"/>
      </w:r>
      <w:r>
        <w:instrText xml:space="preserve"> PAGEREF _Toc480979558 \h </w:instrText>
      </w:r>
      <w:r>
        <w:fldChar w:fldCharType="separate"/>
      </w:r>
      <w:r>
        <w:t>23</w:t>
      </w:r>
      <w:r>
        <w:fldChar w:fldCharType="end"/>
      </w:r>
      <w:r>
        <w:fldChar w:fldCharType="end"/>
      </w:r>
    </w:p>
    <w:p w14:paraId="464E1053">
      <w:pPr>
        <w:pStyle w:val="15"/>
        <w:tabs>
          <w:tab w:val="left" w:pos="1320"/>
          <w:tab w:val="right" w:leader="dot" w:pos="8636"/>
        </w:tabs>
        <w:rPr>
          <w:rFonts w:eastAsia="Times New Roman"/>
          <w:sz w:val="22"/>
          <w:szCs w:val="22"/>
          <w:lang w:val="fi-FI" w:eastAsia="fi-FI"/>
        </w:rPr>
      </w:pPr>
      <w:r>
        <w:fldChar w:fldCharType="begin"/>
      </w:r>
      <w:r>
        <w:instrText xml:space="preserve"> HYPERLINK \l "_Toc480979559" </w:instrText>
      </w:r>
      <w:r>
        <w:fldChar w:fldCharType="separate"/>
      </w:r>
      <w:r>
        <w:rPr>
          <w:rStyle w:val="33"/>
          <w:lang w:eastAsia="fi-FI"/>
        </w:rPr>
        <w:t>3.1.1</w:t>
      </w:r>
      <w:r>
        <w:rPr>
          <w:rFonts w:eastAsia="Times New Roman"/>
          <w:sz w:val="22"/>
          <w:szCs w:val="22"/>
          <w:lang w:val="fi-FI" w:eastAsia="fi-FI"/>
        </w:rPr>
        <w:tab/>
      </w:r>
      <w:r>
        <w:rPr>
          <w:rStyle w:val="33"/>
          <w:lang w:eastAsia="fi-FI"/>
        </w:rPr>
        <w:t>Clinical literature search</w:t>
      </w:r>
      <w:r>
        <w:tab/>
      </w:r>
      <w:r>
        <w:fldChar w:fldCharType="begin"/>
      </w:r>
      <w:r>
        <w:instrText xml:space="preserve"> PAGEREF _Toc480979559 \h </w:instrText>
      </w:r>
      <w:r>
        <w:fldChar w:fldCharType="separate"/>
      </w:r>
      <w:r>
        <w:t>24</w:t>
      </w:r>
      <w:r>
        <w:fldChar w:fldCharType="end"/>
      </w:r>
      <w:r>
        <w:fldChar w:fldCharType="end"/>
      </w:r>
    </w:p>
    <w:p w14:paraId="38ACAC70">
      <w:pPr>
        <w:pStyle w:val="15"/>
        <w:tabs>
          <w:tab w:val="left" w:pos="1320"/>
          <w:tab w:val="right" w:leader="dot" w:pos="8636"/>
        </w:tabs>
        <w:rPr>
          <w:rFonts w:eastAsia="Times New Roman"/>
          <w:sz w:val="22"/>
          <w:szCs w:val="22"/>
          <w:lang w:val="fi-FI" w:eastAsia="fi-FI"/>
        </w:rPr>
      </w:pPr>
      <w:r>
        <w:fldChar w:fldCharType="begin"/>
      </w:r>
      <w:r>
        <w:instrText xml:space="preserve"> HYPERLINK \l "_Toc480979560" </w:instrText>
      </w:r>
      <w:r>
        <w:fldChar w:fldCharType="separate"/>
      </w:r>
      <w:r>
        <w:rPr>
          <w:rStyle w:val="33"/>
        </w:rPr>
        <w:t>3.1.2</w:t>
      </w:r>
      <w:r>
        <w:rPr>
          <w:rFonts w:eastAsia="Times New Roman"/>
          <w:sz w:val="22"/>
          <w:szCs w:val="22"/>
          <w:lang w:val="fi-FI" w:eastAsia="fi-FI"/>
        </w:rPr>
        <w:tab/>
      </w:r>
      <w:r>
        <w:rPr>
          <w:rStyle w:val="33"/>
        </w:rPr>
        <w:t>Data selection of clinical literature search results</w:t>
      </w:r>
      <w:r>
        <w:tab/>
      </w:r>
      <w:r>
        <w:fldChar w:fldCharType="begin"/>
      </w:r>
      <w:r>
        <w:instrText xml:space="preserve"> PAGEREF _Toc480979560 \h </w:instrText>
      </w:r>
      <w:r>
        <w:fldChar w:fldCharType="separate"/>
      </w:r>
      <w:r>
        <w:t>26</w:t>
      </w:r>
      <w:r>
        <w:fldChar w:fldCharType="end"/>
      </w:r>
      <w:r>
        <w:fldChar w:fldCharType="end"/>
      </w:r>
    </w:p>
    <w:p w14:paraId="66F00AB3">
      <w:pPr>
        <w:pStyle w:val="15"/>
        <w:tabs>
          <w:tab w:val="left" w:pos="1320"/>
          <w:tab w:val="right" w:leader="dot" w:pos="8636"/>
        </w:tabs>
        <w:rPr>
          <w:rFonts w:eastAsia="Times New Roman"/>
          <w:sz w:val="22"/>
          <w:szCs w:val="22"/>
          <w:lang w:val="fi-FI" w:eastAsia="fi-FI"/>
        </w:rPr>
      </w:pPr>
      <w:r>
        <w:fldChar w:fldCharType="begin"/>
      </w:r>
      <w:r>
        <w:instrText xml:space="preserve"> HYPERLINK \l "_Toc480979561" </w:instrText>
      </w:r>
      <w:r>
        <w:fldChar w:fldCharType="separate"/>
      </w:r>
      <w:r>
        <w:rPr>
          <w:rStyle w:val="33"/>
        </w:rPr>
        <w:t>3.1.3</w:t>
      </w:r>
      <w:r>
        <w:rPr>
          <w:rFonts w:eastAsia="Times New Roman"/>
          <w:sz w:val="22"/>
          <w:szCs w:val="22"/>
          <w:lang w:val="fi-FI" w:eastAsia="fi-FI"/>
        </w:rPr>
        <w:tab/>
      </w:r>
      <w:r>
        <w:rPr>
          <w:rStyle w:val="33"/>
        </w:rPr>
        <w:t>Adverse event database search</w:t>
      </w:r>
      <w:r>
        <w:tab/>
      </w:r>
      <w:r>
        <w:fldChar w:fldCharType="begin"/>
      </w:r>
      <w:r>
        <w:instrText xml:space="preserve"> PAGEREF _Toc480979561 \h </w:instrText>
      </w:r>
      <w:r>
        <w:fldChar w:fldCharType="separate"/>
      </w:r>
      <w:r>
        <w:t>27</w:t>
      </w:r>
      <w:r>
        <w:fldChar w:fldCharType="end"/>
      </w:r>
      <w:r>
        <w:fldChar w:fldCharType="end"/>
      </w:r>
    </w:p>
    <w:p w14:paraId="1E321E74">
      <w:pPr>
        <w:pStyle w:val="20"/>
        <w:tabs>
          <w:tab w:val="left" w:pos="480"/>
          <w:tab w:val="right" w:leader="dot" w:pos="8636"/>
        </w:tabs>
        <w:rPr>
          <w:rFonts w:eastAsia="Times New Roman"/>
          <w:sz w:val="22"/>
          <w:szCs w:val="22"/>
          <w:lang w:val="fi-FI" w:eastAsia="fi-FI"/>
        </w:rPr>
      </w:pPr>
      <w:r>
        <w:fldChar w:fldCharType="begin"/>
      </w:r>
      <w:r>
        <w:instrText xml:space="preserve"> HYPERLINK \l "_Toc480979562" </w:instrText>
      </w:r>
      <w:r>
        <w:fldChar w:fldCharType="separate"/>
      </w:r>
      <w:r>
        <w:rPr>
          <w:rStyle w:val="33"/>
        </w:rPr>
        <w:t>4.</w:t>
      </w:r>
      <w:r>
        <w:rPr>
          <w:rFonts w:eastAsia="Times New Roman"/>
          <w:sz w:val="22"/>
          <w:szCs w:val="22"/>
          <w:lang w:val="fi-FI" w:eastAsia="fi-FI"/>
        </w:rPr>
        <w:tab/>
      </w:r>
      <w:r>
        <w:rPr>
          <w:rStyle w:val="33"/>
        </w:rPr>
        <w:t>Summary and appraisal of the clinical data</w:t>
      </w:r>
      <w:r>
        <w:tab/>
      </w:r>
      <w:r>
        <w:fldChar w:fldCharType="begin"/>
      </w:r>
      <w:r>
        <w:instrText xml:space="preserve"> PAGEREF _Toc480979562 \h </w:instrText>
      </w:r>
      <w:r>
        <w:fldChar w:fldCharType="separate"/>
      </w:r>
      <w:r>
        <w:t>28</w:t>
      </w:r>
      <w:r>
        <w:fldChar w:fldCharType="end"/>
      </w:r>
      <w:r>
        <w:fldChar w:fldCharType="end"/>
      </w:r>
    </w:p>
    <w:p w14:paraId="51AD74DD">
      <w:pPr>
        <w:pStyle w:val="23"/>
        <w:rPr>
          <w:rFonts w:eastAsia="Times New Roman"/>
          <w:sz w:val="22"/>
          <w:szCs w:val="22"/>
          <w:lang w:val="fi-FI" w:eastAsia="fi-FI"/>
        </w:rPr>
      </w:pPr>
      <w:r>
        <w:fldChar w:fldCharType="begin"/>
      </w:r>
      <w:r>
        <w:instrText xml:space="preserve"> HYPERLINK \l "_Toc480979563" </w:instrText>
      </w:r>
      <w:r>
        <w:fldChar w:fldCharType="separate"/>
      </w:r>
      <w:r>
        <w:rPr>
          <w:rStyle w:val="33"/>
          <w:lang w:eastAsia="fi-FI"/>
        </w:rPr>
        <w:t>4.1</w:t>
      </w:r>
      <w:r>
        <w:rPr>
          <w:rFonts w:eastAsia="Times New Roman"/>
          <w:sz w:val="22"/>
          <w:szCs w:val="22"/>
          <w:lang w:val="fi-FI" w:eastAsia="fi-FI"/>
        </w:rPr>
        <w:tab/>
      </w:r>
      <w:r>
        <w:rPr>
          <w:rStyle w:val="33"/>
          <w:lang w:eastAsia="fi-FI"/>
        </w:rPr>
        <w:t>Criteria for suitability</w:t>
      </w:r>
      <w:r>
        <w:tab/>
      </w:r>
      <w:r>
        <w:fldChar w:fldCharType="begin"/>
      </w:r>
      <w:r>
        <w:instrText xml:space="preserve"> PAGEREF _Toc480979563 \h </w:instrText>
      </w:r>
      <w:r>
        <w:fldChar w:fldCharType="separate"/>
      </w:r>
      <w:r>
        <w:t>28</w:t>
      </w:r>
      <w:r>
        <w:fldChar w:fldCharType="end"/>
      </w:r>
      <w:r>
        <w:fldChar w:fldCharType="end"/>
      </w:r>
    </w:p>
    <w:p w14:paraId="7D99CD73">
      <w:pPr>
        <w:pStyle w:val="23"/>
        <w:rPr>
          <w:rFonts w:eastAsia="Times New Roman"/>
          <w:sz w:val="22"/>
          <w:szCs w:val="22"/>
          <w:lang w:val="fi-FI" w:eastAsia="fi-FI"/>
        </w:rPr>
      </w:pPr>
      <w:r>
        <w:fldChar w:fldCharType="begin"/>
      </w:r>
      <w:r>
        <w:instrText xml:space="preserve"> HYPERLINK \l "_Toc480979564" </w:instrText>
      </w:r>
      <w:r>
        <w:fldChar w:fldCharType="separate"/>
      </w:r>
      <w:r>
        <w:rPr>
          <w:rStyle w:val="33"/>
        </w:rPr>
        <w:t>4.2</w:t>
      </w:r>
      <w:r>
        <w:rPr>
          <w:rFonts w:eastAsia="Times New Roman"/>
          <w:sz w:val="22"/>
          <w:szCs w:val="22"/>
          <w:lang w:val="fi-FI" w:eastAsia="fi-FI"/>
        </w:rPr>
        <w:tab/>
      </w:r>
      <w:r>
        <w:rPr>
          <w:rStyle w:val="33"/>
        </w:rPr>
        <w:t>Criteria for data contribution</w:t>
      </w:r>
      <w:r>
        <w:tab/>
      </w:r>
      <w:r>
        <w:fldChar w:fldCharType="begin"/>
      </w:r>
      <w:r>
        <w:instrText xml:space="preserve"> PAGEREF _Toc480979564 \h </w:instrText>
      </w:r>
      <w:r>
        <w:fldChar w:fldCharType="separate"/>
      </w:r>
      <w:r>
        <w:t>29</w:t>
      </w:r>
      <w:r>
        <w:fldChar w:fldCharType="end"/>
      </w:r>
      <w:r>
        <w:fldChar w:fldCharType="end"/>
      </w:r>
    </w:p>
    <w:p w14:paraId="12DBC07C">
      <w:pPr>
        <w:pStyle w:val="23"/>
        <w:rPr>
          <w:rFonts w:eastAsia="Times New Roman"/>
          <w:sz w:val="22"/>
          <w:szCs w:val="22"/>
          <w:lang w:val="fi-FI" w:eastAsia="fi-FI"/>
        </w:rPr>
      </w:pPr>
      <w:r>
        <w:fldChar w:fldCharType="begin"/>
      </w:r>
      <w:r>
        <w:instrText xml:space="preserve"> HYPERLINK \l "_Toc480979565" </w:instrText>
      </w:r>
      <w:r>
        <w:fldChar w:fldCharType="separate"/>
      </w:r>
      <w:r>
        <w:rPr>
          <w:rStyle w:val="33"/>
        </w:rPr>
        <w:t>4.3</w:t>
      </w:r>
      <w:r>
        <w:rPr>
          <w:rFonts w:eastAsia="Times New Roman"/>
          <w:sz w:val="22"/>
          <w:szCs w:val="22"/>
          <w:lang w:val="fi-FI" w:eastAsia="fi-FI"/>
        </w:rPr>
        <w:tab/>
      </w:r>
      <w:r>
        <w:rPr>
          <w:rStyle w:val="33"/>
        </w:rPr>
        <w:t>Selection criteria</w:t>
      </w:r>
      <w:r>
        <w:tab/>
      </w:r>
      <w:r>
        <w:fldChar w:fldCharType="begin"/>
      </w:r>
      <w:r>
        <w:instrText xml:space="preserve"> PAGEREF _Toc480979565 \h </w:instrText>
      </w:r>
      <w:r>
        <w:fldChar w:fldCharType="separate"/>
      </w:r>
      <w:r>
        <w:t>29</w:t>
      </w:r>
      <w:r>
        <w:fldChar w:fldCharType="end"/>
      </w:r>
      <w:r>
        <w:fldChar w:fldCharType="end"/>
      </w:r>
    </w:p>
    <w:p w14:paraId="4717A776">
      <w:pPr>
        <w:pStyle w:val="20"/>
        <w:tabs>
          <w:tab w:val="left" w:pos="480"/>
          <w:tab w:val="right" w:leader="dot" w:pos="8636"/>
        </w:tabs>
        <w:rPr>
          <w:rFonts w:eastAsia="Times New Roman"/>
          <w:sz w:val="22"/>
          <w:szCs w:val="22"/>
          <w:lang w:val="fi-FI" w:eastAsia="fi-FI"/>
        </w:rPr>
      </w:pPr>
      <w:r>
        <w:fldChar w:fldCharType="begin"/>
      </w:r>
      <w:r>
        <w:instrText xml:space="preserve"> HYPERLINK \l "_Toc480979566" </w:instrText>
      </w:r>
      <w:r>
        <w:fldChar w:fldCharType="separate"/>
      </w:r>
      <w:r>
        <w:rPr>
          <w:rStyle w:val="33"/>
          <w:lang w:eastAsia="fi-FI"/>
        </w:rPr>
        <w:t>5.</w:t>
      </w:r>
      <w:r>
        <w:rPr>
          <w:rFonts w:eastAsia="Times New Roman"/>
          <w:sz w:val="22"/>
          <w:szCs w:val="22"/>
          <w:lang w:val="fi-FI" w:eastAsia="fi-FI"/>
        </w:rPr>
        <w:tab/>
      </w:r>
      <w:r>
        <w:rPr>
          <w:rStyle w:val="33"/>
          <w:lang w:eastAsia="fi-FI"/>
        </w:rPr>
        <w:t>Data analysis</w:t>
      </w:r>
      <w:r>
        <w:tab/>
      </w:r>
      <w:r>
        <w:fldChar w:fldCharType="begin"/>
      </w:r>
      <w:r>
        <w:instrText xml:space="preserve"> PAGEREF _Toc480979566 \h </w:instrText>
      </w:r>
      <w:r>
        <w:fldChar w:fldCharType="separate"/>
      </w:r>
      <w:r>
        <w:t>31</w:t>
      </w:r>
      <w:r>
        <w:fldChar w:fldCharType="end"/>
      </w:r>
      <w:r>
        <w:fldChar w:fldCharType="end"/>
      </w:r>
    </w:p>
    <w:p w14:paraId="6528D7A1">
      <w:pPr>
        <w:pStyle w:val="23"/>
        <w:rPr>
          <w:rFonts w:eastAsia="Times New Roman"/>
          <w:sz w:val="22"/>
          <w:szCs w:val="22"/>
          <w:lang w:val="fi-FI" w:eastAsia="fi-FI"/>
        </w:rPr>
      </w:pPr>
      <w:r>
        <w:fldChar w:fldCharType="begin"/>
      </w:r>
      <w:r>
        <w:instrText xml:space="preserve"> HYPERLINK \l "_Toc480979567" </w:instrText>
      </w:r>
      <w:r>
        <w:fldChar w:fldCharType="separate"/>
      </w:r>
      <w:r>
        <w:rPr>
          <w:rStyle w:val="33"/>
          <w:lang w:eastAsia="fi-FI"/>
        </w:rPr>
        <w:t>5.1</w:t>
      </w:r>
      <w:r>
        <w:rPr>
          <w:rFonts w:eastAsia="Times New Roman"/>
          <w:sz w:val="22"/>
          <w:szCs w:val="22"/>
          <w:lang w:val="fi-FI" w:eastAsia="fi-FI"/>
        </w:rPr>
        <w:tab/>
      </w:r>
      <w:r>
        <w:rPr>
          <w:rStyle w:val="33"/>
          <w:lang w:eastAsia="fi-FI"/>
        </w:rPr>
        <w:t>Performance</w:t>
      </w:r>
      <w:r>
        <w:tab/>
      </w:r>
      <w:r>
        <w:fldChar w:fldCharType="begin"/>
      </w:r>
      <w:r>
        <w:instrText xml:space="preserve"> PAGEREF _Toc480979567 \h </w:instrText>
      </w:r>
      <w:r>
        <w:fldChar w:fldCharType="separate"/>
      </w:r>
      <w:r>
        <w:t>31</w:t>
      </w:r>
      <w:r>
        <w:fldChar w:fldCharType="end"/>
      </w:r>
      <w:r>
        <w:fldChar w:fldCharType="end"/>
      </w:r>
    </w:p>
    <w:p w14:paraId="7C013150">
      <w:pPr>
        <w:pStyle w:val="23"/>
        <w:rPr>
          <w:rFonts w:eastAsia="Times New Roman"/>
          <w:sz w:val="22"/>
          <w:szCs w:val="22"/>
          <w:lang w:val="fi-FI" w:eastAsia="fi-FI"/>
        </w:rPr>
      </w:pPr>
      <w:r>
        <w:fldChar w:fldCharType="begin"/>
      </w:r>
      <w:r>
        <w:instrText xml:space="preserve"> HYPERLINK \l "_Toc480979568" </w:instrText>
      </w:r>
      <w:r>
        <w:fldChar w:fldCharType="separate"/>
      </w:r>
      <w:r>
        <w:rPr>
          <w:rStyle w:val="33"/>
          <w:lang w:eastAsia="fi-FI"/>
        </w:rPr>
        <w:t>5.2</w:t>
      </w:r>
      <w:r>
        <w:rPr>
          <w:rFonts w:eastAsia="Times New Roman"/>
          <w:sz w:val="22"/>
          <w:szCs w:val="22"/>
          <w:lang w:val="fi-FI" w:eastAsia="fi-FI"/>
        </w:rPr>
        <w:tab/>
      </w:r>
      <w:r>
        <w:rPr>
          <w:rStyle w:val="33"/>
          <w:lang w:eastAsia="fi-FI"/>
        </w:rPr>
        <w:t>Safety</w:t>
      </w:r>
      <w:r>
        <w:tab/>
      </w:r>
      <w:r>
        <w:fldChar w:fldCharType="begin"/>
      </w:r>
      <w:r>
        <w:instrText xml:space="preserve"> PAGEREF _Toc480979568 \h </w:instrText>
      </w:r>
      <w:r>
        <w:fldChar w:fldCharType="separate"/>
      </w:r>
      <w:r>
        <w:t>37</w:t>
      </w:r>
      <w:r>
        <w:fldChar w:fldCharType="end"/>
      </w:r>
      <w:r>
        <w:fldChar w:fldCharType="end"/>
      </w:r>
    </w:p>
    <w:p w14:paraId="633F9D50">
      <w:pPr>
        <w:pStyle w:val="23"/>
        <w:rPr>
          <w:rFonts w:eastAsia="Times New Roman"/>
          <w:sz w:val="22"/>
          <w:szCs w:val="22"/>
          <w:lang w:val="fi-FI" w:eastAsia="fi-FI"/>
        </w:rPr>
      </w:pPr>
      <w:r>
        <w:fldChar w:fldCharType="begin"/>
      </w:r>
      <w:r>
        <w:instrText xml:space="preserve"> HYPERLINK \l "_Toc480979569" </w:instrText>
      </w:r>
      <w:r>
        <w:fldChar w:fldCharType="separate"/>
      </w:r>
      <w:r>
        <w:rPr>
          <w:rStyle w:val="33"/>
          <w:lang w:eastAsia="fi-FI"/>
        </w:rPr>
        <w:t>5.3</w:t>
      </w:r>
      <w:r>
        <w:rPr>
          <w:rFonts w:eastAsia="Times New Roman"/>
          <w:sz w:val="22"/>
          <w:szCs w:val="22"/>
          <w:lang w:val="fi-FI" w:eastAsia="fi-FI"/>
        </w:rPr>
        <w:tab/>
      </w:r>
      <w:r>
        <w:rPr>
          <w:rStyle w:val="33"/>
          <w:lang w:eastAsia="fi-FI"/>
        </w:rPr>
        <w:t>PMS data</w:t>
      </w:r>
      <w:r>
        <w:tab/>
      </w:r>
      <w:r>
        <w:fldChar w:fldCharType="begin"/>
      </w:r>
      <w:r>
        <w:instrText xml:space="preserve"> PAGEREF _Toc480979569 \h </w:instrText>
      </w:r>
      <w:r>
        <w:fldChar w:fldCharType="separate"/>
      </w:r>
      <w:r>
        <w:t>41</w:t>
      </w:r>
      <w:r>
        <w:fldChar w:fldCharType="end"/>
      </w:r>
      <w:r>
        <w:fldChar w:fldCharType="end"/>
      </w:r>
    </w:p>
    <w:p w14:paraId="2AF02A39">
      <w:pPr>
        <w:pStyle w:val="23"/>
        <w:rPr>
          <w:rFonts w:eastAsia="Times New Roman"/>
          <w:sz w:val="22"/>
          <w:szCs w:val="22"/>
          <w:lang w:val="fi-FI" w:eastAsia="fi-FI"/>
        </w:rPr>
      </w:pPr>
      <w:r>
        <w:fldChar w:fldCharType="begin"/>
      </w:r>
      <w:r>
        <w:instrText xml:space="preserve"> HYPERLINK \l "_Toc480979570" </w:instrText>
      </w:r>
      <w:r>
        <w:fldChar w:fldCharType="separate"/>
      </w:r>
      <w:r>
        <w:rPr>
          <w:rStyle w:val="33"/>
          <w:lang w:eastAsia="fi-FI"/>
        </w:rPr>
        <w:t>5.4</w:t>
      </w:r>
      <w:r>
        <w:rPr>
          <w:rFonts w:eastAsia="Times New Roman"/>
          <w:sz w:val="22"/>
          <w:szCs w:val="22"/>
          <w:lang w:val="fi-FI" w:eastAsia="fi-FI"/>
        </w:rPr>
        <w:tab/>
      </w:r>
      <w:r>
        <w:rPr>
          <w:rStyle w:val="33"/>
          <w:lang w:eastAsia="fi-FI"/>
        </w:rPr>
        <w:t>Requirement on acceptable benefit/risk profile</w:t>
      </w:r>
      <w:r>
        <w:tab/>
      </w:r>
      <w:r>
        <w:fldChar w:fldCharType="begin"/>
      </w:r>
      <w:r>
        <w:instrText xml:space="preserve"> PAGEREF _Toc480979570 \h </w:instrText>
      </w:r>
      <w:r>
        <w:fldChar w:fldCharType="separate"/>
      </w:r>
      <w:r>
        <w:t>46</w:t>
      </w:r>
      <w:r>
        <w:fldChar w:fldCharType="end"/>
      </w:r>
      <w:r>
        <w:fldChar w:fldCharType="end"/>
      </w:r>
    </w:p>
    <w:p w14:paraId="07D41720">
      <w:pPr>
        <w:pStyle w:val="23"/>
        <w:rPr>
          <w:rFonts w:eastAsia="Times New Roman"/>
          <w:sz w:val="22"/>
          <w:szCs w:val="22"/>
          <w:lang w:val="fi-FI" w:eastAsia="fi-FI"/>
        </w:rPr>
      </w:pPr>
      <w:r>
        <w:fldChar w:fldCharType="begin"/>
      </w:r>
      <w:r>
        <w:instrText xml:space="preserve"> HYPERLINK \l "_Toc480979571" </w:instrText>
      </w:r>
      <w:r>
        <w:fldChar w:fldCharType="separate"/>
      </w:r>
      <w:r>
        <w:rPr>
          <w:rStyle w:val="33"/>
        </w:rPr>
        <w:t>5.5</w:t>
      </w:r>
      <w:r>
        <w:rPr>
          <w:rFonts w:eastAsia="Times New Roman"/>
          <w:sz w:val="22"/>
          <w:szCs w:val="22"/>
          <w:lang w:val="fi-FI" w:eastAsia="fi-FI"/>
        </w:rPr>
        <w:tab/>
      </w:r>
      <w:r>
        <w:rPr>
          <w:rStyle w:val="33"/>
        </w:rPr>
        <w:t>Requirement on acceptability of side effects</w:t>
      </w:r>
      <w:r>
        <w:tab/>
      </w:r>
      <w:r>
        <w:fldChar w:fldCharType="begin"/>
      </w:r>
      <w:r>
        <w:instrText xml:space="preserve"> PAGEREF _Toc480979571 \h </w:instrText>
      </w:r>
      <w:r>
        <w:fldChar w:fldCharType="separate"/>
      </w:r>
      <w:r>
        <w:t>47</w:t>
      </w:r>
      <w:r>
        <w:fldChar w:fldCharType="end"/>
      </w:r>
      <w:r>
        <w:fldChar w:fldCharType="end"/>
      </w:r>
    </w:p>
    <w:p w14:paraId="26BAF7BD">
      <w:pPr>
        <w:pStyle w:val="23"/>
        <w:rPr>
          <w:rFonts w:eastAsia="Times New Roman"/>
          <w:sz w:val="22"/>
          <w:szCs w:val="22"/>
          <w:lang w:val="fi-FI" w:eastAsia="fi-FI"/>
        </w:rPr>
      </w:pPr>
      <w:r>
        <w:fldChar w:fldCharType="begin"/>
      </w:r>
      <w:r>
        <w:instrText xml:space="preserve"> HYPERLINK \l "_Toc480979572" </w:instrText>
      </w:r>
      <w:r>
        <w:fldChar w:fldCharType="separate"/>
      </w:r>
      <w:r>
        <w:rPr>
          <w:rStyle w:val="33"/>
        </w:rPr>
        <w:t>5.6</w:t>
      </w:r>
      <w:r>
        <w:rPr>
          <w:rFonts w:eastAsia="Times New Roman"/>
          <w:sz w:val="22"/>
          <w:szCs w:val="22"/>
          <w:lang w:val="fi-FI" w:eastAsia="fi-FI"/>
        </w:rPr>
        <w:tab/>
      </w:r>
      <w:r>
        <w:rPr>
          <w:rStyle w:val="33"/>
        </w:rPr>
        <w:t>Product documentation and instructions for use</w:t>
      </w:r>
      <w:r>
        <w:tab/>
      </w:r>
      <w:r>
        <w:fldChar w:fldCharType="begin"/>
      </w:r>
      <w:r>
        <w:instrText xml:space="preserve"> PAGEREF _Toc480979572 \h </w:instrText>
      </w:r>
      <w:r>
        <w:fldChar w:fldCharType="separate"/>
      </w:r>
      <w:r>
        <w:t>47</w:t>
      </w:r>
      <w:r>
        <w:fldChar w:fldCharType="end"/>
      </w:r>
      <w:r>
        <w:fldChar w:fldCharType="end"/>
      </w:r>
    </w:p>
    <w:p w14:paraId="3EA69DE1">
      <w:pPr>
        <w:pStyle w:val="20"/>
        <w:tabs>
          <w:tab w:val="left" w:pos="480"/>
          <w:tab w:val="right" w:leader="dot" w:pos="8636"/>
        </w:tabs>
        <w:rPr>
          <w:rFonts w:eastAsia="Times New Roman"/>
          <w:sz w:val="22"/>
          <w:szCs w:val="22"/>
          <w:lang w:val="fi-FI" w:eastAsia="fi-FI"/>
        </w:rPr>
      </w:pPr>
      <w:r>
        <w:fldChar w:fldCharType="begin"/>
      </w:r>
      <w:r>
        <w:instrText xml:space="preserve"> HYPERLINK \l "_Toc480979573" </w:instrText>
      </w:r>
      <w:r>
        <w:fldChar w:fldCharType="separate"/>
      </w:r>
      <w:r>
        <w:rPr>
          <w:rStyle w:val="33"/>
        </w:rPr>
        <w:t>6.</w:t>
      </w:r>
      <w:r>
        <w:rPr>
          <w:rFonts w:eastAsia="Times New Roman"/>
          <w:sz w:val="22"/>
          <w:szCs w:val="22"/>
          <w:lang w:val="fi-FI" w:eastAsia="fi-FI"/>
        </w:rPr>
        <w:tab/>
      </w:r>
      <w:r>
        <w:rPr>
          <w:rStyle w:val="33"/>
        </w:rPr>
        <w:t>Conclusions</w:t>
      </w:r>
      <w:r>
        <w:tab/>
      </w:r>
      <w:r>
        <w:fldChar w:fldCharType="begin"/>
      </w:r>
      <w:r>
        <w:instrText xml:space="preserve"> PAGEREF _Toc480979573 \h </w:instrText>
      </w:r>
      <w:r>
        <w:fldChar w:fldCharType="separate"/>
      </w:r>
      <w:r>
        <w:t>47</w:t>
      </w:r>
      <w:r>
        <w:fldChar w:fldCharType="end"/>
      </w:r>
      <w:r>
        <w:fldChar w:fldCharType="end"/>
      </w:r>
    </w:p>
    <w:p w14:paraId="695CD119">
      <w:pPr>
        <w:pStyle w:val="20"/>
        <w:tabs>
          <w:tab w:val="left" w:pos="480"/>
          <w:tab w:val="right" w:leader="dot" w:pos="8636"/>
        </w:tabs>
        <w:rPr>
          <w:rFonts w:eastAsia="Times New Roman"/>
          <w:sz w:val="22"/>
          <w:szCs w:val="22"/>
          <w:lang w:val="fi-FI" w:eastAsia="fi-FI"/>
        </w:rPr>
      </w:pPr>
      <w:r>
        <w:fldChar w:fldCharType="begin"/>
      </w:r>
      <w:r>
        <w:instrText xml:space="preserve"> HYPERLINK \l "_Toc480979574" </w:instrText>
      </w:r>
      <w:r>
        <w:fldChar w:fldCharType="separate"/>
      </w:r>
      <w:r>
        <w:rPr>
          <w:rStyle w:val="33"/>
        </w:rPr>
        <w:t>7.</w:t>
      </w:r>
      <w:r>
        <w:rPr>
          <w:rFonts w:eastAsia="Times New Roman"/>
          <w:sz w:val="22"/>
          <w:szCs w:val="22"/>
          <w:lang w:val="fi-FI" w:eastAsia="fi-FI"/>
        </w:rPr>
        <w:tab/>
      </w:r>
      <w:r>
        <w:rPr>
          <w:rStyle w:val="33"/>
        </w:rPr>
        <w:t>Next clinical evaluation</w:t>
      </w:r>
      <w:r>
        <w:tab/>
      </w:r>
      <w:r>
        <w:fldChar w:fldCharType="begin"/>
      </w:r>
      <w:r>
        <w:instrText xml:space="preserve"> PAGEREF _Toc480979574 \h </w:instrText>
      </w:r>
      <w:r>
        <w:fldChar w:fldCharType="separate"/>
      </w:r>
      <w:r>
        <w:t>48</w:t>
      </w:r>
      <w:r>
        <w:fldChar w:fldCharType="end"/>
      </w:r>
      <w:r>
        <w:fldChar w:fldCharType="end"/>
      </w:r>
    </w:p>
    <w:p w14:paraId="304B91CC">
      <w:pPr>
        <w:pStyle w:val="20"/>
        <w:tabs>
          <w:tab w:val="left" w:pos="480"/>
          <w:tab w:val="right" w:leader="dot" w:pos="8636"/>
        </w:tabs>
        <w:rPr>
          <w:rFonts w:eastAsia="Times New Roman"/>
          <w:sz w:val="22"/>
          <w:szCs w:val="22"/>
          <w:lang w:val="fi-FI" w:eastAsia="fi-FI"/>
        </w:rPr>
      </w:pPr>
      <w:r>
        <w:fldChar w:fldCharType="begin"/>
      </w:r>
      <w:r>
        <w:instrText xml:space="preserve"> HYPERLINK \l "_Toc480979575" </w:instrText>
      </w:r>
      <w:r>
        <w:fldChar w:fldCharType="separate"/>
      </w:r>
      <w:r>
        <w:rPr>
          <w:rStyle w:val="33"/>
        </w:rPr>
        <w:t>8.</w:t>
      </w:r>
      <w:r>
        <w:rPr>
          <w:rFonts w:eastAsia="Times New Roman"/>
          <w:sz w:val="22"/>
          <w:szCs w:val="22"/>
          <w:lang w:val="fi-FI" w:eastAsia="fi-FI"/>
        </w:rPr>
        <w:tab/>
      </w:r>
      <w:r>
        <w:rPr>
          <w:rStyle w:val="33"/>
        </w:rPr>
        <w:t>Dates and signatures</w:t>
      </w:r>
      <w:r>
        <w:tab/>
      </w:r>
      <w:r>
        <w:fldChar w:fldCharType="begin"/>
      </w:r>
      <w:r>
        <w:instrText xml:space="preserve"> PAGEREF _Toc480979575 \h </w:instrText>
      </w:r>
      <w:r>
        <w:fldChar w:fldCharType="separate"/>
      </w:r>
      <w:r>
        <w:t>49</w:t>
      </w:r>
      <w:r>
        <w:fldChar w:fldCharType="end"/>
      </w:r>
      <w:r>
        <w:fldChar w:fldCharType="end"/>
      </w:r>
    </w:p>
    <w:p w14:paraId="1C47CD7F">
      <w:pPr>
        <w:pStyle w:val="20"/>
        <w:tabs>
          <w:tab w:val="left" w:pos="480"/>
          <w:tab w:val="right" w:leader="dot" w:pos="8636"/>
        </w:tabs>
        <w:rPr>
          <w:rFonts w:eastAsia="Times New Roman"/>
          <w:sz w:val="22"/>
          <w:szCs w:val="22"/>
          <w:lang w:val="fi-FI" w:eastAsia="fi-FI"/>
        </w:rPr>
      </w:pPr>
      <w:r>
        <w:fldChar w:fldCharType="begin"/>
      </w:r>
      <w:r>
        <w:instrText xml:space="preserve"> HYPERLINK \l "_Toc480979576" </w:instrText>
      </w:r>
      <w:r>
        <w:fldChar w:fldCharType="separate"/>
      </w:r>
      <w:r>
        <w:rPr>
          <w:rStyle w:val="33"/>
        </w:rPr>
        <w:t>9.</w:t>
      </w:r>
      <w:r>
        <w:rPr>
          <w:rFonts w:eastAsia="Times New Roman"/>
          <w:sz w:val="22"/>
          <w:szCs w:val="22"/>
          <w:lang w:val="fi-FI" w:eastAsia="fi-FI"/>
        </w:rPr>
        <w:tab/>
      </w:r>
      <w:r>
        <w:rPr>
          <w:rStyle w:val="33"/>
        </w:rPr>
        <w:t>Qualification of the responsible evaluator</w:t>
      </w:r>
      <w:r>
        <w:tab/>
      </w:r>
      <w:r>
        <w:fldChar w:fldCharType="begin"/>
      </w:r>
      <w:r>
        <w:instrText xml:space="preserve"> PAGEREF _Toc480979576 \h </w:instrText>
      </w:r>
      <w:r>
        <w:fldChar w:fldCharType="separate"/>
      </w:r>
      <w:r>
        <w:t>50</w:t>
      </w:r>
      <w:r>
        <w:fldChar w:fldCharType="end"/>
      </w:r>
      <w:r>
        <w:fldChar w:fldCharType="end"/>
      </w:r>
    </w:p>
    <w:p w14:paraId="220F1A81">
      <w:pPr>
        <w:pStyle w:val="20"/>
        <w:tabs>
          <w:tab w:val="left" w:pos="660"/>
          <w:tab w:val="right" w:leader="dot" w:pos="8636"/>
        </w:tabs>
        <w:rPr>
          <w:rFonts w:eastAsia="Times New Roman"/>
          <w:sz w:val="22"/>
          <w:szCs w:val="22"/>
          <w:lang w:val="fi-FI" w:eastAsia="fi-FI"/>
        </w:rPr>
      </w:pPr>
      <w:r>
        <w:fldChar w:fldCharType="begin"/>
      </w:r>
      <w:r>
        <w:instrText xml:space="preserve"> HYPERLINK \l "_Toc480979577" </w:instrText>
      </w:r>
      <w:r>
        <w:fldChar w:fldCharType="separate"/>
      </w:r>
      <w:r>
        <w:rPr>
          <w:rStyle w:val="33"/>
        </w:rPr>
        <w:t>10.</w:t>
      </w:r>
      <w:r>
        <w:rPr>
          <w:rFonts w:eastAsia="Times New Roman"/>
          <w:sz w:val="22"/>
          <w:szCs w:val="22"/>
          <w:lang w:val="fi-FI" w:eastAsia="fi-FI"/>
        </w:rPr>
        <w:tab/>
      </w:r>
      <w:r>
        <w:rPr>
          <w:rStyle w:val="33"/>
        </w:rPr>
        <w:t>Declaration of interests</w:t>
      </w:r>
      <w:r>
        <w:tab/>
      </w:r>
      <w:r>
        <w:fldChar w:fldCharType="begin"/>
      </w:r>
      <w:r>
        <w:instrText xml:space="preserve"> PAGEREF _Toc480979577 \h </w:instrText>
      </w:r>
      <w:r>
        <w:fldChar w:fldCharType="separate"/>
      </w:r>
      <w:r>
        <w:t>50</w:t>
      </w:r>
      <w:r>
        <w:fldChar w:fldCharType="end"/>
      </w:r>
      <w:r>
        <w:fldChar w:fldCharType="end"/>
      </w:r>
    </w:p>
    <w:p w14:paraId="4A928325">
      <w:pPr>
        <w:pStyle w:val="20"/>
        <w:tabs>
          <w:tab w:val="left" w:pos="660"/>
          <w:tab w:val="right" w:leader="dot" w:pos="8636"/>
        </w:tabs>
        <w:rPr>
          <w:rFonts w:eastAsia="Times New Roman"/>
          <w:sz w:val="22"/>
          <w:szCs w:val="22"/>
          <w:lang w:val="fi-FI" w:eastAsia="fi-FI"/>
        </w:rPr>
      </w:pPr>
      <w:r>
        <w:fldChar w:fldCharType="begin"/>
      </w:r>
      <w:r>
        <w:instrText xml:space="preserve"> HYPERLINK \l "_Toc480979578" </w:instrText>
      </w:r>
      <w:r>
        <w:fldChar w:fldCharType="separate"/>
      </w:r>
      <w:r>
        <w:rPr>
          <w:rStyle w:val="33"/>
        </w:rPr>
        <w:t>11.</w:t>
      </w:r>
      <w:r>
        <w:rPr>
          <w:rFonts w:eastAsia="Times New Roman"/>
          <w:sz w:val="22"/>
          <w:szCs w:val="22"/>
          <w:lang w:val="fi-FI" w:eastAsia="fi-FI"/>
        </w:rPr>
        <w:tab/>
      </w:r>
      <w:r>
        <w:rPr>
          <w:rStyle w:val="33"/>
        </w:rPr>
        <w:t>References</w:t>
      </w:r>
      <w:r>
        <w:tab/>
      </w:r>
      <w:r>
        <w:fldChar w:fldCharType="begin"/>
      </w:r>
      <w:r>
        <w:instrText xml:space="preserve"> PAGEREF _Toc480979578 \h </w:instrText>
      </w:r>
      <w:r>
        <w:fldChar w:fldCharType="separate"/>
      </w:r>
      <w:r>
        <w:t>51</w:t>
      </w:r>
      <w:r>
        <w:fldChar w:fldCharType="end"/>
      </w:r>
      <w:r>
        <w:fldChar w:fldCharType="end"/>
      </w:r>
    </w:p>
    <w:p w14:paraId="15E82A89">
      <w:pPr>
        <w:pStyle w:val="20"/>
        <w:tabs>
          <w:tab w:val="left" w:pos="660"/>
          <w:tab w:val="right" w:leader="dot" w:pos="8636"/>
        </w:tabs>
        <w:rPr>
          <w:rFonts w:eastAsia="Times New Roman"/>
          <w:sz w:val="22"/>
          <w:szCs w:val="22"/>
          <w:lang w:val="fi-FI" w:eastAsia="fi-FI"/>
        </w:rPr>
      </w:pPr>
      <w:r>
        <w:fldChar w:fldCharType="begin"/>
      </w:r>
      <w:r>
        <w:instrText xml:space="preserve"> HYPERLINK \l "_Toc480979579" </w:instrText>
      </w:r>
      <w:r>
        <w:fldChar w:fldCharType="separate"/>
      </w:r>
      <w:r>
        <w:rPr>
          <w:rStyle w:val="33"/>
        </w:rPr>
        <w:t>12.</w:t>
      </w:r>
      <w:r>
        <w:rPr>
          <w:rFonts w:eastAsia="Times New Roman"/>
          <w:sz w:val="22"/>
          <w:szCs w:val="22"/>
          <w:lang w:val="fi-FI" w:eastAsia="fi-FI"/>
        </w:rPr>
        <w:tab/>
      </w:r>
      <w:r>
        <w:rPr>
          <w:rStyle w:val="33"/>
        </w:rPr>
        <w:t>Appendices</w:t>
      </w:r>
      <w:r>
        <w:tab/>
      </w:r>
      <w:r>
        <w:fldChar w:fldCharType="begin"/>
      </w:r>
      <w:r>
        <w:instrText xml:space="preserve"> PAGEREF _Toc480979579 \h </w:instrText>
      </w:r>
      <w:r>
        <w:fldChar w:fldCharType="separate"/>
      </w:r>
      <w:r>
        <w:t>54</w:t>
      </w:r>
      <w:r>
        <w:fldChar w:fldCharType="end"/>
      </w:r>
      <w:r>
        <w:fldChar w:fldCharType="end"/>
      </w:r>
    </w:p>
    <w:p w14:paraId="4E7A6BC5">
      <w:pPr>
        <w:jc w:val="both"/>
        <w:rPr>
          <w:b/>
          <w:bCs/>
        </w:rPr>
      </w:pPr>
      <w:r>
        <w:rPr>
          <w:b/>
          <w:bCs/>
        </w:rPr>
        <w:fldChar w:fldCharType="end"/>
      </w:r>
    </w:p>
    <w:p w14:paraId="0EDE66EB">
      <w:pPr>
        <w:jc w:val="both"/>
        <w:rPr>
          <w:b/>
          <w:bCs/>
        </w:rPr>
      </w:pPr>
      <w:r>
        <w:rPr>
          <w:b/>
          <w:bCs/>
        </w:rPr>
        <w:br w:type="page"/>
      </w:r>
    </w:p>
    <w:p w14:paraId="0079780E">
      <w:pPr>
        <w:pStyle w:val="20"/>
        <w:tabs>
          <w:tab w:val="right" w:leader="dot" w:pos="9768"/>
        </w:tabs>
        <w:rPr>
          <w:b/>
          <w:color w:val="000000"/>
          <w:lang w:val="en-GB"/>
        </w:rPr>
      </w:pPr>
      <w:r>
        <w:rPr>
          <w:b/>
          <w:color w:val="000000"/>
          <w:lang w:val="en-GB"/>
        </w:rPr>
        <w:t>LIST OF TABLES</w:t>
      </w:r>
    </w:p>
    <w:p w14:paraId="458140C0">
      <w:pPr>
        <w:rPr>
          <w:lang w:val="en-GB"/>
        </w:rPr>
      </w:pPr>
    </w:p>
    <w:p w14:paraId="28C7EC65">
      <w:pPr>
        <w:pStyle w:val="22"/>
        <w:tabs>
          <w:tab w:val="right" w:leader="dot" w:pos="8636"/>
        </w:tabs>
        <w:rPr>
          <w:rFonts w:eastAsia="Times New Roman"/>
          <w:sz w:val="22"/>
          <w:szCs w:val="22"/>
          <w:lang w:val="fi-FI" w:eastAsia="fi-FI"/>
        </w:rPr>
      </w:pPr>
      <w:r>
        <w:rPr>
          <w:lang w:val="en-GB"/>
        </w:rPr>
        <w:fldChar w:fldCharType="begin"/>
      </w:r>
      <w:r>
        <w:rPr>
          <w:lang w:val="en-GB"/>
        </w:rPr>
        <w:instrText xml:space="preserve"> TOC \h \z \t "Block Text;1" \c "Kuva" </w:instrText>
      </w:r>
      <w:r>
        <w:rPr>
          <w:lang w:val="en-GB"/>
        </w:rPr>
        <w:fldChar w:fldCharType="separate"/>
      </w:r>
      <w:r>
        <w:fldChar w:fldCharType="begin"/>
      </w:r>
      <w:r>
        <w:instrText xml:space="preserve"> HYPERLINK \l "_Toc480979580" </w:instrText>
      </w:r>
      <w:r>
        <w:fldChar w:fldCharType="separate"/>
      </w:r>
      <w:r>
        <w:rPr>
          <w:rStyle w:val="33"/>
        </w:rPr>
        <w:t>Table 1. List of implants, Inion S-1</w:t>
      </w:r>
      <w:r>
        <w:rPr>
          <w:rStyle w:val="33"/>
          <w:vertAlign w:val="superscript"/>
        </w:rPr>
        <w:t>TM</w:t>
      </w:r>
      <w:r>
        <w:rPr>
          <w:rStyle w:val="33"/>
        </w:rPr>
        <w:t xml:space="preserve"> System</w:t>
      </w:r>
      <w:r>
        <w:tab/>
      </w:r>
      <w:r>
        <w:fldChar w:fldCharType="begin"/>
      </w:r>
      <w:r>
        <w:instrText xml:space="preserve"> PAGEREF _Toc480979580 \h </w:instrText>
      </w:r>
      <w:r>
        <w:fldChar w:fldCharType="separate"/>
      </w:r>
      <w:r>
        <w:t>7</w:t>
      </w:r>
      <w:r>
        <w:fldChar w:fldCharType="end"/>
      </w:r>
      <w:r>
        <w:fldChar w:fldCharType="end"/>
      </w:r>
    </w:p>
    <w:p w14:paraId="7A23CC4A">
      <w:pPr>
        <w:pStyle w:val="22"/>
        <w:tabs>
          <w:tab w:val="right" w:leader="dot" w:pos="8636"/>
        </w:tabs>
        <w:rPr>
          <w:rFonts w:eastAsia="Times New Roman"/>
          <w:sz w:val="22"/>
          <w:szCs w:val="22"/>
          <w:lang w:val="fi-FI" w:eastAsia="fi-FI"/>
        </w:rPr>
      </w:pPr>
      <w:r>
        <w:fldChar w:fldCharType="begin"/>
      </w:r>
      <w:r>
        <w:instrText xml:space="preserve"> HYPERLINK \l "_Toc480979581" </w:instrText>
      </w:r>
      <w:r>
        <w:fldChar w:fldCharType="separate"/>
      </w:r>
      <w:r>
        <w:rPr>
          <w:rStyle w:val="33"/>
        </w:rPr>
        <w:t>Table 2. List of implants, Inion S-2</w:t>
      </w:r>
      <w:r>
        <w:rPr>
          <w:rStyle w:val="33"/>
          <w:vertAlign w:val="superscript"/>
        </w:rPr>
        <w:t>TM</w:t>
      </w:r>
      <w:r>
        <w:rPr>
          <w:rStyle w:val="33"/>
        </w:rPr>
        <w:t xml:space="preserve"> System</w:t>
      </w:r>
      <w:r>
        <w:tab/>
      </w:r>
      <w:r>
        <w:fldChar w:fldCharType="begin"/>
      </w:r>
      <w:r>
        <w:instrText xml:space="preserve"> PAGEREF _Toc480979581 \h </w:instrText>
      </w:r>
      <w:r>
        <w:fldChar w:fldCharType="separate"/>
      </w:r>
      <w:r>
        <w:t>8</w:t>
      </w:r>
      <w:r>
        <w:fldChar w:fldCharType="end"/>
      </w:r>
      <w:r>
        <w:fldChar w:fldCharType="end"/>
      </w:r>
    </w:p>
    <w:p w14:paraId="7CD5DC3C">
      <w:pPr>
        <w:pStyle w:val="22"/>
        <w:tabs>
          <w:tab w:val="right" w:leader="dot" w:pos="8636"/>
        </w:tabs>
        <w:rPr>
          <w:rFonts w:eastAsia="Times New Roman"/>
          <w:sz w:val="22"/>
          <w:szCs w:val="22"/>
          <w:lang w:val="fi-FI" w:eastAsia="fi-FI"/>
        </w:rPr>
      </w:pPr>
      <w:r>
        <w:fldChar w:fldCharType="begin"/>
      </w:r>
      <w:r>
        <w:instrText xml:space="preserve"> HYPERLINK \l "_Toc480979582" </w:instrText>
      </w:r>
      <w:r>
        <w:fldChar w:fldCharType="separate"/>
      </w:r>
      <w:r>
        <w:rPr>
          <w:rStyle w:val="33"/>
        </w:rPr>
        <w:t>Table 3. List of accessory instruments, Inion S-1 and Inion S-2 systems</w:t>
      </w:r>
      <w:r>
        <w:tab/>
      </w:r>
      <w:r>
        <w:fldChar w:fldCharType="begin"/>
      </w:r>
      <w:r>
        <w:instrText xml:space="preserve"> PAGEREF _Toc480979582 \h </w:instrText>
      </w:r>
      <w:r>
        <w:fldChar w:fldCharType="separate"/>
      </w:r>
      <w:r>
        <w:t>9</w:t>
      </w:r>
      <w:r>
        <w:fldChar w:fldCharType="end"/>
      </w:r>
      <w:r>
        <w:fldChar w:fldCharType="end"/>
      </w:r>
    </w:p>
    <w:p w14:paraId="342CCAC7">
      <w:pPr>
        <w:pStyle w:val="22"/>
        <w:tabs>
          <w:tab w:val="right" w:leader="dot" w:pos="8636"/>
        </w:tabs>
        <w:rPr>
          <w:rFonts w:eastAsia="Times New Roman"/>
          <w:sz w:val="22"/>
          <w:szCs w:val="22"/>
          <w:lang w:val="fi-FI" w:eastAsia="fi-FI"/>
        </w:rPr>
      </w:pPr>
      <w:r>
        <w:fldChar w:fldCharType="begin"/>
      </w:r>
      <w:r>
        <w:instrText xml:space="preserve"> HYPERLINK \l "_Toc480979583" </w:instrText>
      </w:r>
      <w:r>
        <w:fldChar w:fldCharType="separate"/>
      </w:r>
      <w:r>
        <w:rPr>
          <w:rStyle w:val="33"/>
        </w:rPr>
        <w:t>Table 4. Change Log - Clinical Evaluation Inion Spinal Graft Containment System™</w:t>
      </w:r>
      <w:r>
        <w:tab/>
      </w:r>
      <w:r>
        <w:fldChar w:fldCharType="begin"/>
      </w:r>
      <w:r>
        <w:instrText xml:space="preserve"> PAGEREF _Toc480979583 \h </w:instrText>
      </w:r>
      <w:r>
        <w:fldChar w:fldCharType="separate"/>
      </w:r>
      <w:r>
        <w:t>14</w:t>
      </w:r>
      <w:r>
        <w:fldChar w:fldCharType="end"/>
      </w:r>
      <w:r>
        <w:fldChar w:fldCharType="end"/>
      </w:r>
    </w:p>
    <w:p w14:paraId="761F75CE">
      <w:pPr>
        <w:pStyle w:val="22"/>
        <w:tabs>
          <w:tab w:val="right" w:leader="dot" w:pos="8636"/>
        </w:tabs>
        <w:rPr>
          <w:rFonts w:eastAsia="Times New Roman"/>
          <w:sz w:val="22"/>
          <w:szCs w:val="22"/>
          <w:lang w:val="fi-FI" w:eastAsia="fi-FI"/>
        </w:rPr>
      </w:pPr>
      <w:r>
        <w:fldChar w:fldCharType="begin"/>
      </w:r>
      <w:r>
        <w:instrText xml:space="preserve"> HYPERLINK \l "_Toc480979584" </w:instrText>
      </w:r>
      <w:r>
        <w:fldChar w:fldCharType="separate"/>
      </w:r>
      <w:r>
        <w:rPr>
          <w:rStyle w:val="33"/>
        </w:rPr>
        <w:t>Table 5. International standards</w:t>
      </w:r>
      <w:r>
        <w:tab/>
      </w:r>
      <w:r>
        <w:fldChar w:fldCharType="begin"/>
      </w:r>
      <w:r>
        <w:instrText xml:space="preserve"> PAGEREF _Toc480979584 \h </w:instrText>
      </w:r>
      <w:r>
        <w:fldChar w:fldCharType="separate"/>
      </w:r>
      <w:r>
        <w:t>14</w:t>
      </w:r>
      <w:r>
        <w:fldChar w:fldCharType="end"/>
      </w:r>
      <w:r>
        <w:fldChar w:fldCharType="end"/>
      </w:r>
    </w:p>
    <w:p w14:paraId="53B72C4C">
      <w:pPr>
        <w:pStyle w:val="22"/>
        <w:tabs>
          <w:tab w:val="right" w:leader="dot" w:pos="8636"/>
        </w:tabs>
        <w:rPr>
          <w:rFonts w:eastAsia="Times New Roman"/>
          <w:sz w:val="22"/>
          <w:szCs w:val="22"/>
          <w:lang w:val="fi-FI" w:eastAsia="fi-FI"/>
        </w:rPr>
      </w:pPr>
      <w:r>
        <w:fldChar w:fldCharType="begin"/>
      </w:r>
      <w:r>
        <w:instrText xml:space="preserve"> HYPERLINK \l "_Toc480979585" </w:instrText>
      </w:r>
      <w:r>
        <w:fldChar w:fldCharType="separate"/>
      </w:r>
      <w:r>
        <w:rPr>
          <w:rStyle w:val="33"/>
        </w:rPr>
        <w:t>Table 6. European guidance documents</w:t>
      </w:r>
      <w:r>
        <w:tab/>
      </w:r>
      <w:r>
        <w:fldChar w:fldCharType="begin"/>
      </w:r>
      <w:r>
        <w:instrText xml:space="preserve"> PAGEREF _Toc480979585 \h </w:instrText>
      </w:r>
      <w:r>
        <w:fldChar w:fldCharType="separate"/>
      </w:r>
      <w:r>
        <w:t>15</w:t>
      </w:r>
      <w:r>
        <w:fldChar w:fldCharType="end"/>
      </w:r>
      <w:r>
        <w:fldChar w:fldCharType="end"/>
      </w:r>
    </w:p>
    <w:p w14:paraId="796BC42B">
      <w:pPr>
        <w:pStyle w:val="22"/>
        <w:tabs>
          <w:tab w:val="right" w:leader="dot" w:pos="8636"/>
        </w:tabs>
        <w:rPr>
          <w:rFonts w:eastAsia="Times New Roman"/>
          <w:sz w:val="22"/>
          <w:szCs w:val="22"/>
          <w:lang w:val="fi-FI" w:eastAsia="fi-FI"/>
        </w:rPr>
      </w:pPr>
      <w:r>
        <w:fldChar w:fldCharType="begin"/>
      </w:r>
      <w:r>
        <w:instrText xml:space="preserve"> HYPERLINK \l "_Toc480979586" </w:instrText>
      </w:r>
      <w:r>
        <w:fldChar w:fldCharType="separate"/>
      </w:r>
      <w:r>
        <w:rPr>
          <w:rStyle w:val="33"/>
        </w:rPr>
        <w:t>Table 7. Comparison of Inion Spinal Graft Containment System™ with equivalent products</w:t>
      </w:r>
      <w:r>
        <w:tab/>
      </w:r>
      <w:r>
        <w:fldChar w:fldCharType="begin"/>
      </w:r>
      <w:r>
        <w:instrText xml:space="preserve"> PAGEREF _Toc480979586 \h </w:instrText>
      </w:r>
      <w:r>
        <w:fldChar w:fldCharType="separate"/>
      </w:r>
      <w:r>
        <w:t>22</w:t>
      </w:r>
      <w:r>
        <w:fldChar w:fldCharType="end"/>
      </w:r>
      <w:r>
        <w:fldChar w:fldCharType="end"/>
      </w:r>
    </w:p>
    <w:p w14:paraId="4F228CB8">
      <w:pPr>
        <w:pStyle w:val="22"/>
        <w:tabs>
          <w:tab w:val="right" w:leader="dot" w:pos="8636"/>
        </w:tabs>
        <w:rPr>
          <w:rFonts w:eastAsia="Times New Roman"/>
          <w:sz w:val="22"/>
          <w:szCs w:val="22"/>
          <w:lang w:val="fi-FI" w:eastAsia="fi-FI"/>
        </w:rPr>
      </w:pPr>
      <w:r>
        <w:fldChar w:fldCharType="begin"/>
      </w:r>
      <w:r>
        <w:instrText xml:space="preserve"> HYPERLINK \l "_Toc480979587" </w:instrText>
      </w:r>
      <w:r>
        <w:fldChar w:fldCharType="separate"/>
      </w:r>
      <w:r>
        <w:rPr>
          <w:rStyle w:val="33"/>
        </w:rPr>
        <w:t>Table 8. Search queries and search parameters used for literature search in different databases and additional clinical data sources.</w:t>
      </w:r>
      <w:r>
        <w:tab/>
      </w:r>
      <w:r>
        <w:fldChar w:fldCharType="begin"/>
      </w:r>
      <w:r>
        <w:instrText xml:space="preserve"> PAGEREF _Toc480979587 \h </w:instrText>
      </w:r>
      <w:r>
        <w:fldChar w:fldCharType="separate"/>
      </w:r>
      <w:r>
        <w:t>24</w:t>
      </w:r>
      <w:r>
        <w:fldChar w:fldCharType="end"/>
      </w:r>
      <w:r>
        <w:fldChar w:fldCharType="end"/>
      </w:r>
    </w:p>
    <w:p w14:paraId="307BAC00">
      <w:pPr>
        <w:pStyle w:val="22"/>
        <w:tabs>
          <w:tab w:val="right" w:leader="dot" w:pos="8636"/>
        </w:tabs>
        <w:rPr>
          <w:rFonts w:eastAsia="Times New Roman"/>
          <w:sz w:val="22"/>
          <w:szCs w:val="22"/>
          <w:lang w:val="fi-FI" w:eastAsia="fi-FI"/>
        </w:rPr>
      </w:pPr>
      <w:r>
        <w:fldChar w:fldCharType="begin"/>
      </w:r>
      <w:r>
        <w:instrText xml:space="preserve"> HYPERLINK \l "_Toc480979588" </w:instrText>
      </w:r>
      <w:r>
        <w:fldChar w:fldCharType="separate"/>
      </w:r>
      <w:r>
        <w:rPr>
          <w:rStyle w:val="33"/>
        </w:rPr>
        <w:t>Table 9. Clinical literature search data selection results</w:t>
      </w:r>
      <w:r>
        <w:tab/>
      </w:r>
      <w:r>
        <w:fldChar w:fldCharType="begin"/>
      </w:r>
      <w:r>
        <w:instrText xml:space="preserve"> PAGEREF _Toc480979588 \h </w:instrText>
      </w:r>
      <w:r>
        <w:fldChar w:fldCharType="separate"/>
      </w:r>
      <w:r>
        <w:t>26</w:t>
      </w:r>
      <w:r>
        <w:fldChar w:fldCharType="end"/>
      </w:r>
      <w:r>
        <w:fldChar w:fldCharType="end"/>
      </w:r>
    </w:p>
    <w:p w14:paraId="03112201">
      <w:pPr>
        <w:pStyle w:val="22"/>
        <w:tabs>
          <w:tab w:val="right" w:leader="dot" w:pos="8636"/>
        </w:tabs>
        <w:rPr>
          <w:rFonts w:eastAsia="Times New Roman"/>
          <w:sz w:val="22"/>
          <w:szCs w:val="22"/>
          <w:lang w:val="fi-FI" w:eastAsia="fi-FI"/>
        </w:rPr>
      </w:pPr>
      <w:r>
        <w:fldChar w:fldCharType="begin"/>
      </w:r>
      <w:r>
        <w:instrText xml:space="preserve"> HYPERLINK \l "_Toc480979589" </w:instrText>
      </w:r>
      <w:r>
        <w:fldChar w:fldCharType="separate"/>
      </w:r>
      <w:r>
        <w:rPr>
          <w:rStyle w:val="33"/>
        </w:rPr>
        <w:t>Table 10. Suitability criteria</w:t>
      </w:r>
      <w:r>
        <w:tab/>
      </w:r>
      <w:r>
        <w:fldChar w:fldCharType="begin"/>
      </w:r>
      <w:r>
        <w:instrText xml:space="preserve"> PAGEREF _Toc480979589 \h </w:instrText>
      </w:r>
      <w:r>
        <w:fldChar w:fldCharType="separate"/>
      </w:r>
      <w:r>
        <w:t>28</w:t>
      </w:r>
      <w:r>
        <w:fldChar w:fldCharType="end"/>
      </w:r>
      <w:r>
        <w:fldChar w:fldCharType="end"/>
      </w:r>
    </w:p>
    <w:p w14:paraId="35070A0B">
      <w:pPr>
        <w:pStyle w:val="22"/>
        <w:tabs>
          <w:tab w:val="right" w:leader="dot" w:pos="8636"/>
        </w:tabs>
        <w:rPr>
          <w:rFonts w:eastAsia="Times New Roman"/>
          <w:sz w:val="22"/>
          <w:szCs w:val="22"/>
          <w:lang w:val="fi-FI" w:eastAsia="fi-FI"/>
        </w:rPr>
      </w:pPr>
      <w:r>
        <w:fldChar w:fldCharType="begin"/>
      </w:r>
      <w:r>
        <w:instrText xml:space="preserve"> HYPERLINK \l "_Toc480979590" </w:instrText>
      </w:r>
      <w:r>
        <w:fldChar w:fldCharType="separate"/>
      </w:r>
      <w:r>
        <w:rPr>
          <w:rStyle w:val="33"/>
        </w:rPr>
        <w:t>Table 11. Criteria for data contribution</w:t>
      </w:r>
      <w:r>
        <w:tab/>
      </w:r>
      <w:r>
        <w:fldChar w:fldCharType="begin"/>
      </w:r>
      <w:r>
        <w:instrText xml:space="preserve"> PAGEREF _Toc480979590 \h </w:instrText>
      </w:r>
      <w:r>
        <w:fldChar w:fldCharType="separate"/>
      </w:r>
      <w:r>
        <w:t>29</w:t>
      </w:r>
      <w:r>
        <w:fldChar w:fldCharType="end"/>
      </w:r>
      <w:r>
        <w:fldChar w:fldCharType="end"/>
      </w:r>
    </w:p>
    <w:p w14:paraId="36F84251">
      <w:pPr>
        <w:pStyle w:val="22"/>
        <w:tabs>
          <w:tab w:val="right" w:leader="dot" w:pos="8636"/>
        </w:tabs>
        <w:rPr>
          <w:rFonts w:eastAsia="Times New Roman"/>
          <w:sz w:val="22"/>
          <w:szCs w:val="22"/>
          <w:lang w:val="fi-FI" w:eastAsia="fi-FI"/>
        </w:rPr>
      </w:pPr>
      <w:r>
        <w:fldChar w:fldCharType="begin"/>
      </w:r>
      <w:r>
        <w:instrText xml:space="preserve"> HYPERLINK \l "_Toc480979591" </w:instrText>
      </w:r>
      <w:r>
        <w:fldChar w:fldCharType="separate"/>
      </w:r>
      <w:r>
        <w:rPr>
          <w:rStyle w:val="33"/>
        </w:rPr>
        <w:t>Table 12. Selection criteria</w:t>
      </w:r>
      <w:r>
        <w:tab/>
      </w:r>
      <w:r>
        <w:fldChar w:fldCharType="begin"/>
      </w:r>
      <w:r>
        <w:instrText xml:space="preserve"> PAGEREF _Toc480979591 \h </w:instrText>
      </w:r>
      <w:r>
        <w:fldChar w:fldCharType="separate"/>
      </w:r>
      <w:r>
        <w:t>29</w:t>
      </w:r>
      <w:r>
        <w:fldChar w:fldCharType="end"/>
      </w:r>
      <w:r>
        <w:fldChar w:fldCharType="end"/>
      </w:r>
    </w:p>
    <w:p w14:paraId="74D47F28">
      <w:pPr>
        <w:pStyle w:val="22"/>
        <w:tabs>
          <w:tab w:val="right" w:leader="dot" w:pos="8636"/>
        </w:tabs>
        <w:rPr>
          <w:rFonts w:eastAsia="Times New Roman"/>
          <w:sz w:val="22"/>
          <w:szCs w:val="22"/>
          <w:lang w:val="fi-FI" w:eastAsia="fi-FI"/>
        </w:rPr>
      </w:pPr>
      <w:r>
        <w:fldChar w:fldCharType="begin"/>
      </w:r>
      <w:r>
        <w:instrText xml:space="preserve"> HYPERLINK \l "_Toc480979592" </w:instrText>
      </w:r>
      <w:r>
        <w:fldChar w:fldCharType="separate"/>
      </w:r>
      <w:r>
        <w:rPr>
          <w:rStyle w:val="33"/>
        </w:rPr>
        <w:t>Table 13. Articles included for evaluation</w:t>
      </w:r>
      <w:r>
        <w:tab/>
      </w:r>
      <w:r>
        <w:fldChar w:fldCharType="begin"/>
      </w:r>
      <w:r>
        <w:instrText xml:space="preserve"> PAGEREF _Toc480979592 \h </w:instrText>
      </w:r>
      <w:r>
        <w:fldChar w:fldCharType="separate"/>
      </w:r>
      <w:r>
        <w:t>30</w:t>
      </w:r>
      <w:r>
        <w:fldChar w:fldCharType="end"/>
      </w:r>
      <w:r>
        <w:fldChar w:fldCharType="end"/>
      </w:r>
    </w:p>
    <w:p w14:paraId="2EC491DE">
      <w:pPr>
        <w:pStyle w:val="22"/>
        <w:tabs>
          <w:tab w:val="right" w:leader="dot" w:pos="8636"/>
        </w:tabs>
        <w:rPr>
          <w:rFonts w:eastAsia="Times New Roman"/>
          <w:sz w:val="22"/>
          <w:szCs w:val="22"/>
          <w:lang w:val="fi-FI" w:eastAsia="fi-FI"/>
        </w:rPr>
      </w:pPr>
      <w:r>
        <w:fldChar w:fldCharType="begin"/>
      </w:r>
      <w:r>
        <w:instrText xml:space="preserve"> HYPERLINK \l "_Toc480979593" </w:instrText>
      </w:r>
      <w:r>
        <w:fldChar w:fldCharType="separate"/>
      </w:r>
      <w:r>
        <w:rPr>
          <w:rStyle w:val="33"/>
        </w:rPr>
        <w:t>Table 14. A systematic review</w:t>
      </w:r>
      <w:r>
        <w:tab/>
      </w:r>
      <w:r>
        <w:fldChar w:fldCharType="begin"/>
      </w:r>
      <w:r>
        <w:instrText xml:space="preserve"> PAGEREF _Toc480979593 \h </w:instrText>
      </w:r>
      <w:r>
        <w:fldChar w:fldCharType="separate"/>
      </w:r>
      <w:r>
        <w:t>31</w:t>
      </w:r>
      <w:r>
        <w:fldChar w:fldCharType="end"/>
      </w:r>
      <w:r>
        <w:fldChar w:fldCharType="end"/>
      </w:r>
    </w:p>
    <w:p w14:paraId="178577FD">
      <w:pPr>
        <w:pStyle w:val="22"/>
        <w:tabs>
          <w:tab w:val="right" w:leader="dot" w:pos="8636"/>
        </w:tabs>
        <w:rPr>
          <w:rFonts w:eastAsia="Times New Roman"/>
          <w:sz w:val="22"/>
          <w:szCs w:val="22"/>
          <w:lang w:val="fi-FI" w:eastAsia="fi-FI"/>
        </w:rPr>
      </w:pPr>
      <w:r>
        <w:fldChar w:fldCharType="begin"/>
      </w:r>
      <w:r>
        <w:instrText xml:space="preserve"> HYPERLINK \l "_Toc480979594" </w:instrText>
      </w:r>
      <w:r>
        <w:fldChar w:fldCharType="separate"/>
      </w:r>
      <w:r>
        <w:rPr>
          <w:rStyle w:val="33"/>
        </w:rPr>
        <w:t>Table 15. Performance related articles</w:t>
      </w:r>
      <w:r>
        <w:tab/>
      </w:r>
      <w:r>
        <w:fldChar w:fldCharType="begin"/>
      </w:r>
      <w:r>
        <w:instrText xml:space="preserve"> PAGEREF _Toc480979594 \h </w:instrText>
      </w:r>
      <w:r>
        <w:fldChar w:fldCharType="separate"/>
      </w:r>
      <w:r>
        <w:t>32</w:t>
      </w:r>
      <w:r>
        <w:fldChar w:fldCharType="end"/>
      </w:r>
      <w:r>
        <w:fldChar w:fldCharType="end"/>
      </w:r>
    </w:p>
    <w:p w14:paraId="5EDCF7E7">
      <w:pPr>
        <w:pStyle w:val="22"/>
        <w:tabs>
          <w:tab w:val="right" w:leader="dot" w:pos="8636"/>
        </w:tabs>
        <w:rPr>
          <w:rFonts w:eastAsia="Times New Roman"/>
          <w:sz w:val="22"/>
          <w:szCs w:val="22"/>
          <w:lang w:val="fi-FI" w:eastAsia="fi-FI"/>
        </w:rPr>
      </w:pPr>
      <w:r>
        <w:fldChar w:fldCharType="begin"/>
      </w:r>
      <w:r>
        <w:instrText xml:space="preserve"> HYPERLINK \l "_Toc480979595" </w:instrText>
      </w:r>
      <w:r>
        <w:fldChar w:fldCharType="separate"/>
      </w:r>
      <w:r>
        <w:rPr>
          <w:rStyle w:val="33"/>
        </w:rPr>
        <w:t>Table 16. Safety related articles</w:t>
      </w:r>
      <w:r>
        <w:tab/>
      </w:r>
      <w:r>
        <w:fldChar w:fldCharType="begin"/>
      </w:r>
      <w:r>
        <w:instrText xml:space="preserve"> PAGEREF _Toc480979595 \h </w:instrText>
      </w:r>
      <w:r>
        <w:fldChar w:fldCharType="separate"/>
      </w:r>
      <w:r>
        <w:t>37</w:t>
      </w:r>
      <w:r>
        <w:fldChar w:fldCharType="end"/>
      </w:r>
      <w:r>
        <w:fldChar w:fldCharType="end"/>
      </w:r>
    </w:p>
    <w:p w14:paraId="009968FB">
      <w:pPr>
        <w:pStyle w:val="22"/>
        <w:tabs>
          <w:tab w:val="right" w:leader="dot" w:pos="8636"/>
        </w:tabs>
        <w:rPr>
          <w:rFonts w:eastAsia="Times New Roman"/>
          <w:sz w:val="22"/>
          <w:szCs w:val="22"/>
          <w:lang w:val="fi-FI" w:eastAsia="fi-FI"/>
        </w:rPr>
      </w:pPr>
      <w:r>
        <w:fldChar w:fldCharType="begin"/>
      </w:r>
      <w:r>
        <w:instrText xml:space="preserve"> HYPERLINK \l "_Toc480979596" </w:instrText>
      </w:r>
      <w:r>
        <w:fldChar w:fldCharType="separate"/>
      </w:r>
      <w:r>
        <w:rPr>
          <w:rStyle w:val="33"/>
        </w:rPr>
        <w:t>Table 17. Inion S-1: Sales and risk occurrence rate, long term</w:t>
      </w:r>
      <w:r>
        <w:tab/>
      </w:r>
      <w:r>
        <w:fldChar w:fldCharType="begin"/>
      </w:r>
      <w:r>
        <w:instrText xml:space="preserve"> PAGEREF _Toc480979596 \h </w:instrText>
      </w:r>
      <w:r>
        <w:fldChar w:fldCharType="separate"/>
      </w:r>
      <w:r>
        <w:t>41</w:t>
      </w:r>
      <w:r>
        <w:fldChar w:fldCharType="end"/>
      </w:r>
      <w:r>
        <w:fldChar w:fldCharType="end"/>
      </w:r>
    </w:p>
    <w:p w14:paraId="592E1279">
      <w:pPr>
        <w:pStyle w:val="22"/>
        <w:tabs>
          <w:tab w:val="right" w:leader="dot" w:pos="8636"/>
        </w:tabs>
        <w:rPr>
          <w:rFonts w:eastAsia="Times New Roman"/>
          <w:sz w:val="22"/>
          <w:szCs w:val="22"/>
          <w:lang w:val="fi-FI" w:eastAsia="fi-FI"/>
        </w:rPr>
      </w:pPr>
      <w:r>
        <w:fldChar w:fldCharType="begin"/>
      </w:r>
      <w:r>
        <w:instrText xml:space="preserve"> HYPERLINK \l "_Toc480979597" </w:instrText>
      </w:r>
      <w:r>
        <w:fldChar w:fldCharType="separate"/>
      </w:r>
      <w:r>
        <w:rPr>
          <w:rStyle w:val="33"/>
        </w:rPr>
        <w:t>Table 18. Inion S-2: Sales and risk occurrence rate, long term</w:t>
      </w:r>
      <w:r>
        <w:tab/>
      </w:r>
      <w:r>
        <w:fldChar w:fldCharType="begin"/>
      </w:r>
      <w:r>
        <w:instrText xml:space="preserve"> PAGEREF _Toc480979597 \h </w:instrText>
      </w:r>
      <w:r>
        <w:fldChar w:fldCharType="separate"/>
      </w:r>
      <w:r>
        <w:t>42</w:t>
      </w:r>
      <w:r>
        <w:fldChar w:fldCharType="end"/>
      </w:r>
      <w:r>
        <w:fldChar w:fldCharType="end"/>
      </w:r>
    </w:p>
    <w:p w14:paraId="1147BF6B">
      <w:pPr>
        <w:pStyle w:val="22"/>
        <w:tabs>
          <w:tab w:val="right" w:leader="dot" w:pos="8636"/>
        </w:tabs>
        <w:rPr>
          <w:rFonts w:eastAsia="Times New Roman"/>
          <w:sz w:val="22"/>
          <w:szCs w:val="22"/>
          <w:lang w:val="fi-FI" w:eastAsia="fi-FI"/>
        </w:rPr>
      </w:pPr>
      <w:r>
        <w:fldChar w:fldCharType="begin"/>
      </w:r>
      <w:r>
        <w:instrText xml:space="preserve"> HYPERLINK \l "_Toc480979598" </w:instrText>
      </w:r>
      <w:r>
        <w:fldChar w:fldCharType="separate"/>
      </w:r>
      <w:r>
        <w:rPr>
          <w:rStyle w:val="33"/>
        </w:rPr>
        <w:t>Table 19. Adverse events from the FDA Maude and TPLC databases (2005-2016).</w:t>
      </w:r>
      <w:r>
        <w:tab/>
      </w:r>
      <w:r>
        <w:fldChar w:fldCharType="begin"/>
      </w:r>
      <w:r>
        <w:instrText xml:space="preserve"> PAGEREF _Toc480979598 \h </w:instrText>
      </w:r>
      <w:r>
        <w:fldChar w:fldCharType="separate"/>
      </w:r>
      <w:r>
        <w:t>42</w:t>
      </w:r>
      <w:r>
        <w:fldChar w:fldCharType="end"/>
      </w:r>
      <w:r>
        <w:fldChar w:fldCharType="end"/>
      </w:r>
    </w:p>
    <w:p w14:paraId="29498E74">
      <w:pPr>
        <w:pStyle w:val="22"/>
        <w:tabs>
          <w:tab w:val="right" w:leader="dot" w:pos="8636"/>
        </w:tabs>
        <w:rPr>
          <w:rFonts w:eastAsia="Times New Roman"/>
          <w:sz w:val="22"/>
          <w:szCs w:val="22"/>
          <w:lang w:val="fi-FI" w:eastAsia="fi-FI"/>
        </w:rPr>
      </w:pPr>
      <w:r>
        <w:fldChar w:fldCharType="begin"/>
      </w:r>
      <w:r>
        <w:instrText xml:space="preserve"> HYPERLINK \l "_Toc480979599" </w:instrText>
      </w:r>
      <w:r>
        <w:fldChar w:fldCharType="separate"/>
      </w:r>
      <w:r>
        <w:rPr>
          <w:rStyle w:val="33"/>
        </w:rPr>
        <w:t>Table 20. Risk occurrence per hazard type, reported adverse events in FDA Maude</w:t>
      </w:r>
      <w:r>
        <w:tab/>
      </w:r>
      <w:r>
        <w:fldChar w:fldCharType="begin"/>
      </w:r>
      <w:r>
        <w:instrText xml:space="preserve"> PAGEREF _Toc480979599 \h </w:instrText>
      </w:r>
      <w:r>
        <w:fldChar w:fldCharType="separate"/>
      </w:r>
      <w:r>
        <w:t>44</w:t>
      </w:r>
      <w:r>
        <w:fldChar w:fldCharType="end"/>
      </w:r>
      <w:r>
        <w:fldChar w:fldCharType="end"/>
      </w:r>
    </w:p>
    <w:p w14:paraId="23C20BFF">
      <w:pPr>
        <w:pStyle w:val="22"/>
        <w:tabs>
          <w:tab w:val="right" w:leader="dot" w:pos="8636"/>
        </w:tabs>
        <w:rPr>
          <w:rFonts w:eastAsia="Times New Roman"/>
          <w:sz w:val="22"/>
          <w:szCs w:val="22"/>
          <w:lang w:val="fi-FI" w:eastAsia="fi-FI"/>
        </w:rPr>
      </w:pPr>
      <w:r>
        <w:fldChar w:fldCharType="begin"/>
      </w:r>
      <w:r>
        <w:instrText xml:space="preserve"> HYPERLINK \l "_Toc480979600" </w:instrText>
      </w:r>
      <w:r>
        <w:fldChar w:fldCharType="separate"/>
      </w:r>
      <w:r>
        <w:rPr>
          <w:rStyle w:val="33"/>
        </w:rPr>
        <w:t>Table 21. Inion S-1: Hazards analysis of customer feedback evaluations</w:t>
      </w:r>
      <w:r>
        <w:tab/>
      </w:r>
      <w:r>
        <w:fldChar w:fldCharType="begin"/>
      </w:r>
      <w:r>
        <w:instrText xml:space="preserve"> PAGEREF _Toc480979600 \h </w:instrText>
      </w:r>
      <w:r>
        <w:fldChar w:fldCharType="separate"/>
      </w:r>
      <w:r>
        <w:t>45</w:t>
      </w:r>
      <w:r>
        <w:fldChar w:fldCharType="end"/>
      </w:r>
      <w:r>
        <w:fldChar w:fldCharType="end"/>
      </w:r>
    </w:p>
    <w:p w14:paraId="25C7FA3F">
      <w:pPr>
        <w:pStyle w:val="22"/>
        <w:tabs>
          <w:tab w:val="right" w:leader="dot" w:pos="8636"/>
        </w:tabs>
        <w:rPr>
          <w:rFonts w:eastAsia="Times New Roman"/>
          <w:sz w:val="22"/>
          <w:szCs w:val="22"/>
          <w:lang w:val="fi-FI" w:eastAsia="fi-FI"/>
        </w:rPr>
      </w:pPr>
      <w:r>
        <w:fldChar w:fldCharType="begin"/>
      </w:r>
      <w:r>
        <w:instrText xml:space="preserve"> HYPERLINK \l "_Toc480979601" </w:instrText>
      </w:r>
      <w:r>
        <w:fldChar w:fldCharType="separate"/>
      </w:r>
      <w:r>
        <w:rPr>
          <w:rStyle w:val="33"/>
        </w:rPr>
        <w:t>Table 22. Inion S-2: Hazards analysis of customer feedback evaluations</w:t>
      </w:r>
      <w:r>
        <w:tab/>
      </w:r>
      <w:r>
        <w:fldChar w:fldCharType="begin"/>
      </w:r>
      <w:r>
        <w:instrText xml:space="preserve"> PAGEREF _Toc480979601 \h </w:instrText>
      </w:r>
      <w:r>
        <w:fldChar w:fldCharType="separate"/>
      </w:r>
      <w:r>
        <w:t>45</w:t>
      </w:r>
      <w:r>
        <w:fldChar w:fldCharType="end"/>
      </w:r>
      <w:r>
        <w:fldChar w:fldCharType="end"/>
      </w:r>
    </w:p>
    <w:p w14:paraId="0F9CA909">
      <w:pPr>
        <w:jc w:val="both"/>
        <w:rPr>
          <w:b/>
          <w:bCs/>
        </w:rPr>
      </w:pPr>
      <w:r>
        <w:rPr>
          <w:lang w:val="en-GB"/>
        </w:rPr>
        <w:fldChar w:fldCharType="end"/>
      </w:r>
    </w:p>
    <w:p w14:paraId="02ACF816">
      <w:pPr>
        <w:jc w:val="both"/>
        <w:rPr>
          <w:b/>
          <w:bCs/>
        </w:rPr>
      </w:pPr>
    </w:p>
    <w:p w14:paraId="156FE1C4">
      <w:pPr>
        <w:jc w:val="both"/>
        <w:rPr>
          <w:rFonts w:cs="Arial"/>
          <w:b/>
          <w:bCs/>
          <w:sz w:val="28"/>
          <w:szCs w:val="28"/>
        </w:rPr>
      </w:pPr>
      <w:r>
        <w:rPr>
          <w:rFonts w:cs="Arial"/>
          <w:b/>
          <w:bCs/>
          <w:sz w:val="28"/>
          <w:szCs w:val="28"/>
        </w:rPr>
        <w:t>Reference</w:t>
      </w:r>
    </w:p>
    <w:p w14:paraId="2A560F1C">
      <w:pPr>
        <w:autoSpaceDE w:val="0"/>
        <w:autoSpaceDN w:val="0"/>
        <w:adjustRightInd w:val="0"/>
        <w:jc w:val="both"/>
        <w:rPr>
          <w:color w:val="FF0000"/>
        </w:rPr>
      </w:pPr>
      <w:r>
        <w:t>MEDDEV 2.7.1 rev 4 on clinical evaluation</w:t>
      </w:r>
    </w:p>
    <w:p w14:paraId="48942FB8">
      <w:pPr>
        <w:jc w:val="both"/>
        <w:rPr>
          <w:bCs/>
        </w:rPr>
      </w:pPr>
      <w:r>
        <w:rPr>
          <w:rFonts w:hint="eastAsia"/>
          <w:bCs/>
          <w:lang w:eastAsia="zh-CN"/>
        </w:rPr>
        <w:t>GHTF</w:t>
      </w:r>
      <w:r>
        <w:rPr>
          <w:bCs/>
        </w:rPr>
        <w:t xml:space="preserve"> SG5 N2R8:2007, Appendix D: A Possible Method of Appraisal</w:t>
      </w:r>
    </w:p>
    <w:p w14:paraId="2631880A">
      <w:pPr>
        <w:jc w:val="both"/>
        <w:rPr>
          <w:b/>
          <w:bCs/>
        </w:rPr>
      </w:pPr>
    </w:p>
    <w:p w14:paraId="186F0018">
      <w:pPr>
        <w:pStyle w:val="2"/>
        <w:numPr>
          <w:ilvl w:val="0"/>
          <w:numId w:val="0"/>
        </w:numPr>
      </w:pPr>
      <w:r>
        <w:br w:type="page"/>
      </w:r>
      <w:bookmarkStart w:id="1" w:name="_Toc480979545"/>
      <w:r>
        <w:t>Executive summary</w:t>
      </w:r>
      <w:bookmarkEnd w:id="1"/>
    </w:p>
    <w:p w14:paraId="2C0D22E7">
      <w:pPr>
        <w:autoSpaceDE w:val="0"/>
        <w:autoSpaceDN w:val="0"/>
        <w:adjustRightInd w:val="0"/>
        <w:jc w:val="both"/>
      </w:pPr>
      <w:r>
        <w:rPr>
          <w:lang w:eastAsia="fi-FI"/>
        </w:rPr>
        <w:t xml:space="preserve">This report presents the clinical evaluation of </w:t>
      </w:r>
      <w:r>
        <w:rPr>
          <w:rFonts w:hint="eastAsia"/>
          <w:i/>
          <w:lang w:eastAsia="zh-CN"/>
        </w:rPr>
        <w:t xml:space="preserve">&lt;Product Name, </w:t>
      </w:r>
      <w:r>
        <w:rPr>
          <w:i/>
          <w:lang w:eastAsia="zh-CN"/>
        </w:rPr>
        <w:t>brief description of main components and accessories</w:t>
      </w:r>
      <w:r>
        <w:rPr>
          <w:rFonts w:hint="eastAsia"/>
          <w:i/>
          <w:lang w:eastAsia="zh-CN"/>
        </w:rPr>
        <w:t>&gt;</w:t>
      </w:r>
      <w:r>
        <w:rPr>
          <w:lang w:eastAsia="fi-FI"/>
        </w:rPr>
        <w:t xml:space="preserve">.  </w:t>
      </w:r>
      <w:r>
        <w:rPr>
          <w:rFonts w:hint="eastAsia"/>
          <w:i/>
          <w:lang w:eastAsia="zh-CN"/>
        </w:rPr>
        <w:t>&lt;Product Name</w:t>
      </w:r>
      <w:r>
        <w:rPr>
          <w:i/>
          <w:lang w:eastAsia="zh-CN"/>
        </w:rPr>
        <w:t>&gt;</w:t>
      </w:r>
      <w:r>
        <w:rPr>
          <w:lang w:eastAsia="fi-FI"/>
        </w:rPr>
        <w:t xml:space="preserve"> consists of </w:t>
      </w:r>
      <w:r>
        <w:rPr>
          <w:i/>
          <w:lang w:eastAsia="fi-FI"/>
        </w:rPr>
        <w:t>&lt;components&gt;</w:t>
      </w:r>
      <w:r>
        <w:rPr>
          <w:lang w:eastAsia="fi-FI"/>
        </w:rPr>
        <w:t xml:space="preserve"> made of </w:t>
      </w:r>
      <w:r>
        <w:rPr>
          <w:i/>
          <w:lang w:eastAsia="fi-FI"/>
        </w:rPr>
        <w:t>&lt;</w:t>
      </w:r>
      <w:r>
        <w:rPr>
          <w:i/>
          <w:lang w:eastAsia="zh-CN"/>
        </w:rPr>
        <w:t xml:space="preserve"> description of</w:t>
      </w:r>
      <w:r>
        <w:rPr>
          <w:i/>
          <w:lang w:eastAsia="fi-FI"/>
        </w:rPr>
        <w:t xml:space="preserve"> materials&gt;</w:t>
      </w:r>
      <w:r>
        <w:rPr>
          <w:lang w:eastAsia="fi-FI"/>
        </w:rPr>
        <w:t xml:space="preserve">. The </w:t>
      </w:r>
      <w:r>
        <w:rPr>
          <w:i/>
          <w:lang w:eastAsia="fi-FI"/>
        </w:rPr>
        <w:t>&lt;components 1&gt;</w:t>
      </w:r>
      <w:r>
        <w:rPr>
          <w:lang w:eastAsia="fi-FI"/>
        </w:rPr>
        <w:t xml:space="preserve"> include radiographic markers for postoperative imaging, which are made of chemical element Tantalum (Ta) in accordance with ASTM B365 and ASTM F560. The plates are manufactured by compression moulding. The screws are manufactured by extrusion and machining.  This device, in conju</w:t>
      </w:r>
      <w:r>
        <w:t>nction with traditional rigid fixation,</w:t>
      </w:r>
      <w:r>
        <w:rPr>
          <w:i/>
        </w:rPr>
        <w:t xml:space="preserve"> </w:t>
      </w:r>
      <w:r>
        <w:t>is intended for use in spinal fusion procedures</w:t>
      </w:r>
      <w:r>
        <w:rPr>
          <w:rFonts w:cs="Arial"/>
          <w:lang w:eastAsia="fi-FI"/>
        </w:rPr>
        <w:t xml:space="preserve"> </w:t>
      </w:r>
      <w:r>
        <w:t xml:space="preserve">as a means to maintain the relative position of weak bony tissue such as allografts or autografts. </w:t>
      </w:r>
      <w:r>
        <w:rPr>
          <w:lang w:eastAsia="zh-CN"/>
        </w:rPr>
        <w:t xml:space="preserve"> Inion S-1™ plates and screws are intended for the cervical spine (levels of fixation C2-T1)) and Inion S-2™ plates and screws are intended for the thoraco-lumbar spine (levels of fixation T1 – S1). </w:t>
      </w:r>
      <w:r>
        <w:t xml:space="preserve">This device is not intended for load bearing indications. </w:t>
      </w:r>
    </w:p>
    <w:p w14:paraId="605954F3">
      <w:pPr>
        <w:autoSpaceDE w:val="0"/>
        <w:autoSpaceDN w:val="0"/>
        <w:adjustRightInd w:val="0"/>
        <w:jc w:val="both"/>
        <w:rPr>
          <w:lang w:eastAsia="fi-FI"/>
        </w:rPr>
      </w:pPr>
    </w:p>
    <w:p w14:paraId="22C9B283">
      <w:pPr>
        <w:autoSpaceDE w:val="0"/>
        <w:autoSpaceDN w:val="0"/>
        <w:adjustRightInd w:val="0"/>
        <w:jc w:val="both"/>
        <w:rPr>
          <w:lang w:eastAsia="fi-FI"/>
        </w:rPr>
      </w:pPr>
      <w:r>
        <w:rPr>
          <w:lang w:eastAsia="fi-FI"/>
        </w:rPr>
        <w:t>Inion Spinal Graft Containment System implants retain most of their initial strength up to 16 weeks and gradually lose their strength thereafter. Bioresorption takes place within two to four years. The implants are sterile and non-collagenous. The shelf life of the product is three years. Inion Spinal Graft Containment System implants are designed to be inserted with manual surgical accessory instruments such as drill bits, bone taps, drill guides, plate templates, temporary fixation screw etc. These instruments are provided nonsterile and are reusable.</w:t>
      </w:r>
    </w:p>
    <w:p w14:paraId="62167CC0">
      <w:pPr>
        <w:jc w:val="both"/>
      </w:pPr>
    </w:p>
    <w:p w14:paraId="4667A3C2">
      <w:pPr>
        <w:jc w:val="both"/>
        <w:rPr>
          <w:lang w:eastAsia="fi-FI"/>
        </w:rPr>
      </w:pPr>
      <w:r>
        <w:rPr>
          <w:lang w:eastAsia="fi-FI"/>
        </w:rPr>
        <w:t xml:space="preserve">The clinical evaluation is conducted by collecting and analyzing clinical literature of </w:t>
      </w:r>
      <w:r>
        <w:t>I</w:t>
      </w:r>
      <w:r>
        <w:rPr>
          <w:rFonts w:hint="eastAsia"/>
          <w:lang w:eastAsia="zh-CN"/>
        </w:rPr>
        <w:t>nion</w:t>
      </w:r>
      <w:r>
        <w:t xml:space="preserve"> Spinal Graft Containment System™</w:t>
      </w:r>
      <w:r>
        <w:rPr>
          <w:lang w:eastAsia="zh-CN"/>
        </w:rPr>
        <w:t xml:space="preserve"> and evaluating the PMS data</w:t>
      </w:r>
      <w:r>
        <w:rPr>
          <w:lang w:eastAsia="fi-FI"/>
        </w:rPr>
        <w:t xml:space="preserve">. Clinical data is searched from PubMed, </w:t>
      </w:r>
      <w:r>
        <w:rPr>
          <w:rFonts w:hint="eastAsia"/>
          <w:lang w:eastAsia="zh-CN"/>
        </w:rPr>
        <w:t xml:space="preserve">ScienceDirect, </w:t>
      </w:r>
      <w:r>
        <w:rPr>
          <w:lang w:eastAsia="fi-FI"/>
        </w:rPr>
        <w:t xml:space="preserve">Embase, </w:t>
      </w:r>
      <w:r>
        <w:t>Cochrane Central Register of Controlled Trials (CENTRAL), Clinicaltrails.gov, WHO ICTRP</w:t>
      </w:r>
      <w:r>
        <w:rPr>
          <w:lang w:eastAsia="fi-FI"/>
        </w:rPr>
        <w:t xml:space="preserve"> and </w:t>
      </w:r>
      <w:r>
        <w:t>FDA Manufacturer and User Facility Device Experience (MAUDE) database.</w:t>
      </w:r>
    </w:p>
    <w:p w14:paraId="467B6A03">
      <w:pPr>
        <w:jc w:val="both"/>
        <w:rPr>
          <w:i/>
          <w:lang w:eastAsia="fi-FI"/>
        </w:rPr>
      </w:pPr>
    </w:p>
    <w:p w14:paraId="1B8A7B9D">
      <w:pPr>
        <w:jc w:val="both"/>
        <w:rPr>
          <w:i/>
          <w:color w:val="FF0000"/>
        </w:rPr>
      </w:pPr>
      <w:r>
        <w:t>The clinical data analysis concludes that</w:t>
      </w:r>
      <w:r>
        <w:rPr>
          <w:color w:val="FF0000"/>
        </w:rPr>
        <w:t xml:space="preserve"> </w:t>
      </w:r>
      <w:r>
        <w:t>the overall complication rates and risks related to the devices remain continuously low and acceptable.  No clinically relevant change is detected over time, and no new health or safety risks, no new side effects have been discovered during this evaluation.  Anticipated residual risks may occur, but the number is low.</w:t>
      </w:r>
    </w:p>
    <w:p w14:paraId="189CE9E0">
      <w:pPr>
        <w:jc w:val="both"/>
        <w:rPr>
          <w:i/>
          <w:color w:val="FF0000"/>
        </w:rPr>
      </w:pPr>
    </w:p>
    <w:p w14:paraId="1F7B1FE4">
      <w:pPr>
        <w:jc w:val="both"/>
      </w:pPr>
      <w:r>
        <w:rPr>
          <w:lang w:eastAsia="fi-FI"/>
        </w:rPr>
        <w:t xml:space="preserve">As a result of this clinical evaluation, </w:t>
      </w:r>
      <w:r>
        <w:t xml:space="preserve">the evidence provided demonstrates the safety and performance of Inion Spinal Graft Containment System™ implants and instruments in their product-specific indications as described in Instructions for Use, also conformity with the EU Essential Requirements.  It can be concluded that Inion Spinal Graft Containment System™ </w:t>
      </w:r>
      <w:r>
        <w:rPr>
          <w:lang w:eastAsia="zh-CN"/>
        </w:rPr>
        <w:t>represents</w:t>
      </w:r>
      <w:r>
        <w:t xml:space="preserve"> the current state of the art in spinal fusion procedures.</w:t>
      </w:r>
    </w:p>
    <w:p w14:paraId="5F54CCD9">
      <w:pPr>
        <w:jc w:val="both"/>
        <w:rPr>
          <w:b/>
          <w:bCs/>
          <w:color w:val="FF0000"/>
        </w:rPr>
      </w:pPr>
    </w:p>
    <w:p w14:paraId="0F5EC6FA">
      <w:pPr>
        <w:pStyle w:val="2"/>
        <w:rPr>
          <w:i/>
        </w:rPr>
      </w:pPr>
      <w:bookmarkStart w:id="2" w:name="_Toc480979546"/>
      <w:r>
        <w:t>Scope of the clinical evaluation</w:t>
      </w:r>
      <w:bookmarkEnd w:id="2"/>
    </w:p>
    <w:p w14:paraId="30381141">
      <w:pPr>
        <w:autoSpaceDE w:val="0"/>
        <w:autoSpaceDN w:val="0"/>
        <w:adjustRightInd w:val="0"/>
        <w:jc w:val="both"/>
      </w:pPr>
      <w:r>
        <w:t>The objective of this clinical evaluation is to identify, select, review and assess all available clinically relevant data of Inion Spinal Graft Containment System™</w:t>
      </w:r>
      <w:r>
        <w:rPr>
          <w:rFonts w:hint="eastAsia"/>
          <w:lang w:eastAsia="zh-CN"/>
        </w:rPr>
        <w:t xml:space="preserve"> </w:t>
      </w:r>
      <w:r>
        <w:t>implants and accessory instruments.</w:t>
      </w:r>
    </w:p>
    <w:p w14:paraId="6E9126D7">
      <w:pPr>
        <w:autoSpaceDE w:val="0"/>
        <w:autoSpaceDN w:val="0"/>
        <w:adjustRightInd w:val="0"/>
        <w:ind w:firstLine="720"/>
        <w:jc w:val="both"/>
        <w:rPr>
          <w:i/>
        </w:rPr>
      </w:pPr>
    </w:p>
    <w:p w14:paraId="6CABFDFB">
      <w:pPr>
        <w:jc w:val="both"/>
      </w:pPr>
      <w:r>
        <w:t>Conformity assessment with the Medical Devices Directive, MDD 93/42/EEC requires a medical device manufacturer to demonstrate that the claims made in relation to the device’s safety and performance, under the normal conditions of its use, are attainable.  Generally, this requires clinical data (Annex X, MDD), but evidence of the satisfactory clinical safety and performance of a device may be provided in the form of a critical evaluation of published and/or unpublished data on clinical experience with the device, or on a similar device to which equivalence can be demonstrated. This clinical evaluation is submitted to the MDD as amended by directive 2007/47/EEC.</w:t>
      </w:r>
    </w:p>
    <w:p w14:paraId="24BE05C9">
      <w:pPr>
        <w:autoSpaceDE w:val="0"/>
        <w:autoSpaceDN w:val="0"/>
        <w:adjustRightInd w:val="0"/>
        <w:jc w:val="both"/>
      </w:pPr>
    </w:p>
    <w:p w14:paraId="69C6CC45">
      <w:pPr>
        <w:autoSpaceDE w:val="0"/>
        <w:autoSpaceDN w:val="0"/>
        <w:adjustRightInd w:val="0"/>
        <w:jc w:val="both"/>
      </w:pPr>
      <w:r>
        <w:t>Based on the Essential Requirements and the residual risk findings from the Inion Spinal Graft Containment System™ risk analysis, the scope of this clinical evaluation comes from the intended performance and clinical residual risks in the risk analysis of these products:</w:t>
      </w:r>
    </w:p>
    <w:p w14:paraId="53DA9F61">
      <w:pPr>
        <w:autoSpaceDE w:val="0"/>
        <w:autoSpaceDN w:val="0"/>
        <w:adjustRightInd w:val="0"/>
        <w:jc w:val="both"/>
      </w:pPr>
    </w:p>
    <w:p w14:paraId="5F158F9B">
      <w:pPr>
        <w:autoSpaceDE w:val="0"/>
        <w:autoSpaceDN w:val="0"/>
        <w:adjustRightInd w:val="0"/>
        <w:spacing w:after="22"/>
        <w:ind w:left="284" w:hanging="284"/>
        <w:jc w:val="both"/>
        <w:rPr>
          <w:rFonts w:cs="Calibri"/>
          <w:color w:val="000000"/>
          <w:lang w:eastAsia="fi-FI"/>
        </w:rPr>
      </w:pPr>
      <w:r>
        <w:rPr>
          <w:rFonts w:cs="Calibri"/>
          <w:color w:val="000000"/>
          <w:lang w:eastAsia="fi-FI"/>
        </w:rPr>
        <w:t xml:space="preserve">1. Bioabsorbable plates and screws as graft containment method for spinal fusion procedures: sufficient strength to maintain relative position of autograft or allograft during spinal fusion and degradation thereafter. </w:t>
      </w:r>
    </w:p>
    <w:p w14:paraId="3327E9F2">
      <w:pPr>
        <w:autoSpaceDE w:val="0"/>
        <w:autoSpaceDN w:val="0"/>
        <w:adjustRightInd w:val="0"/>
        <w:spacing w:after="22"/>
        <w:jc w:val="both"/>
        <w:rPr>
          <w:rFonts w:cs="Calibri"/>
          <w:color w:val="000000"/>
          <w:lang w:eastAsia="fi-FI"/>
        </w:rPr>
      </w:pPr>
      <w:r>
        <w:rPr>
          <w:rFonts w:cs="Calibri"/>
          <w:color w:val="000000"/>
          <w:lang w:eastAsia="fi-FI"/>
        </w:rPr>
        <w:t xml:space="preserve">2. Biocompatibility: postoperative tissue reactions in short and long term </w:t>
      </w:r>
    </w:p>
    <w:p w14:paraId="195ED624">
      <w:pPr>
        <w:autoSpaceDE w:val="0"/>
        <w:autoSpaceDN w:val="0"/>
        <w:adjustRightInd w:val="0"/>
        <w:jc w:val="both"/>
        <w:rPr>
          <w:rFonts w:cs="Calibri"/>
          <w:color w:val="000000"/>
          <w:lang w:eastAsia="fi-FI"/>
        </w:rPr>
      </w:pPr>
      <w:r>
        <w:rPr>
          <w:rFonts w:cs="Calibri"/>
          <w:color w:val="000000"/>
          <w:lang w:eastAsia="fi-FI"/>
        </w:rPr>
        <w:t>3. Issues related to insertion such as implant breakage, instrumentation issues.</w:t>
      </w:r>
    </w:p>
    <w:p w14:paraId="10838032">
      <w:pPr>
        <w:jc w:val="both"/>
      </w:pPr>
    </w:p>
    <w:p w14:paraId="0E586198">
      <w:pPr>
        <w:pStyle w:val="3"/>
      </w:pPr>
      <w:bookmarkStart w:id="3" w:name="_Toc480979547"/>
      <w:r>
        <w:t>Device description</w:t>
      </w:r>
      <w:bookmarkEnd w:id="3"/>
    </w:p>
    <w:p w14:paraId="0D73D078">
      <w:pPr>
        <w:autoSpaceDE w:val="0"/>
        <w:autoSpaceDN w:val="0"/>
        <w:adjustRightInd w:val="0"/>
        <w:jc w:val="both"/>
        <w:rPr>
          <w:lang w:val="en-GB"/>
        </w:rPr>
      </w:pPr>
      <w:r>
        <w:t xml:space="preserve">This Clinical Evaluation Report (CER) focuses on Inion Spinal Graft Containment System™ implants and instruments, which have been developed by the project name </w:t>
      </w:r>
      <w:r>
        <w:rPr>
          <w:i/>
        </w:rPr>
        <w:t>Inion Spinal Graft Containment System, D358</w:t>
      </w:r>
      <w:r>
        <w:t xml:space="preserve"> </w:t>
      </w:r>
      <w:r>
        <w:rPr>
          <w:lang w:val="en-GB"/>
        </w:rPr>
        <w:t>by Inion Oy, Lääkärinkatu 2, FI-33520 Tampere Finland, and thereafter extended with new products and modifications in subsequent development project</w:t>
      </w:r>
      <w:r>
        <w:t xml:space="preserve"> </w:t>
      </w:r>
      <w:r>
        <w:rPr>
          <w:i/>
        </w:rPr>
        <w:t>Inion S-2 Plate line extension project, D338</w:t>
      </w:r>
      <w:r>
        <w:rPr>
          <w:lang w:val="en-GB"/>
        </w:rPr>
        <w:t>. The line extension products for Inion S-2 (D338) have not been submitted for CE mark assessment at this time, but have been developed and are in clinical use in other markets.</w:t>
      </w:r>
    </w:p>
    <w:p w14:paraId="31CEE6D1">
      <w:pPr>
        <w:autoSpaceDE w:val="0"/>
        <w:autoSpaceDN w:val="0"/>
        <w:adjustRightInd w:val="0"/>
        <w:jc w:val="both"/>
        <w:rPr>
          <w:lang w:val="en-GB"/>
        </w:rPr>
      </w:pPr>
    </w:p>
    <w:p w14:paraId="1102A1B8">
      <w:pPr>
        <w:autoSpaceDE w:val="0"/>
        <w:autoSpaceDN w:val="0"/>
        <w:adjustRightInd w:val="0"/>
        <w:jc w:val="both"/>
      </w:pPr>
      <w:r>
        <w:rPr>
          <w:rFonts w:hint="eastAsia"/>
          <w:lang w:val="en-GB" w:eastAsia="zh-CN"/>
        </w:rPr>
        <w:t>The</w:t>
      </w:r>
      <w:r>
        <w:rPr>
          <w:lang w:val="en-GB" w:eastAsia="zh-CN"/>
        </w:rPr>
        <w:t xml:space="preserve"> </w:t>
      </w:r>
      <w:r>
        <w:rPr>
          <w:rFonts w:hint="eastAsia"/>
          <w:lang w:val="en-GB" w:eastAsia="zh-CN"/>
        </w:rPr>
        <w:t>first</w:t>
      </w:r>
      <w:r>
        <w:rPr>
          <w:lang w:val="en-GB" w:eastAsia="zh-CN"/>
        </w:rPr>
        <w:t xml:space="preserve"> generation </w:t>
      </w:r>
      <w:r>
        <w:rPr>
          <w:lang w:val="en-GB"/>
        </w:rPr>
        <w:t xml:space="preserve">Inion S-1 was launched to the market in 2005. The current generation </w:t>
      </w:r>
      <w:r>
        <w:t xml:space="preserve">Inion Spinal Graft Containment System™ </w:t>
      </w:r>
      <w:r>
        <w:rPr>
          <w:lang w:val="en-GB"/>
        </w:rPr>
        <w:t>was CE marked and launched to the market in 2007. Since then, the Inion S-1 and/or Inion S-2 products have been distributed in Europe, USA, and China. Since placing into market, it is estimated that approximately 1500 surgical operations have been conducted with Inion S-1 implants and about 200 operations with Inion S-2 implants. In addition, a similar product family Inion S-1™ Anterior Cervical Fusion system has been marketed since 2005 with an estimated number of 1600 operations up till today.</w:t>
      </w:r>
    </w:p>
    <w:p w14:paraId="66A6B8D9">
      <w:pPr>
        <w:autoSpaceDE w:val="0"/>
        <w:autoSpaceDN w:val="0"/>
        <w:adjustRightInd w:val="0"/>
        <w:jc w:val="both"/>
      </w:pPr>
    </w:p>
    <w:p w14:paraId="45630AFD">
      <w:pPr>
        <w:autoSpaceDE w:val="0"/>
        <w:autoSpaceDN w:val="0"/>
        <w:adjustRightInd w:val="0"/>
        <w:jc w:val="both"/>
        <w:rPr>
          <w:i/>
          <w:lang w:val="en-GB"/>
        </w:rPr>
      </w:pPr>
    </w:p>
    <w:p w14:paraId="1ADF35CB">
      <w:pPr>
        <w:pStyle w:val="4"/>
      </w:pPr>
      <w:bookmarkStart w:id="4" w:name="_Toc459195974"/>
      <w:bookmarkStart w:id="5" w:name="_Toc480979548"/>
      <w:r>
        <w:t>Components</w:t>
      </w:r>
      <w:bookmarkEnd w:id="4"/>
      <w:bookmarkEnd w:id="5"/>
    </w:p>
    <w:p w14:paraId="7BE30EF5">
      <w:pPr>
        <w:jc w:val="both"/>
        <w:rPr>
          <w:rFonts w:cs="Arial"/>
        </w:rPr>
      </w:pPr>
      <w:r>
        <w:t>The Inion Spinal Graft Containment System™ implants</w:t>
      </w:r>
      <w:r>
        <w:rPr>
          <w:color w:val="000000"/>
        </w:rPr>
        <w:t xml:space="preserve"> include </w:t>
      </w:r>
      <w:r>
        <w:rPr>
          <w:rFonts w:cs="Arial"/>
        </w:rPr>
        <w:t>plates and screws</w:t>
      </w:r>
      <w:r>
        <w:t xml:space="preserve"> </w:t>
      </w:r>
      <w:r>
        <w:rPr>
          <w:rFonts w:cs="Arial"/>
        </w:rPr>
        <w:t>offered in different shapes and sizes, which are presented in Tables 1 and 2</w:t>
      </w:r>
      <w:r>
        <w:rPr>
          <w:rFonts w:cs="Arial"/>
          <w:i/>
        </w:rPr>
        <w:t xml:space="preserve"> </w:t>
      </w:r>
      <w:r>
        <w:rPr>
          <w:rFonts w:cs="Arial"/>
        </w:rPr>
        <w:t>below.  The plates and screws</w:t>
      </w:r>
      <w:r>
        <w:rPr>
          <w:rFonts w:cs="Arial"/>
          <w:i/>
        </w:rPr>
        <w:t xml:space="preserve"> </w:t>
      </w:r>
      <w:r>
        <w:rPr>
          <w:rFonts w:cs="Arial"/>
        </w:rPr>
        <w:t>are provided sterile by</w:t>
      </w:r>
      <w:r>
        <w:rPr>
          <w:rFonts w:cs="Arial"/>
          <w:i/>
        </w:rPr>
        <w:t xml:space="preserve"> </w:t>
      </w:r>
      <w:r>
        <w:rPr>
          <w:rFonts w:cs="Arial"/>
        </w:rPr>
        <w:t>ionizing irradiation</w:t>
      </w:r>
      <w:r>
        <w:rPr>
          <w:rFonts w:cs="Arial"/>
          <w:i/>
        </w:rPr>
        <w:t xml:space="preserve">.  </w:t>
      </w:r>
      <w:r>
        <w:rPr>
          <w:rFonts w:cs="Arial"/>
        </w:rPr>
        <w:t>They are intended for single use and shall not be re-sterilized or re-used. The implants are classified as Class III (93/42/EEC Annex IX Rule 8: Implantable and long-term surgically invasive devices, biodegradable).</w:t>
      </w:r>
    </w:p>
    <w:p w14:paraId="7670C6FB">
      <w:pPr>
        <w:jc w:val="both"/>
      </w:pPr>
    </w:p>
    <w:p w14:paraId="60CDB390">
      <w:pPr>
        <w:jc w:val="both"/>
      </w:pPr>
      <w:r>
        <w:t>The implants are presented in Pictures 1-2.</w:t>
      </w:r>
    </w:p>
    <w:p w14:paraId="25427031">
      <w:pPr>
        <w:jc w:val="both"/>
      </w:pPr>
    </w:p>
    <w:p w14:paraId="31D9942B">
      <w:pPr>
        <w:jc w:val="both"/>
        <w:rPr>
          <w:color w:val="000000"/>
          <w:lang w:val="en-GB"/>
        </w:rPr>
      </w:pPr>
      <w:r>
        <w:rPr>
          <w:bCs/>
        </w:rPr>
        <w:t xml:space="preserve">The </w:t>
      </w:r>
      <w:r>
        <w:t>Inion Spinal Graft Containment System™</w:t>
      </w:r>
      <w:r>
        <w:rPr>
          <w:bCs/>
        </w:rPr>
        <w:t xml:space="preserve"> implants are designed to be implanted using specific accessory instrumentation such as</w:t>
      </w:r>
      <w:r>
        <w:t xml:space="preserve"> </w:t>
      </w:r>
      <w:r>
        <w:rPr>
          <w:bCs/>
        </w:rPr>
        <w:t>drill bits, threading taps, awl, plate holder, drill guides, screw driver, temporary fixation screw, screw removal instrument, plate templates, and a heating device</w:t>
      </w:r>
      <w:r>
        <w:rPr>
          <w:rFonts w:cs="Arial"/>
        </w:rPr>
        <w:t>.</w:t>
      </w:r>
      <w:r>
        <w:rPr>
          <w:lang w:val="en-GB"/>
        </w:rPr>
        <w:t xml:space="preserve">  The accessory instruments are provided non-sterile and are re-usable.  They are intended to be cleaned, disinfected and sterilized by the user with the steam sterilization. Instructions for cleaning and disinfection of reusable instruments are provided to the user in each instrument package.</w:t>
      </w:r>
    </w:p>
    <w:p w14:paraId="1D2FD021">
      <w:pPr>
        <w:jc w:val="both"/>
      </w:pPr>
    </w:p>
    <w:p w14:paraId="278AA207">
      <w:pPr>
        <w:jc w:val="both"/>
        <w:rPr>
          <w:i/>
          <w:lang w:val="en-GB"/>
        </w:rPr>
      </w:pPr>
      <w:r>
        <w:t>The accessory instruments include devices in Class I (93/42/EEC Annex IX Rule 6: Non-sterile, reusable surgically invasive instruments intended for transient use) and Class IIa (Rule 6 and connected to active device).</w:t>
      </w:r>
    </w:p>
    <w:p w14:paraId="13452AB3">
      <w:pPr>
        <w:jc w:val="both"/>
      </w:pPr>
    </w:p>
    <w:p w14:paraId="6484B419">
      <w:pPr>
        <w:pStyle w:val="11"/>
        <w:jc w:val="center"/>
        <w:rPr>
          <w:b w:val="0"/>
          <w:bCs w:val="0"/>
          <w:i/>
          <w:sz w:val="24"/>
          <w:szCs w:val="24"/>
        </w:rPr>
      </w:pPr>
      <w:r>
        <w:rPr>
          <w:b w:val="0"/>
          <w:bCs w:val="0"/>
          <w:i/>
          <w:sz w:val="24"/>
          <w:szCs w:val="24"/>
          <w:lang w:eastAsia="zh-CN"/>
        </w:rPr>
        <w:drawing>
          <wp:inline distT="0" distB="0" distL="0" distR="0">
            <wp:extent cx="1714500" cy="2038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14500" cy="2038350"/>
                    </a:xfrm>
                    <a:prstGeom prst="rect">
                      <a:avLst/>
                    </a:prstGeom>
                    <a:noFill/>
                    <a:ln>
                      <a:noFill/>
                    </a:ln>
                  </pic:spPr>
                </pic:pic>
              </a:graphicData>
            </a:graphic>
          </wp:inline>
        </w:drawing>
      </w:r>
    </w:p>
    <w:p w14:paraId="037F811F">
      <w:pPr>
        <w:pStyle w:val="11"/>
        <w:jc w:val="both"/>
        <w:rPr>
          <w:b w:val="0"/>
          <w:bCs w:val="0"/>
          <w:sz w:val="24"/>
          <w:szCs w:val="24"/>
        </w:rPr>
      </w:pPr>
      <w:r>
        <w:rPr>
          <w:b w:val="0"/>
          <w:bCs w:val="0"/>
          <w:sz w:val="24"/>
          <w:szCs w:val="24"/>
        </w:rPr>
        <w:t>Picture 1. Inion S-1</w:t>
      </w:r>
      <w:r>
        <w:rPr>
          <w:b w:val="0"/>
          <w:bCs w:val="0"/>
          <w:sz w:val="24"/>
          <w:szCs w:val="24"/>
          <w:vertAlign w:val="superscript"/>
        </w:rPr>
        <w:t>TM</w:t>
      </w:r>
      <w:r>
        <w:rPr>
          <w:b w:val="0"/>
          <w:bCs w:val="0"/>
          <w:sz w:val="24"/>
          <w:szCs w:val="24"/>
        </w:rPr>
        <w:t xml:space="preserve"> Plate/Screw construct</w:t>
      </w:r>
    </w:p>
    <w:p w14:paraId="421B4C3E">
      <w:pPr>
        <w:jc w:val="center"/>
      </w:pPr>
      <w:r>
        <w:rPr>
          <w:lang w:eastAsia="zh-CN"/>
        </w:rPr>
        <w:drawing>
          <wp:inline distT="0" distB="0" distL="0" distR="0">
            <wp:extent cx="1885950" cy="2124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85950" cy="2124075"/>
                    </a:xfrm>
                    <a:prstGeom prst="rect">
                      <a:avLst/>
                    </a:prstGeom>
                    <a:noFill/>
                    <a:ln>
                      <a:noFill/>
                    </a:ln>
                  </pic:spPr>
                </pic:pic>
              </a:graphicData>
            </a:graphic>
          </wp:inline>
        </w:drawing>
      </w:r>
      <w:r>
        <w:t xml:space="preserve">     </w:t>
      </w:r>
      <w:r>
        <w:rPr>
          <w:lang w:eastAsia="zh-CN"/>
        </w:rPr>
        <w:drawing>
          <wp:inline distT="0" distB="0" distL="0" distR="0">
            <wp:extent cx="2095500" cy="2076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95500" cy="2076450"/>
                    </a:xfrm>
                    <a:prstGeom prst="rect">
                      <a:avLst/>
                    </a:prstGeom>
                    <a:noFill/>
                    <a:ln>
                      <a:noFill/>
                    </a:ln>
                  </pic:spPr>
                </pic:pic>
              </a:graphicData>
            </a:graphic>
          </wp:inline>
        </w:drawing>
      </w:r>
    </w:p>
    <w:p w14:paraId="6DDF2AFD">
      <w:pPr>
        <w:pStyle w:val="11"/>
        <w:jc w:val="both"/>
        <w:rPr>
          <w:b w:val="0"/>
          <w:bCs w:val="0"/>
          <w:sz w:val="24"/>
          <w:szCs w:val="24"/>
        </w:rPr>
      </w:pPr>
      <w:r>
        <w:rPr>
          <w:b w:val="0"/>
          <w:bCs w:val="0"/>
          <w:sz w:val="24"/>
          <w:szCs w:val="24"/>
        </w:rPr>
        <w:t>Picture 2. Inion S-2</w:t>
      </w:r>
      <w:r>
        <w:rPr>
          <w:b w:val="0"/>
          <w:bCs w:val="0"/>
          <w:sz w:val="24"/>
          <w:szCs w:val="24"/>
          <w:vertAlign w:val="superscript"/>
        </w:rPr>
        <w:t>TM</w:t>
      </w:r>
      <w:r>
        <w:rPr>
          <w:b w:val="0"/>
          <w:bCs w:val="0"/>
          <w:sz w:val="24"/>
          <w:szCs w:val="24"/>
        </w:rPr>
        <w:t xml:space="preserve"> Plate/Screw construct (Original Plate on the left and line extension plate (for US only) on the right) </w:t>
      </w:r>
    </w:p>
    <w:p w14:paraId="59826B85"/>
    <w:p w14:paraId="4DB43F86">
      <w:pPr>
        <w:pStyle w:val="14"/>
        <w:rPr>
          <w:rFonts w:ascii="Calibri" w:hAnsi="Calibri"/>
        </w:rPr>
      </w:pPr>
      <w:bookmarkStart w:id="6" w:name="_Toc480979580"/>
      <w:r>
        <w:rPr>
          <w:rFonts w:ascii="Calibri" w:hAnsi="Calibri"/>
        </w:rPr>
        <w:t>Table 1. List of implants, Inion S-1</w:t>
      </w:r>
      <w:r>
        <w:rPr>
          <w:rFonts w:ascii="Calibri" w:hAnsi="Calibri"/>
          <w:vertAlign w:val="superscript"/>
        </w:rPr>
        <w:t>TM</w:t>
      </w:r>
      <w:r>
        <w:rPr>
          <w:rFonts w:ascii="Calibri" w:hAnsi="Calibri"/>
        </w:rPr>
        <w:t xml:space="preserve"> System</w:t>
      </w:r>
      <w:bookmarkEnd w:id="6"/>
      <w:r>
        <w:rPr>
          <w:rFonts w:ascii="Calibri" w:hAnsi="Calibri"/>
        </w:rPr>
        <w:t xml:space="preserve"> </w:t>
      </w:r>
    </w:p>
    <w:p w14:paraId="7DD20582">
      <w:pPr>
        <w:pStyle w:val="14"/>
        <w:rPr>
          <w:rFonts w:ascii="Calibri" w:hAnsi="Calibri"/>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627"/>
      </w:tblGrid>
      <w:tr w14:paraId="32C4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5B19FD13">
            <w:pPr>
              <w:jc w:val="both"/>
              <w:rPr>
                <w:b/>
              </w:rPr>
            </w:pPr>
            <w:bookmarkStart w:id="7" w:name="_Toc459195975"/>
            <w:r>
              <w:rPr>
                <w:b/>
              </w:rPr>
              <w:t>REF-number</w:t>
            </w:r>
          </w:p>
        </w:tc>
        <w:tc>
          <w:tcPr>
            <w:tcW w:w="3739" w:type="pct"/>
            <w:shd w:val="clear" w:color="auto" w:fill="auto"/>
          </w:tcPr>
          <w:p w14:paraId="717A3C38">
            <w:pPr>
              <w:jc w:val="both"/>
              <w:rPr>
                <w:b/>
              </w:rPr>
            </w:pPr>
            <w:r>
              <w:rPr>
                <w:b/>
              </w:rPr>
              <w:t>Description</w:t>
            </w:r>
          </w:p>
        </w:tc>
      </w:tr>
      <w:tr w14:paraId="18E1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156DA4B4">
            <w:r>
              <w:t xml:space="preserve">SPN-5415 </w:t>
            </w:r>
          </w:p>
        </w:tc>
        <w:tc>
          <w:tcPr>
            <w:tcW w:w="3739" w:type="pct"/>
            <w:shd w:val="clear" w:color="auto" w:fill="auto"/>
          </w:tcPr>
          <w:p w14:paraId="3621CABB">
            <w:r>
              <w:t xml:space="preserve">Inion SGCS 120 x 80 x 0.75 mm Plate </w:t>
            </w:r>
          </w:p>
        </w:tc>
      </w:tr>
      <w:tr w14:paraId="71F7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2848A471">
            <w:r>
              <w:t xml:space="preserve">SPN-5010 </w:t>
            </w:r>
          </w:p>
        </w:tc>
        <w:tc>
          <w:tcPr>
            <w:tcW w:w="3739" w:type="pct"/>
            <w:shd w:val="clear" w:color="auto" w:fill="auto"/>
          </w:tcPr>
          <w:p w14:paraId="3C1E3665">
            <w:r>
              <w:t xml:space="preserve">Inion SGCS 21 x 19 x 2.0 mm Plate, 4 holes </w:t>
            </w:r>
          </w:p>
        </w:tc>
      </w:tr>
      <w:tr w14:paraId="686D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0170D329">
            <w:r>
              <w:t xml:space="preserve">SPN-5011 </w:t>
            </w:r>
          </w:p>
        </w:tc>
        <w:tc>
          <w:tcPr>
            <w:tcW w:w="3739" w:type="pct"/>
            <w:shd w:val="clear" w:color="auto" w:fill="auto"/>
          </w:tcPr>
          <w:p w14:paraId="11FBFCD2">
            <w:r>
              <w:t xml:space="preserve">Inion SGCS 23 x 19 x 2.0 mm Plate, 4 holes </w:t>
            </w:r>
          </w:p>
        </w:tc>
      </w:tr>
      <w:tr w14:paraId="020E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494D6D84">
            <w:r>
              <w:t xml:space="preserve">SPN-5012 </w:t>
            </w:r>
          </w:p>
        </w:tc>
        <w:tc>
          <w:tcPr>
            <w:tcW w:w="3739" w:type="pct"/>
            <w:shd w:val="clear" w:color="auto" w:fill="auto"/>
          </w:tcPr>
          <w:p w14:paraId="3011171E">
            <w:r>
              <w:t xml:space="preserve">Inion SGCS 25 x 19 x 2.0 mm Plate, 4 holes </w:t>
            </w:r>
          </w:p>
        </w:tc>
      </w:tr>
      <w:tr w14:paraId="1E79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08A9D49D">
            <w:r>
              <w:t xml:space="preserve">SPN-5013 </w:t>
            </w:r>
          </w:p>
        </w:tc>
        <w:tc>
          <w:tcPr>
            <w:tcW w:w="3739" w:type="pct"/>
            <w:shd w:val="clear" w:color="auto" w:fill="auto"/>
          </w:tcPr>
          <w:p w14:paraId="1F205068">
            <w:r>
              <w:t xml:space="preserve">Inion SGCS 27 x 19 x 2.0 mm Plate, 4 holes </w:t>
            </w:r>
          </w:p>
        </w:tc>
      </w:tr>
      <w:tr w14:paraId="2F82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02EF7E06">
            <w:r>
              <w:t xml:space="preserve">SPN-5014 </w:t>
            </w:r>
          </w:p>
        </w:tc>
        <w:tc>
          <w:tcPr>
            <w:tcW w:w="3739" w:type="pct"/>
            <w:shd w:val="clear" w:color="auto" w:fill="auto"/>
          </w:tcPr>
          <w:p w14:paraId="28563BFD">
            <w:r>
              <w:t xml:space="preserve">Inion SGCS 29 x 19 x 2.0 mm Plate, 4 holes </w:t>
            </w:r>
          </w:p>
        </w:tc>
      </w:tr>
      <w:tr w14:paraId="71F0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3EA66753">
            <w:r>
              <w:t xml:space="preserve">SPN-5015 </w:t>
            </w:r>
          </w:p>
        </w:tc>
        <w:tc>
          <w:tcPr>
            <w:tcW w:w="3739" w:type="pct"/>
            <w:shd w:val="clear" w:color="auto" w:fill="auto"/>
          </w:tcPr>
          <w:p w14:paraId="408D058E">
            <w:r>
              <w:t xml:space="preserve">Inion SGCS 31 x 19 x 2.0 mm Plate, 4 holes </w:t>
            </w:r>
          </w:p>
        </w:tc>
      </w:tr>
      <w:tr w14:paraId="2EF1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325111B1">
            <w:r>
              <w:t xml:space="preserve">SPN-5016 </w:t>
            </w:r>
          </w:p>
        </w:tc>
        <w:tc>
          <w:tcPr>
            <w:tcW w:w="3739" w:type="pct"/>
            <w:shd w:val="clear" w:color="auto" w:fill="auto"/>
          </w:tcPr>
          <w:p w14:paraId="4934A370">
            <w:r>
              <w:t xml:space="preserve">Inion SGCS 33 x 19 x 2.0 mm Plate, 6 holes </w:t>
            </w:r>
          </w:p>
        </w:tc>
      </w:tr>
      <w:tr w14:paraId="75D3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08463AB5">
            <w:r>
              <w:t xml:space="preserve">SPN-5017 </w:t>
            </w:r>
          </w:p>
        </w:tc>
        <w:tc>
          <w:tcPr>
            <w:tcW w:w="3739" w:type="pct"/>
            <w:shd w:val="clear" w:color="auto" w:fill="auto"/>
          </w:tcPr>
          <w:p w14:paraId="3ADE927D">
            <w:r>
              <w:t xml:space="preserve">Inion SGCS 36 x 19 x 2.0 mm Plate, 6 holes </w:t>
            </w:r>
          </w:p>
        </w:tc>
      </w:tr>
      <w:tr w14:paraId="6226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4956488D">
            <w:r>
              <w:t xml:space="preserve">SPN-5018 </w:t>
            </w:r>
          </w:p>
        </w:tc>
        <w:tc>
          <w:tcPr>
            <w:tcW w:w="3739" w:type="pct"/>
            <w:shd w:val="clear" w:color="auto" w:fill="auto"/>
          </w:tcPr>
          <w:p w14:paraId="2C5EA1D5">
            <w:r>
              <w:t xml:space="preserve">Inion SGCS 39 x 19 x 2.0 mm Plate, 6 holes </w:t>
            </w:r>
          </w:p>
        </w:tc>
      </w:tr>
      <w:tr w14:paraId="3C1D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0AED6DD7">
            <w:r>
              <w:t xml:space="preserve">SPN-5019 </w:t>
            </w:r>
          </w:p>
        </w:tc>
        <w:tc>
          <w:tcPr>
            <w:tcW w:w="3739" w:type="pct"/>
            <w:shd w:val="clear" w:color="auto" w:fill="auto"/>
          </w:tcPr>
          <w:p w14:paraId="06B0FF0A">
            <w:r>
              <w:t xml:space="preserve">Inion SGCS 42 x 19 x 2.0 mm Plate, 6 holes </w:t>
            </w:r>
          </w:p>
        </w:tc>
      </w:tr>
      <w:tr w14:paraId="42E6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641E457C">
            <w:r>
              <w:t xml:space="preserve">SPN-5020 </w:t>
            </w:r>
          </w:p>
        </w:tc>
        <w:tc>
          <w:tcPr>
            <w:tcW w:w="3739" w:type="pct"/>
            <w:shd w:val="clear" w:color="auto" w:fill="auto"/>
          </w:tcPr>
          <w:p w14:paraId="6EC3E846">
            <w:r>
              <w:t xml:space="preserve">Inion SGCS 45 x 19 x 2.0 mm Plate, 6 holes </w:t>
            </w:r>
          </w:p>
        </w:tc>
      </w:tr>
      <w:tr w14:paraId="11FB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52B90F58">
            <w:r>
              <w:t xml:space="preserve">SPN-5021 </w:t>
            </w:r>
          </w:p>
        </w:tc>
        <w:tc>
          <w:tcPr>
            <w:tcW w:w="3739" w:type="pct"/>
            <w:shd w:val="clear" w:color="auto" w:fill="auto"/>
          </w:tcPr>
          <w:p w14:paraId="09B17919">
            <w:r>
              <w:t xml:space="preserve">Inion SGCS 48 x 19 x 2.0 mm Plate, 6 holes </w:t>
            </w:r>
          </w:p>
        </w:tc>
      </w:tr>
      <w:tr w14:paraId="1F70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1317941E">
            <w:r>
              <w:t xml:space="preserve">SPN-5509 </w:t>
            </w:r>
          </w:p>
        </w:tc>
        <w:tc>
          <w:tcPr>
            <w:tcW w:w="3739" w:type="pct"/>
            <w:shd w:val="clear" w:color="auto" w:fill="auto"/>
          </w:tcPr>
          <w:p w14:paraId="25B2FABA">
            <w:r>
              <w:t xml:space="preserve">Inion SGCS 2.5 x 8 mm Screw </w:t>
            </w:r>
          </w:p>
        </w:tc>
      </w:tr>
      <w:tr w14:paraId="64DC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3C26AAB5">
            <w:r>
              <w:t xml:space="preserve">SPN-5220 </w:t>
            </w:r>
          </w:p>
        </w:tc>
        <w:tc>
          <w:tcPr>
            <w:tcW w:w="3739" w:type="pct"/>
            <w:shd w:val="clear" w:color="auto" w:fill="auto"/>
          </w:tcPr>
          <w:p w14:paraId="7D49420A">
            <w:r>
              <w:t xml:space="preserve">Inion SGCS 4.5 x 12 mm Screw </w:t>
            </w:r>
          </w:p>
        </w:tc>
      </w:tr>
      <w:tr w14:paraId="1122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21DE4A7D">
            <w:r>
              <w:t xml:space="preserve">SPN-5221 </w:t>
            </w:r>
          </w:p>
        </w:tc>
        <w:tc>
          <w:tcPr>
            <w:tcW w:w="3739" w:type="pct"/>
            <w:shd w:val="clear" w:color="auto" w:fill="auto"/>
          </w:tcPr>
          <w:p w14:paraId="04CE2205">
            <w:r>
              <w:t xml:space="preserve">Inion SGCS 4.5 x 14 mm Screw </w:t>
            </w:r>
          </w:p>
        </w:tc>
      </w:tr>
      <w:tr w14:paraId="7588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49CE61D1">
            <w:r>
              <w:t xml:space="preserve">SPN-5222 </w:t>
            </w:r>
          </w:p>
        </w:tc>
        <w:tc>
          <w:tcPr>
            <w:tcW w:w="3739" w:type="pct"/>
            <w:shd w:val="clear" w:color="auto" w:fill="auto"/>
          </w:tcPr>
          <w:p w14:paraId="1181610E">
            <w:r>
              <w:t xml:space="preserve">Inion SGCS 4.5 x 16 mm Screw </w:t>
            </w:r>
          </w:p>
        </w:tc>
      </w:tr>
      <w:tr w14:paraId="71DE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7247315E">
            <w:r>
              <w:t xml:space="preserve">SPN-5223 </w:t>
            </w:r>
          </w:p>
        </w:tc>
        <w:tc>
          <w:tcPr>
            <w:tcW w:w="3739" w:type="pct"/>
            <w:shd w:val="clear" w:color="auto" w:fill="auto"/>
          </w:tcPr>
          <w:p w14:paraId="060909EF">
            <w:r>
              <w:t xml:space="preserve">Inion SGCS 5.0 x 12 mm Screw </w:t>
            </w:r>
          </w:p>
        </w:tc>
      </w:tr>
      <w:tr w14:paraId="48AB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0F183340">
            <w:r>
              <w:t xml:space="preserve">SPN-5224 </w:t>
            </w:r>
          </w:p>
        </w:tc>
        <w:tc>
          <w:tcPr>
            <w:tcW w:w="3739" w:type="pct"/>
            <w:shd w:val="clear" w:color="auto" w:fill="auto"/>
          </w:tcPr>
          <w:p w14:paraId="7A3FF52C">
            <w:r>
              <w:t xml:space="preserve">Inion SGCS 5.0 x 14 mm Screw </w:t>
            </w:r>
          </w:p>
        </w:tc>
      </w:tr>
      <w:tr w14:paraId="7D85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pct"/>
            <w:shd w:val="clear" w:color="auto" w:fill="auto"/>
          </w:tcPr>
          <w:p w14:paraId="27599970">
            <w:r>
              <w:t xml:space="preserve">SPN-5225 </w:t>
            </w:r>
          </w:p>
        </w:tc>
        <w:tc>
          <w:tcPr>
            <w:tcW w:w="3739" w:type="pct"/>
            <w:shd w:val="clear" w:color="auto" w:fill="auto"/>
          </w:tcPr>
          <w:p w14:paraId="32E1ECC8">
            <w:r>
              <w:t xml:space="preserve">Inion SGCS 5.0 x 16 mm Screw </w:t>
            </w:r>
          </w:p>
        </w:tc>
      </w:tr>
    </w:tbl>
    <w:p w14:paraId="10795AE5">
      <w:pPr>
        <w:pStyle w:val="14"/>
        <w:rPr>
          <w:rFonts w:ascii="Calibri" w:hAnsi="Calibri"/>
        </w:rPr>
      </w:pPr>
    </w:p>
    <w:p w14:paraId="378D918A">
      <w:pPr>
        <w:pStyle w:val="14"/>
        <w:rPr>
          <w:rFonts w:ascii="Calibri" w:hAnsi="Calibri"/>
        </w:rPr>
      </w:pPr>
      <w:r>
        <w:rPr>
          <w:rFonts w:ascii="Calibri" w:hAnsi="Calibri"/>
        </w:rPr>
        <w:br w:type="page"/>
      </w:r>
    </w:p>
    <w:p w14:paraId="1E49143D">
      <w:pPr>
        <w:pStyle w:val="14"/>
        <w:rPr>
          <w:rFonts w:ascii="Calibri" w:hAnsi="Calibri"/>
        </w:rPr>
      </w:pPr>
      <w:bookmarkStart w:id="8" w:name="_Toc480979581"/>
      <w:r>
        <w:rPr>
          <w:rFonts w:ascii="Calibri" w:hAnsi="Calibri"/>
        </w:rPr>
        <w:t>Table 2. List of implants, Inion S-2</w:t>
      </w:r>
      <w:r>
        <w:rPr>
          <w:rFonts w:ascii="Calibri" w:hAnsi="Calibri"/>
          <w:vertAlign w:val="superscript"/>
        </w:rPr>
        <w:t>TM</w:t>
      </w:r>
      <w:r>
        <w:rPr>
          <w:rFonts w:ascii="Calibri" w:hAnsi="Calibri"/>
        </w:rPr>
        <w:t xml:space="preserve"> System</w:t>
      </w:r>
      <w:bookmarkEnd w:id="8"/>
      <w:r>
        <w:rPr>
          <w:rFonts w:ascii="Calibri" w:hAnsi="Calibri"/>
        </w:rPr>
        <w:t xml:space="preserve"> </w:t>
      </w:r>
    </w:p>
    <w:p w14:paraId="7A2E5F42">
      <w:pPr>
        <w:pStyle w:val="14"/>
        <w:rPr>
          <w:rFonts w:ascii="Calibri" w:hAnsi="Calibri"/>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627"/>
      </w:tblGrid>
      <w:tr w14:paraId="4B0F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0C2C55B8">
            <w:pPr>
              <w:jc w:val="both"/>
              <w:rPr>
                <w:b/>
              </w:rPr>
            </w:pPr>
            <w:r>
              <w:rPr>
                <w:b/>
              </w:rPr>
              <w:t>REF-number</w:t>
            </w:r>
          </w:p>
        </w:tc>
        <w:tc>
          <w:tcPr>
            <w:tcW w:w="6627" w:type="dxa"/>
            <w:shd w:val="clear" w:color="auto" w:fill="auto"/>
          </w:tcPr>
          <w:p w14:paraId="0A276B95">
            <w:pPr>
              <w:jc w:val="both"/>
              <w:rPr>
                <w:b/>
              </w:rPr>
            </w:pPr>
            <w:r>
              <w:rPr>
                <w:b/>
              </w:rPr>
              <w:t>Description</w:t>
            </w:r>
          </w:p>
        </w:tc>
      </w:tr>
      <w:tr w14:paraId="66A1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57882DB0">
            <w:r>
              <w:t xml:space="preserve">SPN-5421* </w:t>
            </w:r>
          </w:p>
        </w:tc>
        <w:tc>
          <w:tcPr>
            <w:tcW w:w="6627" w:type="dxa"/>
            <w:shd w:val="clear" w:color="auto" w:fill="auto"/>
          </w:tcPr>
          <w:p w14:paraId="18ACA5FE">
            <w:r>
              <w:t xml:space="preserve">Plate, 31 mm (16 mm hole span) </w:t>
            </w:r>
          </w:p>
        </w:tc>
      </w:tr>
      <w:tr w14:paraId="6948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778130F3">
            <w:r>
              <w:t xml:space="preserve">SPN-5422* </w:t>
            </w:r>
          </w:p>
        </w:tc>
        <w:tc>
          <w:tcPr>
            <w:tcW w:w="6627" w:type="dxa"/>
            <w:shd w:val="clear" w:color="auto" w:fill="auto"/>
          </w:tcPr>
          <w:p w14:paraId="68235AE1">
            <w:r>
              <w:t xml:space="preserve">Plate, 34 mm (19 mm hole span) </w:t>
            </w:r>
          </w:p>
        </w:tc>
      </w:tr>
      <w:tr w14:paraId="20B5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3032D232">
            <w:r>
              <w:t>SPN-5423*</w:t>
            </w:r>
          </w:p>
        </w:tc>
        <w:tc>
          <w:tcPr>
            <w:tcW w:w="6627" w:type="dxa"/>
            <w:shd w:val="clear" w:color="auto" w:fill="auto"/>
          </w:tcPr>
          <w:p w14:paraId="7BD7B4D6">
            <w:r>
              <w:t xml:space="preserve">Plate, 37 mm (22 mm hole span) </w:t>
            </w:r>
          </w:p>
        </w:tc>
      </w:tr>
      <w:tr w14:paraId="04D8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5184A1B4">
            <w:r>
              <w:t xml:space="preserve">SPN-5424* </w:t>
            </w:r>
          </w:p>
        </w:tc>
        <w:tc>
          <w:tcPr>
            <w:tcW w:w="6627" w:type="dxa"/>
            <w:shd w:val="clear" w:color="auto" w:fill="auto"/>
          </w:tcPr>
          <w:p w14:paraId="4701BECC">
            <w:r>
              <w:t xml:space="preserve">Plate, 40 mm (25 mm hole span) </w:t>
            </w:r>
          </w:p>
        </w:tc>
      </w:tr>
      <w:tr w14:paraId="1FD5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1DE650C6">
            <w:r>
              <w:t xml:space="preserve">SPN-5416 </w:t>
            </w:r>
          </w:p>
        </w:tc>
        <w:tc>
          <w:tcPr>
            <w:tcW w:w="6627" w:type="dxa"/>
            <w:shd w:val="clear" w:color="auto" w:fill="auto"/>
          </w:tcPr>
          <w:p w14:paraId="750679EA">
            <w:r>
              <w:t xml:space="preserve">Inion SGCS 120 x 80 x 0.75 mm Plate </w:t>
            </w:r>
          </w:p>
        </w:tc>
      </w:tr>
      <w:tr w14:paraId="4720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3D35CA8C">
            <w:r>
              <w:t xml:space="preserve">SPN-5401 </w:t>
            </w:r>
          </w:p>
        </w:tc>
        <w:tc>
          <w:tcPr>
            <w:tcW w:w="6627" w:type="dxa"/>
            <w:shd w:val="clear" w:color="auto" w:fill="auto"/>
          </w:tcPr>
          <w:p w14:paraId="02B4B5A9">
            <w:r>
              <w:t xml:space="preserve">Inion SGCS 37 x 28 x 3.2 mm Plate, 4 holes </w:t>
            </w:r>
          </w:p>
        </w:tc>
      </w:tr>
      <w:tr w14:paraId="73F5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6D0665CE">
            <w:r>
              <w:t xml:space="preserve">SPN-5402 </w:t>
            </w:r>
          </w:p>
        </w:tc>
        <w:tc>
          <w:tcPr>
            <w:tcW w:w="6627" w:type="dxa"/>
            <w:shd w:val="clear" w:color="auto" w:fill="auto"/>
          </w:tcPr>
          <w:p w14:paraId="18922EA1">
            <w:r>
              <w:t xml:space="preserve">Inion SGCS 40 x 28 x 3.2 mm Plate, 4 holes </w:t>
            </w:r>
          </w:p>
        </w:tc>
      </w:tr>
      <w:tr w14:paraId="7D60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14D0CFC2">
            <w:r>
              <w:t xml:space="preserve">SPN-5403 </w:t>
            </w:r>
          </w:p>
        </w:tc>
        <w:tc>
          <w:tcPr>
            <w:tcW w:w="6627" w:type="dxa"/>
            <w:shd w:val="clear" w:color="auto" w:fill="auto"/>
          </w:tcPr>
          <w:p w14:paraId="34F4223A">
            <w:r>
              <w:t xml:space="preserve">Inion SGCS 43 x 28 x 3.2 mm Plate, 4 holes </w:t>
            </w:r>
          </w:p>
        </w:tc>
      </w:tr>
      <w:tr w14:paraId="7A30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325AD415">
            <w:r>
              <w:t xml:space="preserve">SPN-5404 </w:t>
            </w:r>
          </w:p>
        </w:tc>
        <w:tc>
          <w:tcPr>
            <w:tcW w:w="6627" w:type="dxa"/>
            <w:shd w:val="clear" w:color="auto" w:fill="auto"/>
          </w:tcPr>
          <w:p w14:paraId="0F49D00F">
            <w:r>
              <w:t xml:space="preserve">Inion SGCS 46 x 28 x 3.2 mm Plate, 4 holes </w:t>
            </w:r>
          </w:p>
        </w:tc>
      </w:tr>
      <w:tr w14:paraId="4ADB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5C84878A">
            <w:r>
              <w:t xml:space="preserve">SPN-5405 </w:t>
            </w:r>
          </w:p>
        </w:tc>
        <w:tc>
          <w:tcPr>
            <w:tcW w:w="6627" w:type="dxa"/>
            <w:shd w:val="clear" w:color="auto" w:fill="auto"/>
          </w:tcPr>
          <w:p w14:paraId="6D0CC8E0">
            <w:r>
              <w:t xml:space="preserve">Inion SGCS 49 x 28 x 3.2 mm Plate, 4 holes </w:t>
            </w:r>
          </w:p>
        </w:tc>
      </w:tr>
      <w:tr w14:paraId="3F2C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63A32BFD">
            <w:r>
              <w:t xml:space="preserve">SPN-5406 </w:t>
            </w:r>
          </w:p>
        </w:tc>
        <w:tc>
          <w:tcPr>
            <w:tcW w:w="6627" w:type="dxa"/>
            <w:shd w:val="clear" w:color="auto" w:fill="auto"/>
          </w:tcPr>
          <w:p w14:paraId="7E539447">
            <w:r>
              <w:t xml:space="preserve">Inion SGCS 50 x 28 x 3.2 mm Plate, 6 holes </w:t>
            </w:r>
          </w:p>
        </w:tc>
      </w:tr>
      <w:tr w14:paraId="4250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55771C0B">
            <w:r>
              <w:t xml:space="preserve">SPN-5407 </w:t>
            </w:r>
          </w:p>
        </w:tc>
        <w:tc>
          <w:tcPr>
            <w:tcW w:w="6627" w:type="dxa"/>
            <w:shd w:val="clear" w:color="auto" w:fill="auto"/>
          </w:tcPr>
          <w:p w14:paraId="50041B34">
            <w:r>
              <w:t xml:space="preserve">Inion SGCS 53 x 28 x 3.2 mm Plate, 6 holes </w:t>
            </w:r>
          </w:p>
        </w:tc>
      </w:tr>
      <w:tr w14:paraId="2E04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381A97DD">
            <w:r>
              <w:t xml:space="preserve">SPN-5408 </w:t>
            </w:r>
          </w:p>
        </w:tc>
        <w:tc>
          <w:tcPr>
            <w:tcW w:w="6627" w:type="dxa"/>
            <w:shd w:val="clear" w:color="auto" w:fill="auto"/>
          </w:tcPr>
          <w:p w14:paraId="3949103D">
            <w:r>
              <w:t xml:space="preserve">Inion SGCS 56 x 28 x 3.2 mm Plate, 6 holes </w:t>
            </w:r>
          </w:p>
        </w:tc>
      </w:tr>
      <w:tr w14:paraId="3D4A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2EFE60D5">
            <w:r>
              <w:t xml:space="preserve">SPN-5409 </w:t>
            </w:r>
          </w:p>
        </w:tc>
        <w:tc>
          <w:tcPr>
            <w:tcW w:w="6627" w:type="dxa"/>
            <w:shd w:val="clear" w:color="auto" w:fill="auto"/>
          </w:tcPr>
          <w:p w14:paraId="4FC4DC49">
            <w:r>
              <w:t xml:space="preserve">Inion SGCS 59 x 28 x 3.2 mm Plate, 6 holes </w:t>
            </w:r>
          </w:p>
        </w:tc>
      </w:tr>
      <w:tr w14:paraId="0539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4C3B90E6">
            <w:r>
              <w:t xml:space="preserve">SPN-5410 </w:t>
            </w:r>
          </w:p>
        </w:tc>
        <w:tc>
          <w:tcPr>
            <w:tcW w:w="6627" w:type="dxa"/>
            <w:shd w:val="clear" w:color="auto" w:fill="auto"/>
          </w:tcPr>
          <w:p w14:paraId="3EFF7355">
            <w:r>
              <w:t xml:space="preserve">Inion SGCS 62 x 28 x 3.2 mm Plate, 6 holes </w:t>
            </w:r>
          </w:p>
        </w:tc>
      </w:tr>
      <w:tr w14:paraId="2C71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5F995F00">
            <w:r>
              <w:t xml:space="preserve">SPN-5417 </w:t>
            </w:r>
          </w:p>
        </w:tc>
        <w:tc>
          <w:tcPr>
            <w:tcW w:w="6627" w:type="dxa"/>
            <w:shd w:val="clear" w:color="auto" w:fill="auto"/>
          </w:tcPr>
          <w:p w14:paraId="10933318">
            <w:r>
              <w:t xml:space="preserve">Inion SGCS 70 x 35 x 4.5 mm Plate, 6 holes </w:t>
            </w:r>
          </w:p>
        </w:tc>
      </w:tr>
      <w:tr w14:paraId="6606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210A2C5C">
            <w:r>
              <w:t xml:space="preserve">SPN-5508 </w:t>
            </w:r>
          </w:p>
        </w:tc>
        <w:tc>
          <w:tcPr>
            <w:tcW w:w="6627" w:type="dxa"/>
            <w:shd w:val="clear" w:color="auto" w:fill="auto"/>
          </w:tcPr>
          <w:p w14:paraId="4CEFA829">
            <w:r>
              <w:t xml:space="preserve">Inion SGCS 2.5 x 8 mm Screw </w:t>
            </w:r>
          </w:p>
        </w:tc>
      </w:tr>
      <w:tr w14:paraId="0DB2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4EDC24E7">
            <w:r>
              <w:t xml:space="preserve">SPN-5500 </w:t>
            </w:r>
          </w:p>
        </w:tc>
        <w:tc>
          <w:tcPr>
            <w:tcW w:w="6627" w:type="dxa"/>
            <w:shd w:val="clear" w:color="auto" w:fill="auto"/>
          </w:tcPr>
          <w:p w14:paraId="0BD395FE">
            <w:r>
              <w:t xml:space="preserve">Inion SGCS 6.0 x 22 mm Screw </w:t>
            </w:r>
          </w:p>
        </w:tc>
      </w:tr>
      <w:tr w14:paraId="7823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2C106AED">
            <w:r>
              <w:t xml:space="preserve">SPN-5501 </w:t>
            </w:r>
          </w:p>
        </w:tc>
        <w:tc>
          <w:tcPr>
            <w:tcW w:w="6627" w:type="dxa"/>
            <w:shd w:val="clear" w:color="auto" w:fill="auto"/>
          </w:tcPr>
          <w:p w14:paraId="12B232F0">
            <w:r>
              <w:t xml:space="preserve">Inion SGCS 6.0 x 25 mm Screw </w:t>
            </w:r>
          </w:p>
        </w:tc>
      </w:tr>
      <w:tr w14:paraId="470D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35CF3546">
            <w:r>
              <w:t xml:space="preserve">SPN-5502 </w:t>
            </w:r>
          </w:p>
        </w:tc>
        <w:tc>
          <w:tcPr>
            <w:tcW w:w="6627" w:type="dxa"/>
            <w:shd w:val="clear" w:color="auto" w:fill="auto"/>
          </w:tcPr>
          <w:p w14:paraId="6C59DAF8">
            <w:r>
              <w:t xml:space="preserve">Inion SGCS 6.0 x 28 mm Screw </w:t>
            </w:r>
          </w:p>
        </w:tc>
      </w:tr>
      <w:tr w14:paraId="7A79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1252AF98">
            <w:r>
              <w:t xml:space="preserve">SPN-5503 </w:t>
            </w:r>
          </w:p>
        </w:tc>
        <w:tc>
          <w:tcPr>
            <w:tcW w:w="6627" w:type="dxa"/>
            <w:shd w:val="clear" w:color="auto" w:fill="auto"/>
          </w:tcPr>
          <w:p w14:paraId="769A95E8">
            <w:r>
              <w:t xml:space="preserve">Inion SGCS 6.0 x 31 mm Screw </w:t>
            </w:r>
          </w:p>
        </w:tc>
      </w:tr>
      <w:tr w14:paraId="5E73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04B3118D">
            <w:r>
              <w:t xml:space="preserve">SPN-5504 </w:t>
            </w:r>
          </w:p>
        </w:tc>
        <w:tc>
          <w:tcPr>
            <w:tcW w:w="6627" w:type="dxa"/>
            <w:shd w:val="clear" w:color="auto" w:fill="auto"/>
          </w:tcPr>
          <w:p w14:paraId="54511EDB">
            <w:r>
              <w:t xml:space="preserve">Inion SGCS 6.7 x 22 mm Screw </w:t>
            </w:r>
          </w:p>
        </w:tc>
      </w:tr>
      <w:tr w14:paraId="5D9E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42178698">
            <w:r>
              <w:t xml:space="preserve">SPN-5505 </w:t>
            </w:r>
          </w:p>
        </w:tc>
        <w:tc>
          <w:tcPr>
            <w:tcW w:w="6627" w:type="dxa"/>
            <w:shd w:val="clear" w:color="auto" w:fill="auto"/>
          </w:tcPr>
          <w:p w14:paraId="2E496FA4">
            <w:r>
              <w:t xml:space="preserve">Inion SGCS 6.7 x 25 mm Screw </w:t>
            </w:r>
          </w:p>
        </w:tc>
      </w:tr>
      <w:tr w14:paraId="1C39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2DDE8040">
            <w:r>
              <w:t xml:space="preserve">SPN-5506 </w:t>
            </w:r>
          </w:p>
        </w:tc>
        <w:tc>
          <w:tcPr>
            <w:tcW w:w="6627" w:type="dxa"/>
            <w:shd w:val="clear" w:color="auto" w:fill="auto"/>
          </w:tcPr>
          <w:p w14:paraId="0A44DDC9">
            <w:r>
              <w:t xml:space="preserve">Inion SGCS 6.7 x 28 mm Screw </w:t>
            </w:r>
          </w:p>
        </w:tc>
      </w:tr>
      <w:tr w14:paraId="7AB9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tcPr>
          <w:p w14:paraId="794B32CC">
            <w:r>
              <w:t xml:space="preserve">SPN-5507 </w:t>
            </w:r>
          </w:p>
        </w:tc>
        <w:tc>
          <w:tcPr>
            <w:tcW w:w="6627" w:type="dxa"/>
            <w:shd w:val="clear" w:color="auto" w:fill="auto"/>
          </w:tcPr>
          <w:p w14:paraId="6FBE3470">
            <w:r>
              <w:t xml:space="preserve">Inion SGCS 6.7 x 31 mm Screw </w:t>
            </w:r>
          </w:p>
        </w:tc>
      </w:tr>
    </w:tbl>
    <w:p w14:paraId="1A2A4B6B">
      <w:pPr>
        <w:jc w:val="both"/>
      </w:pPr>
      <w:r>
        <w:rPr>
          <w:rFonts w:cs="Arial"/>
          <w:i/>
          <w:lang w:eastAsia="zh-CN"/>
        </w:rPr>
        <w:t>*</w:t>
      </w:r>
      <w:r>
        <w:rPr>
          <w:rFonts w:hint="eastAsia" w:cs="Arial"/>
          <w:lang w:eastAsia="zh-CN"/>
        </w:rPr>
        <w:t>N</w:t>
      </w:r>
      <w:r>
        <w:rPr>
          <w:rFonts w:cs="Arial"/>
          <w:lang w:eastAsia="zh-CN"/>
        </w:rPr>
        <w:t>ote:</w:t>
      </w:r>
      <w:r>
        <w:rPr>
          <w:rFonts w:hint="eastAsia" w:cs="Arial"/>
          <w:i/>
          <w:lang w:eastAsia="zh-CN"/>
        </w:rPr>
        <w:t xml:space="preserve"> </w:t>
      </w:r>
      <w:r>
        <w:t>SPN-5421 SPN-5422 SPN-5423 and SPN-5424 do not carry a CE mark.</w:t>
      </w:r>
    </w:p>
    <w:p w14:paraId="580555D0">
      <w:pPr>
        <w:jc w:val="both"/>
        <w:rPr>
          <w:sz w:val="18"/>
        </w:rPr>
      </w:pPr>
    </w:p>
    <w:p w14:paraId="114F2BB8">
      <w:pPr>
        <w:pStyle w:val="14"/>
        <w:rPr>
          <w:rFonts w:ascii="Calibri" w:hAnsi="Calibri"/>
        </w:rPr>
      </w:pPr>
      <w:r>
        <w:rPr>
          <w:rFonts w:ascii="Calibri" w:hAnsi="Calibri"/>
          <w:highlight w:val="yellow"/>
        </w:rPr>
        <w:br w:type="page"/>
      </w:r>
      <w:bookmarkStart w:id="9" w:name="_Toc480979582"/>
      <w:r>
        <w:rPr>
          <w:rFonts w:ascii="Calibri" w:hAnsi="Calibri"/>
        </w:rPr>
        <w:t>Table 3. List of accessory instruments, Inion S-1 and Inion S-2 systems</w:t>
      </w:r>
      <w:bookmarkEnd w:id="9"/>
    </w:p>
    <w:p w14:paraId="04CA0894">
      <w:pPr>
        <w:pStyle w:val="14"/>
        <w:rPr>
          <w:rFonts w:ascii="Calibri" w:hAnsi="Calibri"/>
        </w:rPr>
      </w:pPr>
    </w:p>
    <w:tbl>
      <w:tblPr>
        <w:tblStyle w:val="26"/>
        <w:tblW w:w="0" w:type="auto"/>
        <w:tblInd w:w="-137" w:type="dxa"/>
        <w:tblLayout w:type="fixed"/>
        <w:tblCellMar>
          <w:top w:w="0" w:type="dxa"/>
          <w:left w:w="0" w:type="dxa"/>
          <w:bottom w:w="0" w:type="dxa"/>
          <w:right w:w="0" w:type="dxa"/>
        </w:tblCellMar>
      </w:tblPr>
      <w:tblGrid>
        <w:gridCol w:w="2269"/>
        <w:gridCol w:w="6520"/>
      </w:tblGrid>
      <w:tr w14:paraId="7CD97A1C">
        <w:tblPrEx>
          <w:tblCellMar>
            <w:top w:w="0" w:type="dxa"/>
            <w:left w:w="0" w:type="dxa"/>
            <w:bottom w:w="0" w:type="dxa"/>
            <w:right w:w="0" w:type="dxa"/>
          </w:tblCellMar>
        </w:tblPrEx>
        <w:tc>
          <w:tcPr>
            <w:tcW w:w="8789" w:type="dxa"/>
            <w:gridSpan w:val="2"/>
            <w:tcBorders>
              <w:top w:val="single" w:color="000000" w:sz="4" w:space="0"/>
              <w:left w:val="single" w:color="000000" w:sz="4" w:space="0"/>
              <w:bottom w:val="single" w:color="000000" w:sz="4" w:space="0"/>
              <w:right w:val="single" w:color="000000" w:sz="4" w:space="0"/>
            </w:tcBorders>
            <w:shd w:val="clear" w:color="auto" w:fill="D9D9D9"/>
          </w:tcPr>
          <w:p w14:paraId="47883257">
            <w:pPr>
              <w:jc w:val="both"/>
              <w:rPr>
                <w:b/>
              </w:rPr>
            </w:pPr>
            <w:r>
              <w:rPr>
                <w:rFonts w:cs="Century Gothic"/>
                <w:color w:val="000000"/>
                <w:lang w:eastAsia="fi-FI"/>
              </w:rPr>
              <w:t>Inion S-1 Anterior Cervical Fusion System and Inion Spinal Graft Containment System</w:t>
            </w:r>
          </w:p>
        </w:tc>
      </w:tr>
      <w:tr w14:paraId="5F4AD869">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8D1E4BE">
            <w:pPr>
              <w:jc w:val="both"/>
              <w:rPr>
                <w:b/>
              </w:rPr>
            </w:pPr>
            <w:r>
              <w:rPr>
                <w:b/>
              </w:rPr>
              <w:t>REF-number</w:t>
            </w:r>
          </w:p>
        </w:tc>
        <w:tc>
          <w:tcPr>
            <w:tcW w:w="6520" w:type="dxa"/>
            <w:tcBorders>
              <w:top w:val="single" w:color="000000" w:sz="4" w:space="0"/>
              <w:left w:val="single" w:color="000000" w:sz="4" w:space="0"/>
              <w:bottom w:val="single" w:color="000000" w:sz="4" w:space="0"/>
              <w:right w:val="single" w:color="000000" w:sz="4" w:space="0"/>
            </w:tcBorders>
          </w:tcPr>
          <w:p w14:paraId="11622317">
            <w:pPr>
              <w:jc w:val="both"/>
              <w:rPr>
                <w:b/>
              </w:rPr>
            </w:pPr>
            <w:r>
              <w:rPr>
                <w:b/>
              </w:rPr>
              <w:t>Description</w:t>
            </w:r>
          </w:p>
        </w:tc>
      </w:tr>
      <w:tr w14:paraId="15FF8E64">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F176D2E">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INS-9540</w:t>
            </w:r>
          </w:p>
        </w:tc>
        <w:tc>
          <w:tcPr>
            <w:tcW w:w="6520" w:type="dxa"/>
            <w:tcBorders>
              <w:top w:val="single" w:color="000000" w:sz="4" w:space="0"/>
              <w:left w:val="single" w:color="000000" w:sz="4" w:space="0"/>
              <w:bottom w:val="single" w:color="000000" w:sz="4" w:space="0"/>
              <w:right w:val="single" w:color="000000" w:sz="4" w:space="0"/>
            </w:tcBorders>
          </w:tcPr>
          <w:p w14:paraId="7DADFF8A">
            <w:pPr>
              <w:keepNext/>
              <w:keepLines/>
              <w:autoSpaceDE w:val="0"/>
              <w:autoSpaceDN w:val="0"/>
              <w:adjustRightInd w:val="0"/>
              <w:ind w:left="12"/>
              <w:rPr>
                <w:rFonts w:cs="Century Gothic"/>
                <w:color w:val="000000"/>
                <w:lang w:eastAsia="fi-FI"/>
              </w:rPr>
            </w:pPr>
            <w:r>
              <w:rPr>
                <w:rFonts w:cs="Century Gothic"/>
                <w:color w:val="000000"/>
                <w:lang w:eastAsia="fi-FI"/>
              </w:rPr>
              <w:t>Drill bit 3.7 mm with stop for 12 mm screw</w:t>
            </w:r>
          </w:p>
        </w:tc>
      </w:tr>
      <w:tr w14:paraId="30CB0F1F">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A0CD328">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INS-9541</w:t>
            </w:r>
          </w:p>
        </w:tc>
        <w:tc>
          <w:tcPr>
            <w:tcW w:w="6520" w:type="dxa"/>
            <w:tcBorders>
              <w:top w:val="single" w:color="000000" w:sz="4" w:space="0"/>
              <w:left w:val="single" w:color="000000" w:sz="4" w:space="0"/>
              <w:bottom w:val="single" w:color="000000" w:sz="4" w:space="0"/>
              <w:right w:val="single" w:color="000000" w:sz="4" w:space="0"/>
            </w:tcBorders>
          </w:tcPr>
          <w:p w14:paraId="7DCD7C29">
            <w:pPr>
              <w:keepNext/>
              <w:keepLines/>
              <w:autoSpaceDE w:val="0"/>
              <w:autoSpaceDN w:val="0"/>
              <w:adjustRightInd w:val="0"/>
              <w:ind w:left="12"/>
              <w:rPr>
                <w:rFonts w:cs="Century Gothic"/>
                <w:color w:val="000000"/>
                <w:lang w:eastAsia="fi-FI"/>
              </w:rPr>
            </w:pPr>
            <w:r>
              <w:rPr>
                <w:rFonts w:cs="Century Gothic"/>
                <w:color w:val="000000"/>
                <w:lang w:eastAsia="fi-FI"/>
              </w:rPr>
              <w:t>Drill bit 3.7 mm with stop for 14 mm screw</w:t>
            </w:r>
          </w:p>
        </w:tc>
      </w:tr>
      <w:tr w14:paraId="18ADFA6D">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9502DEA">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INS-9542</w:t>
            </w:r>
          </w:p>
        </w:tc>
        <w:tc>
          <w:tcPr>
            <w:tcW w:w="6520" w:type="dxa"/>
            <w:tcBorders>
              <w:top w:val="single" w:color="000000" w:sz="4" w:space="0"/>
              <w:left w:val="single" w:color="000000" w:sz="4" w:space="0"/>
              <w:bottom w:val="single" w:color="000000" w:sz="4" w:space="0"/>
              <w:right w:val="single" w:color="000000" w:sz="4" w:space="0"/>
            </w:tcBorders>
          </w:tcPr>
          <w:p w14:paraId="32A7ADC7">
            <w:pPr>
              <w:keepNext/>
              <w:keepLines/>
              <w:autoSpaceDE w:val="0"/>
              <w:autoSpaceDN w:val="0"/>
              <w:adjustRightInd w:val="0"/>
              <w:ind w:left="12"/>
              <w:rPr>
                <w:rFonts w:cs="Century Gothic"/>
                <w:color w:val="000000"/>
                <w:lang w:eastAsia="fi-FI"/>
              </w:rPr>
            </w:pPr>
            <w:r>
              <w:rPr>
                <w:rFonts w:cs="Century Gothic"/>
                <w:color w:val="000000"/>
                <w:lang w:eastAsia="fi-FI"/>
              </w:rPr>
              <w:t>Drill bit 3.7 mm with stop for 16 mm screw</w:t>
            </w:r>
          </w:p>
        </w:tc>
      </w:tr>
      <w:tr w14:paraId="0821DD6F">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4B0A0F9">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INS-9543</w:t>
            </w:r>
          </w:p>
        </w:tc>
        <w:tc>
          <w:tcPr>
            <w:tcW w:w="6520" w:type="dxa"/>
            <w:tcBorders>
              <w:top w:val="single" w:color="000000" w:sz="4" w:space="0"/>
              <w:left w:val="single" w:color="000000" w:sz="4" w:space="0"/>
              <w:bottom w:val="single" w:color="000000" w:sz="4" w:space="0"/>
              <w:right w:val="single" w:color="000000" w:sz="4" w:space="0"/>
            </w:tcBorders>
          </w:tcPr>
          <w:p w14:paraId="21CCFC64">
            <w:pPr>
              <w:keepNext/>
              <w:keepLines/>
              <w:autoSpaceDE w:val="0"/>
              <w:autoSpaceDN w:val="0"/>
              <w:adjustRightInd w:val="0"/>
              <w:ind w:left="12"/>
              <w:rPr>
                <w:rFonts w:cs="Century Gothic"/>
                <w:color w:val="000000"/>
                <w:lang w:eastAsia="fi-FI"/>
              </w:rPr>
            </w:pPr>
            <w:r>
              <w:rPr>
                <w:rFonts w:cs="Century Gothic"/>
                <w:color w:val="000000"/>
                <w:lang w:eastAsia="fi-FI"/>
              </w:rPr>
              <w:t>Drill bit 4.2 mm with stop for 12 mm screw</w:t>
            </w:r>
          </w:p>
        </w:tc>
      </w:tr>
      <w:tr w14:paraId="1BF867A3">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8024A0E">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INS-9544</w:t>
            </w:r>
          </w:p>
        </w:tc>
        <w:tc>
          <w:tcPr>
            <w:tcW w:w="6520" w:type="dxa"/>
            <w:tcBorders>
              <w:top w:val="single" w:color="000000" w:sz="4" w:space="0"/>
              <w:left w:val="single" w:color="000000" w:sz="4" w:space="0"/>
              <w:bottom w:val="single" w:color="000000" w:sz="4" w:space="0"/>
              <w:right w:val="single" w:color="000000" w:sz="4" w:space="0"/>
            </w:tcBorders>
          </w:tcPr>
          <w:p w14:paraId="4DB0CB2B">
            <w:pPr>
              <w:keepNext/>
              <w:keepLines/>
              <w:autoSpaceDE w:val="0"/>
              <w:autoSpaceDN w:val="0"/>
              <w:adjustRightInd w:val="0"/>
              <w:ind w:left="12"/>
              <w:rPr>
                <w:rFonts w:cs="Century Gothic"/>
                <w:color w:val="000000"/>
                <w:lang w:eastAsia="fi-FI"/>
              </w:rPr>
            </w:pPr>
            <w:r>
              <w:rPr>
                <w:rFonts w:cs="Century Gothic"/>
                <w:color w:val="000000"/>
                <w:lang w:eastAsia="fi-FI"/>
              </w:rPr>
              <w:t>Drill bit 4.2 mm with stop for 14 mm screw</w:t>
            </w:r>
          </w:p>
        </w:tc>
      </w:tr>
      <w:tr w14:paraId="017E9D59">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C538E93">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INS-9545</w:t>
            </w:r>
          </w:p>
        </w:tc>
        <w:tc>
          <w:tcPr>
            <w:tcW w:w="6520" w:type="dxa"/>
            <w:tcBorders>
              <w:top w:val="single" w:color="000000" w:sz="4" w:space="0"/>
              <w:left w:val="single" w:color="000000" w:sz="4" w:space="0"/>
              <w:bottom w:val="single" w:color="000000" w:sz="4" w:space="0"/>
              <w:right w:val="single" w:color="000000" w:sz="4" w:space="0"/>
            </w:tcBorders>
          </w:tcPr>
          <w:p w14:paraId="4D53C0A9">
            <w:pPr>
              <w:keepNext/>
              <w:keepLines/>
              <w:autoSpaceDE w:val="0"/>
              <w:autoSpaceDN w:val="0"/>
              <w:adjustRightInd w:val="0"/>
              <w:ind w:left="12"/>
              <w:rPr>
                <w:rFonts w:cs="Century Gothic"/>
                <w:color w:val="000000"/>
                <w:lang w:eastAsia="fi-FI"/>
              </w:rPr>
            </w:pPr>
            <w:r>
              <w:rPr>
                <w:rFonts w:cs="Century Gothic"/>
                <w:color w:val="000000"/>
                <w:lang w:eastAsia="fi-FI"/>
              </w:rPr>
              <w:t>Drill bit 4.2 mm with stop for 16 mm screw</w:t>
            </w:r>
          </w:p>
        </w:tc>
      </w:tr>
      <w:tr w14:paraId="3BF9181F">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C9F6F06">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INS-9546</w:t>
            </w:r>
          </w:p>
        </w:tc>
        <w:tc>
          <w:tcPr>
            <w:tcW w:w="6520" w:type="dxa"/>
            <w:tcBorders>
              <w:top w:val="single" w:color="000000" w:sz="4" w:space="0"/>
              <w:left w:val="single" w:color="000000" w:sz="4" w:space="0"/>
              <w:bottom w:val="single" w:color="000000" w:sz="4" w:space="0"/>
              <w:right w:val="single" w:color="000000" w:sz="4" w:space="0"/>
            </w:tcBorders>
          </w:tcPr>
          <w:p w14:paraId="3146EAFB">
            <w:pPr>
              <w:keepNext/>
              <w:keepLines/>
              <w:autoSpaceDE w:val="0"/>
              <w:autoSpaceDN w:val="0"/>
              <w:adjustRightInd w:val="0"/>
              <w:ind w:left="12"/>
              <w:rPr>
                <w:rFonts w:cs="Century Gothic"/>
                <w:color w:val="000000"/>
                <w:lang w:eastAsia="fi-FI"/>
              </w:rPr>
            </w:pPr>
            <w:r>
              <w:rPr>
                <w:rFonts w:cs="Century Gothic"/>
                <w:color w:val="000000"/>
                <w:lang w:eastAsia="fi-FI"/>
              </w:rPr>
              <w:t>Bone tap 4.5 mm with stop for 12 mm screw</w:t>
            </w:r>
          </w:p>
        </w:tc>
      </w:tr>
      <w:tr w14:paraId="74AE13C9">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9EF3D49">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INS-9547</w:t>
            </w:r>
          </w:p>
        </w:tc>
        <w:tc>
          <w:tcPr>
            <w:tcW w:w="6520" w:type="dxa"/>
            <w:tcBorders>
              <w:top w:val="single" w:color="000000" w:sz="4" w:space="0"/>
              <w:left w:val="single" w:color="000000" w:sz="4" w:space="0"/>
              <w:bottom w:val="single" w:color="000000" w:sz="4" w:space="0"/>
              <w:right w:val="single" w:color="000000" w:sz="4" w:space="0"/>
            </w:tcBorders>
          </w:tcPr>
          <w:p w14:paraId="120AD72B">
            <w:pPr>
              <w:keepNext/>
              <w:keepLines/>
              <w:autoSpaceDE w:val="0"/>
              <w:autoSpaceDN w:val="0"/>
              <w:adjustRightInd w:val="0"/>
              <w:ind w:left="12"/>
              <w:rPr>
                <w:rFonts w:cs="Century Gothic"/>
                <w:color w:val="000000"/>
                <w:lang w:eastAsia="fi-FI"/>
              </w:rPr>
            </w:pPr>
            <w:r>
              <w:rPr>
                <w:rFonts w:cs="Century Gothic"/>
                <w:color w:val="000000"/>
                <w:lang w:eastAsia="fi-FI"/>
              </w:rPr>
              <w:t>Bone tap 4.5 mm with stop for 14 mm screw</w:t>
            </w:r>
          </w:p>
        </w:tc>
      </w:tr>
      <w:tr w14:paraId="79F76CCE">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72CA819">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INS-9548</w:t>
            </w:r>
          </w:p>
        </w:tc>
        <w:tc>
          <w:tcPr>
            <w:tcW w:w="6520" w:type="dxa"/>
            <w:tcBorders>
              <w:top w:val="single" w:color="000000" w:sz="4" w:space="0"/>
              <w:left w:val="single" w:color="000000" w:sz="4" w:space="0"/>
              <w:bottom w:val="single" w:color="000000" w:sz="4" w:space="0"/>
              <w:right w:val="single" w:color="000000" w:sz="4" w:space="0"/>
            </w:tcBorders>
          </w:tcPr>
          <w:p w14:paraId="03873539">
            <w:pPr>
              <w:keepNext/>
              <w:keepLines/>
              <w:autoSpaceDE w:val="0"/>
              <w:autoSpaceDN w:val="0"/>
              <w:adjustRightInd w:val="0"/>
              <w:ind w:left="12"/>
              <w:rPr>
                <w:rFonts w:cs="Century Gothic"/>
                <w:color w:val="000000"/>
                <w:lang w:eastAsia="fi-FI"/>
              </w:rPr>
            </w:pPr>
            <w:r>
              <w:rPr>
                <w:rFonts w:cs="Century Gothic"/>
                <w:color w:val="000000"/>
                <w:lang w:eastAsia="fi-FI"/>
              </w:rPr>
              <w:t>Bone tap 4.5 mm with stop for 16 mm screw</w:t>
            </w:r>
          </w:p>
        </w:tc>
      </w:tr>
      <w:tr w14:paraId="4E5DC54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A9250D0">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INS-9549</w:t>
            </w:r>
          </w:p>
        </w:tc>
        <w:tc>
          <w:tcPr>
            <w:tcW w:w="6520" w:type="dxa"/>
            <w:tcBorders>
              <w:top w:val="single" w:color="000000" w:sz="4" w:space="0"/>
              <w:left w:val="single" w:color="000000" w:sz="4" w:space="0"/>
              <w:bottom w:val="single" w:color="000000" w:sz="4" w:space="0"/>
              <w:right w:val="single" w:color="000000" w:sz="4" w:space="0"/>
            </w:tcBorders>
          </w:tcPr>
          <w:p w14:paraId="1288AD0E">
            <w:pPr>
              <w:keepNext/>
              <w:keepLines/>
              <w:autoSpaceDE w:val="0"/>
              <w:autoSpaceDN w:val="0"/>
              <w:adjustRightInd w:val="0"/>
              <w:ind w:left="12"/>
              <w:rPr>
                <w:rFonts w:cs="Century Gothic"/>
                <w:color w:val="000000"/>
                <w:lang w:eastAsia="fi-FI"/>
              </w:rPr>
            </w:pPr>
            <w:r>
              <w:rPr>
                <w:rFonts w:cs="Century Gothic"/>
                <w:color w:val="000000"/>
                <w:lang w:eastAsia="fi-FI"/>
              </w:rPr>
              <w:t>Bone tap 5.0 mm with stop for 12 mm screw</w:t>
            </w:r>
          </w:p>
        </w:tc>
      </w:tr>
      <w:tr w14:paraId="1588D7EA">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91D1119">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INS-9550</w:t>
            </w:r>
          </w:p>
        </w:tc>
        <w:tc>
          <w:tcPr>
            <w:tcW w:w="6520" w:type="dxa"/>
            <w:tcBorders>
              <w:top w:val="single" w:color="000000" w:sz="4" w:space="0"/>
              <w:left w:val="single" w:color="000000" w:sz="4" w:space="0"/>
              <w:bottom w:val="single" w:color="000000" w:sz="4" w:space="0"/>
              <w:right w:val="single" w:color="000000" w:sz="4" w:space="0"/>
            </w:tcBorders>
          </w:tcPr>
          <w:p w14:paraId="36DCA602">
            <w:pPr>
              <w:keepNext/>
              <w:keepLines/>
              <w:autoSpaceDE w:val="0"/>
              <w:autoSpaceDN w:val="0"/>
              <w:adjustRightInd w:val="0"/>
              <w:ind w:left="12"/>
              <w:rPr>
                <w:rFonts w:cs="Century Gothic"/>
                <w:color w:val="000000"/>
                <w:lang w:eastAsia="fi-FI"/>
              </w:rPr>
            </w:pPr>
            <w:r>
              <w:rPr>
                <w:rFonts w:cs="Century Gothic"/>
                <w:color w:val="000000"/>
                <w:lang w:eastAsia="fi-FI"/>
              </w:rPr>
              <w:t>Bone tap 5.0 mm with stop for 14 mm screw</w:t>
            </w:r>
          </w:p>
        </w:tc>
      </w:tr>
      <w:tr w14:paraId="1DFC420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C4DE389">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INS-9551</w:t>
            </w:r>
          </w:p>
        </w:tc>
        <w:tc>
          <w:tcPr>
            <w:tcW w:w="6520" w:type="dxa"/>
            <w:tcBorders>
              <w:top w:val="single" w:color="000000" w:sz="4" w:space="0"/>
              <w:left w:val="single" w:color="000000" w:sz="4" w:space="0"/>
              <w:bottom w:val="single" w:color="000000" w:sz="4" w:space="0"/>
              <w:right w:val="single" w:color="000000" w:sz="4" w:space="0"/>
            </w:tcBorders>
          </w:tcPr>
          <w:p w14:paraId="4362F709">
            <w:pPr>
              <w:keepNext/>
              <w:keepLines/>
              <w:autoSpaceDE w:val="0"/>
              <w:autoSpaceDN w:val="0"/>
              <w:adjustRightInd w:val="0"/>
              <w:ind w:left="12"/>
              <w:rPr>
                <w:rFonts w:cs="Century Gothic"/>
                <w:color w:val="000000"/>
                <w:lang w:eastAsia="fi-FI"/>
              </w:rPr>
            </w:pPr>
            <w:r>
              <w:rPr>
                <w:rFonts w:cs="Century Gothic"/>
                <w:color w:val="000000"/>
                <w:lang w:eastAsia="fi-FI"/>
              </w:rPr>
              <w:t>Bone tap 5.0 mm with stop for 16 mm screw</w:t>
            </w:r>
          </w:p>
        </w:tc>
      </w:tr>
      <w:tr w14:paraId="6950CD0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0381463">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INS-9552</w:t>
            </w:r>
          </w:p>
        </w:tc>
        <w:tc>
          <w:tcPr>
            <w:tcW w:w="6520" w:type="dxa"/>
            <w:tcBorders>
              <w:top w:val="single" w:color="000000" w:sz="4" w:space="0"/>
              <w:left w:val="single" w:color="000000" w:sz="4" w:space="0"/>
              <w:bottom w:val="single" w:color="000000" w:sz="4" w:space="0"/>
              <w:right w:val="single" w:color="000000" w:sz="4" w:space="0"/>
            </w:tcBorders>
          </w:tcPr>
          <w:p w14:paraId="6CA6DAE3">
            <w:pPr>
              <w:keepNext/>
              <w:keepLines/>
              <w:autoSpaceDE w:val="0"/>
              <w:autoSpaceDN w:val="0"/>
              <w:adjustRightInd w:val="0"/>
              <w:ind w:left="12"/>
              <w:rPr>
                <w:rFonts w:cs="Century Gothic"/>
                <w:color w:val="000000"/>
                <w:lang w:val="fi-FI" w:eastAsia="fi-FI"/>
              </w:rPr>
            </w:pPr>
            <w:r>
              <w:rPr>
                <w:rFonts w:cs="Century Gothic"/>
                <w:color w:val="000000"/>
                <w:lang w:val="fi-FI" w:eastAsia="fi-FI"/>
              </w:rPr>
              <w:t>Drill bit 2.0 mm</w:t>
            </w:r>
          </w:p>
        </w:tc>
      </w:tr>
      <w:tr w14:paraId="05EDF7F5">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0DE7524">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INS-9553</w:t>
            </w:r>
          </w:p>
        </w:tc>
        <w:tc>
          <w:tcPr>
            <w:tcW w:w="6520" w:type="dxa"/>
            <w:tcBorders>
              <w:top w:val="single" w:color="000000" w:sz="4" w:space="0"/>
              <w:left w:val="single" w:color="000000" w:sz="4" w:space="0"/>
              <w:bottom w:val="single" w:color="000000" w:sz="4" w:space="0"/>
              <w:right w:val="single" w:color="000000" w:sz="4" w:space="0"/>
            </w:tcBorders>
          </w:tcPr>
          <w:p w14:paraId="6A6503C0">
            <w:pPr>
              <w:keepNext/>
              <w:keepLines/>
              <w:autoSpaceDE w:val="0"/>
              <w:autoSpaceDN w:val="0"/>
              <w:adjustRightInd w:val="0"/>
              <w:ind w:left="12"/>
              <w:rPr>
                <w:rFonts w:cs="Century Gothic"/>
                <w:color w:val="000000"/>
                <w:lang w:val="fi-FI" w:eastAsia="fi-FI"/>
              </w:rPr>
            </w:pPr>
            <w:r>
              <w:rPr>
                <w:rFonts w:cs="Century Gothic"/>
                <w:color w:val="000000"/>
                <w:lang w:val="fi-FI" w:eastAsia="fi-FI"/>
              </w:rPr>
              <w:t>Screw removal instrument</w:t>
            </w:r>
          </w:p>
        </w:tc>
      </w:tr>
      <w:tr w14:paraId="250CF73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C3C203F">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INS-9554</w:t>
            </w:r>
          </w:p>
        </w:tc>
        <w:tc>
          <w:tcPr>
            <w:tcW w:w="6520" w:type="dxa"/>
            <w:tcBorders>
              <w:top w:val="single" w:color="000000" w:sz="4" w:space="0"/>
              <w:left w:val="single" w:color="000000" w:sz="4" w:space="0"/>
              <w:bottom w:val="single" w:color="000000" w:sz="4" w:space="0"/>
              <w:right w:val="single" w:color="000000" w:sz="4" w:space="0"/>
            </w:tcBorders>
          </w:tcPr>
          <w:p w14:paraId="60D9EDF4">
            <w:pPr>
              <w:keepNext/>
              <w:keepLines/>
              <w:autoSpaceDE w:val="0"/>
              <w:autoSpaceDN w:val="0"/>
              <w:adjustRightInd w:val="0"/>
              <w:ind w:left="12"/>
              <w:rPr>
                <w:rFonts w:cs="Century Gothic"/>
                <w:color w:val="000000"/>
                <w:lang w:val="fi-FI" w:eastAsia="fi-FI"/>
              </w:rPr>
            </w:pPr>
            <w:r>
              <w:rPr>
                <w:rFonts w:cs="Century Gothic"/>
                <w:color w:val="000000"/>
                <w:lang w:val="fi-FI" w:eastAsia="fi-FI"/>
              </w:rPr>
              <w:t>Drill guide, single</w:t>
            </w:r>
          </w:p>
        </w:tc>
      </w:tr>
      <w:tr w14:paraId="41931B8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D07B148">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INS-9555</w:t>
            </w:r>
          </w:p>
        </w:tc>
        <w:tc>
          <w:tcPr>
            <w:tcW w:w="6520" w:type="dxa"/>
            <w:tcBorders>
              <w:top w:val="single" w:color="000000" w:sz="4" w:space="0"/>
              <w:left w:val="single" w:color="000000" w:sz="4" w:space="0"/>
              <w:bottom w:val="single" w:color="000000" w:sz="4" w:space="0"/>
              <w:right w:val="single" w:color="000000" w:sz="4" w:space="0"/>
            </w:tcBorders>
          </w:tcPr>
          <w:p w14:paraId="752E3C28">
            <w:pPr>
              <w:keepNext/>
              <w:keepLines/>
              <w:autoSpaceDE w:val="0"/>
              <w:autoSpaceDN w:val="0"/>
              <w:adjustRightInd w:val="0"/>
              <w:ind w:left="12"/>
              <w:rPr>
                <w:rFonts w:cs="Century Gothic"/>
                <w:color w:val="000000"/>
                <w:lang w:val="fi-FI" w:eastAsia="fi-FI"/>
              </w:rPr>
            </w:pPr>
            <w:r>
              <w:rPr>
                <w:rFonts w:cs="Century Gothic"/>
                <w:color w:val="000000"/>
                <w:lang w:val="fi-FI" w:eastAsia="fi-FI"/>
              </w:rPr>
              <w:t>Drill guide, twin</w:t>
            </w:r>
          </w:p>
        </w:tc>
      </w:tr>
      <w:tr w14:paraId="1B4AAA08">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5564AB0">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INS-9556</w:t>
            </w:r>
          </w:p>
        </w:tc>
        <w:tc>
          <w:tcPr>
            <w:tcW w:w="6520" w:type="dxa"/>
            <w:tcBorders>
              <w:top w:val="single" w:color="000000" w:sz="4" w:space="0"/>
              <w:left w:val="single" w:color="000000" w:sz="4" w:space="0"/>
              <w:bottom w:val="single" w:color="000000" w:sz="4" w:space="0"/>
              <w:right w:val="single" w:color="000000" w:sz="4" w:space="0"/>
            </w:tcBorders>
          </w:tcPr>
          <w:p w14:paraId="6CDD7F40">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holder</w:t>
            </w:r>
          </w:p>
        </w:tc>
      </w:tr>
      <w:tr w14:paraId="49EE4EF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19CD8C7">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INS-9527</w:t>
            </w:r>
          </w:p>
        </w:tc>
        <w:tc>
          <w:tcPr>
            <w:tcW w:w="6520" w:type="dxa"/>
            <w:tcBorders>
              <w:top w:val="single" w:color="000000" w:sz="4" w:space="0"/>
              <w:left w:val="single" w:color="000000" w:sz="4" w:space="0"/>
              <w:bottom w:val="single" w:color="000000" w:sz="4" w:space="0"/>
              <w:right w:val="single" w:color="000000" w:sz="4" w:space="0"/>
            </w:tcBorders>
          </w:tcPr>
          <w:p w14:paraId="2570EA92">
            <w:pPr>
              <w:keepNext/>
              <w:keepLines/>
              <w:autoSpaceDE w:val="0"/>
              <w:autoSpaceDN w:val="0"/>
              <w:adjustRightInd w:val="0"/>
              <w:ind w:left="12"/>
              <w:rPr>
                <w:rFonts w:cs="Century Gothic"/>
                <w:color w:val="000000"/>
                <w:lang w:val="fi-FI" w:eastAsia="fi-FI"/>
              </w:rPr>
            </w:pPr>
            <w:r>
              <w:rPr>
                <w:rFonts w:cs="Century Gothic"/>
                <w:color w:val="000000"/>
                <w:lang w:val="fi-FI" w:eastAsia="fi-FI"/>
              </w:rPr>
              <w:t>Temporary fixation screw</w:t>
            </w:r>
          </w:p>
        </w:tc>
      </w:tr>
      <w:tr w14:paraId="002EB294">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A785976">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INS-9558</w:t>
            </w:r>
          </w:p>
        </w:tc>
        <w:tc>
          <w:tcPr>
            <w:tcW w:w="6520" w:type="dxa"/>
            <w:tcBorders>
              <w:top w:val="single" w:color="000000" w:sz="4" w:space="0"/>
              <w:left w:val="single" w:color="000000" w:sz="4" w:space="0"/>
              <w:bottom w:val="single" w:color="000000" w:sz="4" w:space="0"/>
              <w:right w:val="single" w:color="000000" w:sz="4" w:space="0"/>
            </w:tcBorders>
          </w:tcPr>
          <w:p w14:paraId="4307878F">
            <w:pPr>
              <w:keepNext/>
              <w:keepLines/>
              <w:autoSpaceDE w:val="0"/>
              <w:autoSpaceDN w:val="0"/>
              <w:adjustRightInd w:val="0"/>
              <w:ind w:left="12"/>
              <w:rPr>
                <w:rFonts w:cs="Century Gothic"/>
                <w:color w:val="000000"/>
                <w:lang w:eastAsia="fi-FI"/>
              </w:rPr>
            </w:pPr>
            <w:r>
              <w:rPr>
                <w:rFonts w:cs="Century Gothic"/>
                <w:color w:val="000000"/>
                <w:lang w:eastAsia="fi-FI"/>
              </w:rPr>
              <w:t>Screw driver for temporary fixation screw</w:t>
            </w:r>
          </w:p>
        </w:tc>
      </w:tr>
      <w:tr w14:paraId="36E507F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A0E792B">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INS-9559</w:t>
            </w:r>
          </w:p>
        </w:tc>
        <w:tc>
          <w:tcPr>
            <w:tcW w:w="6520" w:type="dxa"/>
            <w:tcBorders>
              <w:top w:val="single" w:color="000000" w:sz="4" w:space="0"/>
              <w:left w:val="single" w:color="000000" w:sz="4" w:space="0"/>
              <w:bottom w:val="single" w:color="000000" w:sz="4" w:space="0"/>
              <w:right w:val="single" w:color="000000" w:sz="4" w:space="0"/>
            </w:tcBorders>
          </w:tcPr>
          <w:p w14:paraId="42FAB356">
            <w:pPr>
              <w:keepNext/>
              <w:keepLines/>
              <w:autoSpaceDE w:val="0"/>
              <w:autoSpaceDN w:val="0"/>
              <w:adjustRightInd w:val="0"/>
              <w:ind w:left="12"/>
              <w:rPr>
                <w:rFonts w:cs="Century Gothic"/>
                <w:color w:val="000000"/>
                <w:lang w:val="fi-FI" w:eastAsia="fi-FI"/>
              </w:rPr>
            </w:pPr>
            <w:r>
              <w:rPr>
                <w:rFonts w:cs="Century Gothic"/>
                <w:color w:val="000000"/>
                <w:lang w:val="fi-FI" w:eastAsia="fi-FI"/>
              </w:rPr>
              <w:t>Screw driver shaft</w:t>
            </w:r>
          </w:p>
        </w:tc>
      </w:tr>
      <w:tr w14:paraId="76D6CF2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BD9FBD6">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INS-9560</w:t>
            </w:r>
          </w:p>
        </w:tc>
        <w:tc>
          <w:tcPr>
            <w:tcW w:w="6520" w:type="dxa"/>
            <w:tcBorders>
              <w:top w:val="single" w:color="000000" w:sz="4" w:space="0"/>
              <w:left w:val="single" w:color="000000" w:sz="4" w:space="0"/>
              <w:bottom w:val="single" w:color="000000" w:sz="4" w:space="0"/>
              <w:right w:val="single" w:color="000000" w:sz="4" w:space="0"/>
            </w:tcBorders>
          </w:tcPr>
          <w:p w14:paraId="63297494">
            <w:pPr>
              <w:keepNext/>
              <w:keepLines/>
              <w:autoSpaceDE w:val="0"/>
              <w:autoSpaceDN w:val="0"/>
              <w:adjustRightInd w:val="0"/>
              <w:ind w:left="12"/>
              <w:rPr>
                <w:rFonts w:cs="Century Gothic"/>
                <w:color w:val="000000"/>
                <w:lang w:val="fi-FI" w:eastAsia="fi-FI"/>
              </w:rPr>
            </w:pPr>
            <w:r>
              <w:rPr>
                <w:rFonts w:cs="Century Gothic"/>
                <w:color w:val="000000"/>
                <w:lang w:val="fi-FI" w:eastAsia="fi-FI"/>
              </w:rPr>
              <w:t>Awl</w:t>
            </w:r>
          </w:p>
        </w:tc>
      </w:tr>
      <w:tr w14:paraId="5937DA6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594EF1F">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ACC-9841</w:t>
            </w:r>
          </w:p>
        </w:tc>
        <w:tc>
          <w:tcPr>
            <w:tcW w:w="6520" w:type="dxa"/>
            <w:tcBorders>
              <w:top w:val="single" w:color="000000" w:sz="4" w:space="0"/>
              <w:left w:val="single" w:color="000000" w:sz="4" w:space="0"/>
              <w:bottom w:val="single" w:color="000000" w:sz="4" w:space="0"/>
              <w:right w:val="single" w:color="000000" w:sz="4" w:space="0"/>
            </w:tcBorders>
          </w:tcPr>
          <w:p w14:paraId="0ED60190">
            <w:pPr>
              <w:keepNext/>
              <w:keepLines/>
              <w:autoSpaceDE w:val="0"/>
              <w:autoSpaceDN w:val="0"/>
              <w:adjustRightInd w:val="0"/>
              <w:ind w:left="12"/>
              <w:rPr>
                <w:rFonts w:cs="Century Gothic"/>
                <w:color w:val="000000"/>
                <w:lang w:val="fi-FI" w:eastAsia="fi-FI"/>
              </w:rPr>
            </w:pPr>
            <w:r>
              <w:rPr>
                <w:rFonts w:cs="Century Gothic"/>
                <w:color w:val="000000"/>
                <w:lang w:val="fi-FI" w:eastAsia="fi-FI"/>
              </w:rPr>
              <w:t>Sterilization tray for instruments</w:t>
            </w:r>
          </w:p>
        </w:tc>
      </w:tr>
      <w:tr w14:paraId="1E114E8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B6615F8">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ACC-9823</w:t>
            </w:r>
          </w:p>
        </w:tc>
        <w:tc>
          <w:tcPr>
            <w:tcW w:w="6520" w:type="dxa"/>
            <w:tcBorders>
              <w:top w:val="single" w:color="000000" w:sz="4" w:space="0"/>
              <w:left w:val="single" w:color="000000" w:sz="4" w:space="0"/>
              <w:bottom w:val="single" w:color="000000" w:sz="4" w:space="0"/>
              <w:right w:val="single" w:color="000000" w:sz="4" w:space="0"/>
            </w:tcBorders>
          </w:tcPr>
          <w:p w14:paraId="5B259F10">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21 x 19 mm</w:t>
            </w:r>
          </w:p>
        </w:tc>
      </w:tr>
      <w:tr w14:paraId="2E5FFF58">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C081654">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ACC-9824</w:t>
            </w:r>
          </w:p>
        </w:tc>
        <w:tc>
          <w:tcPr>
            <w:tcW w:w="6520" w:type="dxa"/>
            <w:tcBorders>
              <w:top w:val="single" w:color="000000" w:sz="4" w:space="0"/>
              <w:left w:val="single" w:color="000000" w:sz="4" w:space="0"/>
              <w:bottom w:val="single" w:color="000000" w:sz="4" w:space="0"/>
              <w:right w:val="single" w:color="000000" w:sz="4" w:space="0"/>
            </w:tcBorders>
          </w:tcPr>
          <w:p w14:paraId="0E21CF76">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23 x 19 mm</w:t>
            </w:r>
          </w:p>
        </w:tc>
      </w:tr>
      <w:tr w14:paraId="3E64F5F6">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6FD2ADD">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ACC-9825</w:t>
            </w:r>
          </w:p>
        </w:tc>
        <w:tc>
          <w:tcPr>
            <w:tcW w:w="6520" w:type="dxa"/>
            <w:tcBorders>
              <w:top w:val="single" w:color="000000" w:sz="4" w:space="0"/>
              <w:left w:val="single" w:color="000000" w:sz="4" w:space="0"/>
              <w:bottom w:val="single" w:color="000000" w:sz="4" w:space="0"/>
              <w:right w:val="single" w:color="000000" w:sz="4" w:space="0"/>
            </w:tcBorders>
          </w:tcPr>
          <w:p w14:paraId="7C560B5F">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25 x 19 mm</w:t>
            </w:r>
          </w:p>
        </w:tc>
      </w:tr>
      <w:tr w14:paraId="71AEC2C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2812C56E">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ACC-9826</w:t>
            </w:r>
          </w:p>
        </w:tc>
        <w:tc>
          <w:tcPr>
            <w:tcW w:w="6520" w:type="dxa"/>
            <w:tcBorders>
              <w:top w:val="single" w:color="000000" w:sz="4" w:space="0"/>
              <w:left w:val="single" w:color="000000" w:sz="4" w:space="0"/>
              <w:bottom w:val="single" w:color="000000" w:sz="4" w:space="0"/>
              <w:right w:val="single" w:color="000000" w:sz="4" w:space="0"/>
            </w:tcBorders>
          </w:tcPr>
          <w:p w14:paraId="223D26CC">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27 x 19 mm</w:t>
            </w:r>
          </w:p>
        </w:tc>
      </w:tr>
      <w:tr w14:paraId="3710D8F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C20903C">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ACC-9827</w:t>
            </w:r>
          </w:p>
        </w:tc>
        <w:tc>
          <w:tcPr>
            <w:tcW w:w="6520" w:type="dxa"/>
            <w:tcBorders>
              <w:top w:val="single" w:color="000000" w:sz="4" w:space="0"/>
              <w:left w:val="single" w:color="000000" w:sz="4" w:space="0"/>
              <w:bottom w:val="single" w:color="000000" w:sz="4" w:space="0"/>
              <w:right w:val="single" w:color="000000" w:sz="4" w:space="0"/>
            </w:tcBorders>
          </w:tcPr>
          <w:p w14:paraId="5EFD4CF6">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29 x 19 mm</w:t>
            </w:r>
          </w:p>
        </w:tc>
      </w:tr>
      <w:tr w14:paraId="2A4887BF">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B4DC109">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ACC-9828</w:t>
            </w:r>
          </w:p>
        </w:tc>
        <w:tc>
          <w:tcPr>
            <w:tcW w:w="6520" w:type="dxa"/>
            <w:tcBorders>
              <w:top w:val="single" w:color="000000" w:sz="4" w:space="0"/>
              <w:left w:val="single" w:color="000000" w:sz="4" w:space="0"/>
              <w:bottom w:val="single" w:color="000000" w:sz="4" w:space="0"/>
              <w:right w:val="single" w:color="000000" w:sz="4" w:space="0"/>
            </w:tcBorders>
          </w:tcPr>
          <w:p w14:paraId="596B0843">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31 x 19 mm</w:t>
            </w:r>
          </w:p>
        </w:tc>
      </w:tr>
      <w:tr w14:paraId="638FFDD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9515E97">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ACC-9829</w:t>
            </w:r>
          </w:p>
        </w:tc>
        <w:tc>
          <w:tcPr>
            <w:tcW w:w="6520" w:type="dxa"/>
            <w:tcBorders>
              <w:top w:val="single" w:color="000000" w:sz="4" w:space="0"/>
              <w:left w:val="single" w:color="000000" w:sz="4" w:space="0"/>
              <w:bottom w:val="single" w:color="000000" w:sz="4" w:space="0"/>
              <w:right w:val="single" w:color="000000" w:sz="4" w:space="0"/>
            </w:tcBorders>
          </w:tcPr>
          <w:p w14:paraId="183E1A89">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33 x 19 mm</w:t>
            </w:r>
          </w:p>
        </w:tc>
      </w:tr>
      <w:tr w14:paraId="12633529">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707F4D6">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ACC-9830</w:t>
            </w:r>
          </w:p>
        </w:tc>
        <w:tc>
          <w:tcPr>
            <w:tcW w:w="6520" w:type="dxa"/>
            <w:tcBorders>
              <w:top w:val="single" w:color="000000" w:sz="4" w:space="0"/>
              <w:left w:val="single" w:color="000000" w:sz="4" w:space="0"/>
              <w:bottom w:val="single" w:color="000000" w:sz="4" w:space="0"/>
              <w:right w:val="single" w:color="000000" w:sz="4" w:space="0"/>
            </w:tcBorders>
          </w:tcPr>
          <w:p w14:paraId="79788D51">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36 x 19 mm</w:t>
            </w:r>
          </w:p>
        </w:tc>
      </w:tr>
      <w:tr w14:paraId="2AF3778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E834B46">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ACC-9831</w:t>
            </w:r>
          </w:p>
        </w:tc>
        <w:tc>
          <w:tcPr>
            <w:tcW w:w="6520" w:type="dxa"/>
            <w:tcBorders>
              <w:top w:val="single" w:color="000000" w:sz="4" w:space="0"/>
              <w:left w:val="single" w:color="000000" w:sz="4" w:space="0"/>
              <w:bottom w:val="single" w:color="000000" w:sz="4" w:space="0"/>
              <w:right w:val="single" w:color="000000" w:sz="4" w:space="0"/>
            </w:tcBorders>
          </w:tcPr>
          <w:p w14:paraId="23B1BDB0">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39 x 19 mm</w:t>
            </w:r>
          </w:p>
        </w:tc>
      </w:tr>
      <w:tr w14:paraId="0A7B519A">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F0961B8">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ACC-9832</w:t>
            </w:r>
          </w:p>
        </w:tc>
        <w:tc>
          <w:tcPr>
            <w:tcW w:w="6520" w:type="dxa"/>
            <w:tcBorders>
              <w:top w:val="single" w:color="000000" w:sz="4" w:space="0"/>
              <w:left w:val="single" w:color="000000" w:sz="4" w:space="0"/>
              <w:bottom w:val="single" w:color="000000" w:sz="4" w:space="0"/>
              <w:right w:val="single" w:color="000000" w:sz="4" w:space="0"/>
            </w:tcBorders>
          </w:tcPr>
          <w:p w14:paraId="76084FF9">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42 x 19 mm</w:t>
            </w:r>
          </w:p>
        </w:tc>
      </w:tr>
      <w:tr w14:paraId="0D93AB7A">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6DD75EE">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ACC-9833</w:t>
            </w:r>
          </w:p>
        </w:tc>
        <w:tc>
          <w:tcPr>
            <w:tcW w:w="6520" w:type="dxa"/>
            <w:tcBorders>
              <w:top w:val="single" w:color="000000" w:sz="4" w:space="0"/>
              <w:left w:val="single" w:color="000000" w:sz="4" w:space="0"/>
              <w:bottom w:val="single" w:color="000000" w:sz="4" w:space="0"/>
              <w:right w:val="single" w:color="000000" w:sz="4" w:space="0"/>
            </w:tcBorders>
          </w:tcPr>
          <w:p w14:paraId="198E4EEA">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45 x 19 mm</w:t>
            </w:r>
          </w:p>
        </w:tc>
      </w:tr>
      <w:tr w14:paraId="2627D84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0E0B83A">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ACC-9834</w:t>
            </w:r>
          </w:p>
        </w:tc>
        <w:tc>
          <w:tcPr>
            <w:tcW w:w="6520" w:type="dxa"/>
            <w:tcBorders>
              <w:top w:val="single" w:color="000000" w:sz="4" w:space="0"/>
              <w:left w:val="single" w:color="000000" w:sz="4" w:space="0"/>
              <w:bottom w:val="single" w:color="000000" w:sz="4" w:space="0"/>
              <w:right w:val="single" w:color="000000" w:sz="4" w:space="0"/>
            </w:tcBorders>
          </w:tcPr>
          <w:p w14:paraId="00E49704">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48 x 19 mm</w:t>
            </w:r>
          </w:p>
        </w:tc>
      </w:tr>
      <w:tr w14:paraId="618EB243">
        <w:tblPrEx>
          <w:tblCellMar>
            <w:top w:w="0" w:type="dxa"/>
            <w:left w:w="0" w:type="dxa"/>
            <w:bottom w:w="0" w:type="dxa"/>
            <w:right w:w="0" w:type="dxa"/>
          </w:tblCellMar>
        </w:tblPrEx>
        <w:tc>
          <w:tcPr>
            <w:tcW w:w="8789" w:type="dxa"/>
            <w:gridSpan w:val="2"/>
            <w:tcBorders>
              <w:top w:val="single" w:color="000000" w:sz="4" w:space="0"/>
              <w:left w:val="single" w:color="000000" w:sz="4" w:space="0"/>
              <w:bottom w:val="single" w:color="000000" w:sz="4" w:space="0"/>
              <w:right w:val="single" w:color="000000" w:sz="4" w:space="0"/>
            </w:tcBorders>
            <w:shd w:val="clear" w:color="auto" w:fill="D9D9D9"/>
          </w:tcPr>
          <w:p w14:paraId="2207BFF3">
            <w:pPr>
              <w:jc w:val="both"/>
              <w:rPr>
                <w:rFonts w:cs="Century Gothic"/>
                <w:lang w:eastAsia="fi-FI"/>
              </w:rPr>
            </w:pPr>
            <w:r>
              <w:rPr>
                <w:rFonts w:cs="Century Gothic"/>
                <w:color w:val="000000"/>
                <w:lang w:eastAsia="fi-FI"/>
              </w:rPr>
              <w:t>Inion S-2 Inion S-2 Anterior Thoraco-Lumbar Fusion System</w:t>
            </w:r>
          </w:p>
        </w:tc>
      </w:tr>
      <w:tr w14:paraId="7AC40088">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shd w:val="clear" w:color="auto" w:fill="auto"/>
          </w:tcPr>
          <w:p w14:paraId="64830D13">
            <w:pPr>
              <w:jc w:val="both"/>
              <w:rPr>
                <w:b/>
              </w:rPr>
            </w:pPr>
            <w:r>
              <w:rPr>
                <w:b/>
              </w:rPr>
              <w:t>REF-number</w:t>
            </w:r>
          </w:p>
        </w:tc>
        <w:tc>
          <w:tcPr>
            <w:tcW w:w="6520" w:type="dxa"/>
            <w:tcBorders>
              <w:top w:val="single" w:color="000000" w:sz="4" w:space="0"/>
              <w:left w:val="single" w:color="000000" w:sz="4" w:space="0"/>
              <w:bottom w:val="single" w:color="000000" w:sz="4" w:space="0"/>
              <w:right w:val="single" w:color="000000" w:sz="4" w:space="0"/>
            </w:tcBorders>
            <w:shd w:val="clear" w:color="auto" w:fill="auto"/>
          </w:tcPr>
          <w:p w14:paraId="79F826D5">
            <w:pPr>
              <w:jc w:val="both"/>
              <w:rPr>
                <w:b/>
              </w:rPr>
            </w:pPr>
            <w:r>
              <w:rPr>
                <w:b/>
              </w:rPr>
              <w:t>Description</w:t>
            </w:r>
          </w:p>
        </w:tc>
      </w:tr>
      <w:tr w14:paraId="071385D5">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22FA4728">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INS-9561</w:t>
            </w:r>
          </w:p>
        </w:tc>
        <w:tc>
          <w:tcPr>
            <w:tcW w:w="6520" w:type="dxa"/>
            <w:tcBorders>
              <w:top w:val="single" w:color="000000" w:sz="4" w:space="0"/>
              <w:left w:val="single" w:color="000000" w:sz="4" w:space="0"/>
              <w:bottom w:val="single" w:color="000000" w:sz="4" w:space="0"/>
              <w:right w:val="single" w:color="000000" w:sz="4" w:space="0"/>
            </w:tcBorders>
          </w:tcPr>
          <w:p w14:paraId="664C1D9B">
            <w:pPr>
              <w:keepNext/>
              <w:keepLines/>
              <w:autoSpaceDE w:val="0"/>
              <w:autoSpaceDN w:val="0"/>
              <w:adjustRightInd w:val="0"/>
              <w:ind w:left="12"/>
              <w:rPr>
                <w:rFonts w:cs="Century Gothic"/>
                <w:color w:val="000000"/>
                <w:lang w:eastAsia="fi-FI"/>
              </w:rPr>
            </w:pPr>
            <w:r>
              <w:rPr>
                <w:rFonts w:cs="Century Gothic"/>
                <w:color w:val="000000"/>
                <w:lang w:eastAsia="fi-FI"/>
              </w:rPr>
              <w:t>Drill bit 5.0 mm with stop for 22 mm screw</w:t>
            </w:r>
          </w:p>
        </w:tc>
      </w:tr>
      <w:tr w14:paraId="4B86B8BB">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3237A72">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INS-9562</w:t>
            </w:r>
          </w:p>
        </w:tc>
        <w:tc>
          <w:tcPr>
            <w:tcW w:w="6520" w:type="dxa"/>
            <w:tcBorders>
              <w:top w:val="single" w:color="000000" w:sz="4" w:space="0"/>
              <w:left w:val="single" w:color="000000" w:sz="4" w:space="0"/>
              <w:bottom w:val="single" w:color="000000" w:sz="4" w:space="0"/>
              <w:right w:val="single" w:color="000000" w:sz="4" w:space="0"/>
            </w:tcBorders>
          </w:tcPr>
          <w:p w14:paraId="21850278">
            <w:pPr>
              <w:keepNext/>
              <w:keepLines/>
              <w:autoSpaceDE w:val="0"/>
              <w:autoSpaceDN w:val="0"/>
              <w:adjustRightInd w:val="0"/>
              <w:ind w:left="12"/>
              <w:rPr>
                <w:rFonts w:cs="Century Gothic"/>
                <w:color w:val="000000"/>
                <w:lang w:eastAsia="fi-FI"/>
              </w:rPr>
            </w:pPr>
            <w:r>
              <w:rPr>
                <w:rFonts w:cs="Century Gothic"/>
                <w:color w:val="000000"/>
                <w:lang w:eastAsia="fi-FI"/>
              </w:rPr>
              <w:t>Drill bit 5.0 mm with stop for 25 mm screw</w:t>
            </w:r>
          </w:p>
        </w:tc>
      </w:tr>
      <w:tr w14:paraId="43B85497">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3741A0B">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INS-9563</w:t>
            </w:r>
          </w:p>
        </w:tc>
        <w:tc>
          <w:tcPr>
            <w:tcW w:w="6520" w:type="dxa"/>
            <w:tcBorders>
              <w:top w:val="single" w:color="000000" w:sz="4" w:space="0"/>
              <w:left w:val="single" w:color="000000" w:sz="4" w:space="0"/>
              <w:bottom w:val="single" w:color="000000" w:sz="4" w:space="0"/>
              <w:right w:val="single" w:color="000000" w:sz="4" w:space="0"/>
            </w:tcBorders>
          </w:tcPr>
          <w:p w14:paraId="54C9771A">
            <w:pPr>
              <w:keepNext/>
              <w:keepLines/>
              <w:autoSpaceDE w:val="0"/>
              <w:autoSpaceDN w:val="0"/>
              <w:adjustRightInd w:val="0"/>
              <w:ind w:left="12"/>
              <w:rPr>
                <w:rFonts w:cs="Century Gothic"/>
                <w:color w:val="000000"/>
                <w:lang w:eastAsia="fi-FI"/>
              </w:rPr>
            </w:pPr>
            <w:r>
              <w:rPr>
                <w:rFonts w:cs="Century Gothic"/>
                <w:color w:val="000000"/>
                <w:lang w:eastAsia="fi-FI"/>
              </w:rPr>
              <w:t>Drill bit 5.0 mm with stop for 28 mm screw</w:t>
            </w:r>
          </w:p>
        </w:tc>
      </w:tr>
      <w:tr w14:paraId="00426DB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3CE2CCF">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INS-9564</w:t>
            </w:r>
          </w:p>
        </w:tc>
        <w:tc>
          <w:tcPr>
            <w:tcW w:w="6520" w:type="dxa"/>
            <w:tcBorders>
              <w:top w:val="single" w:color="000000" w:sz="4" w:space="0"/>
              <w:left w:val="single" w:color="000000" w:sz="4" w:space="0"/>
              <w:bottom w:val="single" w:color="000000" w:sz="4" w:space="0"/>
              <w:right w:val="single" w:color="000000" w:sz="4" w:space="0"/>
            </w:tcBorders>
          </w:tcPr>
          <w:p w14:paraId="46F640B4">
            <w:pPr>
              <w:keepNext/>
              <w:keepLines/>
              <w:autoSpaceDE w:val="0"/>
              <w:autoSpaceDN w:val="0"/>
              <w:adjustRightInd w:val="0"/>
              <w:ind w:left="12"/>
              <w:rPr>
                <w:rFonts w:cs="Century Gothic"/>
                <w:color w:val="000000"/>
                <w:lang w:eastAsia="fi-FI"/>
              </w:rPr>
            </w:pPr>
            <w:r>
              <w:rPr>
                <w:rFonts w:cs="Century Gothic"/>
                <w:color w:val="000000"/>
                <w:lang w:eastAsia="fi-FI"/>
              </w:rPr>
              <w:t>Drill bit 5.0 mm with stop for 31 mm screw</w:t>
            </w:r>
          </w:p>
        </w:tc>
      </w:tr>
      <w:tr w14:paraId="28B93D6E">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20CECBB5">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INS-9565</w:t>
            </w:r>
          </w:p>
        </w:tc>
        <w:tc>
          <w:tcPr>
            <w:tcW w:w="6520" w:type="dxa"/>
            <w:tcBorders>
              <w:top w:val="single" w:color="000000" w:sz="4" w:space="0"/>
              <w:left w:val="single" w:color="000000" w:sz="4" w:space="0"/>
              <w:bottom w:val="single" w:color="000000" w:sz="4" w:space="0"/>
              <w:right w:val="single" w:color="000000" w:sz="4" w:space="0"/>
            </w:tcBorders>
          </w:tcPr>
          <w:p w14:paraId="47AFC6ED">
            <w:pPr>
              <w:keepNext/>
              <w:keepLines/>
              <w:autoSpaceDE w:val="0"/>
              <w:autoSpaceDN w:val="0"/>
              <w:adjustRightInd w:val="0"/>
              <w:ind w:left="12"/>
              <w:rPr>
                <w:rFonts w:cs="Century Gothic"/>
                <w:color w:val="000000"/>
                <w:lang w:eastAsia="fi-FI"/>
              </w:rPr>
            </w:pPr>
            <w:r>
              <w:rPr>
                <w:rFonts w:cs="Century Gothic"/>
                <w:color w:val="000000"/>
                <w:lang w:eastAsia="fi-FI"/>
              </w:rPr>
              <w:t>Drill bit 5.7 mm with stop for 22 mm screw</w:t>
            </w:r>
          </w:p>
        </w:tc>
      </w:tr>
      <w:tr w14:paraId="3AF419A6">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22C31AEB">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INS-9566</w:t>
            </w:r>
          </w:p>
        </w:tc>
        <w:tc>
          <w:tcPr>
            <w:tcW w:w="6520" w:type="dxa"/>
            <w:tcBorders>
              <w:top w:val="single" w:color="000000" w:sz="4" w:space="0"/>
              <w:left w:val="single" w:color="000000" w:sz="4" w:space="0"/>
              <w:bottom w:val="single" w:color="000000" w:sz="4" w:space="0"/>
              <w:right w:val="single" w:color="000000" w:sz="4" w:space="0"/>
            </w:tcBorders>
          </w:tcPr>
          <w:p w14:paraId="13881A2F">
            <w:pPr>
              <w:keepNext/>
              <w:keepLines/>
              <w:autoSpaceDE w:val="0"/>
              <w:autoSpaceDN w:val="0"/>
              <w:adjustRightInd w:val="0"/>
              <w:ind w:left="12"/>
              <w:rPr>
                <w:rFonts w:cs="Century Gothic"/>
                <w:color w:val="000000"/>
                <w:lang w:eastAsia="fi-FI"/>
              </w:rPr>
            </w:pPr>
            <w:r>
              <w:rPr>
                <w:rFonts w:cs="Century Gothic"/>
                <w:color w:val="000000"/>
                <w:lang w:eastAsia="fi-FI"/>
              </w:rPr>
              <w:t>Drill bit 5.7 mm with stop for 25 mm screw</w:t>
            </w:r>
          </w:p>
        </w:tc>
      </w:tr>
      <w:tr w14:paraId="2D22D65A">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7F6CA9C">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INS-9567</w:t>
            </w:r>
          </w:p>
        </w:tc>
        <w:tc>
          <w:tcPr>
            <w:tcW w:w="6520" w:type="dxa"/>
            <w:tcBorders>
              <w:top w:val="single" w:color="000000" w:sz="4" w:space="0"/>
              <w:left w:val="single" w:color="000000" w:sz="4" w:space="0"/>
              <w:bottom w:val="single" w:color="000000" w:sz="4" w:space="0"/>
              <w:right w:val="single" w:color="000000" w:sz="4" w:space="0"/>
            </w:tcBorders>
          </w:tcPr>
          <w:p w14:paraId="72D16620">
            <w:pPr>
              <w:keepNext/>
              <w:keepLines/>
              <w:autoSpaceDE w:val="0"/>
              <w:autoSpaceDN w:val="0"/>
              <w:adjustRightInd w:val="0"/>
              <w:ind w:left="12"/>
              <w:rPr>
                <w:rFonts w:cs="Century Gothic"/>
                <w:color w:val="000000"/>
                <w:lang w:eastAsia="fi-FI"/>
              </w:rPr>
            </w:pPr>
            <w:r>
              <w:rPr>
                <w:rFonts w:cs="Century Gothic"/>
                <w:color w:val="000000"/>
                <w:lang w:eastAsia="fi-FI"/>
              </w:rPr>
              <w:t>Drill bit 5.7 mm with stop for 28 mm screw</w:t>
            </w:r>
          </w:p>
        </w:tc>
      </w:tr>
      <w:tr w14:paraId="58091959">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E4FFC48">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INS-9568</w:t>
            </w:r>
          </w:p>
        </w:tc>
        <w:tc>
          <w:tcPr>
            <w:tcW w:w="6520" w:type="dxa"/>
            <w:tcBorders>
              <w:top w:val="single" w:color="000000" w:sz="4" w:space="0"/>
              <w:left w:val="single" w:color="000000" w:sz="4" w:space="0"/>
              <w:bottom w:val="single" w:color="000000" w:sz="4" w:space="0"/>
              <w:right w:val="single" w:color="000000" w:sz="4" w:space="0"/>
            </w:tcBorders>
          </w:tcPr>
          <w:p w14:paraId="0B08586F">
            <w:pPr>
              <w:keepNext/>
              <w:keepLines/>
              <w:autoSpaceDE w:val="0"/>
              <w:autoSpaceDN w:val="0"/>
              <w:adjustRightInd w:val="0"/>
              <w:ind w:left="12"/>
              <w:rPr>
                <w:rFonts w:cs="Century Gothic"/>
                <w:color w:val="000000"/>
                <w:lang w:eastAsia="fi-FI"/>
              </w:rPr>
            </w:pPr>
            <w:r>
              <w:rPr>
                <w:rFonts w:cs="Century Gothic"/>
                <w:color w:val="000000"/>
                <w:lang w:eastAsia="fi-FI"/>
              </w:rPr>
              <w:t>Drill bit 5.7 mm with stop for 31 mm screw</w:t>
            </w:r>
          </w:p>
        </w:tc>
      </w:tr>
      <w:tr w14:paraId="17B5BC26">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DE4641F">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INS-9569</w:t>
            </w:r>
          </w:p>
        </w:tc>
        <w:tc>
          <w:tcPr>
            <w:tcW w:w="6520" w:type="dxa"/>
            <w:tcBorders>
              <w:top w:val="single" w:color="000000" w:sz="4" w:space="0"/>
              <w:left w:val="single" w:color="000000" w:sz="4" w:space="0"/>
              <w:bottom w:val="single" w:color="000000" w:sz="4" w:space="0"/>
              <w:right w:val="single" w:color="000000" w:sz="4" w:space="0"/>
            </w:tcBorders>
          </w:tcPr>
          <w:p w14:paraId="556882FC">
            <w:pPr>
              <w:keepNext/>
              <w:keepLines/>
              <w:autoSpaceDE w:val="0"/>
              <w:autoSpaceDN w:val="0"/>
              <w:adjustRightInd w:val="0"/>
              <w:ind w:left="12"/>
              <w:rPr>
                <w:rFonts w:cs="Century Gothic"/>
                <w:color w:val="000000"/>
                <w:lang w:eastAsia="fi-FI"/>
              </w:rPr>
            </w:pPr>
            <w:r>
              <w:rPr>
                <w:rFonts w:cs="Century Gothic"/>
                <w:color w:val="000000"/>
                <w:lang w:eastAsia="fi-FI"/>
              </w:rPr>
              <w:t>Bone tap 6.0 mm with stop for 22 mm screw</w:t>
            </w:r>
          </w:p>
        </w:tc>
      </w:tr>
      <w:tr w14:paraId="5DF5F9B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3BABD0E">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INS-9570</w:t>
            </w:r>
          </w:p>
        </w:tc>
        <w:tc>
          <w:tcPr>
            <w:tcW w:w="6520" w:type="dxa"/>
            <w:tcBorders>
              <w:top w:val="single" w:color="000000" w:sz="4" w:space="0"/>
              <w:left w:val="single" w:color="000000" w:sz="4" w:space="0"/>
              <w:bottom w:val="single" w:color="000000" w:sz="4" w:space="0"/>
              <w:right w:val="single" w:color="000000" w:sz="4" w:space="0"/>
            </w:tcBorders>
          </w:tcPr>
          <w:p w14:paraId="0AA68192">
            <w:pPr>
              <w:keepNext/>
              <w:keepLines/>
              <w:autoSpaceDE w:val="0"/>
              <w:autoSpaceDN w:val="0"/>
              <w:adjustRightInd w:val="0"/>
              <w:ind w:left="12"/>
              <w:rPr>
                <w:rFonts w:cs="Century Gothic"/>
                <w:color w:val="000000"/>
                <w:lang w:eastAsia="fi-FI"/>
              </w:rPr>
            </w:pPr>
            <w:r>
              <w:rPr>
                <w:rFonts w:cs="Century Gothic"/>
                <w:color w:val="000000"/>
                <w:lang w:eastAsia="fi-FI"/>
              </w:rPr>
              <w:t>Bone tap 6.0 mm with stop for 25 mm screw</w:t>
            </w:r>
          </w:p>
        </w:tc>
      </w:tr>
      <w:tr w14:paraId="5EAE02F1">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AFE4428">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INS-9571</w:t>
            </w:r>
          </w:p>
        </w:tc>
        <w:tc>
          <w:tcPr>
            <w:tcW w:w="6520" w:type="dxa"/>
            <w:tcBorders>
              <w:top w:val="single" w:color="000000" w:sz="4" w:space="0"/>
              <w:left w:val="single" w:color="000000" w:sz="4" w:space="0"/>
              <w:bottom w:val="single" w:color="000000" w:sz="4" w:space="0"/>
              <w:right w:val="single" w:color="000000" w:sz="4" w:space="0"/>
            </w:tcBorders>
          </w:tcPr>
          <w:p w14:paraId="653DBC4E">
            <w:pPr>
              <w:keepNext/>
              <w:keepLines/>
              <w:autoSpaceDE w:val="0"/>
              <w:autoSpaceDN w:val="0"/>
              <w:adjustRightInd w:val="0"/>
              <w:ind w:left="12"/>
              <w:rPr>
                <w:rFonts w:cs="Century Gothic"/>
                <w:color w:val="000000"/>
                <w:lang w:eastAsia="fi-FI"/>
              </w:rPr>
            </w:pPr>
            <w:r>
              <w:rPr>
                <w:rFonts w:cs="Century Gothic"/>
                <w:color w:val="000000"/>
                <w:lang w:eastAsia="fi-FI"/>
              </w:rPr>
              <w:t>Bone tap 6.0 mm with stop for 27 mm screw</w:t>
            </w:r>
          </w:p>
        </w:tc>
      </w:tr>
      <w:tr w14:paraId="195D5E09">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8632A2E">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INS-9572</w:t>
            </w:r>
          </w:p>
        </w:tc>
        <w:tc>
          <w:tcPr>
            <w:tcW w:w="6520" w:type="dxa"/>
            <w:tcBorders>
              <w:top w:val="single" w:color="000000" w:sz="4" w:space="0"/>
              <w:left w:val="single" w:color="000000" w:sz="4" w:space="0"/>
              <w:bottom w:val="single" w:color="000000" w:sz="4" w:space="0"/>
              <w:right w:val="single" w:color="000000" w:sz="4" w:space="0"/>
            </w:tcBorders>
          </w:tcPr>
          <w:p w14:paraId="075F1AAD">
            <w:pPr>
              <w:keepNext/>
              <w:keepLines/>
              <w:autoSpaceDE w:val="0"/>
              <w:autoSpaceDN w:val="0"/>
              <w:adjustRightInd w:val="0"/>
              <w:ind w:left="12"/>
              <w:rPr>
                <w:rFonts w:cs="Century Gothic"/>
                <w:color w:val="000000"/>
                <w:lang w:eastAsia="fi-FI"/>
              </w:rPr>
            </w:pPr>
            <w:r>
              <w:rPr>
                <w:rFonts w:cs="Century Gothic"/>
                <w:color w:val="000000"/>
                <w:lang w:eastAsia="fi-FI"/>
              </w:rPr>
              <w:t>Bone tap 6.0 mm with stop for 31 mm screw</w:t>
            </w:r>
          </w:p>
        </w:tc>
      </w:tr>
      <w:tr w14:paraId="71349F91">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8D7EE50">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INS-9573</w:t>
            </w:r>
          </w:p>
        </w:tc>
        <w:tc>
          <w:tcPr>
            <w:tcW w:w="6520" w:type="dxa"/>
            <w:tcBorders>
              <w:top w:val="single" w:color="000000" w:sz="4" w:space="0"/>
              <w:left w:val="single" w:color="000000" w:sz="4" w:space="0"/>
              <w:bottom w:val="single" w:color="000000" w:sz="4" w:space="0"/>
              <w:right w:val="single" w:color="000000" w:sz="4" w:space="0"/>
            </w:tcBorders>
          </w:tcPr>
          <w:p w14:paraId="6F7902EC">
            <w:pPr>
              <w:keepNext/>
              <w:keepLines/>
              <w:autoSpaceDE w:val="0"/>
              <w:autoSpaceDN w:val="0"/>
              <w:adjustRightInd w:val="0"/>
              <w:ind w:left="12"/>
              <w:rPr>
                <w:rFonts w:cs="Century Gothic"/>
                <w:color w:val="000000"/>
                <w:lang w:eastAsia="fi-FI"/>
              </w:rPr>
            </w:pPr>
            <w:r>
              <w:rPr>
                <w:rFonts w:cs="Century Gothic"/>
                <w:color w:val="000000"/>
                <w:lang w:eastAsia="fi-FI"/>
              </w:rPr>
              <w:t>Bone tap 6.7 mm with stop for 22 mm screw</w:t>
            </w:r>
          </w:p>
        </w:tc>
      </w:tr>
      <w:tr w14:paraId="32042276">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DF9F938">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INS-9574</w:t>
            </w:r>
          </w:p>
        </w:tc>
        <w:tc>
          <w:tcPr>
            <w:tcW w:w="6520" w:type="dxa"/>
            <w:tcBorders>
              <w:top w:val="single" w:color="000000" w:sz="4" w:space="0"/>
              <w:left w:val="single" w:color="000000" w:sz="4" w:space="0"/>
              <w:bottom w:val="single" w:color="000000" w:sz="4" w:space="0"/>
              <w:right w:val="single" w:color="000000" w:sz="4" w:space="0"/>
            </w:tcBorders>
          </w:tcPr>
          <w:p w14:paraId="55E2445E">
            <w:pPr>
              <w:keepNext/>
              <w:keepLines/>
              <w:autoSpaceDE w:val="0"/>
              <w:autoSpaceDN w:val="0"/>
              <w:adjustRightInd w:val="0"/>
              <w:ind w:left="12"/>
              <w:rPr>
                <w:rFonts w:cs="Century Gothic"/>
                <w:color w:val="000000"/>
                <w:lang w:eastAsia="fi-FI"/>
              </w:rPr>
            </w:pPr>
            <w:r>
              <w:rPr>
                <w:rFonts w:cs="Century Gothic"/>
                <w:color w:val="000000"/>
                <w:lang w:eastAsia="fi-FI"/>
              </w:rPr>
              <w:t>Bone tap 6.7 mm with stop for 25 mm screw</w:t>
            </w:r>
          </w:p>
        </w:tc>
      </w:tr>
      <w:tr w14:paraId="6C3C7305">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DCCC90C">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INS-9575</w:t>
            </w:r>
          </w:p>
        </w:tc>
        <w:tc>
          <w:tcPr>
            <w:tcW w:w="6520" w:type="dxa"/>
            <w:tcBorders>
              <w:top w:val="single" w:color="000000" w:sz="4" w:space="0"/>
              <w:left w:val="single" w:color="000000" w:sz="4" w:space="0"/>
              <w:bottom w:val="single" w:color="000000" w:sz="4" w:space="0"/>
              <w:right w:val="single" w:color="000000" w:sz="4" w:space="0"/>
            </w:tcBorders>
          </w:tcPr>
          <w:p w14:paraId="0E68D5E6">
            <w:pPr>
              <w:keepNext/>
              <w:keepLines/>
              <w:autoSpaceDE w:val="0"/>
              <w:autoSpaceDN w:val="0"/>
              <w:adjustRightInd w:val="0"/>
              <w:ind w:left="12"/>
              <w:rPr>
                <w:rFonts w:cs="Century Gothic"/>
                <w:color w:val="000000"/>
                <w:lang w:eastAsia="fi-FI"/>
              </w:rPr>
            </w:pPr>
            <w:r>
              <w:rPr>
                <w:rFonts w:cs="Century Gothic"/>
                <w:color w:val="000000"/>
                <w:lang w:eastAsia="fi-FI"/>
              </w:rPr>
              <w:t>Bone tap 6.7 mm with stop for 28 mm screw</w:t>
            </w:r>
          </w:p>
        </w:tc>
      </w:tr>
      <w:tr w14:paraId="2D40570B">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642C297">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INS-9576</w:t>
            </w:r>
          </w:p>
        </w:tc>
        <w:tc>
          <w:tcPr>
            <w:tcW w:w="6520" w:type="dxa"/>
            <w:tcBorders>
              <w:top w:val="single" w:color="000000" w:sz="4" w:space="0"/>
              <w:left w:val="single" w:color="000000" w:sz="4" w:space="0"/>
              <w:bottom w:val="single" w:color="000000" w:sz="4" w:space="0"/>
              <w:right w:val="single" w:color="000000" w:sz="4" w:space="0"/>
            </w:tcBorders>
          </w:tcPr>
          <w:p w14:paraId="389DB779">
            <w:pPr>
              <w:keepNext/>
              <w:keepLines/>
              <w:autoSpaceDE w:val="0"/>
              <w:autoSpaceDN w:val="0"/>
              <w:adjustRightInd w:val="0"/>
              <w:ind w:left="12"/>
              <w:rPr>
                <w:rFonts w:cs="Century Gothic"/>
                <w:color w:val="000000"/>
                <w:lang w:eastAsia="fi-FI"/>
              </w:rPr>
            </w:pPr>
            <w:r>
              <w:rPr>
                <w:rFonts w:cs="Century Gothic"/>
                <w:color w:val="000000"/>
                <w:lang w:eastAsia="fi-FI"/>
              </w:rPr>
              <w:t>Bone tap 6.7 mm with stop for 31 mm screw</w:t>
            </w:r>
          </w:p>
        </w:tc>
      </w:tr>
      <w:tr w14:paraId="4D5ABF9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D44F4C9">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INS-9577</w:t>
            </w:r>
          </w:p>
        </w:tc>
        <w:tc>
          <w:tcPr>
            <w:tcW w:w="6520" w:type="dxa"/>
            <w:tcBorders>
              <w:top w:val="single" w:color="000000" w:sz="4" w:space="0"/>
              <w:left w:val="single" w:color="000000" w:sz="4" w:space="0"/>
              <w:bottom w:val="single" w:color="000000" w:sz="4" w:space="0"/>
              <w:right w:val="single" w:color="000000" w:sz="4" w:space="0"/>
            </w:tcBorders>
          </w:tcPr>
          <w:p w14:paraId="5C3AD747">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holder, straight</w:t>
            </w:r>
          </w:p>
        </w:tc>
      </w:tr>
      <w:tr w14:paraId="23BC5FFF">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1DBC35F">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INS-9578</w:t>
            </w:r>
          </w:p>
        </w:tc>
        <w:tc>
          <w:tcPr>
            <w:tcW w:w="6520" w:type="dxa"/>
            <w:tcBorders>
              <w:top w:val="single" w:color="000000" w:sz="4" w:space="0"/>
              <w:left w:val="single" w:color="000000" w:sz="4" w:space="0"/>
              <w:bottom w:val="single" w:color="000000" w:sz="4" w:space="0"/>
              <w:right w:val="single" w:color="000000" w:sz="4" w:space="0"/>
            </w:tcBorders>
          </w:tcPr>
          <w:p w14:paraId="21CACB54">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holder, angled</w:t>
            </w:r>
          </w:p>
        </w:tc>
      </w:tr>
      <w:tr w14:paraId="3B1C0DFD">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CD6D6D2">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INS-9579</w:t>
            </w:r>
          </w:p>
        </w:tc>
        <w:tc>
          <w:tcPr>
            <w:tcW w:w="6520" w:type="dxa"/>
            <w:tcBorders>
              <w:top w:val="single" w:color="000000" w:sz="4" w:space="0"/>
              <w:left w:val="single" w:color="000000" w:sz="4" w:space="0"/>
              <w:bottom w:val="single" w:color="000000" w:sz="4" w:space="0"/>
              <w:right w:val="single" w:color="000000" w:sz="4" w:space="0"/>
            </w:tcBorders>
          </w:tcPr>
          <w:p w14:paraId="191C13F6">
            <w:pPr>
              <w:keepNext/>
              <w:keepLines/>
              <w:autoSpaceDE w:val="0"/>
              <w:autoSpaceDN w:val="0"/>
              <w:adjustRightInd w:val="0"/>
              <w:ind w:left="12"/>
              <w:rPr>
                <w:rFonts w:cs="Century Gothic"/>
                <w:color w:val="000000"/>
                <w:lang w:val="fi-FI" w:eastAsia="fi-FI"/>
              </w:rPr>
            </w:pPr>
            <w:r>
              <w:rPr>
                <w:rFonts w:cs="Century Gothic"/>
                <w:color w:val="000000"/>
                <w:lang w:val="fi-FI" w:eastAsia="fi-FI"/>
              </w:rPr>
              <w:t>Drill guide, 6.0 mm</w:t>
            </w:r>
          </w:p>
        </w:tc>
      </w:tr>
      <w:tr w14:paraId="4B8556AD">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FFD566F">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INS-9580</w:t>
            </w:r>
          </w:p>
        </w:tc>
        <w:tc>
          <w:tcPr>
            <w:tcW w:w="6520" w:type="dxa"/>
            <w:tcBorders>
              <w:top w:val="single" w:color="000000" w:sz="4" w:space="0"/>
              <w:left w:val="single" w:color="000000" w:sz="4" w:space="0"/>
              <w:bottom w:val="single" w:color="000000" w:sz="4" w:space="0"/>
              <w:right w:val="single" w:color="000000" w:sz="4" w:space="0"/>
            </w:tcBorders>
          </w:tcPr>
          <w:p w14:paraId="76D4DF20">
            <w:pPr>
              <w:keepNext/>
              <w:keepLines/>
              <w:autoSpaceDE w:val="0"/>
              <w:autoSpaceDN w:val="0"/>
              <w:adjustRightInd w:val="0"/>
              <w:ind w:left="12"/>
              <w:rPr>
                <w:rFonts w:cs="Century Gothic"/>
                <w:color w:val="000000"/>
                <w:lang w:val="fi-FI" w:eastAsia="fi-FI"/>
              </w:rPr>
            </w:pPr>
            <w:r>
              <w:rPr>
                <w:rFonts w:cs="Century Gothic"/>
                <w:color w:val="000000"/>
                <w:lang w:val="fi-FI" w:eastAsia="fi-FI"/>
              </w:rPr>
              <w:t>Awl</w:t>
            </w:r>
          </w:p>
        </w:tc>
      </w:tr>
      <w:tr w14:paraId="2615568D">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1533400">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INS-9581</w:t>
            </w:r>
          </w:p>
        </w:tc>
        <w:tc>
          <w:tcPr>
            <w:tcW w:w="6520" w:type="dxa"/>
            <w:tcBorders>
              <w:top w:val="single" w:color="000000" w:sz="4" w:space="0"/>
              <w:left w:val="single" w:color="000000" w:sz="4" w:space="0"/>
              <w:bottom w:val="single" w:color="000000" w:sz="4" w:space="0"/>
              <w:right w:val="single" w:color="000000" w:sz="4" w:space="0"/>
            </w:tcBorders>
          </w:tcPr>
          <w:p w14:paraId="220FCEB1">
            <w:pPr>
              <w:keepNext/>
              <w:keepLines/>
              <w:autoSpaceDE w:val="0"/>
              <w:autoSpaceDN w:val="0"/>
              <w:adjustRightInd w:val="0"/>
              <w:ind w:left="12"/>
              <w:rPr>
                <w:rFonts w:cs="Century Gothic"/>
                <w:color w:val="000000"/>
                <w:lang w:val="fi-FI" w:eastAsia="fi-FI"/>
              </w:rPr>
            </w:pPr>
            <w:r>
              <w:rPr>
                <w:rFonts w:cs="Century Gothic"/>
                <w:color w:val="000000"/>
                <w:lang w:val="fi-FI" w:eastAsia="fi-FI"/>
              </w:rPr>
              <w:t>Temporary fixation screw</w:t>
            </w:r>
          </w:p>
        </w:tc>
      </w:tr>
      <w:tr w14:paraId="11D69457">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B218102">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INS-9582</w:t>
            </w:r>
          </w:p>
        </w:tc>
        <w:tc>
          <w:tcPr>
            <w:tcW w:w="6520" w:type="dxa"/>
            <w:tcBorders>
              <w:top w:val="single" w:color="000000" w:sz="4" w:space="0"/>
              <w:left w:val="single" w:color="000000" w:sz="4" w:space="0"/>
              <w:bottom w:val="single" w:color="000000" w:sz="4" w:space="0"/>
              <w:right w:val="single" w:color="000000" w:sz="4" w:space="0"/>
            </w:tcBorders>
          </w:tcPr>
          <w:p w14:paraId="62E7DA12">
            <w:pPr>
              <w:keepNext/>
              <w:keepLines/>
              <w:autoSpaceDE w:val="0"/>
              <w:autoSpaceDN w:val="0"/>
              <w:adjustRightInd w:val="0"/>
              <w:ind w:left="12"/>
              <w:rPr>
                <w:rFonts w:cs="Century Gothic"/>
                <w:color w:val="000000"/>
                <w:lang w:eastAsia="fi-FI"/>
              </w:rPr>
            </w:pPr>
            <w:r>
              <w:rPr>
                <w:rFonts w:cs="Century Gothic"/>
                <w:color w:val="000000"/>
                <w:lang w:eastAsia="fi-FI"/>
              </w:rPr>
              <w:t>Screwdriver shaft for temporary fixation screw</w:t>
            </w:r>
          </w:p>
        </w:tc>
      </w:tr>
      <w:tr w14:paraId="439F9B07">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EE73418">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INS-9583</w:t>
            </w:r>
          </w:p>
        </w:tc>
        <w:tc>
          <w:tcPr>
            <w:tcW w:w="6520" w:type="dxa"/>
            <w:tcBorders>
              <w:top w:val="single" w:color="000000" w:sz="4" w:space="0"/>
              <w:left w:val="single" w:color="000000" w:sz="4" w:space="0"/>
              <w:bottom w:val="single" w:color="000000" w:sz="4" w:space="0"/>
              <w:right w:val="single" w:color="000000" w:sz="4" w:space="0"/>
            </w:tcBorders>
          </w:tcPr>
          <w:p w14:paraId="7FE6E1C5">
            <w:pPr>
              <w:keepNext/>
              <w:keepLines/>
              <w:autoSpaceDE w:val="0"/>
              <w:autoSpaceDN w:val="0"/>
              <w:adjustRightInd w:val="0"/>
              <w:ind w:left="12"/>
              <w:rPr>
                <w:rFonts w:cs="Century Gothic"/>
                <w:color w:val="000000"/>
                <w:lang w:val="fi-FI" w:eastAsia="fi-FI"/>
              </w:rPr>
            </w:pPr>
            <w:r>
              <w:rPr>
                <w:rFonts w:cs="Century Gothic"/>
                <w:color w:val="000000"/>
                <w:lang w:val="fi-FI" w:eastAsia="fi-FI"/>
              </w:rPr>
              <w:t>Screwdriver shaft</w:t>
            </w:r>
          </w:p>
        </w:tc>
      </w:tr>
      <w:tr w14:paraId="011AE6F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1E9B6F4">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INS-9585</w:t>
            </w:r>
          </w:p>
        </w:tc>
        <w:tc>
          <w:tcPr>
            <w:tcW w:w="6520" w:type="dxa"/>
            <w:tcBorders>
              <w:top w:val="single" w:color="000000" w:sz="4" w:space="0"/>
              <w:left w:val="single" w:color="000000" w:sz="4" w:space="0"/>
              <w:bottom w:val="single" w:color="000000" w:sz="4" w:space="0"/>
              <w:right w:val="single" w:color="000000" w:sz="4" w:space="0"/>
            </w:tcBorders>
          </w:tcPr>
          <w:p w14:paraId="5C5FA15C">
            <w:pPr>
              <w:keepNext/>
              <w:keepLines/>
              <w:autoSpaceDE w:val="0"/>
              <w:autoSpaceDN w:val="0"/>
              <w:adjustRightInd w:val="0"/>
              <w:ind w:left="12"/>
              <w:rPr>
                <w:rFonts w:cs="Century Gothic"/>
                <w:color w:val="000000"/>
                <w:lang w:val="fi-FI" w:eastAsia="fi-FI"/>
              </w:rPr>
            </w:pPr>
            <w:r>
              <w:rPr>
                <w:rFonts w:cs="Century Gothic"/>
                <w:color w:val="000000"/>
                <w:lang w:val="fi-FI" w:eastAsia="fi-FI"/>
              </w:rPr>
              <w:t>Drill guide, 6.7 mm</w:t>
            </w:r>
          </w:p>
        </w:tc>
      </w:tr>
      <w:tr w14:paraId="44B4B9E5">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72DBDD3">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ACC-9842</w:t>
            </w:r>
          </w:p>
        </w:tc>
        <w:tc>
          <w:tcPr>
            <w:tcW w:w="6520" w:type="dxa"/>
            <w:tcBorders>
              <w:top w:val="single" w:color="000000" w:sz="4" w:space="0"/>
              <w:left w:val="single" w:color="000000" w:sz="4" w:space="0"/>
              <w:bottom w:val="single" w:color="000000" w:sz="4" w:space="0"/>
              <w:right w:val="single" w:color="000000" w:sz="4" w:space="0"/>
            </w:tcBorders>
          </w:tcPr>
          <w:p w14:paraId="70C78BCD">
            <w:pPr>
              <w:keepNext/>
              <w:keepLines/>
              <w:autoSpaceDE w:val="0"/>
              <w:autoSpaceDN w:val="0"/>
              <w:adjustRightInd w:val="0"/>
              <w:ind w:left="12"/>
              <w:rPr>
                <w:rFonts w:cs="Century Gothic"/>
                <w:color w:val="000000"/>
                <w:lang w:val="fi-FI" w:eastAsia="fi-FI"/>
              </w:rPr>
            </w:pPr>
            <w:r>
              <w:rPr>
                <w:rFonts w:cs="Century Gothic"/>
                <w:color w:val="000000"/>
                <w:lang w:val="fi-FI" w:eastAsia="fi-FI"/>
              </w:rPr>
              <w:t>Sterilization tray for instruments</w:t>
            </w:r>
          </w:p>
        </w:tc>
      </w:tr>
      <w:tr w14:paraId="59A933D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A9DDDFE">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ACC-9843</w:t>
            </w:r>
          </w:p>
        </w:tc>
        <w:tc>
          <w:tcPr>
            <w:tcW w:w="6520" w:type="dxa"/>
            <w:tcBorders>
              <w:top w:val="single" w:color="000000" w:sz="4" w:space="0"/>
              <w:left w:val="single" w:color="000000" w:sz="4" w:space="0"/>
              <w:bottom w:val="single" w:color="000000" w:sz="4" w:space="0"/>
              <w:right w:val="single" w:color="000000" w:sz="4" w:space="0"/>
            </w:tcBorders>
          </w:tcPr>
          <w:p w14:paraId="5B171BDD">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contouring block</w:t>
            </w:r>
          </w:p>
        </w:tc>
      </w:tr>
      <w:tr w14:paraId="68666EBB">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00D54E3D">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ACC-9845</w:t>
            </w:r>
          </w:p>
        </w:tc>
        <w:tc>
          <w:tcPr>
            <w:tcW w:w="6520" w:type="dxa"/>
            <w:tcBorders>
              <w:top w:val="single" w:color="000000" w:sz="4" w:space="0"/>
              <w:left w:val="single" w:color="000000" w:sz="4" w:space="0"/>
              <w:bottom w:val="single" w:color="000000" w:sz="4" w:space="0"/>
              <w:right w:val="single" w:color="000000" w:sz="4" w:space="0"/>
            </w:tcBorders>
          </w:tcPr>
          <w:p w14:paraId="7F85EC32">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37 x 28 mm</w:t>
            </w:r>
          </w:p>
        </w:tc>
      </w:tr>
      <w:tr w14:paraId="07B8BE7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1F1AC7B">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ACC-9846</w:t>
            </w:r>
          </w:p>
        </w:tc>
        <w:tc>
          <w:tcPr>
            <w:tcW w:w="6520" w:type="dxa"/>
            <w:tcBorders>
              <w:top w:val="single" w:color="000000" w:sz="4" w:space="0"/>
              <w:left w:val="single" w:color="000000" w:sz="4" w:space="0"/>
              <w:bottom w:val="single" w:color="000000" w:sz="4" w:space="0"/>
              <w:right w:val="single" w:color="000000" w:sz="4" w:space="0"/>
            </w:tcBorders>
          </w:tcPr>
          <w:p w14:paraId="75722498">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40 x 28 mm</w:t>
            </w:r>
          </w:p>
        </w:tc>
      </w:tr>
      <w:tr w14:paraId="76BE6D8A">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B4F5947">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ACC-9847</w:t>
            </w:r>
          </w:p>
        </w:tc>
        <w:tc>
          <w:tcPr>
            <w:tcW w:w="6520" w:type="dxa"/>
            <w:tcBorders>
              <w:top w:val="single" w:color="000000" w:sz="4" w:space="0"/>
              <w:left w:val="single" w:color="000000" w:sz="4" w:space="0"/>
              <w:bottom w:val="single" w:color="000000" w:sz="4" w:space="0"/>
              <w:right w:val="single" w:color="000000" w:sz="4" w:space="0"/>
            </w:tcBorders>
          </w:tcPr>
          <w:p w14:paraId="682224B5">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43 x 28 mm</w:t>
            </w:r>
          </w:p>
        </w:tc>
      </w:tr>
      <w:tr w14:paraId="202D3B5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7995119">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ACC-9848</w:t>
            </w:r>
          </w:p>
        </w:tc>
        <w:tc>
          <w:tcPr>
            <w:tcW w:w="6520" w:type="dxa"/>
            <w:tcBorders>
              <w:top w:val="single" w:color="000000" w:sz="4" w:space="0"/>
              <w:left w:val="single" w:color="000000" w:sz="4" w:space="0"/>
              <w:bottom w:val="single" w:color="000000" w:sz="4" w:space="0"/>
              <w:right w:val="single" w:color="000000" w:sz="4" w:space="0"/>
            </w:tcBorders>
          </w:tcPr>
          <w:p w14:paraId="2213C8E4">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46 x 28 mm</w:t>
            </w:r>
          </w:p>
        </w:tc>
      </w:tr>
      <w:tr w14:paraId="09704E6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3EE2F17">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ACC-9849</w:t>
            </w:r>
          </w:p>
        </w:tc>
        <w:tc>
          <w:tcPr>
            <w:tcW w:w="6520" w:type="dxa"/>
            <w:tcBorders>
              <w:top w:val="single" w:color="000000" w:sz="4" w:space="0"/>
              <w:left w:val="single" w:color="000000" w:sz="4" w:space="0"/>
              <w:bottom w:val="single" w:color="000000" w:sz="4" w:space="0"/>
              <w:right w:val="single" w:color="000000" w:sz="4" w:space="0"/>
            </w:tcBorders>
          </w:tcPr>
          <w:p w14:paraId="5489A545">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49 x 28 mm</w:t>
            </w:r>
          </w:p>
        </w:tc>
      </w:tr>
      <w:tr w14:paraId="3540351E">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AA70D62">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ACC-9850</w:t>
            </w:r>
          </w:p>
        </w:tc>
        <w:tc>
          <w:tcPr>
            <w:tcW w:w="6520" w:type="dxa"/>
            <w:tcBorders>
              <w:top w:val="single" w:color="000000" w:sz="4" w:space="0"/>
              <w:left w:val="single" w:color="000000" w:sz="4" w:space="0"/>
              <w:bottom w:val="single" w:color="000000" w:sz="4" w:space="0"/>
              <w:right w:val="single" w:color="000000" w:sz="4" w:space="0"/>
            </w:tcBorders>
          </w:tcPr>
          <w:p w14:paraId="72120E5A">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50 x 28 mm</w:t>
            </w:r>
          </w:p>
        </w:tc>
      </w:tr>
      <w:tr w14:paraId="5434AD18">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D7FA3A7">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ACC-9851</w:t>
            </w:r>
          </w:p>
        </w:tc>
        <w:tc>
          <w:tcPr>
            <w:tcW w:w="6520" w:type="dxa"/>
            <w:tcBorders>
              <w:top w:val="single" w:color="000000" w:sz="4" w:space="0"/>
              <w:left w:val="single" w:color="000000" w:sz="4" w:space="0"/>
              <w:bottom w:val="single" w:color="000000" w:sz="4" w:space="0"/>
              <w:right w:val="single" w:color="000000" w:sz="4" w:space="0"/>
            </w:tcBorders>
          </w:tcPr>
          <w:p w14:paraId="3B75FDB0">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53 x 28 mm</w:t>
            </w:r>
          </w:p>
        </w:tc>
      </w:tr>
      <w:tr w14:paraId="332E0A48">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0B05762">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ACC-9852</w:t>
            </w:r>
          </w:p>
        </w:tc>
        <w:tc>
          <w:tcPr>
            <w:tcW w:w="6520" w:type="dxa"/>
            <w:tcBorders>
              <w:top w:val="single" w:color="000000" w:sz="4" w:space="0"/>
              <w:left w:val="single" w:color="000000" w:sz="4" w:space="0"/>
              <w:bottom w:val="single" w:color="000000" w:sz="4" w:space="0"/>
              <w:right w:val="single" w:color="000000" w:sz="4" w:space="0"/>
            </w:tcBorders>
          </w:tcPr>
          <w:p w14:paraId="3BFDE40E">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56 x 28 mm</w:t>
            </w:r>
          </w:p>
        </w:tc>
      </w:tr>
      <w:tr w14:paraId="38851A79">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3D9DB7C">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ACC-9853</w:t>
            </w:r>
          </w:p>
        </w:tc>
        <w:tc>
          <w:tcPr>
            <w:tcW w:w="6520" w:type="dxa"/>
            <w:tcBorders>
              <w:top w:val="single" w:color="000000" w:sz="4" w:space="0"/>
              <w:left w:val="single" w:color="000000" w:sz="4" w:space="0"/>
              <w:bottom w:val="single" w:color="000000" w:sz="4" w:space="0"/>
              <w:right w:val="single" w:color="000000" w:sz="4" w:space="0"/>
            </w:tcBorders>
          </w:tcPr>
          <w:p w14:paraId="79DAC304">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59 x 28 mm</w:t>
            </w:r>
          </w:p>
        </w:tc>
      </w:tr>
      <w:tr w14:paraId="3A061C8E">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200E8755">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ACC-9854</w:t>
            </w:r>
          </w:p>
        </w:tc>
        <w:tc>
          <w:tcPr>
            <w:tcW w:w="6520" w:type="dxa"/>
            <w:tcBorders>
              <w:top w:val="single" w:color="000000" w:sz="4" w:space="0"/>
              <w:left w:val="single" w:color="000000" w:sz="4" w:space="0"/>
              <w:bottom w:val="single" w:color="000000" w:sz="4" w:space="0"/>
              <w:right w:val="single" w:color="000000" w:sz="4" w:space="0"/>
            </w:tcBorders>
          </w:tcPr>
          <w:p w14:paraId="1EC2109D">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template 62 x 28 mm</w:t>
            </w:r>
          </w:p>
        </w:tc>
      </w:tr>
      <w:tr w14:paraId="543F3E47">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25BB711">
            <w:pPr>
              <w:keepNext/>
              <w:keepLines/>
              <w:autoSpaceDE w:val="0"/>
              <w:autoSpaceDN w:val="0"/>
              <w:adjustRightInd w:val="0"/>
              <w:ind w:left="12"/>
              <w:rPr>
                <w:rFonts w:cs="Century Gothic"/>
                <w:color w:val="000000"/>
                <w:lang w:val="fi-FI" w:eastAsia="fi-FI"/>
              </w:rPr>
            </w:pPr>
            <w:r>
              <w:rPr>
                <w:rFonts w:cs="Century Gothic"/>
                <w:color w:val="000000"/>
                <w:lang w:val="fi-FI" w:eastAsia="fi-FI"/>
              </w:rPr>
              <w:t>C60</w:t>
            </w:r>
          </w:p>
        </w:tc>
        <w:tc>
          <w:tcPr>
            <w:tcW w:w="6520" w:type="dxa"/>
            <w:tcBorders>
              <w:top w:val="single" w:color="000000" w:sz="4" w:space="0"/>
              <w:left w:val="single" w:color="000000" w:sz="4" w:space="0"/>
              <w:bottom w:val="single" w:color="000000" w:sz="4" w:space="0"/>
              <w:right w:val="single" w:color="000000" w:sz="4" w:space="0"/>
            </w:tcBorders>
          </w:tcPr>
          <w:p w14:paraId="64C3F3C4">
            <w:pPr>
              <w:keepNext/>
              <w:keepLines/>
              <w:autoSpaceDE w:val="0"/>
              <w:autoSpaceDN w:val="0"/>
              <w:adjustRightInd w:val="0"/>
              <w:ind w:left="12"/>
              <w:rPr>
                <w:rFonts w:cs="Century Gothic"/>
                <w:color w:val="000000"/>
                <w:lang w:val="fi-FI" w:eastAsia="fi-FI"/>
              </w:rPr>
            </w:pPr>
            <w:r>
              <w:rPr>
                <w:rFonts w:cs="Century Gothic"/>
                <w:color w:val="000000"/>
                <w:lang w:val="fi-FI" w:eastAsia="fi-FI"/>
              </w:rPr>
              <w:t>Plate holder</w:t>
            </w:r>
          </w:p>
        </w:tc>
      </w:tr>
      <w:tr w14:paraId="1AD79F54">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7AACEDD">
            <w:pPr>
              <w:keepNext/>
              <w:keepLines/>
              <w:autoSpaceDE w:val="0"/>
              <w:autoSpaceDN w:val="0"/>
              <w:adjustRightInd w:val="0"/>
              <w:ind w:left="12"/>
              <w:rPr>
                <w:rFonts w:cs="Century Gothic"/>
                <w:color w:val="000000"/>
                <w:lang w:val="fi-FI" w:eastAsia="fi-FI"/>
              </w:rPr>
            </w:pPr>
            <w:r>
              <w:rPr>
                <w:rFonts w:cs="Century Gothic"/>
                <w:color w:val="000000"/>
                <w:lang w:val="fi-FI" w:eastAsia="fi-FI"/>
              </w:rPr>
              <w:t>C61</w:t>
            </w:r>
          </w:p>
        </w:tc>
        <w:tc>
          <w:tcPr>
            <w:tcW w:w="6520" w:type="dxa"/>
            <w:tcBorders>
              <w:top w:val="single" w:color="000000" w:sz="4" w:space="0"/>
              <w:left w:val="single" w:color="000000" w:sz="4" w:space="0"/>
              <w:bottom w:val="single" w:color="000000" w:sz="4" w:space="0"/>
              <w:right w:val="single" w:color="000000" w:sz="4" w:space="0"/>
            </w:tcBorders>
          </w:tcPr>
          <w:p w14:paraId="0274B76D">
            <w:pPr>
              <w:keepNext/>
              <w:keepLines/>
              <w:autoSpaceDE w:val="0"/>
              <w:autoSpaceDN w:val="0"/>
              <w:adjustRightInd w:val="0"/>
              <w:ind w:left="12"/>
              <w:rPr>
                <w:rFonts w:cs="Century Gothic"/>
                <w:color w:val="000000"/>
                <w:lang w:val="fi-FI" w:eastAsia="fi-FI"/>
              </w:rPr>
            </w:pPr>
            <w:r>
              <w:rPr>
                <w:rFonts w:cs="Century Gothic"/>
                <w:color w:val="000000"/>
                <w:lang w:val="fi-FI" w:eastAsia="fi-FI"/>
              </w:rPr>
              <w:t>Drill Guide</w:t>
            </w:r>
          </w:p>
        </w:tc>
      </w:tr>
      <w:tr w14:paraId="4C2306AD">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6291482">
            <w:pPr>
              <w:keepNext/>
              <w:keepLines/>
              <w:autoSpaceDE w:val="0"/>
              <w:autoSpaceDN w:val="0"/>
              <w:adjustRightInd w:val="0"/>
              <w:ind w:left="12"/>
              <w:rPr>
                <w:rFonts w:cs="Century Gothic"/>
                <w:color w:val="000000"/>
                <w:lang w:val="fi-FI" w:eastAsia="fi-FI"/>
              </w:rPr>
            </w:pPr>
            <w:r>
              <w:rPr>
                <w:rFonts w:cs="Century Gothic"/>
                <w:color w:val="000000"/>
                <w:lang w:val="fi-FI" w:eastAsia="fi-FI"/>
              </w:rPr>
              <w:t>C63</w:t>
            </w:r>
          </w:p>
        </w:tc>
        <w:tc>
          <w:tcPr>
            <w:tcW w:w="6520" w:type="dxa"/>
            <w:tcBorders>
              <w:top w:val="single" w:color="000000" w:sz="4" w:space="0"/>
              <w:left w:val="single" w:color="000000" w:sz="4" w:space="0"/>
              <w:bottom w:val="single" w:color="000000" w:sz="4" w:space="0"/>
              <w:right w:val="single" w:color="000000" w:sz="4" w:space="0"/>
            </w:tcBorders>
          </w:tcPr>
          <w:p w14:paraId="714CF7B4">
            <w:pPr>
              <w:keepNext/>
              <w:keepLines/>
              <w:autoSpaceDE w:val="0"/>
              <w:autoSpaceDN w:val="0"/>
              <w:adjustRightInd w:val="0"/>
              <w:ind w:left="12"/>
              <w:rPr>
                <w:rFonts w:cs="Century Gothic"/>
                <w:color w:val="000000"/>
                <w:lang w:val="fi-FI" w:eastAsia="fi-FI"/>
              </w:rPr>
            </w:pPr>
            <w:r>
              <w:rPr>
                <w:rFonts w:cs="Century Gothic"/>
                <w:color w:val="000000"/>
                <w:lang w:val="fi-FI" w:eastAsia="fi-FI"/>
              </w:rPr>
              <w:t>Screwdriver attachment block</w:t>
            </w:r>
          </w:p>
        </w:tc>
      </w:tr>
      <w:tr w14:paraId="25B80B62">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2119B8FE">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ACC-9855</w:t>
            </w:r>
          </w:p>
        </w:tc>
        <w:tc>
          <w:tcPr>
            <w:tcW w:w="6520" w:type="dxa"/>
            <w:tcBorders>
              <w:top w:val="single" w:color="000000" w:sz="4" w:space="0"/>
              <w:left w:val="single" w:color="000000" w:sz="4" w:space="0"/>
              <w:bottom w:val="single" w:color="000000" w:sz="4" w:space="0"/>
              <w:right w:val="single" w:color="000000" w:sz="4" w:space="0"/>
            </w:tcBorders>
          </w:tcPr>
          <w:p w14:paraId="39AD6747">
            <w:pPr>
              <w:keepNext/>
              <w:keepLines/>
              <w:autoSpaceDE w:val="0"/>
              <w:autoSpaceDN w:val="0"/>
              <w:adjustRightInd w:val="0"/>
              <w:ind w:left="12"/>
              <w:rPr>
                <w:rFonts w:cs="Century Gothic"/>
                <w:color w:val="000000"/>
                <w:lang w:eastAsia="fi-FI"/>
              </w:rPr>
            </w:pPr>
            <w:r>
              <w:rPr>
                <w:rFonts w:cs="Century Gothic"/>
                <w:color w:val="000000"/>
                <w:lang w:eastAsia="fi-FI"/>
              </w:rPr>
              <w:t>Template, 31 mm (16 mm hole span)</w:t>
            </w:r>
          </w:p>
        </w:tc>
      </w:tr>
      <w:tr w14:paraId="65766CCD">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44816F26">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ACC-9856</w:t>
            </w:r>
          </w:p>
        </w:tc>
        <w:tc>
          <w:tcPr>
            <w:tcW w:w="6520" w:type="dxa"/>
            <w:tcBorders>
              <w:top w:val="single" w:color="000000" w:sz="4" w:space="0"/>
              <w:left w:val="single" w:color="000000" w:sz="4" w:space="0"/>
              <w:bottom w:val="single" w:color="000000" w:sz="4" w:space="0"/>
              <w:right w:val="single" w:color="000000" w:sz="4" w:space="0"/>
            </w:tcBorders>
          </w:tcPr>
          <w:p w14:paraId="38C3C4A5">
            <w:pPr>
              <w:keepNext/>
              <w:keepLines/>
              <w:autoSpaceDE w:val="0"/>
              <w:autoSpaceDN w:val="0"/>
              <w:adjustRightInd w:val="0"/>
              <w:ind w:left="12"/>
              <w:rPr>
                <w:rFonts w:cs="Century Gothic"/>
                <w:color w:val="000000"/>
                <w:lang w:eastAsia="fi-FI"/>
              </w:rPr>
            </w:pPr>
            <w:r>
              <w:rPr>
                <w:rFonts w:cs="Century Gothic"/>
                <w:color w:val="000000"/>
                <w:lang w:eastAsia="fi-FI"/>
              </w:rPr>
              <w:t>Template, 34 mm (19 mm hole span)</w:t>
            </w:r>
          </w:p>
        </w:tc>
      </w:tr>
      <w:tr w14:paraId="379E3FD1">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DEF2125">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ACC-9857</w:t>
            </w:r>
          </w:p>
        </w:tc>
        <w:tc>
          <w:tcPr>
            <w:tcW w:w="6520" w:type="dxa"/>
            <w:tcBorders>
              <w:top w:val="single" w:color="000000" w:sz="4" w:space="0"/>
              <w:left w:val="single" w:color="000000" w:sz="4" w:space="0"/>
              <w:bottom w:val="single" w:color="000000" w:sz="4" w:space="0"/>
              <w:right w:val="single" w:color="000000" w:sz="4" w:space="0"/>
            </w:tcBorders>
          </w:tcPr>
          <w:p w14:paraId="5F461BF5">
            <w:pPr>
              <w:keepNext/>
              <w:keepLines/>
              <w:autoSpaceDE w:val="0"/>
              <w:autoSpaceDN w:val="0"/>
              <w:adjustRightInd w:val="0"/>
              <w:ind w:left="12"/>
              <w:rPr>
                <w:rFonts w:cs="Century Gothic"/>
                <w:color w:val="000000"/>
                <w:lang w:eastAsia="fi-FI"/>
              </w:rPr>
            </w:pPr>
            <w:r>
              <w:rPr>
                <w:rFonts w:cs="Century Gothic"/>
                <w:color w:val="000000"/>
                <w:lang w:eastAsia="fi-FI"/>
              </w:rPr>
              <w:t>Template, 37 mm (22 mm hole span)</w:t>
            </w:r>
          </w:p>
        </w:tc>
      </w:tr>
      <w:tr w14:paraId="4DC59DE0">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2DBC10FB">
            <w:pPr>
              <w:keepNext/>
              <w:keepLines/>
              <w:autoSpaceDE w:val="0"/>
              <w:autoSpaceDN w:val="0"/>
              <w:adjustRightInd w:val="0"/>
              <w:ind w:left="12"/>
              <w:rPr>
                <w:rFonts w:cs="Century Gothic"/>
                <w:color w:val="000000"/>
                <w:lang w:val="fi-FI" w:eastAsia="fi-FI"/>
              </w:rPr>
            </w:pPr>
            <w:r>
              <w:rPr>
                <w:rFonts w:cs="Century Gothic"/>
                <w:color w:val="000000"/>
                <w:lang w:val="fi-FI" w:eastAsia="fi-FI"/>
              </w:rPr>
              <w:t>ACC-9858</w:t>
            </w:r>
          </w:p>
        </w:tc>
        <w:tc>
          <w:tcPr>
            <w:tcW w:w="6520" w:type="dxa"/>
            <w:tcBorders>
              <w:top w:val="single" w:color="000000" w:sz="4" w:space="0"/>
              <w:left w:val="single" w:color="000000" w:sz="4" w:space="0"/>
              <w:bottom w:val="single" w:color="000000" w:sz="4" w:space="0"/>
              <w:right w:val="single" w:color="000000" w:sz="4" w:space="0"/>
            </w:tcBorders>
          </w:tcPr>
          <w:p w14:paraId="78650F13">
            <w:pPr>
              <w:keepNext/>
              <w:keepLines/>
              <w:autoSpaceDE w:val="0"/>
              <w:autoSpaceDN w:val="0"/>
              <w:adjustRightInd w:val="0"/>
              <w:ind w:left="12"/>
              <w:rPr>
                <w:rFonts w:cs="Century Gothic"/>
                <w:color w:val="000000"/>
                <w:lang w:eastAsia="fi-FI"/>
              </w:rPr>
            </w:pPr>
            <w:r>
              <w:rPr>
                <w:rFonts w:cs="Century Gothic"/>
                <w:color w:val="000000"/>
                <w:lang w:eastAsia="fi-FI"/>
              </w:rPr>
              <w:t>Template, 40 mm (25 mm hole span)</w:t>
            </w:r>
          </w:p>
        </w:tc>
      </w:tr>
      <w:tr w14:paraId="707452B4">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B7AF109">
            <w:pPr>
              <w:keepNext/>
              <w:keepLines/>
              <w:autoSpaceDE w:val="0"/>
              <w:autoSpaceDN w:val="0"/>
              <w:adjustRightInd w:val="0"/>
              <w:ind w:left="12"/>
              <w:rPr>
                <w:rFonts w:cs="Century Gothic"/>
                <w:lang w:val="fi-FI" w:eastAsia="fi-FI"/>
              </w:rPr>
            </w:pPr>
            <w:r>
              <w:rPr>
                <w:rFonts w:cs="Century Gothic"/>
                <w:lang w:val="fi-FI" w:eastAsia="fi-FI"/>
              </w:rPr>
              <w:t>ACC-9859</w:t>
            </w:r>
          </w:p>
        </w:tc>
        <w:tc>
          <w:tcPr>
            <w:tcW w:w="6520" w:type="dxa"/>
            <w:tcBorders>
              <w:top w:val="single" w:color="000000" w:sz="4" w:space="0"/>
              <w:left w:val="single" w:color="000000" w:sz="4" w:space="0"/>
              <w:bottom w:val="single" w:color="000000" w:sz="4" w:space="0"/>
              <w:right w:val="single" w:color="000000" w:sz="4" w:space="0"/>
            </w:tcBorders>
          </w:tcPr>
          <w:p w14:paraId="46FE2B8B">
            <w:pPr>
              <w:keepNext/>
              <w:keepLines/>
              <w:autoSpaceDE w:val="0"/>
              <w:autoSpaceDN w:val="0"/>
              <w:adjustRightInd w:val="0"/>
              <w:ind w:left="12"/>
              <w:rPr>
                <w:rFonts w:cs="Century Gothic"/>
                <w:lang w:eastAsia="fi-FI"/>
              </w:rPr>
            </w:pPr>
            <w:r>
              <w:rPr>
                <w:rFonts w:cs="Century Gothic"/>
                <w:lang w:eastAsia="fi-FI"/>
              </w:rPr>
              <w:t>Template, 31-34  mm (16-19 mm hole span)</w:t>
            </w:r>
          </w:p>
        </w:tc>
      </w:tr>
      <w:tr w14:paraId="27D9C43F">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75034B66">
            <w:pPr>
              <w:keepNext/>
              <w:keepLines/>
              <w:autoSpaceDE w:val="0"/>
              <w:autoSpaceDN w:val="0"/>
              <w:adjustRightInd w:val="0"/>
              <w:ind w:left="12"/>
              <w:rPr>
                <w:rFonts w:cs="Century Gothic"/>
                <w:lang w:val="fi-FI" w:eastAsia="fi-FI"/>
              </w:rPr>
            </w:pPr>
            <w:r>
              <w:rPr>
                <w:rFonts w:cs="Century Gothic"/>
                <w:lang w:val="fi-FI" w:eastAsia="fi-FI"/>
              </w:rPr>
              <w:t>ACC-9860</w:t>
            </w:r>
          </w:p>
        </w:tc>
        <w:tc>
          <w:tcPr>
            <w:tcW w:w="6520" w:type="dxa"/>
            <w:tcBorders>
              <w:top w:val="single" w:color="000000" w:sz="4" w:space="0"/>
              <w:left w:val="single" w:color="000000" w:sz="4" w:space="0"/>
              <w:bottom w:val="single" w:color="000000" w:sz="4" w:space="0"/>
              <w:right w:val="single" w:color="000000" w:sz="4" w:space="0"/>
            </w:tcBorders>
          </w:tcPr>
          <w:p w14:paraId="575BDAC0">
            <w:pPr>
              <w:keepNext/>
              <w:keepLines/>
              <w:autoSpaceDE w:val="0"/>
              <w:autoSpaceDN w:val="0"/>
              <w:adjustRightInd w:val="0"/>
              <w:ind w:left="12"/>
              <w:rPr>
                <w:rFonts w:cs="Century Gothic"/>
                <w:lang w:eastAsia="fi-FI"/>
              </w:rPr>
            </w:pPr>
            <w:r>
              <w:rPr>
                <w:rFonts w:cs="Century Gothic"/>
                <w:lang w:eastAsia="fi-FI"/>
              </w:rPr>
              <w:t>Template, 37-41 mm (22-25 mm hole span)</w:t>
            </w:r>
          </w:p>
        </w:tc>
      </w:tr>
      <w:tr w14:paraId="7E5F6884">
        <w:tblPrEx>
          <w:tblCellMar>
            <w:top w:w="0" w:type="dxa"/>
            <w:left w:w="0" w:type="dxa"/>
            <w:bottom w:w="0" w:type="dxa"/>
            <w:right w:w="0" w:type="dxa"/>
          </w:tblCellMar>
        </w:tblPrEx>
        <w:tc>
          <w:tcPr>
            <w:tcW w:w="8789" w:type="dxa"/>
            <w:gridSpan w:val="2"/>
            <w:tcBorders>
              <w:top w:val="single" w:color="000000" w:sz="4" w:space="0"/>
              <w:left w:val="single" w:color="000000" w:sz="4" w:space="0"/>
              <w:bottom w:val="single" w:color="000000" w:sz="4" w:space="0"/>
              <w:right w:val="single" w:color="000000" w:sz="4" w:space="0"/>
            </w:tcBorders>
            <w:shd w:val="clear" w:color="auto" w:fill="D9D9D9"/>
          </w:tcPr>
          <w:p w14:paraId="1F0DAF78">
            <w:pPr>
              <w:jc w:val="both"/>
              <w:rPr>
                <w:rFonts w:cs="Century Gothic"/>
                <w:color w:val="000000"/>
                <w:lang w:eastAsia="fi-FI"/>
              </w:rPr>
            </w:pPr>
            <w:r>
              <w:rPr>
                <w:rFonts w:cs="Century Gothic"/>
                <w:color w:val="000000"/>
                <w:lang w:eastAsia="fi-FI"/>
              </w:rPr>
              <w:t>Inion Spine Universal instruments</w:t>
            </w:r>
          </w:p>
        </w:tc>
      </w:tr>
      <w:tr w14:paraId="7924CD5A">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B277901">
            <w:pPr>
              <w:jc w:val="both"/>
              <w:rPr>
                <w:rFonts w:cs="Century Gothic"/>
                <w:b/>
                <w:color w:val="000000"/>
                <w:lang w:eastAsia="fi-FI"/>
              </w:rPr>
            </w:pPr>
            <w:r>
              <w:rPr>
                <w:rFonts w:cs="Century Gothic"/>
                <w:b/>
                <w:color w:val="000000"/>
                <w:lang w:eastAsia="fi-FI"/>
              </w:rPr>
              <w:t xml:space="preserve">REF </w:t>
            </w:r>
          </w:p>
        </w:tc>
        <w:tc>
          <w:tcPr>
            <w:tcW w:w="6520" w:type="dxa"/>
            <w:tcBorders>
              <w:top w:val="single" w:color="000000" w:sz="4" w:space="0"/>
              <w:left w:val="single" w:color="000000" w:sz="4" w:space="0"/>
              <w:bottom w:val="single" w:color="000000" w:sz="4" w:space="0"/>
              <w:right w:val="single" w:color="000000" w:sz="4" w:space="0"/>
            </w:tcBorders>
          </w:tcPr>
          <w:p w14:paraId="66119DDD">
            <w:pPr>
              <w:jc w:val="both"/>
              <w:rPr>
                <w:rFonts w:cs="Century Gothic"/>
                <w:b/>
                <w:color w:val="000000"/>
                <w:lang w:eastAsia="fi-FI"/>
              </w:rPr>
            </w:pPr>
            <w:r>
              <w:rPr>
                <w:rFonts w:cs="Century Gothic"/>
                <w:b/>
                <w:color w:val="000000"/>
                <w:lang w:eastAsia="fi-FI"/>
              </w:rPr>
              <w:t>Description</w:t>
            </w:r>
          </w:p>
        </w:tc>
      </w:tr>
      <w:tr w14:paraId="7B6D78B8">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B9F1DE6">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INS-9024</w:t>
            </w:r>
          </w:p>
        </w:tc>
        <w:tc>
          <w:tcPr>
            <w:tcW w:w="6520" w:type="dxa"/>
            <w:tcBorders>
              <w:top w:val="single" w:color="000000" w:sz="4" w:space="0"/>
              <w:left w:val="single" w:color="000000" w:sz="4" w:space="0"/>
              <w:bottom w:val="single" w:color="000000" w:sz="4" w:space="0"/>
              <w:right w:val="single" w:color="000000" w:sz="4" w:space="0"/>
            </w:tcBorders>
          </w:tcPr>
          <w:p w14:paraId="147611EB">
            <w:pPr>
              <w:keepNext/>
              <w:keepLines/>
              <w:autoSpaceDE w:val="0"/>
              <w:autoSpaceDN w:val="0"/>
              <w:adjustRightInd w:val="0"/>
              <w:ind w:left="12"/>
              <w:rPr>
                <w:rFonts w:cs="Century Gothic"/>
                <w:color w:val="000000"/>
                <w:lang w:val="fi-FI" w:eastAsia="fi-FI"/>
              </w:rPr>
            </w:pPr>
            <w:r>
              <w:rPr>
                <w:rFonts w:cs="Century Gothic"/>
                <w:color w:val="000000"/>
                <w:lang w:val="fi-FI" w:eastAsia="fi-FI"/>
              </w:rPr>
              <w:t xml:space="preserve"> Plate bending pliers</w:t>
            </w:r>
          </w:p>
        </w:tc>
      </w:tr>
      <w:tr w14:paraId="6053647A">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3F2E120">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INS-9120</w:t>
            </w:r>
          </w:p>
        </w:tc>
        <w:tc>
          <w:tcPr>
            <w:tcW w:w="6520" w:type="dxa"/>
            <w:tcBorders>
              <w:top w:val="single" w:color="000000" w:sz="4" w:space="0"/>
              <w:left w:val="single" w:color="000000" w:sz="4" w:space="0"/>
              <w:bottom w:val="single" w:color="000000" w:sz="4" w:space="0"/>
              <w:right w:val="single" w:color="000000" w:sz="4" w:space="0"/>
            </w:tcBorders>
          </w:tcPr>
          <w:p w14:paraId="78F06680">
            <w:pPr>
              <w:keepNext/>
              <w:keepLines/>
              <w:autoSpaceDE w:val="0"/>
              <w:autoSpaceDN w:val="0"/>
              <w:adjustRightInd w:val="0"/>
              <w:ind w:left="12"/>
              <w:rPr>
                <w:rFonts w:cs="Century Gothic"/>
                <w:color w:val="000000"/>
                <w:lang w:val="fi-FI" w:eastAsia="fi-FI"/>
              </w:rPr>
            </w:pPr>
            <w:r>
              <w:rPr>
                <w:rFonts w:cs="Century Gothic"/>
                <w:color w:val="000000"/>
                <w:lang w:val="fi-FI" w:eastAsia="fi-FI"/>
              </w:rPr>
              <w:t xml:space="preserve"> Screwdriver handle, cannulated</w:t>
            </w:r>
          </w:p>
        </w:tc>
      </w:tr>
      <w:tr w14:paraId="772FBD3C">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6FF60B06">
            <w:pPr>
              <w:keepNext/>
              <w:keepLines/>
              <w:autoSpaceDE w:val="0"/>
              <w:autoSpaceDN w:val="0"/>
              <w:adjustRightInd w:val="0"/>
              <w:ind w:left="12"/>
              <w:rPr>
                <w:rFonts w:cs="Century Gothic"/>
                <w:color w:val="000000"/>
                <w:lang w:val="fi-FI" w:eastAsia="fi-FI"/>
              </w:rPr>
            </w:pPr>
            <w:r>
              <w:rPr>
                <w:rFonts w:cs="Century Gothic"/>
                <w:color w:val="000000"/>
                <w:lang w:val="fi-FI" w:eastAsia="fi-FI"/>
              </w:rPr>
              <w:t>INS-9121</w:t>
            </w:r>
          </w:p>
        </w:tc>
        <w:tc>
          <w:tcPr>
            <w:tcW w:w="6520" w:type="dxa"/>
            <w:tcBorders>
              <w:top w:val="single" w:color="000000" w:sz="4" w:space="0"/>
              <w:left w:val="single" w:color="000000" w:sz="4" w:space="0"/>
              <w:bottom w:val="single" w:color="000000" w:sz="4" w:space="0"/>
              <w:right w:val="single" w:color="000000" w:sz="4" w:space="0"/>
            </w:tcBorders>
          </w:tcPr>
          <w:p w14:paraId="0E596779">
            <w:pPr>
              <w:keepNext/>
              <w:keepLines/>
              <w:autoSpaceDE w:val="0"/>
              <w:autoSpaceDN w:val="0"/>
              <w:adjustRightInd w:val="0"/>
              <w:ind w:left="12"/>
              <w:rPr>
                <w:rFonts w:cs="Century Gothic"/>
                <w:color w:val="000000"/>
                <w:lang w:val="fi-FI" w:eastAsia="fi-FI"/>
              </w:rPr>
            </w:pPr>
            <w:r>
              <w:rPr>
                <w:rFonts w:cs="Century Gothic"/>
                <w:color w:val="000000"/>
                <w:lang w:val="fi-FI" w:eastAsia="fi-FI"/>
              </w:rPr>
              <w:t xml:space="preserve"> Screwdriver handle, ratchet</w:t>
            </w:r>
          </w:p>
        </w:tc>
      </w:tr>
      <w:tr w14:paraId="5A5529D5">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17053D4D">
            <w:pPr>
              <w:keepNext/>
              <w:keepLines/>
              <w:autoSpaceDE w:val="0"/>
              <w:autoSpaceDN w:val="0"/>
              <w:adjustRightInd w:val="0"/>
              <w:ind w:left="12"/>
              <w:rPr>
                <w:rFonts w:cs="Century Gothic"/>
                <w:color w:val="000000"/>
                <w:lang w:val="fi-FI" w:eastAsia="fi-FI"/>
              </w:rPr>
            </w:pPr>
            <w:r>
              <w:rPr>
                <w:rFonts w:cs="Century Gothic"/>
                <w:color w:val="000000"/>
                <w:lang w:val="fi-FI" w:eastAsia="fi-FI"/>
              </w:rPr>
              <w:t xml:space="preserve">ACC-9802  </w:t>
            </w:r>
          </w:p>
        </w:tc>
        <w:tc>
          <w:tcPr>
            <w:tcW w:w="6520" w:type="dxa"/>
            <w:tcBorders>
              <w:top w:val="single" w:color="000000" w:sz="4" w:space="0"/>
              <w:left w:val="single" w:color="000000" w:sz="4" w:space="0"/>
              <w:bottom w:val="single" w:color="000000" w:sz="4" w:space="0"/>
              <w:right w:val="single" w:color="000000" w:sz="4" w:space="0"/>
            </w:tcBorders>
          </w:tcPr>
          <w:p w14:paraId="6E94B998">
            <w:pPr>
              <w:keepNext/>
              <w:keepLines/>
              <w:autoSpaceDE w:val="0"/>
              <w:autoSpaceDN w:val="0"/>
              <w:adjustRightInd w:val="0"/>
              <w:ind w:left="12"/>
              <w:rPr>
                <w:rFonts w:cs="Century Gothic"/>
                <w:color w:val="000000"/>
                <w:lang w:val="fi-FI" w:eastAsia="fi-FI"/>
              </w:rPr>
            </w:pPr>
            <w:r>
              <w:rPr>
                <w:rFonts w:cs="Century Gothic"/>
                <w:color w:val="000000"/>
                <w:lang w:val="fi-FI" w:eastAsia="fi-FI"/>
              </w:rPr>
              <w:t xml:space="preserve"> Inion Thermo drape</w:t>
            </w:r>
          </w:p>
        </w:tc>
      </w:tr>
      <w:tr w14:paraId="5CB1D206">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372B4799">
            <w:pPr>
              <w:keepNext/>
              <w:keepLines/>
              <w:autoSpaceDE w:val="0"/>
              <w:autoSpaceDN w:val="0"/>
              <w:adjustRightInd w:val="0"/>
              <w:ind w:left="12"/>
              <w:rPr>
                <w:rFonts w:cs="Century Gothic"/>
                <w:color w:val="000000"/>
                <w:lang w:val="fi-FI" w:eastAsia="fi-FI"/>
              </w:rPr>
            </w:pPr>
            <w:r>
              <w:rPr>
                <w:rFonts w:cs="Century Gothic"/>
                <w:color w:val="000000"/>
                <w:lang w:val="fi-FI" w:eastAsia="fi-FI"/>
              </w:rPr>
              <w:t xml:space="preserve">ACC-9840  </w:t>
            </w:r>
          </w:p>
        </w:tc>
        <w:tc>
          <w:tcPr>
            <w:tcW w:w="6520" w:type="dxa"/>
            <w:tcBorders>
              <w:top w:val="single" w:color="000000" w:sz="4" w:space="0"/>
              <w:left w:val="single" w:color="000000" w:sz="4" w:space="0"/>
              <w:bottom w:val="single" w:color="000000" w:sz="4" w:space="0"/>
              <w:right w:val="single" w:color="000000" w:sz="4" w:space="0"/>
            </w:tcBorders>
          </w:tcPr>
          <w:p w14:paraId="215E5490">
            <w:pPr>
              <w:keepNext/>
              <w:keepLines/>
              <w:autoSpaceDE w:val="0"/>
              <w:autoSpaceDN w:val="0"/>
              <w:adjustRightInd w:val="0"/>
              <w:ind w:left="12"/>
              <w:rPr>
                <w:rFonts w:cs="Century Gothic"/>
                <w:color w:val="000000"/>
                <w:lang w:eastAsia="fi-FI"/>
              </w:rPr>
            </w:pPr>
            <w:r>
              <w:rPr>
                <w:rFonts w:cs="Century Gothic"/>
                <w:color w:val="000000"/>
                <w:lang w:eastAsia="fi-FI"/>
              </w:rPr>
              <w:t xml:space="preserve"> Inion Thermo+ (water bath 110 V + US plug)</w:t>
            </w:r>
          </w:p>
        </w:tc>
      </w:tr>
      <w:tr w14:paraId="35DEF3AB">
        <w:tblPrEx>
          <w:tblCellMar>
            <w:top w:w="0" w:type="dxa"/>
            <w:left w:w="0" w:type="dxa"/>
            <w:bottom w:w="0" w:type="dxa"/>
            <w:right w:w="0" w:type="dxa"/>
          </w:tblCellMar>
        </w:tblPrEx>
        <w:tc>
          <w:tcPr>
            <w:tcW w:w="2269" w:type="dxa"/>
            <w:tcBorders>
              <w:top w:val="single" w:color="000000" w:sz="4" w:space="0"/>
              <w:left w:val="single" w:color="000000" w:sz="4" w:space="0"/>
              <w:bottom w:val="single" w:color="000000" w:sz="4" w:space="0"/>
              <w:right w:val="single" w:color="000000" w:sz="4" w:space="0"/>
            </w:tcBorders>
          </w:tcPr>
          <w:p w14:paraId="5DC956D0">
            <w:pPr>
              <w:keepNext/>
              <w:keepLines/>
              <w:autoSpaceDE w:val="0"/>
              <w:autoSpaceDN w:val="0"/>
              <w:adjustRightInd w:val="0"/>
              <w:ind w:left="12"/>
              <w:rPr>
                <w:rFonts w:cs="Century Gothic"/>
                <w:color w:val="000000"/>
                <w:lang w:val="fi-FI" w:eastAsia="fi-FI"/>
              </w:rPr>
            </w:pPr>
            <w:r>
              <w:rPr>
                <w:rFonts w:cs="Century Gothic"/>
                <w:color w:val="000000"/>
                <w:lang w:val="fi-FI" w:eastAsia="fi-FI"/>
              </w:rPr>
              <w:t xml:space="preserve">ACC-9810  </w:t>
            </w:r>
          </w:p>
        </w:tc>
        <w:tc>
          <w:tcPr>
            <w:tcW w:w="6520" w:type="dxa"/>
            <w:tcBorders>
              <w:top w:val="single" w:color="000000" w:sz="4" w:space="0"/>
              <w:left w:val="single" w:color="000000" w:sz="4" w:space="0"/>
              <w:bottom w:val="single" w:color="000000" w:sz="4" w:space="0"/>
              <w:right w:val="single" w:color="000000" w:sz="4" w:space="0"/>
            </w:tcBorders>
          </w:tcPr>
          <w:p w14:paraId="4CB7F652">
            <w:pPr>
              <w:keepNext/>
              <w:keepLines/>
              <w:autoSpaceDE w:val="0"/>
              <w:autoSpaceDN w:val="0"/>
              <w:adjustRightInd w:val="0"/>
              <w:ind w:left="12"/>
              <w:rPr>
                <w:rFonts w:cs="Century Gothic"/>
                <w:color w:val="000000"/>
                <w:lang w:eastAsia="fi-FI"/>
              </w:rPr>
            </w:pPr>
            <w:r>
              <w:rPr>
                <w:rFonts w:cs="Century Gothic"/>
                <w:color w:val="000000"/>
                <w:lang w:eastAsia="fi-FI"/>
              </w:rPr>
              <w:t xml:space="preserve"> Inion Thermo+ (water bath 230 V + EU plug)</w:t>
            </w:r>
          </w:p>
        </w:tc>
      </w:tr>
    </w:tbl>
    <w:p w14:paraId="480D13C8">
      <w:pPr>
        <w:spacing w:line="360" w:lineRule="auto"/>
        <w:jc w:val="both"/>
        <w:rPr>
          <w:sz w:val="18"/>
        </w:rPr>
      </w:pPr>
    </w:p>
    <w:p w14:paraId="15466E66">
      <w:pPr>
        <w:pStyle w:val="4"/>
      </w:pPr>
      <w:bookmarkStart w:id="10" w:name="_Toc480979549"/>
      <w:r>
        <w:t>Materials</w:t>
      </w:r>
      <w:bookmarkEnd w:id="7"/>
      <w:bookmarkEnd w:id="10"/>
    </w:p>
    <w:p w14:paraId="5A16A57E">
      <w:pPr>
        <w:jc w:val="both"/>
        <w:rPr>
          <w:rFonts w:cs="Arial"/>
        </w:rPr>
      </w:pPr>
      <w:r>
        <w:rPr>
          <w:lang w:eastAsia="fi-FI"/>
        </w:rPr>
        <w:t>I</w:t>
      </w:r>
      <w:r>
        <w:rPr>
          <w:rFonts w:hint="eastAsia"/>
          <w:lang w:eastAsia="fi-FI"/>
        </w:rPr>
        <w:t>nion</w:t>
      </w:r>
      <w:r>
        <w:rPr>
          <w:lang w:eastAsia="fi-FI"/>
        </w:rPr>
        <w:t xml:space="preserve"> Spinal Graft Containment System™ consists of biodegradable plates and screws made of resorbable polylactic acid copolymer P(L/DL)LA 80:20. </w:t>
      </w:r>
      <w:r>
        <w:rPr>
          <w:rFonts w:cs="Arial"/>
        </w:rPr>
        <w:t>These polymers have a long history of safe medical use and</w:t>
      </w:r>
      <w:r>
        <w:rPr>
          <w:rFonts w:hint="eastAsia" w:cs="Arial"/>
          <w:lang w:eastAsia="zh-CN"/>
        </w:rPr>
        <w:t xml:space="preserve"> </w:t>
      </w:r>
      <w:r>
        <w:rPr>
          <w:rFonts w:cs="Arial"/>
        </w:rPr>
        <w:t>they degrade in vivo by hydrolysis into alpha-hydroxy acids that are metabolized by</w:t>
      </w:r>
      <w:r>
        <w:rPr>
          <w:rFonts w:hint="eastAsia" w:cs="Arial"/>
          <w:lang w:eastAsia="zh-CN"/>
        </w:rPr>
        <w:t xml:space="preserve"> </w:t>
      </w:r>
      <w:r>
        <w:rPr>
          <w:rFonts w:cs="Arial"/>
        </w:rPr>
        <w:t xml:space="preserve">the body (Ambrose et al. 2004; Gunatillake et al. 2003; Middleton et al. 2000). </w:t>
      </w:r>
      <w:r>
        <w:rPr>
          <w:lang w:eastAsia="fi-FI"/>
        </w:rPr>
        <w:t xml:space="preserve">The implants include radiographic markers for postoperative imaging, which are made of chemical element Tantalum (Ta) in accordance with ASTM B365 and ASTM F560. </w:t>
      </w:r>
      <w:r>
        <w:rPr>
          <w:rFonts w:cs="Arial"/>
        </w:rPr>
        <w:t xml:space="preserve">Tantalum markers have a long history of safe medical use </w:t>
      </w:r>
      <w:r>
        <w:t>(Levine et al. 2006b).</w:t>
      </w:r>
    </w:p>
    <w:p w14:paraId="7F05D114">
      <w:pPr>
        <w:jc w:val="both"/>
        <w:rPr>
          <w:rFonts w:cs="Arial"/>
          <w:i/>
        </w:rPr>
      </w:pPr>
    </w:p>
    <w:p w14:paraId="13150BE8">
      <w:pPr>
        <w:jc w:val="both"/>
        <w:rPr>
          <w:rFonts w:cs="Arial"/>
        </w:rPr>
      </w:pPr>
      <w:r>
        <w:rPr>
          <w:lang w:eastAsia="fi-FI"/>
        </w:rPr>
        <w:t xml:space="preserve">The plates are manufactured by extrusion and compression moulding. The screws are manufactured by extrusion and machining.  </w:t>
      </w:r>
      <w:r>
        <w:rPr>
          <w:rFonts w:cs="Arial"/>
        </w:rPr>
        <w:t xml:space="preserve"> </w:t>
      </w:r>
    </w:p>
    <w:p w14:paraId="0AD12D6B">
      <w:pPr>
        <w:jc w:val="both"/>
        <w:rPr>
          <w:rFonts w:cs="Arial"/>
          <w:highlight w:val="yellow"/>
          <w:lang w:val="en-GB"/>
        </w:rPr>
      </w:pPr>
    </w:p>
    <w:p w14:paraId="4FB8992A">
      <w:pPr>
        <w:jc w:val="both"/>
      </w:pPr>
      <w:r>
        <w:rPr>
          <w:rFonts w:cs="Arial"/>
          <w:color w:val="000000"/>
        </w:rPr>
        <w:t xml:space="preserve">The surgically invasive parts of Inion Spinal Graft Containment System™ accessory instruments are manufactured from surgical grade stainless steel in accordance with ASTM F899, or titanium. </w:t>
      </w:r>
    </w:p>
    <w:p w14:paraId="7E9E822A">
      <w:pPr>
        <w:pStyle w:val="4"/>
      </w:pPr>
      <w:bookmarkStart w:id="11" w:name="_Toc480979550"/>
      <w:bookmarkStart w:id="12" w:name="_Toc459195976"/>
      <w:r>
        <w:t>Mechanical characteristics</w:t>
      </w:r>
      <w:bookmarkEnd w:id="11"/>
      <w:bookmarkEnd w:id="12"/>
    </w:p>
    <w:p w14:paraId="7F5D064F">
      <w:pPr>
        <w:jc w:val="both"/>
      </w:pPr>
      <w:r>
        <w:t xml:space="preserve">The Inion </w:t>
      </w:r>
      <w:r>
        <w:rPr>
          <w:rFonts w:cs="Arial"/>
        </w:rPr>
        <w:t>Spinal Graft Containment System™</w:t>
      </w:r>
      <w:r>
        <w:t>, in conjunction with traditional rigid fixation, is intended for use in spinal fusion procedures as a means to maintain the relative position of weak bony tissue such as allografts and autografts. The subsystem Inion S-1™ Biodegradable Anterior Cervical Fusion System plates and screws are intended to be used in the cervical spine, levels C2-T1, and the subsystem Inion S-2</w:t>
      </w:r>
      <w:r>
        <w:rPr>
          <w:rFonts w:cs="Arial"/>
        </w:rPr>
        <w:t>™</w:t>
      </w:r>
      <w:r>
        <w:t xml:space="preserve"> Biodegradable Anterior Thoraco-Lumbar Fusion System is intended to be used in the thoraco-lumbar spine, levels T1-S1. This device is not intended for load bearing indications.</w:t>
      </w:r>
    </w:p>
    <w:p w14:paraId="5BAFB418">
      <w:pPr>
        <w:jc w:val="both"/>
        <w:rPr>
          <w:i/>
        </w:rPr>
      </w:pPr>
    </w:p>
    <w:p w14:paraId="6FA36A8F">
      <w:pPr>
        <w:jc w:val="both"/>
      </w:pPr>
      <w:r>
        <w:t>Mechanical properties of plates and screws have been tested and verified during</w:t>
      </w:r>
      <w:r>
        <w:rPr>
          <w:rFonts w:hint="eastAsia"/>
          <w:lang w:eastAsia="zh-CN"/>
        </w:rPr>
        <w:t xml:space="preserve"> </w:t>
      </w:r>
      <w:r>
        <w:t xml:space="preserve">product development initially in </w:t>
      </w:r>
      <w:r>
        <w:rPr>
          <w:rFonts w:cs="ONFKMH+TimesNewRoman"/>
          <w:color w:val="000000"/>
          <w:sz w:val="23"/>
          <w:szCs w:val="23"/>
        </w:rPr>
        <w:t>push-off, tensile, torsion, lateral bending and cyclic compressive bending tests</w:t>
      </w:r>
      <w:r>
        <w:t>.  During in vitro degradation, t</w:t>
      </w:r>
      <w:r>
        <w:rPr>
          <w:rFonts w:cs="ONFKMH+TimesNewRoman"/>
          <w:color w:val="000000"/>
          <w:sz w:val="23"/>
          <w:szCs w:val="23"/>
        </w:rPr>
        <w:t>he mechanical properties of the plates have been determined and verified by tensile test and the properties of the screws by a shear test</w:t>
      </w:r>
      <w:r>
        <w:t>. All test reports and test data are filed at Inion Oy, quality management system.</w:t>
      </w:r>
    </w:p>
    <w:p w14:paraId="2FBB876B">
      <w:pPr>
        <w:jc w:val="both"/>
        <w:rPr>
          <w:i/>
          <w:color w:val="000000"/>
          <w:lang w:val="en-GB"/>
        </w:rPr>
      </w:pPr>
    </w:p>
    <w:p w14:paraId="6EEA87A4">
      <w:pPr>
        <w:pStyle w:val="4"/>
      </w:pPr>
      <w:bookmarkStart w:id="13" w:name="_Toc459195977"/>
      <w:bookmarkStart w:id="14" w:name="_Toc480979551"/>
      <w:r>
        <w:t>Principles of operation</w:t>
      </w:r>
      <w:bookmarkEnd w:id="13"/>
      <w:bookmarkEnd w:id="14"/>
    </w:p>
    <w:p w14:paraId="296DB49A">
      <w:pPr>
        <w:jc w:val="both"/>
      </w:pPr>
      <w:r>
        <w:t>The implants will be used in internal fixation to maintain the relative position of weak bony tissue such as allografts or autografts in spinal fusion procedures, in order to prevent graft (and/or fusion cage) extrusion/dislodgement induced complications after spinal fusions.  Based on</w:t>
      </w:r>
      <w:r>
        <w:rPr>
          <w:i/>
        </w:rPr>
        <w:t xml:space="preserve"> in vitro</w:t>
      </w:r>
      <w:r>
        <w:t xml:space="preserve"> testing, the implants retain most of their initial strength up to 16 weeks and gradually lose their strength thereafter; and bioresorption takes place within two to four years. The plates SPN-5010 – SPN-5021, SPN-5401 – SPN-5410, SPN-5417 and screws SPN-5220 – SPN-5225, SPN-5500 – SPN-5507 contain radiopaque tantalum markers for postoperative radiographic imaging.  Plates are prepared by soaking them in heated sterile water, to become temporarily malleable and thereby can be shaped as desired.</w:t>
      </w:r>
    </w:p>
    <w:p w14:paraId="0D7185F5">
      <w:pPr>
        <w:jc w:val="both"/>
        <w:rPr>
          <w:i/>
        </w:rPr>
      </w:pPr>
    </w:p>
    <w:p w14:paraId="2832F755">
      <w:pPr>
        <w:jc w:val="both"/>
        <w:rPr>
          <w:rFonts w:cs="Arial"/>
          <w:color w:val="000000"/>
        </w:rPr>
      </w:pPr>
      <w:r>
        <w:t xml:space="preserve">The main steps of the surgical operation with </w:t>
      </w:r>
      <w:r>
        <w:rPr>
          <w:rFonts w:cs="Arial"/>
          <w:color w:val="000000"/>
        </w:rPr>
        <w:t>Inion Spinal Graft Containment System™ are:</w:t>
      </w:r>
    </w:p>
    <w:p w14:paraId="4E0013F2">
      <w:pPr>
        <w:ind w:firstLine="480" w:firstLineChars="200"/>
        <w:jc w:val="both"/>
        <w:rPr>
          <w:rFonts w:cs="Arial"/>
          <w:color w:val="000000"/>
        </w:rPr>
      </w:pPr>
      <w:r>
        <w:rPr>
          <w:rFonts w:cs="Arial"/>
          <w:color w:val="000000"/>
        </w:rPr>
        <w:t>-  Selection of appropriate implant size</w:t>
      </w:r>
    </w:p>
    <w:p w14:paraId="70EDDA38">
      <w:pPr>
        <w:ind w:firstLine="480" w:firstLineChars="200"/>
        <w:jc w:val="both"/>
        <w:rPr>
          <w:rFonts w:cs="Arial"/>
          <w:color w:val="000000"/>
        </w:rPr>
      </w:pPr>
      <w:r>
        <w:rPr>
          <w:rFonts w:cs="Arial"/>
          <w:color w:val="000000"/>
        </w:rPr>
        <w:t>-  Achieve malleability of the plates by soaking in Inion Thermo+™ water bath</w:t>
      </w:r>
    </w:p>
    <w:p w14:paraId="14313E95">
      <w:pPr>
        <w:ind w:firstLine="480" w:firstLineChars="200"/>
        <w:jc w:val="both"/>
        <w:rPr>
          <w:rFonts w:cs="Arial"/>
          <w:color w:val="000000"/>
        </w:rPr>
      </w:pPr>
      <w:r>
        <w:rPr>
          <w:rFonts w:cs="Arial"/>
          <w:color w:val="000000"/>
        </w:rPr>
        <w:t>-  Drilling and tapping the bone hole</w:t>
      </w:r>
    </w:p>
    <w:p w14:paraId="4926E889">
      <w:pPr>
        <w:ind w:firstLine="480" w:firstLineChars="200"/>
        <w:jc w:val="both"/>
        <w:rPr>
          <w:rFonts w:cs="Arial"/>
          <w:color w:val="000000"/>
        </w:rPr>
      </w:pPr>
      <w:r>
        <w:rPr>
          <w:rFonts w:cs="Arial"/>
          <w:color w:val="000000"/>
        </w:rPr>
        <w:t>-  Fastening of the plates with screws.</w:t>
      </w:r>
    </w:p>
    <w:p w14:paraId="4DF656A5">
      <w:pPr>
        <w:jc w:val="both"/>
      </w:pPr>
    </w:p>
    <w:p w14:paraId="62694183">
      <w:pPr>
        <w:pStyle w:val="4"/>
      </w:pPr>
      <w:bookmarkStart w:id="15" w:name="_Toc459195978"/>
      <w:bookmarkStart w:id="16" w:name="_Toc480979552"/>
      <w:r>
        <w:t>Chemical characteristics</w:t>
      </w:r>
      <w:bookmarkEnd w:id="15"/>
      <w:bookmarkEnd w:id="16"/>
    </w:p>
    <w:p w14:paraId="08A3BE81">
      <w:pPr>
        <w:jc w:val="both"/>
      </w:pPr>
      <w:r>
        <w:t xml:space="preserve">Biological safety of the </w:t>
      </w:r>
      <w:r>
        <w:rPr>
          <w:rFonts w:cs="Arial"/>
          <w:color w:val="000000"/>
        </w:rPr>
        <w:t>Inion Spinal Graft Containment System™</w:t>
      </w:r>
      <w:r>
        <w:rPr>
          <w:b/>
        </w:rPr>
        <w:t xml:space="preserve"> </w:t>
      </w:r>
      <w:r>
        <w:rPr>
          <w:color w:val="000000"/>
        </w:rPr>
        <w:t xml:space="preserve">has been evaluated and </w:t>
      </w:r>
      <w:r>
        <w:t xml:space="preserve">verified </w:t>
      </w:r>
      <w:r>
        <w:rPr>
          <w:color w:val="000000"/>
        </w:rPr>
        <w:t>by Inion in accordance with ISO 10993-serie standards including tests for cytotoxicity and chemical analysis (quantification of heavy metals</w:t>
      </w:r>
      <w:r>
        <w:t>). Test reports are filed at Inion Oy, quality management system.</w:t>
      </w:r>
    </w:p>
    <w:p w14:paraId="02A396AF">
      <w:pPr>
        <w:rPr>
          <w:i/>
        </w:rPr>
      </w:pPr>
    </w:p>
    <w:p w14:paraId="1EFD6650">
      <w:pPr>
        <w:pStyle w:val="3"/>
      </w:pPr>
      <w:bookmarkStart w:id="17" w:name="_Toc480979553"/>
      <w:bookmarkStart w:id="18" w:name="_Toc459195979"/>
      <w:r>
        <w:t>Intended purpose of the device</w:t>
      </w:r>
      <w:bookmarkEnd w:id="17"/>
      <w:bookmarkEnd w:id="18"/>
    </w:p>
    <w:p w14:paraId="66566704">
      <w:pPr>
        <w:pStyle w:val="16"/>
        <w:numPr>
          <w:ilvl w:val="12"/>
          <w:numId w:val="0"/>
        </w:numPr>
        <w:jc w:val="both"/>
        <w:rPr>
          <w:rFonts w:ascii="Calibri" w:hAnsi="Calibri"/>
          <w:sz w:val="24"/>
          <w:szCs w:val="24"/>
        </w:rPr>
      </w:pPr>
    </w:p>
    <w:p w14:paraId="71B1E45E">
      <w:pPr>
        <w:jc w:val="both"/>
        <w:rPr>
          <w:b/>
        </w:rPr>
      </w:pPr>
      <w:r>
        <w:rPr>
          <w:b/>
        </w:rPr>
        <w:t>Indications:</w:t>
      </w:r>
    </w:p>
    <w:p w14:paraId="13536948">
      <w:pPr>
        <w:adjustRightInd w:val="0"/>
        <w:jc w:val="both"/>
      </w:pPr>
      <w:r>
        <w:t>Inion Spinal Graft Containment System, in conjunction with traditional rigid fixation, is intended for use in spinal fusion procedures as a means to maintain the relative position of weak bony tissue such as allografts or autografts. This device is not intended for load bearing indications.</w:t>
      </w:r>
    </w:p>
    <w:p w14:paraId="5E455B14">
      <w:pPr>
        <w:pStyle w:val="16"/>
        <w:numPr>
          <w:ilvl w:val="12"/>
          <w:numId w:val="0"/>
        </w:numPr>
        <w:jc w:val="both"/>
        <w:rPr>
          <w:rFonts w:ascii="Calibri" w:hAnsi="Calibri"/>
          <w:sz w:val="24"/>
          <w:szCs w:val="24"/>
        </w:rPr>
      </w:pPr>
    </w:p>
    <w:p w14:paraId="544BDAB6">
      <w:pPr>
        <w:jc w:val="both"/>
        <w:rPr>
          <w:b/>
        </w:rPr>
      </w:pPr>
      <w:r>
        <w:rPr>
          <w:b/>
        </w:rPr>
        <w:t>Contraindications:</w:t>
      </w:r>
    </w:p>
    <w:p w14:paraId="6F669EB4">
      <w:pPr>
        <w:adjustRightInd w:val="0"/>
        <w:jc w:val="both"/>
      </w:pPr>
      <w:r>
        <w:t>Inion Spinal Graft Containment System implants are not intended for use in, and are contraindicated for:</w:t>
      </w:r>
    </w:p>
    <w:p w14:paraId="1ED5AA72">
      <w:pPr>
        <w:adjustRightInd w:val="0"/>
        <w:jc w:val="both"/>
      </w:pPr>
      <w:r>
        <w:t>• Active or potential infection</w:t>
      </w:r>
    </w:p>
    <w:p w14:paraId="2FE5D774">
      <w:pPr>
        <w:adjustRightInd w:val="0"/>
        <w:jc w:val="both"/>
      </w:pPr>
      <w:r>
        <w:t>• Cancer</w:t>
      </w:r>
    </w:p>
    <w:p w14:paraId="0A559F24">
      <w:pPr>
        <w:adjustRightInd w:val="0"/>
        <w:jc w:val="both"/>
      </w:pPr>
      <w:r>
        <w:t>• Pseudoarthrosis</w:t>
      </w:r>
    </w:p>
    <w:p w14:paraId="47051DF2">
      <w:pPr>
        <w:adjustRightInd w:val="0"/>
        <w:jc w:val="both"/>
      </w:pPr>
      <w:r>
        <w:t>• Patient conditions including limited blood supply, insufficient quantity or quality of bone; and where patient cooperation cannot be guaranteed (e.g., alcoholism, drug abuse).</w:t>
      </w:r>
    </w:p>
    <w:p w14:paraId="27192867">
      <w:pPr>
        <w:ind w:left="566" w:leftChars="200" w:hanging="86" w:hangingChars="36"/>
        <w:rPr>
          <w:i/>
          <w:lang w:val="en-GB"/>
        </w:rPr>
      </w:pPr>
    </w:p>
    <w:p w14:paraId="18D8969A">
      <w:pPr>
        <w:rPr>
          <w:b/>
        </w:rPr>
      </w:pPr>
      <w:r>
        <w:rPr>
          <w:b/>
        </w:rPr>
        <w:t xml:space="preserve">Precautions: </w:t>
      </w:r>
    </w:p>
    <w:p w14:paraId="66FA3D1C">
      <w:pPr>
        <w:numPr>
          <w:ilvl w:val="0"/>
          <w:numId w:val="2"/>
        </w:numPr>
        <w:jc w:val="both"/>
      </w:pPr>
      <w:r>
        <w:t>Instruments are available to aid accurate implantation of the Inion Spinal Graft Containment implants. Surgical instruments are subject to wear with normal usage and may break. Surgical instruments are only to be used for their intended purpose. All instruments are to be regularly inspected for wear and damage. Use only the Inion Spinal Graft Containment System instruments.</w:t>
      </w:r>
    </w:p>
    <w:p w14:paraId="0236FA9A">
      <w:pPr>
        <w:numPr>
          <w:ilvl w:val="0"/>
          <w:numId w:val="2"/>
        </w:numPr>
        <w:jc w:val="both"/>
      </w:pPr>
      <w:r>
        <w:t>Use only Inion Spinal Graft Containment screws to secure the Inion Spinal Graft Containment plates. DO NOT use Inion Spinal Graft Containment screws to secure plates or sheets other than those of Inion® (e.g., metal plates or sheets).</w:t>
      </w:r>
    </w:p>
    <w:p w14:paraId="4F766F66">
      <w:pPr>
        <w:numPr>
          <w:ilvl w:val="0"/>
          <w:numId w:val="2"/>
        </w:numPr>
        <w:jc w:val="both"/>
      </w:pPr>
      <w:r>
        <w:t>DO NOT use for unintended applications! The proper function (i.e., efficacy and safety) of these implants cannot be guaranteed in the event of off-label use.</w:t>
      </w:r>
    </w:p>
    <w:p w14:paraId="419F4609">
      <w:pPr>
        <w:numPr>
          <w:ilvl w:val="0"/>
          <w:numId w:val="2"/>
        </w:numPr>
        <w:jc w:val="both"/>
      </w:pPr>
      <w:r>
        <w:t>The safety and effectiveness of this device, as an adjunct to fusion, when used without rigid supplemental internal fixation has not been established. This device is not designed to withstand physiologic loads when used by itself.</w:t>
      </w:r>
    </w:p>
    <w:p w14:paraId="0566C5A8">
      <w:pPr>
        <w:numPr>
          <w:ilvl w:val="0"/>
          <w:numId w:val="2"/>
        </w:numPr>
        <w:jc w:val="both"/>
      </w:pPr>
      <w:r>
        <w:t>The patient should be warned that the implants can break or loosen as a result of early stress, activity or load bearing. Premature discontinuation of additional external immobilization (i.e., collar) may cause non-union or mal-union.</w:t>
      </w:r>
    </w:p>
    <w:p w14:paraId="7778B245">
      <w:pPr>
        <w:numPr>
          <w:ilvl w:val="0"/>
          <w:numId w:val="2"/>
        </w:numPr>
        <w:jc w:val="both"/>
        <w:rPr>
          <w:i/>
        </w:rPr>
      </w:pPr>
      <w:r>
        <w:t>The surgeon should consider the levels of implantation, patient weight, patient activity level, other patient conditions, etc. which may impact on the performance of the system.</w:t>
      </w:r>
    </w:p>
    <w:p w14:paraId="6ED1C5EB">
      <w:pPr>
        <w:numPr>
          <w:ilvl w:val="0"/>
          <w:numId w:val="2"/>
        </w:numPr>
        <w:jc w:val="both"/>
      </w:pPr>
      <w:r>
        <w:t>The implantation of pedicle screw spinal systems should be performed only by experienced spinal surgeons with specific training in the use of the specific pedicle screw spinal system because the procedure is technically demanding and presents a risk of serious injury to the patient.</w:t>
      </w:r>
    </w:p>
    <w:p w14:paraId="01F2CE3E">
      <w:pPr>
        <w:jc w:val="both"/>
        <w:rPr>
          <w:i/>
        </w:rPr>
      </w:pPr>
    </w:p>
    <w:p w14:paraId="28B6DB05"/>
    <w:p w14:paraId="096257A7">
      <w:pPr>
        <w:rPr>
          <w:b/>
        </w:rPr>
      </w:pPr>
      <w:r>
        <w:rPr>
          <w:b/>
        </w:rPr>
        <w:t>Warnings:</w:t>
      </w:r>
    </w:p>
    <w:p w14:paraId="345D7D79">
      <w:pPr>
        <w:numPr>
          <w:ilvl w:val="0"/>
          <w:numId w:val="3"/>
        </w:numPr>
        <w:jc w:val="both"/>
      </w:pPr>
      <w:r>
        <w:t>The Inion Spinal Graft Containment System devices provide fixation and are not intended to replace healthy tissues or withstand the stress of full load bearing.</w:t>
      </w:r>
    </w:p>
    <w:p w14:paraId="2FE28E6F">
      <w:pPr>
        <w:numPr>
          <w:ilvl w:val="0"/>
          <w:numId w:val="3"/>
        </w:numPr>
        <w:jc w:val="both"/>
      </w:pPr>
      <w:r>
        <w:t>Incorrect selection, placement, positioning, or fixation of the implant can cause subsequent undesirable results or breakage of implants or instruments. The surgeon should be familiar with the devices, the method of application and the surgical procedure prior to performing the surgery.</w:t>
      </w:r>
    </w:p>
    <w:p w14:paraId="6FE7A65B">
      <w:pPr>
        <w:numPr>
          <w:ilvl w:val="0"/>
          <w:numId w:val="4"/>
        </w:numPr>
        <w:jc w:val="both"/>
      </w:pPr>
      <w:r>
        <w:t>The safety and efficacy of pedicle screw spinal systems have been established only for spinal conditions with significant mechanical instability or deformity requiring fusion with instrumentation. These conditions are significant mechanical instability or deformity of the thoracic, lumbar, and sacral spine secondary to severe spondylolisthesis with objective evidence of neurological impairment, fracture, dislocation, scoliosis, kyphosis, spinal tumor, and failed previous fusion (pseudoarthrosis). The safety and efficacy of pedicle screw spinal systems for any other conditions are unknown.</w:t>
      </w:r>
    </w:p>
    <w:p w14:paraId="3A033C7C">
      <w:pPr>
        <w:rPr>
          <w:highlight w:val="yellow"/>
        </w:rPr>
      </w:pPr>
    </w:p>
    <w:p w14:paraId="1830424F">
      <w:pPr>
        <w:pStyle w:val="3"/>
      </w:pPr>
      <w:bookmarkStart w:id="19" w:name="_Toc470180234"/>
      <w:bookmarkStart w:id="20" w:name="_Toc480979554"/>
      <w:r>
        <w:t>Changes since the last report</w:t>
      </w:r>
      <w:bookmarkEnd w:id="19"/>
      <w:bookmarkEnd w:id="20"/>
    </w:p>
    <w:p w14:paraId="41A6A0BE">
      <w:pPr>
        <w:pStyle w:val="14"/>
        <w:rPr>
          <w:rFonts w:ascii="Calibri" w:hAnsi="Calibri"/>
        </w:rPr>
      </w:pPr>
      <w:bookmarkStart w:id="21" w:name="_Ref466639782"/>
      <w:bookmarkStart w:id="22" w:name="_Toc471212057"/>
      <w:bookmarkStart w:id="23" w:name="_Toc469396553"/>
    </w:p>
    <w:p w14:paraId="792637AD">
      <w:pPr>
        <w:pStyle w:val="14"/>
        <w:rPr>
          <w:rFonts w:ascii="Calibri" w:hAnsi="Calibri"/>
        </w:rPr>
      </w:pPr>
      <w:bookmarkStart w:id="24" w:name="_Toc480979583"/>
      <w:r>
        <w:rPr>
          <w:rFonts w:ascii="Calibri" w:hAnsi="Calibri"/>
        </w:rPr>
        <w:t xml:space="preserve">Table </w:t>
      </w:r>
      <w:bookmarkEnd w:id="21"/>
      <w:r>
        <w:rPr>
          <w:rFonts w:ascii="Calibri" w:hAnsi="Calibri"/>
        </w:rPr>
        <w:t xml:space="preserve">4. Change Log - Clinical Evaluation </w:t>
      </w:r>
      <w:bookmarkEnd w:id="22"/>
      <w:bookmarkEnd w:id="23"/>
      <w:r>
        <w:rPr>
          <w:rFonts w:ascii="Calibri" w:hAnsi="Calibri"/>
        </w:rPr>
        <w:t>Inion Spinal Graft Containment System™</w:t>
      </w:r>
      <w:bookmarkEnd w:id="24"/>
    </w:p>
    <w:p w14:paraId="4630CABF">
      <w:pPr>
        <w:pStyle w:val="14"/>
        <w:rPr>
          <w:rFonts w:ascii="Calibri" w:hAnsi="Calibri"/>
        </w:rPr>
      </w:pP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984"/>
        <w:gridCol w:w="4785"/>
      </w:tblGrid>
      <w:tr w14:paraId="744D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14:paraId="07622E4C">
            <w:pPr>
              <w:spacing w:before="60" w:after="60"/>
              <w:rPr>
                <w:b/>
                <w:lang w:val="en-GB"/>
              </w:rPr>
            </w:pPr>
            <w:r>
              <w:rPr>
                <w:b/>
                <w:lang w:val="en-GB"/>
              </w:rPr>
              <w:t>Version</w:t>
            </w:r>
          </w:p>
        </w:tc>
        <w:tc>
          <w:tcPr>
            <w:tcW w:w="1984" w:type="dxa"/>
            <w:shd w:val="clear" w:color="auto" w:fill="auto"/>
          </w:tcPr>
          <w:p w14:paraId="4982D91A">
            <w:pPr>
              <w:spacing w:before="60" w:after="60"/>
              <w:rPr>
                <w:b/>
                <w:lang w:val="en-GB"/>
              </w:rPr>
            </w:pPr>
            <w:r>
              <w:rPr>
                <w:b/>
                <w:lang w:val="en-GB"/>
              </w:rPr>
              <w:t>Date / Year</w:t>
            </w:r>
          </w:p>
        </w:tc>
        <w:tc>
          <w:tcPr>
            <w:tcW w:w="4785" w:type="dxa"/>
            <w:shd w:val="clear" w:color="auto" w:fill="auto"/>
          </w:tcPr>
          <w:p w14:paraId="4A3ECEE6">
            <w:pPr>
              <w:spacing w:before="60" w:after="60"/>
              <w:rPr>
                <w:b/>
                <w:lang w:val="en-GB"/>
              </w:rPr>
            </w:pPr>
            <w:r>
              <w:rPr>
                <w:b/>
                <w:lang w:val="en-GB"/>
              </w:rPr>
              <w:t>Changes</w:t>
            </w:r>
          </w:p>
        </w:tc>
      </w:tr>
      <w:tr w14:paraId="03F1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14:paraId="4BC0554E">
            <w:pPr>
              <w:spacing w:before="60" w:after="60"/>
              <w:rPr>
                <w:lang w:val="en-GB"/>
              </w:rPr>
            </w:pPr>
            <w:r>
              <w:rPr>
                <w:lang w:val="en-GB"/>
              </w:rPr>
              <w:t>1.0</w:t>
            </w:r>
          </w:p>
        </w:tc>
        <w:tc>
          <w:tcPr>
            <w:tcW w:w="1984" w:type="dxa"/>
            <w:shd w:val="clear" w:color="auto" w:fill="auto"/>
          </w:tcPr>
          <w:p w14:paraId="41442766">
            <w:pPr>
              <w:spacing w:before="60" w:after="60"/>
              <w:rPr>
                <w:lang w:val="en-GB"/>
              </w:rPr>
            </w:pPr>
            <w:r>
              <w:rPr>
                <w:lang w:val="en-GB"/>
              </w:rPr>
              <w:t>JUN 2007</w:t>
            </w:r>
          </w:p>
        </w:tc>
        <w:tc>
          <w:tcPr>
            <w:tcW w:w="4785" w:type="dxa"/>
            <w:shd w:val="clear" w:color="auto" w:fill="auto"/>
          </w:tcPr>
          <w:p w14:paraId="66366633">
            <w:pPr>
              <w:spacing w:before="60" w:after="60"/>
              <w:rPr>
                <w:highlight w:val="yellow"/>
                <w:lang w:val="en-GB"/>
              </w:rPr>
            </w:pPr>
            <w:r>
              <w:rPr>
                <w:lang w:val="en-GB"/>
              </w:rPr>
              <w:t>Initial report</w:t>
            </w:r>
          </w:p>
        </w:tc>
      </w:tr>
      <w:tr w14:paraId="2E20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14:paraId="13C77474">
            <w:pPr>
              <w:spacing w:before="60" w:after="60"/>
              <w:rPr>
                <w:lang w:val="en-GB"/>
              </w:rPr>
            </w:pPr>
            <w:r>
              <w:rPr>
                <w:lang w:val="en-GB"/>
              </w:rPr>
              <w:t>2.0</w:t>
            </w:r>
          </w:p>
        </w:tc>
        <w:tc>
          <w:tcPr>
            <w:tcW w:w="1984" w:type="dxa"/>
            <w:shd w:val="clear" w:color="auto" w:fill="auto"/>
          </w:tcPr>
          <w:p w14:paraId="5A3EE153">
            <w:pPr>
              <w:spacing w:before="60" w:after="60"/>
              <w:rPr>
                <w:lang w:val="en-GB"/>
              </w:rPr>
            </w:pPr>
            <w:r>
              <w:rPr>
                <w:lang w:val="en-GB"/>
              </w:rPr>
              <w:t>APR 2012</w:t>
            </w:r>
          </w:p>
        </w:tc>
        <w:tc>
          <w:tcPr>
            <w:tcW w:w="4785" w:type="dxa"/>
            <w:shd w:val="clear" w:color="auto" w:fill="auto"/>
          </w:tcPr>
          <w:p w14:paraId="7FBD6133">
            <w:r>
              <w:rPr>
                <w:lang w:val="en-GB"/>
              </w:rPr>
              <w:t>Update acc. to MEDDEV 2.7/1 rev. 3</w:t>
            </w:r>
          </w:p>
        </w:tc>
      </w:tr>
      <w:tr w14:paraId="0232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14:paraId="65E18330">
            <w:pPr>
              <w:spacing w:before="60" w:after="60"/>
              <w:rPr>
                <w:lang w:val="en-GB"/>
              </w:rPr>
            </w:pPr>
            <w:r>
              <w:rPr>
                <w:lang w:val="en-GB"/>
              </w:rPr>
              <w:t>3.0</w:t>
            </w:r>
          </w:p>
        </w:tc>
        <w:tc>
          <w:tcPr>
            <w:tcW w:w="1984" w:type="dxa"/>
            <w:shd w:val="clear" w:color="auto" w:fill="auto"/>
          </w:tcPr>
          <w:p w14:paraId="0258766C">
            <w:pPr>
              <w:spacing w:before="60" w:after="60"/>
              <w:rPr>
                <w:lang w:val="en-GB"/>
              </w:rPr>
            </w:pPr>
            <w:r>
              <w:rPr>
                <w:lang w:val="en-GB"/>
              </w:rPr>
              <w:t>JUN 2013</w:t>
            </w:r>
          </w:p>
        </w:tc>
        <w:tc>
          <w:tcPr>
            <w:tcW w:w="4785" w:type="dxa"/>
            <w:shd w:val="clear" w:color="auto" w:fill="auto"/>
          </w:tcPr>
          <w:p w14:paraId="2FF52972">
            <w:r>
              <w:rPr>
                <w:lang w:val="en-GB"/>
              </w:rPr>
              <w:t xml:space="preserve">Update </w:t>
            </w:r>
          </w:p>
        </w:tc>
      </w:tr>
      <w:tr w14:paraId="5E1F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14:paraId="148D4F4E">
            <w:pPr>
              <w:spacing w:before="60" w:after="60"/>
              <w:rPr>
                <w:lang w:val="en-GB"/>
              </w:rPr>
            </w:pPr>
            <w:r>
              <w:rPr>
                <w:lang w:val="en-GB"/>
              </w:rPr>
              <w:t>4.0</w:t>
            </w:r>
          </w:p>
        </w:tc>
        <w:tc>
          <w:tcPr>
            <w:tcW w:w="1984" w:type="dxa"/>
            <w:shd w:val="clear" w:color="auto" w:fill="auto"/>
          </w:tcPr>
          <w:p w14:paraId="55D66ABB">
            <w:pPr>
              <w:spacing w:before="60" w:after="60"/>
              <w:rPr>
                <w:lang w:val="en-GB"/>
              </w:rPr>
            </w:pPr>
            <w:r>
              <w:rPr>
                <w:lang w:val="en-GB"/>
              </w:rPr>
              <w:t>MAR 2014</w:t>
            </w:r>
          </w:p>
        </w:tc>
        <w:tc>
          <w:tcPr>
            <w:tcW w:w="4785" w:type="dxa"/>
            <w:shd w:val="clear" w:color="auto" w:fill="auto"/>
          </w:tcPr>
          <w:p w14:paraId="2DA9E8AF">
            <w:r>
              <w:rPr>
                <w:lang w:val="en-GB"/>
              </w:rPr>
              <w:t xml:space="preserve">Update </w:t>
            </w:r>
          </w:p>
        </w:tc>
      </w:tr>
      <w:tr w14:paraId="39D6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14:paraId="3CA5AD01">
            <w:pPr>
              <w:spacing w:before="60" w:after="60"/>
              <w:rPr>
                <w:lang w:val="en-GB"/>
              </w:rPr>
            </w:pPr>
            <w:r>
              <w:rPr>
                <w:lang w:val="en-GB"/>
              </w:rPr>
              <w:t>5.0</w:t>
            </w:r>
          </w:p>
        </w:tc>
        <w:tc>
          <w:tcPr>
            <w:tcW w:w="1984" w:type="dxa"/>
            <w:shd w:val="clear" w:color="auto" w:fill="auto"/>
          </w:tcPr>
          <w:p w14:paraId="1343D054">
            <w:pPr>
              <w:spacing w:before="60" w:after="60"/>
              <w:rPr>
                <w:lang w:val="en-GB"/>
              </w:rPr>
            </w:pPr>
            <w:r>
              <w:rPr>
                <w:lang w:val="en-GB"/>
              </w:rPr>
              <w:t>APR 2015</w:t>
            </w:r>
          </w:p>
        </w:tc>
        <w:tc>
          <w:tcPr>
            <w:tcW w:w="4785" w:type="dxa"/>
            <w:shd w:val="clear" w:color="auto" w:fill="auto"/>
          </w:tcPr>
          <w:p w14:paraId="21AF2416">
            <w:pPr>
              <w:spacing w:before="60" w:after="60"/>
              <w:rPr>
                <w:lang w:val="en-GB"/>
              </w:rPr>
            </w:pPr>
            <w:r>
              <w:rPr>
                <w:lang w:val="en-GB"/>
              </w:rPr>
              <w:t xml:space="preserve">Update </w:t>
            </w:r>
          </w:p>
        </w:tc>
      </w:tr>
      <w:tr w14:paraId="5094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tcPr>
          <w:p w14:paraId="43F5860C">
            <w:pPr>
              <w:spacing w:before="60" w:after="60"/>
              <w:rPr>
                <w:lang w:val="en-GB"/>
              </w:rPr>
            </w:pPr>
            <w:r>
              <w:rPr>
                <w:lang w:val="en-GB"/>
              </w:rPr>
              <w:t>6.0</w:t>
            </w:r>
          </w:p>
        </w:tc>
        <w:tc>
          <w:tcPr>
            <w:tcW w:w="1984" w:type="dxa"/>
            <w:shd w:val="clear" w:color="auto" w:fill="auto"/>
          </w:tcPr>
          <w:p w14:paraId="264F64C1">
            <w:pPr>
              <w:spacing w:before="60" w:after="60"/>
              <w:rPr>
                <w:lang w:val="en-GB"/>
              </w:rPr>
            </w:pPr>
            <w:r>
              <w:rPr>
                <w:lang w:val="en-GB"/>
              </w:rPr>
              <w:t>APR 2017</w:t>
            </w:r>
          </w:p>
        </w:tc>
        <w:tc>
          <w:tcPr>
            <w:tcW w:w="4785" w:type="dxa"/>
            <w:shd w:val="clear" w:color="auto" w:fill="auto"/>
          </w:tcPr>
          <w:p w14:paraId="5053E2FD">
            <w:pPr>
              <w:spacing w:before="60" w:after="60"/>
              <w:rPr>
                <w:lang w:val="en-GB"/>
              </w:rPr>
            </w:pPr>
            <w:r>
              <w:rPr>
                <w:lang w:val="en-GB"/>
              </w:rPr>
              <w:t>Update acc. to MEDDEV 2.7/1 rev. 4</w:t>
            </w:r>
          </w:p>
        </w:tc>
      </w:tr>
    </w:tbl>
    <w:p w14:paraId="4611BF40">
      <w:pPr>
        <w:rPr>
          <w:color w:val="3333FF"/>
          <w:lang w:val="en-GB"/>
        </w:rPr>
      </w:pPr>
    </w:p>
    <w:p w14:paraId="693B5F7A">
      <w:pPr>
        <w:pStyle w:val="73"/>
        <w:rPr>
          <w:rFonts w:ascii="Calibri" w:hAnsi="Calibri"/>
          <w:i w:val="0"/>
          <w:sz w:val="24"/>
          <w:szCs w:val="24"/>
        </w:rPr>
      </w:pPr>
      <w:r>
        <w:rPr>
          <w:rFonts w:ascii="Calibri" w:hAnsi="Calibri"/>
          <w:i w:val="0"/>
          <w:sz w:val="24"/>
          <w:szCs w:val="24"/>
        </w:rPr>
        <w:t>Changes to the product</w:t>
      </w:r>
    </w:p>
    <w:p w14:paraId="1277C192">
      <w:pPr>
        <w:jc w:val="both"/>
        <w:rPr>
          <w:lang w:val="en-GB"/>
        </w:rPr>
      </w:pPr>
      <w:r>
        <w:rPr>
          <w:lang w:val="en-GB"/>
        </w:rPr>
        <w:t>No changes to the product composition or manufacturing have been introduced since the last clinical evaluation (Version 5.0, see Table 4). The Inion S-2 product portfolio was extended with 2-hole plates in 2015. These implants are currently marketed only outside the EU and do not carry a CE-mark.</w:t>
      </w:r>
    </w:p>
    <w:p w14:paraId="724D578C">
      <w:pPr>
        <w:rPr>
          <w:lang w:val="en-GB"/>
        </w:rPr>
      </w:pPr>
    </w:p>
    <w:p w14:paraId="05560EE4">
      <w:pPr>
        <w:pStyle w:val="3"/>
      </w:pPr>
      <w:bookmarkStart w:id="25" w:name="_Toc480979555"/>
      <w:bookmarkStart w:id="26" w:name="_Toc470180235"/>
      <w:r>
        <w:t>Relevant regulations</w:t>
      </w:r>
      <w:bookmarkEnd w:id="25"/>
      <w:bookmarkEnd w:id="26"/>
    </w:p>
    <w:p w14:paraId="3B5AA3DE"/>
    <w:p w14:paraId="687B48C7">
      <w:pPr>
        <w:pStyle w:val="73"/>
        <w:rPr>
          <w:rFonts w:ascii="Calibri" w:hAnsi="Calibri"/>
          <w:i w:val="0"/>
          <w:sz w:val="24"/>
          <w:szCs w:val="24"/>
        </w:rPr>
      </w:pPr>
      <w:r>
        <w:rPr>
          <w:rFonts w:ascii="Calibri" w:hAnsi="Calibri"/>
          <w:i w:val="0"/>
          <w:sz w:val="24"/>
          <w:szCs w:val="24"/>
        </w:rPr>
        <w:t xml:space="preserve">European Legislation </w:t>
      </w:r>
    </w:p>
    <w:p w14:paraId="2F113416">
      <w:pPr>
        <w:jc w:val="both"/>
      </w:pPr>
      <w:r>
        <w:t>Council Directive 93/42/EEC concerning medical devices, last amended by Directive 2007/47/EC (MDD)</w:t>
      </w:r>
    </w:p>
    <w:p w14:paraId="145FB7B6">
      <w:pPr>
        <w:rPr>
          <w:lang w:val="en-GB"/>
        </w:rPr>
      </w:pPr>
    </w:p>
    <w:p w14:paraId="3D1E356A">
      <w:pPr>
        <w:pStyle w:val="14"/>
        <w:rPr>
          <w:rFonts w:ascii="Calibri" w:hAnsi="Calibri"/>
        </w:rPr>
      </w:pPr>
      <w:bookmarkStart w:id="27" w:name="_Toc480979584"/>
      <w:r>
        <w:rPr>
          <w:rFonts w:ascii="Calibri" w:hAnsi="Calibri"/>
        </w:rPr>
        <w:t>Table 5. International standards</w:t>
      </w:r>
      <w:bookmarkEnd w:id="27"/>
    </w:p>
    <w:p w14:paraId="66B1445B">
      <w:pPr>
        <w:pStyle w:val="14"/>
        <w:rPr>
          <w:rFonts w:ascii="Calibri" w:hAnsi="Calibri"/>
        </w:rPr>
      </w:pP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6060"/>
      </w:tblGrid>
      <w:tr w14:paraId="3B32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33DBB7E5">
            <w:pPr>
              <w:rPr>
                <w:lang w:val="en-GB"/>
              </w:rPr>
            </w:pPr>
            <w:r>
              <w:rPr>
                <w:lang w:val="en-GB"/>
              </w:rPr>
              <w:t>EN ISO 13485 (2012)</w:t>
            </w:r>
          </w:p>
        </w:tc>
        <w:tc>
          <w:tcPr>
            <w:tcW w:w="6060" w:type="dxa"/>
            <w:shd w:val="clear" w:color="auto" w:fill="auto"/>
          </w:tcPr>
          <w:p w14:paraId="613D83AE">
            <w:pPr>
              <w:rPr>
                <w:lang w:val="en-GB"/>
              </w:rPr>
            </w:pPr>
            <w:r>
              <w:rPr>
                <w:lang w:val="en-GB"/>
              </w:rPr>
              <w:t>Medical devices — Quality management systems-Requirements for regulatory purposes  (ISO 13485:2003 + Cor.1:2009)</w:t>
            </w:r>
          </w:p>
        </w:tc>
      </w:tr>
      <w:tr w14:paraId="63BF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5FF51B21">
            <w:pPr>
              <w:rPr>
                <w:lang w:val="en-GB"/>
              </w:rPr>
            </w:pPr>
            <w:r>
              <w:rPr>
                <w:lang w:val="en-GB"/>
              </w:rPr>
              <w:t>EN 556-1 (2001)</w:t>
            </w:r>
          </w:p>
        </w:tc>
        <w:tc>
          <w:tcPr>
            <w:tcW w:w="6060" w:type="dxa"/>
            <w:shd w:val="clear" w:color="auto" w:fill="auto"/>
          </w:tcPr>
          <w:p w14:paraId="7B7C9438">
            <w:pPr>
              <w:rPr>
                <w:lang w:val="en-GB"/>
              </w:rPr>
            </w:pPr>
            <w:r>
              <w:rPr>
                <w:lang w:val="en-GB"/>
              </w:rPr>
              <w:t>Sterilization of medical devices - Requirements for medical devices to be designated "STERILE" - Part 1: Requirements for terminally sterilized medical devices</w:t>
            </w:r>
          </w:p>
        </w:tc>
      </w:tr>
      <w:tr w14:paraId="0717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74E5ADF1">
            <w:pPr>
              <w:rPr>
                <w:lang w:val="en-GB"/>
              </w:rPr>
            </w:pPr>
            <w:r>
              <w:rPr>
                <w:lang w:val="en-GB"/>
              </w:rPr>
              <w:t>EN ISO 11607-1 (2009)</w:t>
            </w:r>
          </w:p>
        </w:tc>
        <w:tc>
          <w:tcPr>
            <w:tcW w:w="6060" w:type="dxa"/>
            <w:shd w:val="clear" w:color="auto" w:fill="auto"/>
          </w:tcPr>
          <w:p w14:paraId="7F7919B0">
            <w:pPr>
              <w:rPr>
                <w:lang w:val="en-GB"/>
              </w:rPr>
            </w:pPr>
            <w:r>
              <w:rPr>
                <w:lang w:val="en-GB"/>
              </w:rPr>
              <w:t>Packaging for terminally sterilized medical devices - Part 1: Requirements for materials, sterile barrier systems and packaging systems</w:t>
            </w:r>
          </w:p>
        </w:tc>
      </w:tr>
      <w:tr w14:paraId="7F79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0750DF30">
            <w:pPr>
              <w:rPr>
                <w:lang w:val="en-GB"/>
              </w:rPr>
            </w:pPr>
            <w:r>
              <w:rPr>
                <w:lang w:val="en-GB"/>
              </w:rPr>
              <w:t>EN ISO 11607-2 (2006)</w:t>
            </w:r>
          </w:p>
        </w:tc>
        <w:tc>
          <w:tcPr>
            <w:tcW w:w="6060" w:type="dxa"/>
            <w:shd w:val="clear" w:color="auto" w:fill="auto"/>
          </w:tcPr>
          <w:p w14:paraId="6642FC86">
            <w:pPr>
              <w:rPr>
                <w:lang w:val="en-GB"/>
              </w:rPr>
            </w:pPr>
            <w:r>
              <w:rPr>
                <w:lang w:val="en-GB"/>
              </w:rPr>
              <w:t>Packaging for terminally sterilized medical devices - Part 2: Validation requirements for forming, sealing and assembly processes</w:t>
            </w:r>
          </w:p>
        </w:tc>
      </w:tr>
      <w:tr w14:paraId="6EDB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1DDF231B">
            <w:pPr>
              <w:rPr>
                <w:lang w:val="en-GB"/>
              </w:rPr>
            </w:pPr>
            <w:r>
              <w:rPr>
                <w:lang w:val="en-GB"/>
              </w:rPr>
              <w:t>EN ISO 11137 – 1 (2015)</w:t>
            </w:r>
          </w:p>
        </w:tc>
        <w:tc>
          <w:tcPr>
            <w:tcW w:w="6060" w:type="dxa"/>
            <w:shd w:val="clear" w:color="auto" w:fill="auto"/>
          </w:tcPr>
          <w:p w14:paraId="542BD0C6">
            <w:pPr>
              <w:rPr>
                <w:lang w:val="en-GB"/>
              </w:rPr>
            </w:pPr>
            <w:r>
              <w:rPr>
                <w:lang w:val="en-GB"/>
              </w:rPr>
              <w:t>Sterilization of health care products - Radiation - Part 1: Requirements for development, validation and routine control of a sterilization process for medical devices</w:t>
            </w:r>
          </w:p>
        </w:tc>
      </w:tr>
      <w:tr w14:paraId="08EE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1CA8F935">
            <w:pPr>
              <w:rPr>
                <w:lang w:val="en-GB"/>
              </w:rPr>
            </w:pPr>
            <w:r>
              <w:rPr>
                <w:lang w:val="en-GB"/>
              </w:rPr>
              <w:t>EN ISO 11137-2 (2015)</w:t>
            </w:r>
          </w:p>
        </w:tc>
        <w:tc>
          <w:tcPr>
            <w:tcW w:w="6060" w:type="dxa"/>
            <w:shd w:val="clear" w:color="auto" w:fill="auto"/>
          </w:tcPr>
          <w:p w14:paraId="21869381">
            <w:pPr>
              <w:rPr>
                <w:lang w:val="en-GB"/>
              </w:rPr>
            </w:pPr>
            <w:r>
              <w:rPr>
                <w:lang w:val="en-GB"/>
              </w:rPr>
              <w:t>Sterilization of health care products - Radiation - Part 2: Establishing the sterilization dose</w:t>
            </w:r>
          </w:p>
        </w:tc>
      </w:tr>
      <w:tr w14:paraId="22CD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61455661">
            <w:pPr>
              <w:rPr>
                <w:lang w:val="en-GB"/>
              </w:rPr>
            </w:pPr>
            <w:r>
              <w:rPr>
                <w:lang w:val="en-GB"/>
              </w:rPr>
              <w:t>EN ISO 11737-1 (2006)</w:t>
            </w:r>
          </w:p>
          <w:p w14:paraId="6FB30023">
            <w:pPr>
              <w:rPr>
                <w:lang w:val="en-GB"/>
              </w:rPr>
            </w:pPr>
          </w:p>
        </w:tc>
        <w:tc>
          <w:tcPr>
            <w:tcW w:w="6060" w:type="dxa"/>
            <w:shd w:val="clear" w:color="auto" w:fill="auto"/>
          </w:tcPr>
          <w:p w14:paraId="38E3EC23">
            <w:pPr>
              <w:rPr>
                <w:lang w:val="en-GB"/>
              </w:rPr>
            </w:pPr>
            <w:r>
              <w:rPr>
                <w:lang w:val="en-GB"/>
              </w:rPr>
              <w:t>Sterilization of medical devices - Microbiological methods - Part 1: Determination of a population of microorganisms on products</w:t>
            </w:r>
          </w:p>
        </w:tc>
      </w:tr>
      <w:tr w14:paraId="08E6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053B4706">
            <w:pPr>
              <w:rPr>
                <w:lang w:val="en-GB"/>
              </w:rPr>
            </w:pPr>
            <w:r>
              <w:rPr>
                <w:lang w:val="en-GB"/>
              </w:rPr>
              <w:t>EN ISO 11737-2 (2009)</w:t>
            </w:r>
          </w:p>
          <w:p w14:paraId="7BFA6BE9">
            <w:pPr>
              <w:rPr>
                <w:lang w:val="en-GB"/>
              </w:rPr>
            </w:pPr>
          </w:p>
        </w:tc>
        <w:tc>
          <w:tcPr>
            <w:tcW w:w="6060" w:type="dxa"/>
            <w:shd w:val="clear" w:color="auto" w:fill="auto"/>
          </w:tcPr>
          <w:p w14:paraId="186FAB8F">
            <w:pPr>
              <w:rPr>
                <w:lang w:val="en-GB"/>
              </w:rPr>
            </w:pPr>
            <w:r>
              <w:rPr>
                <w:lang w:val="en-GB"/>
              </w:rPr>
              <w:t>Sterilization of medical devices - Microbiological methods - Part 2: Tests of sterility performed in the definition, validation and maintenance of a sterilization process</w:t>
            </w:r>
          </w:p>
        </w:tc>
      </w:tr>
      <w:tr w14:paraId="4E37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68F8A5F7">
            <w:pPr>
              <w:rPr>
                <w:lang w:val="en-GB"/>
              </w:rPr>
            </w:pPr>
            <w:r>
              <w:rPr>
                <w:lang w:val="en-GB"/>
              </w:rPr>
              <w:t>EN ISO 14971 (2012)</w:t>
            </w:r>
          </w:p>
        </w:tc>
        <w:tc>
          <w:tcPr>
            <w:tcW w:w="6060" w:type="dxa"/>
            <w:shd w:val="clear" w:color="auto" w:fill="auto"/>
          </w:tcPr>
          <w:p w14:paraId="5F215FA1">
            <w:pPr>
              <w:rPr>
                <w:lang w:val="en-GB"/>
              </w:rPr>
            </w:pPr>
            <w:r>
              <w:rPr>
                <w:lang w:val="en-GB"/>
              </w:rPr>
              <w:t>Medical devices-Application of risk management to medical devices (ISO 14971:2007, Corrected version 2007-10-01)</w:t>
            </w:r>
          </w:p>
        </w:tc>
      </w:tr>
      <w:tr w14:paraId="6CD2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25816210">
            <w:pPr>
              <w:rPr>
                <w:lang w:val="en-GB"/>
              </w:rPr>
            </w:pPr>
            <w:r>
              <w:rPr>
                <w:lang w:val="en-GB"/>
              </w:rPr>
              <w:t xml:space="preserve">EN ISO 14155 (2012) </w:t>
            </w:r>
          </w:p>
        </w:tc>
        <w:tc>
          <w:tcPr>
            <w:tcW w:w="6060" w:type="dxa"/>
            <w:shd w:val="clear" w:color="auto" w:fill="auto"/>
          </w:tcPr>
          <w:p w14:paraId="4DC7A328">
            <w:pPr>
              <w:rPr>
                <w:lang w:val="en-GB"/>
              </w:rPr>
            </w:pPr>
            <w:r>
              <w:rPr>
                <w:lang w:val="en-GB"/>
              </w:rPr>
              <w:t xml:space="preserve">Clinical investigation of medical devices for human subjects </w:t>
            </w:r>
          </w:p>
          <w:p w14:paraId="5B37F876">
            <w:pPr>
              <w:rPr>
                <w:lang w:val="en-GB"/>
              </w:rPr>
            </w:pPr>
            <w:r>
              <w:rPr>
                <w:lang w:val="en-GB"/>
              </w:rPr>
              <w:t>Good clinical practice (ISO 14155:2011 + Cor. 1 :2011)</w:t>
            </w:r>
          </w:p>
        </w:tc>
      </w:tr>
      <w:tr w14:paraId="11B6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18B2943E">
            <w:pPr>
              <w:rPr>
                <w:lang w:val="en-GB"/>
              </w:rPr>
            </w:pPr>
            <w:r>
              <w:rPr>
                <w:lang w:val="en-GB"/>
              </w:rPr>
              <w:t>EN ISO 10993</w:t>
            </w:r>
          </w:p>
        </w:tc>
        <w:tc>
          <w:tcPr>
            <w:tcW w:w="6060" w:type="dxa"/>
            <w:shd w:val="clear" w:color="auto" w:fill="auto"/>
          </w:tcPr>
          <w:p w14:paraId="425029B8">
            <w:pPr>
              <w:rPr>
                <w:lang w:val="en-GB"/>
              </w:rPr>
            </w:pPr>
            <w:r>
              <w:rPr>
                <w:lang w:val="en-GB"/>
              </w:rPr>
              <w:t xml:space="preserve">Biological evaluation of medical devices </w:t>
            </w:r>
          </w:p>
        </w:tc>
      </w:tr>
      <w:tr w14:paraId="76B1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62AB2A1A">
            <w:pPr>
              <w:rPr>
                <w:lang w:val="en-GB"/>
              </w:rPr>
            </w:pPr>
            <w:r>
              <w:rPr>
                <w:lang w:val="en-GB"/>
              </w:rPr>
              <w:t xml:space="preserve">EN 1041 (2013) </w:t>
            </w:r>
          </w:p>
        </w:tc>
        <w:tc>
          <w:tcPr>
            <w:tcW w:w="6060" w:type="dxa"/>
            <w:shd w:val="clear" w:color="auto" w:fill="auto"/>
          </w:tcPr>
          <w:p w14:paraId="7A72FAAA">
            <w:pPr>
              <w:rPr>
                <w:lang w:val="en-GB"/>
              </w:rPr>
            </w:pPr>
            <w:r>
              <w:rPr>
                <w:lang w:val="en-GB"/>
              </w:rPr>
              <w:t>Information supplied by the manufacturer of medical devices (EN 1041:2008+A1:2013)</w:t>
            </w:r>
          </w:p>
        </w:tc>
      </w:tr>
      <w:tr w14:paraId="7224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2F53F8E7">
            <w:pPr>
              <w:rPr>
                <w:lang w:val="en-GB"/>
              </w:rPr>
            </w:pPr>
            <w:r>
              <w:rPr>
                <w:lang w:val="en-GB"/>
              </w:rPr>
              <w:t>EN 980:2008</w:t>
            </w:r>
          </w:p>
        </w:tc>
        <w:tc>
          <w:tcPr>
            <w:tcW w:w="6060" w:type="dxa"/>
            <w:shd w:val="clear" w:color="auto" w:fill="auto"/>
          </w:tcPr>
          <w:p w14:paraId="402C753F">
            <w:pPr>
              <w:rPr>
                <w:lang w:val="en-GB"/>
              </w:rPr>
            </w:pPr>
            <w:r>
              <w:rPr>
                <w:lang w:val="en-GB"/>
              </w:rPr>
              <w:t>Symbols for use in the labelling of medical devices</w:t>
            </w:r>
          </w:p>
        </w:tc>
      </w:tr>
    </w:tbl>
    <w:p w14:paraId="2C9EC769">
      <w:pPr>
        <w:rPr>
          <w:b/>
          <w:i/>
          <w:lang w:val="en-GB"/>
        </w:rPr>
      </w:pPr>
    </w:p>
    <w:p w14:paraId="18FAF70F">
      <w:pPr>
        <w:rPr>
          <w:b/>
          <w:lang w:val="en-GB"/>
        </w:rPr>
      </w:pPr>
      <w:r>
        <w:rPr>
          <w:b/>
          <w:lang w:val="en-GB"/>
        </w:rPr>
        <w:t xml:space="preserve">European guidance documents </w:t>
      </w:r>
    </w:p>
    <w:p w14:paraId="57095D05">
      <w:pPr>
        <w:rPr>
          <w:b/>
          <w:lang w:val="en-GB"/>
        </w:rPr>
      </w:pPr>
    </w:p>
    <w:p w14:paraId="10A05132">
      <w:pPr>
        <w:pStyle w:val="14"/>
        <w:rPr>
          <w:rFonts w:ascii="Calibri" w:hAnsi="Calibri"/>
        </w:rPr>
      </w:pPr>
      <w:bookmarkStart w:id="28" w:name="_Toc480979585"/>
      <w:r>
        <w:rPr>
          <w:rFonts w:ascii="Calibri" w:hAnsi="Calibri"/>
        </w:rPr>
        <w:t>Table 6. European guidance documents</w:t>
      </w:r>
      <w:bookmarkEnd w:id="28"/>
    </w:p>
    <w:p w14:paraId="1B9936D1">
      <w:pPr>
        <w:rPr>
          <w:b/>
          <w:lang w:val="en-GB"/>
        </w:rPr>
      </w:pPr>
    </w:p>
    <w:tbl>
      <w:tblPr>
        <w:tblStyle w:val="2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6095"/>
      </w:tblGrid>
      <w:tr w14:paraId="3D00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5D3E0829">
            <w:pPr>
              <w:rPr>
                <w:lang w:val="en-GB"/>
              </w:rPr>
            </w:pPr>
            <w:r>
              <w:rPr>
                <w:lang w:val="en-GB"/>
              </w:rPr>
              <w:t>MEDDEV 2.4/1 rev.9 (2010)</w:t>
            </w:r>
          </w:p>
        </w:tc>
        <w:tc>
          <w:tcPr>
            <w:tcW w:w="6095" w:type="dxa"/>
            <w:shd w:val="clear" w:color="auto" w:fill="auto"/>
          </w:tcPr>
          <w:p w14:paraId="4E73C725">
            <w:pPr>
              <w:rPr>
                <w:lang w:val="en-GB"/>
              </w:rPr>
            </w:pPr>
            <w:r>
              <w:rPr>
                <w:lang w:val="en-GB"/>
              </w:rPr>
              <w:t>Medical devices: Guidance document: Classification of medical devices</w:t>
            </w:r>
          </w:p>
        </w:tc>
      </w:tr>
      <w:tr w14:paraId="4604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7988A2A3">
            <w:pPr>
              <w:rPr>
                <w:lang w:val="en-GB"/>
              </w:rPr>
            </w:pPr>
            <w:r>
              <w:rPr>
                <w:lang w:val="en-GB"/>
              </w:rPr>
              <w:t>MEDDEV 2.7.1 rev.4 (2016)</w:t>
            </w:r>
          </w:p>
        </w:tc>
        <w:tc>
          <w:tcPr>
            <w:tcW w:w="6095" w:type="dxa"/>
            <w:shd w:val="clear" w:color="auto" w:fill="auto"/>
          </w:tcPr>
          <w:p w14:paraId="76223D3E">
            <w:pPr>
              <w:rPr>
                <w:lang w:val="en-GB"/>
              </w:rPr>
            </w:pPr>
            <w:r>
              <w:rPr>
                <w:lang w:val="en-GB"/>
              </w:rPr>
              <w:t>Clinical evaluation: A guide for manufacturers and notified bodies under directives 93/42/EEC and 90/385/EEC</w:t>
            </w:r>
          </w:p>
        </w:tc>
      </w:tr>
      <w:tr w14:paraId="3103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25A2E5AE">
            <w:pPr>
              <w:rPr>
                <w:lang w:val="en-GB"/>
              </w:rPr>
            </w:pPr>
            <w:r>
              <w:rPr>
                <w:lang w:val="en-GB"/>
              </w:rPr>
              <w:t xml:space="preserve">MEDDEV 2.12-2 rev 2 (2012) </w:t>
            </w:r>
          </w:p>
        </w:tc>
        <w:tc>
          <w:tcPr>
            <w:tcW w:w="6095" w:type="dxa"/>
            <w:shd w:val="clear" w:color="auto" w:fill="auto"/>
          </w:tcPr>
          <w:p w14:paraId="104CCDB1">
            <w:pPr>
              <w:rPr>
                <w:lang w:val="en-GB"/>
              </w:rPr>
            </w:pPr>
            <w:r>
              <w:rPr>
                <w:lang w:val="en-GB"/>
              </w:rPr>
              <w:t>Guidelines on post market clinical follow up</w:t>
            </w:r>
          </w:p>
        </w:tc>
      </w:tr>
    </w:tbl>
    <w:p w14:paraId="104524F4">
      <w:pPr>
        <w:rPr>
          <w:color w:val="FF0000"/>
        </w:rPr>
      </w:pPr>
    </w:p>
    <w:p w14:paraId="66E7D68F">
      <w:pPr>
        <w:rPr>
          <w:color w:val="FF0000"/>
        </w:rPr>
      </w:pPr>
    </w:p>
    <w:p w14:paraId="03CCEA70">
      <w:pPr>
        <w:pStyle w:val="2"/>
        <w:tabs>
          <w:tab w:val="left" w:pos="432"/>
        </w:tabs>
        <w:ind w:left="432" w:hanging="432"/>
      </w:pPr>
      <w:bookmarkStart w:id="29" w:name="_Toc480979556"/>
      <w:bookmarkStart w:id="30" w:name="_Toc463004100"/>
      <w:r>
        <w:t>State of the art</w:t>
      </w:r>
      <w:bookmarkEnd w:id="29"/>
      <w:bookmarkEnd w:id="30"/>
    </w:p>
    <w:p w14:paraId="078B0AAC">
      <w:pPr>
        <w:spacing w:before="100" w:beforeAutospacing="1" w:after="100" w:afterAutospacing="1"/>
        <w:jc w:val="both"/>
        <w:rPr>
          <w:color w:val="000000"/>
        </w:rPr>
      </w:pPr>
      <w:r>
        <w:rPr>
          <w:color w:val="000000"/>
        </w:rPr>
        <w:t>Spinal fusion procedure is a widely accepted treatment for degenerative or traumatic instability of the spine. To reduce or eliminate complications such as implant migration and failure, imaging interference, and stress shielding that are occasionally associated with spinal instrumentation, attention has been given to the use of biodegradable devices. Unlike metal, the elastic modulus of the biodegradable materials compare favourably to bone. The potential advantages of biodegradable materials in spine surgery are significant and include no interference with radiographic studies, predictable degradation through bulk hydrolysis as carbon dioxide and water, and the elimination of long-term residual metal hardware. Future designs of biodegradable fixation devices may begin to resemble the metallic counterparts. Concerns related to design will be strength, design, ability to identify presence and location radiographically, and ease of application and revision.</w:t>
      </w:r>
    </w:p>
    <w:p w14:paraId="077EDCA9">
      <w:pPr>
        <w:spacing w:before="100" w:beforeAutospacing="1" w:after="100" w:afterAutospacing="1"/>
        <w:jc w:val="both"/>
        <w:rPr>
          <w:color w:val="000000"/>
        </w:rPr>
      </w:pPr>
      <w:r>
        <w:rPr>
          <w:color w:val="000000"/>
        </w:rPr>
        <w:t xml:space="preserve">The spine is a strong and flexible column made up of a series of bones (vertebrae), discs and ligaments. The muscles of the spine are important in maintaining its stability and balance as well as assisting in spinal movement. The cervical or neck region is normally made up of 7 bones, the thoracic or chest region has 12 bones, and the lumbar or low back region is made up of 5 bones. The sacral region consists of 5 fused bones, and the coccygeal region 3 to 5 tiny bones. The vertebrae provide the anterior support and structure of the spine. Each spinal segment is subject to a variety of loads and forces. These include loads from the weight of body segments as well as from the weights being handled. The pattern of injury to the spine is a function of the type and size of forces present at time of injury. There are four types of forces acting on spinal structures: compression, tension, shear, and torsional. The discs are in between the vertebrae and act like a “shock absorber” between the vertebrae. The discs also contribute to the flexibility and mobility of the spinal column. </w:t>
      </w:r>
    </w:p>
    <w:p w14:paraId="5EB6D006">
      <w:pPr>
        <w:spacing w:before="100" w:beforeAutospacing="1" w:after="100" w:afterAutospacing="1"/>
        <w:jc w:val="both"/>
        <w:rPr>
          <w:color w:val="000000"/>
        </w:rPr>
      </w:pPr>
      <w:r>
        <w:rPr>
          <w:color w:val="000000"/>
        </w:rPr>
        <w:t xml:space="preserve">Disc material is mainly composed of water and proteins. As a normal part of aging, the water content gradually reduces. This can cause the disc to flatten out and even develop tears or cracks throughout the outer part of the disc (anulus fibrosus). These discs are called degenerative discs and they may or may not cause pain. In the case of a degenerative disc, the inner jelly material of the disc (nucleus pulposus) can bulge out and press up against the anulus fibrosus. This can cause pain. Also the cracks or tears of the anulus fibrosus themselves can become a source of pain. Finally, the inner nucleus can also come out through the cracks in the anulus and compress nerves or spinal cord, a condition that may cause weakness, pain, pins and needles or numbness, and may require surgery. </w:t>
      </w:r>
    </w:p>
    <w:p w14:paraId="7508B46F">
      <w:pPr>
        <w:spacing w:before="100" w:beforeAutospacing="1" w:after="100" w:afterAutospacing="1"/>
        <w:jc w:val="both"/>
        <w:rPr>
          <w:color w:val="000000"/>
        </w:rPr>
      </w:pPr>
      <w:r>
        <w:rPr>
          <w:color w:val="000000"/>
        </w:rPr>
        <w:t>Due to the above described degeneration, the vertebrae get closer together and cause nerve irritation, which usually stems from a ruptured disc, bone spurs, or stenosis. Some herniated discs (i.e., ruptured or slipped discs, or herniated nucleus pulposus) occur from injuries or sudden movements: most arise spontaneously and often occur at night while sleeping. With the aging wear and tear of the spine, some patients develop bony outgrowths. These growths are bone spurs, also known as osteophytes. Bone spurs are the body’s natural response to the inflammation that results from the aging spine. The collection of calcium that turns into the bone spur is a type of natural fusion. However, as they grow and extend, the vertebral openings become narrow. Either the spinal canal and/or the foramen, the opening for nerve passageways, become smaller. This narrowing is stenosis, and results in a pinching (compression) of the spinal cord or the spinal nerve root. Symptoms include pain, weakness, numbness and loss of coordination in the neck or extremities. Movement (vertebral motion) causes the chronic pain.</w:t>
      </w:r>
    </w:p>
    <w:p w14:paraId="26116ECD">
      <w:pPr>
        <w:jc w:val="both"/>
        <w:rPr>
          <w:color w:val="000000"/>
        </w:rPr>
      </w:pPr>
      <w:r>
        <w:rPr>
          <w:color w:val="000000"/>
        </w:rPr>
        <w:t xml:space="preserve">Conservative non-surgical treatment options for people with disc protrusions in the spine include rest, heat, pain medications and physiotherapy. When non-surgical treatment options fail, surgery is often the next step. This usually means spinal fusion surgery. Pain with compression of the nerves in spinal cord is a common condition that affects the spine and may require surgery. If the spinal cord is being compressed, surgery to decompress the spinal cord is usually recommended. This neurosurgical procedure is performed to relieve the pressure on one or more nerve roots, or on the spinal cord. It involves the stabilization of two or more vertebrae by locking them together (fusing them). The fusion stops the vertebral motion and as a result, the pain is stopped. The compression can be caused by bulging disc or bony spurs. </w:t>
      </w:r>
    </w:p>
    <w:p w14:paraId="14E4CC82">
      <w:pPr>
        <w:jc w:val="both"/>
        <w:rPr>
          <w:color w:val="FF0000"/>
          <w:highlight w:val="yellow"/>
        </w:rPr>
      </w:pPr>
    </w:p>
    <w:p w14:paraId="6D32D36C">
      <w:pPr>
        <w:jc w:val="both"/>
        <w:rPr>
          <w:color w:val="000000"/>
        </w:rPr>
      </w:pPr>
      <w:r>
        <w:rPr>
          <w:color w:val="000000"/>
        </w:rPr>
        <w:t>Surgery on the spinal cord is performed either from the back (laminectomy) or through the front of the spinal cord (discectomy or vertebrectomy). If the compression of the spinal cord is from the front, then the decompression must be done from the front (anterior decompression). Typically, if the entire disc is removed, it is replaced with a wedge of bone (autograft from patient’s own hip or allograft from bone bank, a plug of bone that allows the fusion of bone to happen), and/or synthetic bone graft substitute (e.g., bioactive glass, tricalcium phosphate or hydroxyapatite), and/or a fusion cage/spacer, and thereafter anterior and/or posterior instrumentation (i.e., traditional rigid fixation) is applied for stabilization. Sometimes a plate and screws (i.e., anterior instrumentation) are used to hold the graft in place (graft containment). When the procedure is carried out through the front of the spinal cord it is called anterior discectomy and fusion.</w:t>
      </w:r>
    </w:p>
    <w:p w14:paraId="729670AA">
      <w:pPr>
        <w:jc w:val="both"/>
        <w:rPr>
          <w:color w:val="FF0000"/>
        </w:rPr>
      </w:pPr>
    </w:p>
    <w:p w14:paraId="112FAA68">
      <w:pPr>
        <w:jc w:val="both"/>
        <w:rPr>
          <w:color w:val="000000"/>
        </w:rPr>
      </w:pPr>
      <w:r>
        <w:rPr>
          <w:color w:val="000000"/>
        </w:rPr>
        <w:t>Anterior surgery for the removal of herniated cervical discs was first used in the 1950s with the introduction of the Smith-Robinson and Cloward procedures. These techniques have become the golden standard for a variety of indications in the spine such as degenerative disease, tumor, inflammatory process, trauma and failed fusion. Although the advantages of anterior plate stabilization have been reported (i.e. immediate stability, restoration of lordotic curve, shortened fusion time and enhanced fusion quality) some clinicians have doubted whether this is truly beneficial to the patient or rather over treatment. However, it has been shown in many scientific reports that anterior plating in degenerative disc</w:t>
      </w:r>
      <w:r>
        <w:rPr>
          <w:color w:val="FF0000"/>
        </w:rPr>
        <w:t xml:space="preserve"> </w:t>
      </w:r>
      <w:r>
        <w:rPr>
          <w:color w:val="000000"/>
        </w:rPr>
        <w:t>disease does not constitute over treatment but rather supplements the internal stabilization initially provided by the bone graft and yields a lower reoperation rate (Alvarez et al. 1999, Caspar et al. 1998). The goals of interbody bone graft placement and subsequent fusion are to improve and/or to maintain interbody height, to establish and/or to maintain physiological spinal geometry, and to achieve arthrodesis to eliminate pathological motion (Geer et al. 1999). The problem with fusing bones in the spine is that adjacent levels in the spine are placed under more strain and therefore a person that has a single level fusion may have to have another operation for narrowing at the next level either above or below. Secondly, the bone does not always heal or fuse correctly (e.g. in case of graft extrusion/dislodgement).</w:t>
      </w:r>
    </w:p>
    <w:p w14:paraId="75B1C039">
      <w:pPr>
        <w:jc w:val="both"/>
        <w:rPr>
          <w:bCs/>
          <w:color w:val="FF0000"/>
          <w:highlight w:val="yellow"/>
        </w:rPr>
      </w:pPr>
    </w:p>
    <w:p w14:paraId="29BD3C70">
      <w:pPr>
        <w:jc w:val="both"/>
        <w:rPr>
          <w:color w:val="000000"/>
        </w:rPr>
      </w:pPr>
      <w:r>
        <w:rPr>
          <w:bCs/>
          <w:color w:val="000000"/>
        </w:rPr>
        <w:t xml:space="preserve">Spinal fusion procedure is a widely accepted treatment for degenerative or traumatic instability of the spine. </w:t>
      </w:r>
      <w:r>
        <w:rPr>
          <w:color w:val="000000"/>
        </w:rPr>
        <w:t>Spinal graft containment devices (plates, sheets, etc.) that maintain the relative position of weak bony tissue such as allografts or autografts can be used to prevent graft (and/or fusion cage) extrusion/dislodgement induced complications after spinal fusions. Both non-degradable (i.e., metal plates or meshes) and degradable products (i.e. bioabsorbable sheets/plates) are available.</w:t>
      </w:r>
    </w:p>
    <w:p w14:paraId="5A8CA1D2">
      <w:pPr>
        <w:jc w:val="both"/>
        <w:rPr>
          <w:color w:val="FF0000"/>
          <w:highlight w:val="yellow"/>
        </w:rPr>
      </w:pPr>
    </w:p>
    <w:p w14:paraId="51458A94">
      <w:pPr>
        <w:jc w:val="both"/>
        <w:rPr>
          <w:color w:val="000000"/>
        </w:rPr>
      </w:pPr>
      <w:r>
        <w:rPr>
          <w:color w:val="000000"/>
        </w:rPr>
        <w:t xml:space="preserve">Despite many improvements, the use of metallic spinal implants is not without complications. Complications associated with the placement of metallic plates have a reported incidence as high as 35% (Lowery et al. 1998), and include screw backout, graft extrusion, and dysphagia and odynophagia when used in the cervical spine. Typically, the failure can occur in the form of screw back-out or breakage with subsequent displacement of the implant, and extrusion of the bone graft. In case of implantation in the cervical spine, dislodgement can damage the esophagus, and if the gastrointestinal tract is violated implant can cause multi-organ failure (Lamesch et al. 1997). There have been several case reports of vessel injuries (Knoop et al. 1999), patients coughing up screws (Geyer et al. 2001) or bone grafts (Cavanagh et al. 1996) into the oral cavity, and one report of a plate disappearing (Fujibayashi et al. 2000). In addition, metallic plates interfere with imaging of the fusion mass via x-rays, CT or MRI scanning, they may serve as a locus for bacterial infection, and may be physiologically (and even psychologically) taxing to many patients. Any metallic plate implanted in orthopaedic surgery may necessitate a second surgery for plate removal, and in case of spinal implantation, the possibly needed removal procedure is more challenging and expensive than with more superficially placed implants (e.g., in the treatment of fractures in the extremities). </w:t>
      </w:r>
    </w:p>
    <w:p w14:paraId="1C4E3EDA">
      <w:pPr>
        <w:jc w:val="both"/>
        <w:rPr>
          <w:color w:val="000000"/>
          <w:highlight w:val="yellow"/>
        </w:rPr>
      </w:pPr>
    </w:p>
    <w:p w14:paraId="04F466A9">
      <w:pPr>
        <w:jc w:val="both"/>
        <w:rPr>
          <w:color w:val="000000"/>
          <w:lang w:eastAsia="zh-CN"/>
        </w:rPr>
      </w:pPr>
      <w:r>
        <w:rPr>
          <w:color w:val="000000"/>
        </w:rPr>
        <w:t>Because of these complications, consideration for the application of biodegradable implant in this technology has gained momentum. Biodegradable graft containment sheets and plates in spine fusion may avoid many of the disadvantages related with the use of metallic devices. Biodegradable implants degrade uniformly in a biological environment. Their breakdown products incorporate into normal cellular, physiologic, and biomechanical processes. These materials have been shown to be biocompatible with degradation products that are tolerated, with no immunogenic or mutagenic tendencies. Foreign body reactions are the most frequently reported complications in the use of bioabsorbable implants. (Wuisman et al. 2006) In a study of Böstman et al. (2000) 2528 patients underwent various reconstructive procedures with the use of bioresorbable implants. At follow-up, 108 patients (4.3%) were noted to have a clinically significant local inflammatory foreign body reaction. However, it should be noted that foreign body reactions have also been reported with the use of metallic spinal implants. One study reported 1.7% of 174 patients suspected to have a late infection actually had a foreign body reaction to the spinal implant and they were treated by implant removal (Aydinli et al. 1999). Generally, the incidence of infections has been shown to be comparable in patients with resorbable implants compared with metal implant devices. According to Vaccaro et al. (2003), Andrews et al. (2000) evaluated the incidence of infection in a series of 296 patients in which 146 received craniotomy fixation with titanium implants and 150 received craniotomy fixation with a resorbable poly- D,L-lactic acid copolymer. Forty-three patients in the titanium group and 37 patients in the polymer group received postoperative irradiation. The incidence of infection in the titanium and resorbable polymer groups was 4.6% and 4.0%, respectively.</w:t>
      </w:r>
      <w:r>
        <w:rPr>
          <w:rFonts w:hint="eastAsia"/>
          <w:color w:val="000000"/>
          <w:lang w:eastAsia="zh-CN"/>
        </w:rPr>
        <w:t xml:space="preserve"> </w:t>
      </w:r>
      <w:r>
        <w:rPr>
          <w:color w:val="000000"/>
          <w:lang w:eastAsia="zh-CN"/>
        </w:rPr>
        <w:t>I</w:t>
      </w:r>
      <w:r>
        <w:rPr>
          <w:rFonts w:hint="eastAsia"/>
          <w:color w:val="000000"/>
          <w:lang w:eastAsia="zh-CN"/>
        </w:rPr>
        <w:t xml:space="preserve">n 2007, </w:t>
      </w:r>
      <w:r>
        <w:rPr>
          <w:color w:val="000000"/>
          <w:lang w:eastAsia="zh-CN"/>
        </w:rPr>
        <w:t>Bindal</w:t>
      </w:r>
      <w:r>
        <w:rPr>
          <w:rFonts w:hint="eastAsia"/>
          <w:color w:val="000000"/>
          <w:lang w:eastAsia="zh-CN"/>
        </w:rPr>
        <w:t xml:space="preserve"> et al </w:t>
      </w:r>
      <w:r>
        <w:rPr>
          <w:color w:val="000000"/>
          <w:lang w:eastAsia="zh-CN"/>
        </w:rPr>
        <w:t>described the first series of patients to</w:t>
      </w:r>
      <w:r>
        <w:rPr>
          <w:rFonts w:hint="eastAsia"/>
          <w:color w:val="000000"/>
          <w:lang w:eastAsia="zh-CN"/>
        </w:rPr>
        <w:t xml:space="preserve"> </w:t>
      </w:r>
      <w:r>
        <w:rPr>
          <w:color w:val="000000"/>
          <w:lang w:eastAsia="zh-CN"/>
        </w:rPr>
        <w:t>undergo ACDF with the first commercially available resorbable cervical plat</w:t>
      </w:r>
      <w:r>
        <w:rPr>
          <w:color w:val="000000"/>
        </w:rPr>
        <w:t>e for single-level degenerative disc disease. Healing</w:t>
      </w:r>
      <w:r>
        <w:rPr>
          <w:rFonts w:hint="eastAsia"/>
          <w:color w:val="000000"/>
        </w:rPr>
        <w:t xml:space="preserve"> </w:t>
      </w:r>
      <w:r>
        <w:rPr>
          <w:color w:val="000000"/>
        </w:rPr>
        <w:t xml:space="preserve">in kyphosis and pseudarthrosis </w:t>
      </w:r>
      <w:r>
        <w:rPr>
          <w:color w:val="000000"/>
          <w:lang w:eastAsia="zh-CN"/>
        </w:rPr>
        <w:t>was significantly more likely with resorbable implants</w:t>
      </w:r>
      <w:r>
        <w:rPr>
          <w:rFonts w:hint="eastAsia"/>
          <w:color w:val="000000"/>
          <w:lang w:eastAsia="zh-CN"/>
        </w:rPr>
        <w:t xml:space="preserve"> </w:t>
      </w:r>
      <w:r>
        <w:rPr>
          <w:color w:val="000000"/>
          <w:lang w:eastAsia="zh-CN"/>
        </w:rPr>
        <w:t>as compared with the use of titanium plating. (Bindal</w:t>
      </w:r>
      <w:r>
        <w:rPr>
          <w:rFonts w:hint="eastAsia"/>
          <w:color w:val="000000"/>
          <w:lang w:eastAsia="zh-CN"/>
        </w:rPr>
        <w:t xml:space="preserve"> et al</w:t>
      </w:r>
      <w:r>
        <w:rPr>
          <w:color w:val="000000"/>
          <w:lang w:eastAsia="zh-CN"/>
        </w:rPr>
        <w:t>. 2007) Further, Whitmore et al. (2011) reported a novel application of a bioresorbable plate in the</w:t>
      </w:r>
      <w:r>
        <w:rPr>
          <w:rFonts w:hint="eastAsia"/>
          <w:color w:val="000000"/>
          <w:lang w:eastAsia="zh-CN"/>
        </w:rPr>
        <w:t xml:space="preserve"> </w:t>
      </w:r>
      <w:r>
        <w:rPr>
          <w:color w:val="000000"/>
          <w:lang w:eastAsia="zh-CN"/>
        </w:rPr>
        <w:t>management of a 69-year-old female with multi-level, long-standing cervical spondylotic</w:t>
      </w:r>
      <w:r>
        <w:rPr>
          <w:rFonts w:hint="eastAsia"/>
          <w:color w:val="000000"/>
          <w:lang w:eastAsia="zh-CN"/>
        </w:rPr>
        <w:t xml:space="preserve"> </w:t>
      </w:r>
      <w:r>
        <w:rPr>
          <w:color w:val="000000"/>
          <w:lang w:eastAsia="zh-CN"/>
        </w:rPr>
        <w:t>myelopathy. The patient underwent a revision anterior fusion using a bioresorbable</w:t>
      </w:r>
      <w:r>
        <w:rPr>
          <w:rFonts w:hint="eastAsia"/>
          <w:color w:val="000000"/>
          <w:lang w:eastAsia="zh-CN"/>
        </w:rPr>
        <w:t xml:space="preserve"> </w:t>
      </w:r>
      <w:r>
        <w:rPr>
          <w:color w:val="000000"/>
          <w:lang w:eastAsia="zh-CN"/>
        </w:rPr>
        <w:t>cervical plate and a fibular allograft, in conjunction with posterior fusion with metal instrumentation.</w:t>
      </w:r>
      <w:r>
        <w:rPr>
          <w:rFonts w:hint="eastAsia"/>
          <w:color w:val="000000"/>
          <w:lang w:eastAsia="zh-CN"/>
        </w:rPr>
        <w:t xml:space="preserve"> </w:t>
      </w:r>
      <w:r>
        <w:rPr>
          <w:color w:val="000000"/>
          <w:lang w:eastAsia="zh-CN"/>
        </w:rPr>
        <w:t>Successful fusion is visualized on CT imaging at 8-year follow-up.</w:t>
      </w:r>
    </w:p>
    <w:p w14:paraId="5F16D32A">
      <w:pPr>
        <w:jc w:val="both"/>
        <w:rPr>
          <w:color w:val="FF0000"/>
        </w:rPr>
      </w:pPr>
    </w:p>
    <w:p w14:paraId="11B744C2">
      <w:pPr>
        <w:jc w:val="both"/>
        <w:rPr>
          <w:bCs/>
          <w:color w:val="000000"/>
        </w:rPr>
      </w:pPr>
      <w:r>
        <w:rPr>
          <w:color w:val="000000"/>
        </w:rPr>
        <w:t>The main benefit of a resorbable material is that they confer initial and intermediate stability without having any of the long-term complications, such as stress shielding. Flexible and less rigid bioabsorbable implants confer the advantage of stabilization the motion segments while, over time, allowing a greater transfer of load to the healing bone during implant resorption, potentially minimizing junctional degeneration (Robbins et al. 2004). Other potential advantages of resorbable implants in spinal surgery include a more physiological modulus of elasticity in relation to native vertebral bone allowing more optimal load-sharing, as compared with rigid metal devices, and the elimination of long-term residual metal hardware with the potential attendant complications of migration, dislodgement or hardware removal (Vaccaro et al. 2003). Biodegradable implants allow optimal postoperative radiographic evaluation because of their radiolucency and the absence of artefacts associated with similar metallic devices exposed to advanced imaging modalities (McAfee et al. 2001). However, the postoperative position of implanted biodegradable implants can be evaluated radiographically if the implants contain radiopaque markers. In addition, contrary to metal devices, bioabsorbable implants can be easily cut and contoured to the desired shape at operation and their transparency enables perfect visualisation of the bone graft and the vertebrae during fixation of the implants. However, the biodegradable sheets/plates are not intended to be used alone in high load bearing indications and must therefore be used in conjunction with traditional rigid fixation in the spine (i.e., the biodegradable sheet/plate maintains the relative position of the bone graft and traditional rigid fixation is used to provide stabilization and load-bearing).</w:t>
      </w:r>
      <w:r>
        <w:rPr>
          <w:bCs/>
          <w:color w:val="000000"/>
        </w:rPr>
        <w:t xml:space="preserve"> Future designs of biodegradable fixation devices may begin to resemble the metallic counterparts. Concerns related to design will be strength, design, ability to identify presence and location radiographically, and ease of application and revision.</w:t>
      </w:r>
    </w:p>
    <w:p w14:paraId="04EDA218">
      <w:pPr>
        <w:jc w:val="both"/>
        <w:rPr>
          <w:bCs/>
          <w:color w:val="000000"/>
        </w:rPr>
      </w:pPr>
    </w:p>
    <w:p w14:paraId="6FD63984">
      <w:pPr>
        <w:jc w:val="both"/>
        <w:rPr>
          <w:b/>
          <w:bCs/>
          <w:color w:val="000000"/>
        </w:rPr>
      </w:pPr>
      <w:r>
        <w:rPr>
          <w:b/>
          <w:bCs/>
          <w:color w:val="000000"/>
        </w:rPr>
        <w:t>Tantalum markers</w:t>
      </w:r>
    </w:p>
    <w:p w14:paraId="6140E32B">
      <w:pPr>
        <w:jc w:val="both"/>
        <w:rPr>
          <w:color w:val="000000"/>
        </w:rPr>
      </w:pPr>
      <w:r>
        <w:rPr>
          <w:color w:val="000000"/>
        </w:rPr>
        <w:t>Tantalum has been used extensively in neurosurgery for more than 50 years (Smith 1973). One of the first scientific reports on the use of tantalum in repair of congenital bony defects of skull and spine was reported in 1951 by Scoville and McLaurin. Tantalum has excellent biocompatibility and is safe to use in vivo as evidenced by its historical and current use in pacemaker electrodes, cranioplasty plates and as radiopaque markers. The bioactivity and biocompatibility of tantalum derives from its ability to form a self-passivating surface oxide layer. This surface layer leads to the formation of a bone-like apatite coating in vivo and affords excellent bone and fibrous in-growth properties allowing for rapid and substantial bone and soft tissue attachment. (Levine et al. 2006b)</w:t>
      </w:r>
    </w:p>
    <w:p w14:paraId="065E48A4">
      <w:pPr>
        <w:jc w:val="both"/>
        <w:rPr>
          <w:color w:val="000000"/>
        </w:rPr>
      </w:pPr>
      <w:r>
        <w:rPr>
          <w:color w:val="000000"/>
        </w:rPr>
        <w:t xml:space="preserve"> </w:t>
      </w:r>
    </w:p>
    <w:p w14:paraId="61FF4D42">
      <w:pPr>
        <w:jc w:val="both"/>
        <w:rPr>
          <w:color w:val="000000"/>
        </w:rPr>
      </w:pPr>
      <w:r>
        <w:rPr>
          <w:color w:val="000000"/>
        </w:rPr>
        <w:t>Tantalum is known to be relatively inert in vivo and is now used as plates, sutures, radio-markers, and prostheses covering a wide variety of medical subspecialties and procedures. For example, Biomet Tantalum Beads – Radiographic Marker (K010348) are used as radiopaque markers and may be implanted into bone or soft tissue. These devices are used to measure movement of implants after surgery with the aid of an X-ray. Implant surgery associated with the use of radiographic markers may include total joint replacement, soft tissue repair, and bone fixation.  Bobyn et al. (1999a) reported good biocompatibility of tantalum in a canine joint replacement model in a long-term follow-up. Dental implants have yielded excellent 8-year follow-up with tantalum-based components used for osseous anchorage according to Bobyn et al. (1999b). The oxide formed on the surface of tantalum implants (self-passivation) in vivo has been found to be quite stable over a wide range of pH and potential ranges (Kato et al. 2000). Matsuno et al. (2001) implanted tantalum wire into soft tissues and the femora of rats in order to determine soft and hard tissue reactions to this metal. The authors found tantalum to have good biocompatibility without a surrounding inflammatory response.</w:t>
      </w:r>
    </w:p>
    <w:p w14:paraId="31BF6353">
      <w:pPr>
        <w:jc w:val="both"/>
        <w:rPr>
          <w:color w:val="000000"/>
        </w:rPr>
      </w:pPr>
      <w:r>
        <w:rPr>
          <w:color w:val="000000"/>
        </w:rPr>
        <w:t xml:space="preserve"> </w:t>
      </w:r>
    </w:p>
    <w:p w14:paraId="4E008F94">
      <w:pPr>
        <w:jc w:val="both"/>
        <w:rPr>
          <w:color w:val="000000"/>
        </w:rPr>
      </w:pPr>
      <w:r>
        <w:rPr>
          <w:color w:val="000000"/>
        </w:rPr>
        <w:t xml:space="preserve">There are several reports where permanent metallic neurosurgical implants have been tested for tissue reactions. The common opinion is that tantalum shows good biocompatibility. In the study of McFadden (1972) the author compared 18 most common metal devices used as permanent neurosurgical implant in dogs for 6 months. The results showed clearly that Tantalum caused the least tissue reactions in the implanted sites (brain, spine, carotids, rectus). </w:t>
      </w:r>
    </w:p>
    <w:p w14:paraId="0B062999">
      <w:pPr>
        <w:jc w:val="both"/>
        <w:rPr>
          <w:color w:val="000000"/>
        </w:rPr>
      </w:pPr>
    </w:p>
    <w:p w14:paraId="0ED9658C">
      <w:pPr>
        <w:jc w:val="both"/>
        <w:rPr>
          <w:color w:val="000000"/>
        </w:rPr>
      </w:pPr>
      <w:r>
        <w:rPr>
          <w:color w:val="000000"/>
        </w:rPr>
        <w:t>References indicate that there is no known human disease which is attributable to tantalum, that systemic poisonings in industrial situations are unknown, and that tantalum and tantalum compounds are not listed as presumptive or possible carcinogens. The oral LD50 for tantalum pentoxide in rats is quoted to be greater than 8 g/kg bodyweight. Where labelled tantalum has been injected into animal models, only 15% is retained within the body, the balance being rapidly excreted. 40% of that which is retained within the body is retained within bone.</w:t>
      </w:r>
    </w:p>
    <w:p w14:paraId="3C8A9A30">
      <w:pPr>
        <w:jc w:val="both"/>
        <w:rPr>
          <w:lang w:eastAsia="zh-CN"/>
        </w:rPr>
      </w:pPr>
    </w:p>
    <w:p w14:paraId="13FD31B5">
      <w:pPr>
        <w:jc w:val="both"/>
        <w:rPr>
          <w:strike/>
          <w:color w:val="000000"/>
        </w:rPr>
      </w:pPr>
      <w:r>
        <w:rPr>
          <w:color w:val="000000"/>
        </w:rPr>
        <w:t>The Inion Spinal Graft Containment System™</w:t>
      </w:r>
      <w:r>
        <w:rPr>
          <w:b/>
          <w:color w:val="000000"/>
        </w:rPr>
        <w:t xml:space="preserve"> </w:t>
      </w:r>
      <w:r>
        <w:rPr>
          <w:color w:val="000000"/>
        </w:rPr>
        <w:t xml:space="preserve">consists of plates, meshes and screws made of degradable co-polymers composed of L-lactic and D-lactic acid. These polymers have a long history of safe medical use and they degrade in vivo by hydrolysis into alpha-hydroxy acids that are metabolised by the body. The plates and screws contain radiopaque tantalum markers for postoperative imaging. The MacroPore Hydrosorb Spine System implants include </w:t>
      </w:r>
      <w:r>
        <w:rPr>
          <w:color w:val="000000"/>
          <w:lang w:eastAsia="fi-FI"/>
        </w:rPr>
        <w:t>radiopaque barium sulfate beads</w:t>
      </w:r>
      <w:r>
        <w:rPr>
          <w:rFonts w:hint="eastAsia"/>
          <w:color w:val="000000"/>
          <w:lang w:eastAsia="zh-CN"/>
        </w:rPr>
        <w:t>,</w:t>
      </w:r>
      <w:r>
        <w:rPr>
          <w:color w:val="000000"/>
          <w:lang w:eastAsia="zh-CN"/>
        </w:rPr>
        <w:t xml:space="preserve"> which </w:t>
      </w:r>
      <w:r>
        <w:rPr>
          <w:color w:val="000000"/>
          <w:lang w:eastAsia="fi-FI"/>
        </w:rPr>
        <w:t xml:space="preserve">are also non-degradable. However, the biocompatibility of barium sulfate </w:t>
      </w:r>
      <w:r>
        <w:rPr>
          <w:color w:val="000000"/>
        </w:rPr>
        <w:t>as a radiopaque marker in orthopedic devices can be considered to be somewhat controversial (Cenni et al. 2002, Chang 1981, Sabokbar et al. 1997, Togawa et al. 2006, Wimhurst et al. 2001) compared to the biocompatibility of tantalum.</w:t>
      </w:r>
      <w:r>
        <w:t xml:space="preserve"> Bioabsorbable plates are typically made malleable before </w:t>
      </w:r>
      <w:r>
        <w:rPr>
          <w:color w:val="000000"/>
        </w:rPr>
        <w:t xml:space="preserve">placing them on the patient by soaking the plates in heated water. These techniques utilize the thermo forming properties of the polymers. </w:t>
      </w:r>
    </w:p>
    <w:p w14:paraId="62E153A2">
      <w:pPr>
        <w:jc w:val="both"/>
        <w:rPr>
          <w:color w:val="000000"/>
        </w:rPr>
      </w:pPr>
    </w:p>
    <w:p w14:paraId="50C1C314">
      <w:pPr>
        <w:jc w:val="both"/>
      </w:pPr>
      <w:r>
        <w:t xml:space="preserve">Inion Spinal Graft Containment System™ implants retain most of their initial strength up to 16 weeks and gradually lose their strength thereafter. During biomechanical and mechanical comparison testing with Macropore OS Spinal System/Macropore Hydrosorb implants and the Inion Spinal Graft Containment System™ implants, the results were found to be statistically equivalent. </w:t>
      </w:r>
    </w:p>
    <w:p w14:paraId="01F46102">
      <w:pPr>
        <w:jc w:val="both"/>
        <w:rPr>
          <w:strike/>
          <w:color w:val="000000"/>
        </w:rPr>
      </w:pPr>
    </w:p>
    <w:p w14:paraId="07395EF0">
      <w:pPr>
        <w:jc w:val="both"/>
        <w:rPr>
          <w:color w:val="000000"/>
        </w:rPr>
      </w:pPr>
      <w:r>
        <w:t xml:space="preserve">Table 7 shows a comparison of </w:t>
      </w:r>
      <w:r>
        <w:rPr>
          <w:lang w:eastAsia="zh-CN"/>
        </w:rPr>
        <w:t>main characteristics</w:t>
      </w:r>
      <w:r>
        <w:t xml:space="preserve"> </w:t>
      </w:r>
      <w:r>
        <w:rPr>
          <w:lang w:eastAsia="zh-CN"/>
        </w:rPr>
        <w:t xml:space="preserve">of </w:t>
      </w:r>
      <w:r>
        <w:t xml:space="preserve">Inion Spinal Graft Containment System™ and equivalent products. </w:t>
      </w:r>
      <w:r>
        <w:rPr>
          <w:color w:val="000000"/>
        </w:rPr>
        <w:t>Based on the evaluation it can be concluded that Inion Spinal Graft Containment System™ represents the current state of the art in spinal fusion procedures as a means to maintain the relative position of weak bony tissue such as allografts or autografts.</w:t>
      </w:r>
    </w:p>
    <w:p w14:paraId="24A8FBDB">
      <w:pPr>
        <w:jc w:val="both"/>
        <w:rPr>
          <w:color w:val="000000"/>
        </w:rPr>
      </w:pPr>
    </w:p>
    <w:p w14:paraId="720945F6">
      <w:pPr>
        <w:jc w:val="both"/>
        <w:rPr>
          <w:color w:val="000000"/>
        </w:rPr>
        <w:sectPr>
          <w:headerReference r:id="rId4" w:type="first"/>
          <w:footerReference r:id="rId6" w:type="first"/>
          <w:headerReference r:id="rId3" w:type="default"/>
          <w:footerReference r:id="rId5" w:type="default"/>
          <w:pgSz w:w="12240" w:h="15840"/>
          <w:pgMar w:top="1440" w:right="1797" w:bottom="1440" w:left="1797" w:header="709" w:footer="709" w:gutter="0"/>
          <w:cols w:space="708" w:num="1"/>
          <w:titlePg/>
          <w:docGrid w:linePitch="360" w:charSpace="0"/>
        </w:sectPr>
      </w:pPr>
    </w:p>
    <w:p w14:paraId="7D730F41">
      <w:pPr>
        <w:pStyle w:val="14"/>
        <w:rPr>
          <w:rFonts w:ascii="Calibri" w:hAnsi="Calibri"/>
        </w:rPr>
      </w:pPr>
      <w:bookmarkStart w:id="31" w:name="_Toc480979586"/>
      <w:r>
        <w:rPr>
          <w:rFonts w:ascii="Calibri" w:hAnsi="Calibri"/>
        </w:rPr>
        <w:t>Table 7. Comparison of Inion Spinal Graft Containment System™ with equivalent products</w:t>
      </w:r>
      <w:bookmarkEnd w:id="31"/>
    </w:p>
    <w:p w14:paraId="47FA1264">
      <w:pPr>
        <w:jc w:val="both"/>
        <w:rPr>
          <w:color w:val="000000"/>
          <w:lang w:val="en-GB" w:eastAsia="zh-CN"/>
        </w:rPr>
      </w:pPr>
    </w:p>
    <w:tbl>
      <w:tblPr>
        <w:tblStyle w:val="26"/>
        <w:tblpPr w:leftFromText="180" w:rightFromText="180" w:vertAnchor="text" w:tblpX="-598" w:tblpY="1"/>
        <w:tblOverlap w:val="never"/>
        <w:tblW w:w="52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756"/>
        <w:gridCol w:w="1906"/>
        <w:gridCol w:w="2128"/>
        <w:gridCol w:w="2409"/>
      </w:tblGrid>
      <w:tr w14:paraId="6BA2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3" w:type="pct"/>
            <w:tcBorders>
              <w:bottom w:val="single" w:color="auto" w:sz="4" w:space="0"/>
            </w:tcBorders>
            <w:shd w:val="clear" w:color="auto" w:fill="E0E0E0"/>
          </w:tcPr>
          <w:p w14:paraId="5A4D43DE">
            <w:pPr>
              <w:rPr>
                <w:bCs/>
                <w:sz w:val="18"/>
                <w:szCs w:val="18"/>
              </w:rPr>
            </w:pPr>
            <w:r>
              <w:rPr>
                <w:bCs/>
                <w:sz w:val="18"/>
                <w:szCs w:val="18"/>
              </w:rPr>
              <w:t>Property</w:t>
            </w:r>
          </w:p>
        </w:tc>
        <w:tc>
          <w:tcPr>
            <w:tcW w:w="942" w:type="pct"/>
            <w:shd w:val="clear" w:color="auto" w:fill="E0E0E0"/>
          </w:tcPr>
          <w:p w14:paraId="15877499">
            <w:pPr>
              <w:rPr>
                <w:sz w:val="18"/>
                <w:szCs w:val="18"/>
              </w:rPr>
            </w:pPr>
            <w:r>
              <w:rPr>
                <w:sz w:val="18"/>
                <w:szCs w:val="18"/>
              </w:rPr>
              <w:t>Inion Spinal Graft Containment System</w:t>
            </w:r>
          </w:p>
        </w:tc>
        <w:tc>
          <w:tcPr>
            <w:tcW w:w="1022" w:type="pct"/>
            <w:shd w:val="clear" w:color="auto" w:fill="E0E0E0"/>
          </w:tcPr>
          <w:p w14:paraId="20FA2653">
            <w:pPr>
              <w:rPr>
                <w:sz w:val="18"/>
                <w:szCs w:val="18"/>
              </w:rPr>
            </w:pPr>
            <w:r>
              <w:rPr>
                <w:sz w:val="18"/>
                <w:szCs w:val="18"/>
              </w:rPr>
              <w:t>Macropore OS Spinal System (K010911)</w:t>
            </w:r>
          </w:p>
        </w:tc>
        <w:tc>
          <w:tcPr>
            <w:tcW w:w="1141" w:type="pct"/>
            <w:shd w:val="clear" w:color="auto" w:fill="E0E0E0"/>
          </w:tcPr>
          <w:p w14:paraId="6BEBC5B3">
            <w:pPr>
              <w:rPr>
                <w:sz w:val="18"/>
                <w:szCs w:val="18"/>
              </w:rPr>
            </w:pPr>
            <w:r>
              <w:rPr>
                <w:sz w:val="18"/>
                <w:szCs w:val="18"/>
              </w:rPr>
              <w:t xml:space="preserve">MacroPore Hydrosorb Spine System </w:t>
            </w:r>
          </w:p>
          <w:p w14:paraId="6C8C1447">
            <w:pPr>
              <w:rPr>
                <w:sz w:val="18"/>
                <w:szCs w:val="18"/>
              </w:rPr>
            </w:pPr>
            <w:r>
              <w:rPr>
                <w:sz w:val="18"/>
                <w:szCs w:val="18"/>
              </w:rPr>
              <w:t>(K041105)</w:t>
            </w:r>
          </w:p>
        </w:tc>
        <w:tc>
          <w:tcPr>
            <w:tcW w:w="1292" w:type="pct"/>
            <w:shd w:val="clear" w:color="auto" w:fill="E0E0E0"/>
          </w:tcPr>
          <w:p w14:paraId="0294896E">
            <w:pPr>
              <w:ind w:right="-206"/>
              <w:rPr>
                <w:sz w:val="18"/>
                <w:szCs w:val="18"/>
              </w:rPr>
            </w:pPr>
            <w:r>
              <w:rPr>
                <w:sz w:val="18"/>
                <w:szCs w:val="18"/>
              </w:rPr>
              <w:t>Inion S-1</w:t>
            </w:r>
            <w:r>
              <w:rPr>
                <w:sz w:val="18"/>
                <w:szCs w:val="18"/>
                <w:vertAlign w:val="superscript"/>
              </w:rPr>
              <w:t>TM</w:t>
            </w:r>
            <w:r>
              <w:rPr>
                <w:sz w:val="18"/>
                <w:szCs w:val="18"/>
              </w:rPr>
              <w:t xml:space="preserve"> Biodegradable Anterior Cervical Fusion System </w:t>
            </w:r>
          </w:p>
        </w:tc>
      </w:tr>
      <w:tr w14:paraId="2199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9" w:hRule="atLeast"/>
        </w:trPr>
        <w:tc>
          <w:tcPr>
            <w:tcW w:w="603" w:type="pct"/>
            <w:shd w:val="clear" w:color="auto" w:fill="auto"/>
          </w:tcPr>
          <w:p w14:paraId="0B3FE26D">
            <w:pPr>
              <w:rPr>
                <w:b/>
                <w:bCs/>
                <w:sz w:val="18"/>
                <w:szCs w:val="18"/>
              </w:rPr>
            </w:pPr>
            <w:r>
              <w:rPr>
                <w:sz w:val="18"/>
                <w:szCs w:val="18"/>
              </w:rPr>
              <w:t>Intended use</w:t>
            </w:r>
          </w:p>
        </w:tc>
        <w:tc>
          <w:tcPr>
            <w:tcW w:w="942" w:type="pct"/>
          </w:tcPr>
          <w:p w14:paraId="6185A9A1">
            <w:pPr>
              <w:pStyle w:val="16"/>
              <w:spacing w:before="40"/>
              <w:rPr>
                <w:rFonts w:ascii="Calibri" w:hAnsi="Calibri"/>
                <w:sz w:val="18"/>
                <w:szCs w:val="18"/>
              </w:rPr>
            </w:pPr>
            <w:r>
              <w:rPr>
                <w:rFonts w:ascii="Calibri" w:hAnsi="Calibri"/>
                <w:sz w:val="18"/>
                <w:szCs w:val="18"/>
              </w:rPr>
              <w:t>In conjunction with traditional rigid fixation, intended for use in spinal fusion procedures as a means to maintain the relative position of weak bony tissue such as allografts or autografts. The device is not intended for load bearing indications.</w:t>
            </w:r>
          </w:p>
        </w:tc>
        <w:tc>
          <w:tcPr>
            <w:tcW w:w="1022" w:type="pct"/>
          </w:tcPr>
          <w:p w14:paraId="442B6C8A">
            <w:pPr>
              <w:pStyle w:val="16"/>
              <w:spacing w:before="40"/>
              <w:rPr>
                <w:rFonts w:ascii="Calibri" w:hAnsi="Calibri"/>
                <w:sz w:val="18"/>
                <w:szCs w:val="18"/>
              </w:rPr>
            </w:pPr>
            <w:r>
              <w:rPr>
                <w:rFonts w:ascii="Calibri" w:hAnsi="Calibri"/>
                <w:sz w:val="18"/>
                <w:szCs w:val="18"/>
              </w:rPr>
              <w:t>In conjunction with traditional rigid fixation, intended for use in spinal fusion procedures as a means to maintain the relative position of weak bony tissue such as allografts or autografts. The device is not intended for load bearing indications.</w:t>
            </w:r>
          </w:p>
        </w:tc>
        <w:tc>
          <w:tcPr>
            <w:tcW w:w="1141" w:type="pct"/>
          </w:tcPr>
          <w:p w14:paraId="74055F00">
            <w:pPr>
              <w:pStyle w:val="16"/>
              <w:spacing w:before="40"/>
              <w:rPr>
                <w:rFonts w:ascii="Calibri" w:hAnsi="Calibri"/>
                <w:sz w:val="18"/>
                <w:szCs w:val="18"/>
              </w:rPr>
            </w:pPr>
            <w:r>
              <w:rPr>
                <w:rFonts w:ascii="Calibri" w:hAnsi="Calibri"/>
                <w:sz w:val="18"/>
                <w:szCs w:val="18"/>
              </w:rPr>
              <w:t>In conjunction with traditional rigid fixation, intended for use in spinal fusion procedures as a means to maintain the relative position of weak bony tissue such as allografts or autografts. The device is not intended for load bearing indications.</w:t>
            </w:r>
          </w:p>
        </w:tc>
        <w:tc>
          <w:tcPr>
            <w:tcW w:w="1292" w:type="pct"/>
          </w:tcPr>
          <w:p w14:paraId="75EFFC94">
            <w:pPr>
              <w:rPr>
                <w:rFonts w:cs="Arial"/>
                <w:sz w:val="16"/>
                <w:szCs w:val="16"/>
                <w:lang w:eastAsia="fi-FI"/>
              </w:rPr>
            </w:pPr>
            <w:r>
              <w:rPr>
                <w:sz w:val="18"/>
                <w:szCs w:val="18"/>
                <w:lang w:val="en-GB"/>
              </w:rPr>
              <w:t>In conjunction with adjunctive immobilisation (i.e. simultaneous conservative treatment with a collar), is intended for use in anterior cervical discectomy and fusion procedures as a means to maintain the relative position of block bone allografts or autografts. This device is not intended for use in other areas of the spine, and is not for load bearing indications.</w:t>
            </w:r>
          </w:p>
        </w:tc>
      </w:tr>
      <w:tr w14:paraId="2339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603" w:type="pct"/>
            <w:shd w:val="clear" w:color="auto" w:fill="auto"/>
          </w:tcPr>
          <w:p w14:paraId="3B83C84C">
            <w:pPr>
              <w:ind w:right="-108"/>
              <w:rPr>
                <w:sz w:val="18"/>
                <w:szCs w:val="18"/>
              </w:rPr>
            </w:pPr>
            <w:r>
              <w:rPr>
                <w:sz w:val="18"/>
                <w:szCs w:val="18"/>
              </w:rPr>
              <w:t>Screw diameter/ Screw length</w:t>
            </w:r>
          </w:p>
        </w:tc>
        <w:tc>
          <w:tcPr>
            <w:tcW w:w="942" w:type="pct"/>
          </w:tcPr>
          <w:p w14:paraId="3563C0D8">
            <w:pPr>
              <w:ind w:left="44"/>
              <w:rPr>
                <w:bCs/>
                <w:sz w:val="18"/>
                <w:szCs w:val="18"/>
              </w:rPr>
            </w:pPr>
            <w:r>
              <w:rPr>
                <w:bCs/>
                <w:sz w:val="18"/>
                <w:szCs w:val="18"/>
              </w:rPr>
              <w:t>2.5 mm – 6.7 mm</w:t>
            </w:r>
          </w:p>
          <w:p w14:paraId="579B8459">
            <w:pPr>
              <w:ind w:left="44"/>
              <w:rPr>
                <w:bCs/>
                <w:sz w:val="18"/>
                <w:szCs w:val="18"/>
              </w:rPr>
            </w:pPr>
            <w:r>
              <w:rPr>
                <w:bCs/>
                <w:sz w:val="18"/>
                <w:szCs w:val="18"/>
              </w:rPr>
              <w:t>8 mm – 31 mm</w:t>
            </w:r>
          </w:p>
        </w:tc>
        <w:tc>
          <w:tcPr>
            <w:tcW w:w="1022" w:type="pct"/>
          </w:tcPr>
          <w:p w14:paraId="54DFCE09">
            <w:pPr>
              <w:ind w:left="44"/>
              <w:rPr>
                <w:bCs/>
                <w:sz w:val="18"/>
                <w:szCs w:val="18"/>
              </w:rPr>
            </w:pPr>
            <w:r>
              <w:rPr>
                <w:bCs/>
                <w:sz w:val="18"/>
                <w:szCs w:val="18"/>
              </w:rPr>
              <w:t>2.0 mm – 4.8 mm</w:t>
            </w:r>
          </w:p>
          <w:p w14:paraId="15629E80">
            <w:pPr>
              <w:ind w:left="44"/>
              <w:rPr>
                <w:bCs/>
                <w:sz w:val="18"/>
                <w:szCs w:val="18"/>
              </w:rPr>
            </w:pPr>
          </w:p>
        </w:tc>
        <w:tc>
          <w:tcPr>
            <w:tcW w:w="1141" w:type="pct"/>
          </w:tcPr>
          <w:p w14:paraId="7F88A630">
            <w:pPr>
              <w:ind w:left="44"/>
              <w:rPr>
                <w:bCs/>
                <w:sz w:val="18"/>
                <w:szCs w:val="18"/>
              </w:rPr>
            </w:pPr>
            <w:r>
              <w:rPr>
                <w:bCs/>
                <w:sz w:val="18"/>
                <w:szCs w:val="18"/>
              </w:rPr>
              <w:t>2.4 mm – 6.5 mm</w:t>
            </w:r>
          </w:p>
          <w:p w14:paraId="5B935BE0">
            <w:pPr>
              <w:ind w:left="44"/>
              <w:rPr>
                <w:bCs/>
                <w:sz w:val="18"/>
                <w:szCs w:val="18"/>
              </w:rPr>
            </w:pPr>
            <w:r>
              <w:rPr>
                <w:bCs/>
                <w:sz w:val="18"/>
                <w:szCs w:val="18"/>
              </w:rPr>
              <w:t>4 mm – 30 mm</w:t>
            </w:r>
          </w:p>
        </w:tc>
        <w:tc>
          <w:tcPr>
            <w:tcW w:w="1292" w:type="pct"/>
          </w:tcPr>
          <w:p w14:paraId="64E5AA7C">
            <w:pPr>
              <w:ind w:left="44"/>
              <w:rPr>
                <w:bCs/>
                <w:sz w:val="18"/>
                <w:szCs w:val="18"/>
              </w:rPr>
            </w:pPr>
            <w:r>
              <w:rPr>
                <w:bCs/>
                <w:sz w:val="18"/>
                <w:szCs w:val="18"/>
              </w:rPr>
              <w:t>4.5 mm – 5.0 mm</w:t>
            </w:r>
          </w:p>
          <w:p w14:paraId="6DE5A696">
            <w:pPr>
              <w:ind w:left="44"/>
              <w:rPr>
                <w:bCs/>
                <w:color w:val="FF0000"/>
                <w:sz w:val="18"/>
                <w:szCs w:val="18"/>
              </w:rPr>
            </w:pPr>
            <w:r>
              <w:rPr>
                <w:bCs/>
                <w:sz w:val="18"/>
                <w:szCs w:val="18"/>
              </w:rPr>
              <w:t>12 mm – 16 mm</w:t>
            </w:r>
          </w:p>
        </w:tc>
      </w:tr>
      <w:tr w14:paraId="1C8E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603" w:type="pct"/>
            <w:shd w:val="clear" w:color="auto" w:fill="auto"/>
          </w:tcPr>
          <w:p w14:paraId="5BCF1139">
            <w:pPr>
              <w:rPr>
                <w:sz w:val="18"/>
                <w:szCs w:val="18"/>
              </w:rPr>
            </w:pPr>
            <w:r>
              <w:rPr>
                <w:sz w:val="18"/>
                <w:szCs w:val="18"/>
              </w:rPr>
              <w:t>Plate thickness</w:t>
            </w:r>
          </w:p>
          <w:p w14:paraId="4D60BDD8">
            <w:pPr>
              <w:rPr>
                <w:sz w:val="18"/>
                <w:szCs w:val="18"/>
              </w:rPr>
            </w:pPr>
            <w:r>
              <w:rPr>
                <w:sz w:val="18"/>
                <w:szCs w:val="18"/>
              </w:rPr>
              <w:t>Plate size</w:t>
            </w:r>
          </w:p>
        </w:tc>
        <w:tc>
          <w:tcPr>
            <w:tcW w:w="942" w:type="pct"/>
          </w:tcPr>
          <w:p w14:paraId="5483AED6">
            <w:pPr>
              <w:ind w:left="44"/>
              <w:rPr>
                <w:bCs/>
                <w:sz w:val="18"/>
                <w:szCs w:val="18"/>
              </w:rPr>
            </w:pPr>
            <w:r>
              <w:rPr>
                <w:bCs/>
                <w:sz w:val="18"/>
                <w:szCs w:val="18"/>
              </w:rPr>
              <w:t>0.75 – 4.5 mm</w:t>
            </w:r>
          </w:p>
          <w:p w14:paraId="6CA04CF5">
            <w:pPr>
              <w:ind w:left="44"/>
              <w:rPr>
                <w:bCs/>
                <w:sz w:val="18"/>
                <w:szCs w:val="18"/>
              </w:rPr>
            </w:pPr>
            <w:r>
              <w:rPr>
                <w:bCs/>
                <w:sz w:val="18"/>
                <w:szCs w:val="18"/>
              </w:rPr>
              <w:t>21 x 19 – 120 x 80 mm</w:t>
            </w:r>
          </w:p>
        </w:tc>
        <w:tc>
          <w:tcPr>
            <w:tcW w:w="1022" w:type="pct"/>
          </w:tcPr>
          <w:p w14:paraId="34118C0B">
            <w:pPr>
              <w:ind w:left="44"/>
              <w:rPr>
                <w:bCs/>
                <w:sz w:val="18"/>
                <w:szCs w:val="18"/>
              </w:rPr>
            </w:pPr>
            <w:r>
              <w:rPr>
                <w:bCs/>
                <w:sz w:val="18"/>
                <w:szCs w:val="18"/>
              </w:rPr>
              <w:t>0.75 mm – 3.0 mm</w:t>
            </w:r>
          </w:p>
          <w:p w14:paraId="7673272A">
            <w:pPr>
              <w:ind w:left="44" w:right="-187"/>
              <w:rPr>
                <w:bCs/>
                <w:color w:val="FF0000"/>
                <w:sz w:val="18"/>
                <w:szCs w:val="18"/>
              </w:rPr>
            </w:pPr>
            <w:r>
              <w:rPr>
                <w:bCs/>
                <w:sz w:val="18"/>
                <w:szCs w:val="18"/>
              </w:rPr>
              <w:t>50 x 50 – 120 x 120 mm</w:t>
            </w:r>
          </w:p>
        </w:tc>
        <w:tc>
          <w:tcPr>
            <w:tcW w:w="1141" w:type="pct"/>
          </w:tcPr>
          <w:p w14:paraId="356781A2">
            <w:pPr>
              <w:ind w:left="44"/>
              <w:rPr>
                <w:bCs/>
                <w:sz w:val="18"/>
                <w:szCs w:val="18"/>
              </w:rPr>
            </w:pPr>
            <w:r>
              <w:rPr>
                <w:bCs/>
                <w:sz w:val="18"/>
                <w:szCs w:val="18"/>
              </w:rPr>
              <w:t>1.0 – 5.0 mm</w:t>
            </w:r>
          </w:p>
          <w:p w14:paraId="13997CBA">
            <w:pPr>
              <w:ind w:left="44" w:right="-111"/>
              <w:rPr>
                <w:bCs/>
                <w:color w:val="FF0000"/>
                <w:sz w:val="18"/>
                <w:szCs w:val="18"/>
              </w:rPr>
            </w:pPr>
            <w:r>
              <w:rPr>
                <w:bCs/>
                <w:sz w:val="18"/>
                <w:szCs w:val="18"/>
              </w:rPr>
              <w:t>24 x 18 – 100 x 100 mm</w:t>
            </w:r>
          </w:p>
        </w:tc>
        <w:tc>
          <w:tcPr>
            <w:tcW w:w="1292" w:type="pct"/>
          </w:tcPr>
          <w:p w14:paraId="27AD4FAC">
            <w:pPr>
              <w:ind w:left="44"/>
              <w:rPr>
                <w:bCs/>
                <w:sz w:val="18"/>
                <w:szCs w:val="18"/>
              </w:rPr>
            </w:pPr>
            <w:r>
              <w:rPr>
                <w:bCs/>
                <w:sz w:val="18"/>
                <w:szCs w:val="18"/>
              </w:rPr>
              <w:t>0.8 mm – 2.0 mm</w:t>
            </w:r>
          </w:p>
          <w:p w14:paraId="2481BDA3">
            <w:pPr>
              <w:ind w:left="44"/>
              <w:rPr>
                <w:bCs/>
                <w:color w:val="FF0000"/>
                <w:sz w:val="18"/>
                <w:szCs w:val="18"/>
              </w:rPr>
            </w:pPr>
            <w:r>
              <w:rPr>
                <w:bCs/>
                <w:sz w:val="18"/>
                <w:szCs w:val="18"/>
              </w:rPr>
              <w:t>25 x 19 – 31x 19 mm</w:t>
            </w:r>
          </w:p>
        </w:tc>
      </w:tr>
      <w:tr w14:paraId="5592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trPr>
        <w:tc>
          <w:tcPr>
            <w:tcW w:w="603" w:type="pct"/>
            <w:shd w:val="clear" w:color="auto" w:fill="auto"/>
          </w:tcPr>
          <w:p w14:paraId="58AEA61C">
            <w:pPr>
              <w:rPr>
                <w:sz w:val="18"/>
                <w:szCs w:val="18"/>
              </w:rPr>
            </w:pPr>
            <w:r>
              <w:rPr>
                <w:sz w:val="18"/>
                <w:szCs w:val="18"/>
              </w:rPr>
              <w:t>Marker</w:t>
            </w:r>
          </w:p>
          <w:p w14:paraId="3240DA6B">
            <w:pPr>
              <w:rPr>
                <w:sz w:val="18"/>
                <w:szCs w:val="18"/>
              </w:rPr>
            </w:pPr>
          </w:p>
        </w:tc>
        <w:tc>
          <w:tcPr>
            <w:tcW w:w="942" w:type="pct"/>
          </w:tcPr>
          <w:p w14:paraId="06EF974E">
            <w:pPr>
              <w:ind w:left="45"/>
              <w:rPr>
                <w:bCs/>
                <w:sz w:val="18"/>
                <w:szCs w:val="18"/>
              </w:rPr>
            </w:pPr>
            <w:r>
              <w:rPr>
                <w:bCs/>
                <w:sz w:val="18"/>
                <w:szCs w:val="18"/>
              </w:rPr>
              <w:t>Nondegradable Tantalum sphere,</w:t>
            </w:r>
          </w:p>
          <w:p w14:paraId="1605C0C1">
            <w:pPr>
              <w:ind w:left="45"/>
              <w:rPr>
                <w:bCs/>
                <w:sz w:val="18"/>
                <w:szCs w:val="18"/>
              </w:rPr>
            </w:pPr>
            <w:r>
              <w:rPr>
                <w:bCs/>
                <w:sz w:val="18"/>
                <w:szCs w:val="18"/>
              </w:rPr>
              <w:t>diameter:  1.0 mm</w:t>
            </w:r>
          </w:p>
        </w:tc>
        <w:tc>
          <w:tcPr>
            <w:tcW w:w="1022" w:type="pct"/>
          </w:tcPr>
          <w:p w14:paraId="308EDE5F">
            <w:pPr>
              <w:ind w:left="45"/>
              <w:rPr>
                <w:bCs/>
                <w:sz w:val="18"/>
                <w:szCs w:val="18"/>
              </w:rPr>
            </w:pPr>
            <w:r>
              <w:rPr>
                <w:bCs/>
                <w:sz w:val="18"/>
                <w:szCs w:val="18"/>
              </w:rPr>
              <w:t>--</w:t>
            </w:r>
          </w:p>
        </w:tc>
        <w:tc>
          <w:tcPr>
            <w:tcW w:w="1141" w:type="pct"/>
          </w:tcPr>
          <w:p w14:paraId="1ED7BE12">
            <w:pPr>
              <w:ind w:left="45"/>
              <w:rPr>
                <w:bCs/>
                <w:sz w:val="18"/>
                <w:szCs w:val="18"/>
              </w:rPr>
            </w:pPr>
            <w:r>
              <w:rPr>
                <w:bCs/>
                <w:sz w:val="18"/>
                <w:szCs w:val="18"/>
              </w:rPr>
              <w:t xml:space="preserve">Nondegradable </w:t>
            </w:r>
          </w:p>
          <w:p w14:paraId="325A8B2B">
            <w:pPr>
              <w:ind w:left="45"/>
              <w:rPr>
                <w:bCs/>
                <w:sz w:val="18"/>
                <w:szCs w:val="18"/>
              </w:rPr>
            </w:pPr>
            <w:r>
              <w:rPr>
                <w:bCs/>
                <w:sz w:val="18"/>
                <w:szCs w:val="18"/>
              </w:rPr>
              <w:t>Barium sulphate bead, diameter: 0.5 – 2.0 mm</w:t>
            </w:r>
          </w:p>
        </w:tc>
        <w:tc>
          <w:tcPr>
            <w:tcW w:w="1292" w:type="pct"/>
          </w:tcPr>
          <w:p w14:paraId="1F056807">
            <w:pPr>
              <w:ind w:left="45"/>
              <w:rPr>
                <w:bCs/>
                <w:sz w:val="18"/>
                <w:szCs w:val="18"/>
              </w:rPr>
            </w:pPr>
            <w:r>
              <w:rPr>
                <w:bCs/>
                <w:sz w:val="18"/>
                <w:szCs w:val="18"/>
              </w:rPr>
              <w:t>---</w:t>
            </w:r>
          </w:p>
        </w:tc>
      </w:tr>
      <w:tr w14:paraId="73C3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0" w:hRule="atLeast"/>
        </w:trPr>
        <w:tc>
          <w:tcPr>
            <w:tcW w:w="603" w:type="pct"/>
            <w:shd w:val="clear" w:color="auto" w:fill="auto"/>
          </w:tcPr>
          <w:p w14:paraId="782EDFC7">
            <w:pPr>
              <w:rPr>
                <w:sz w:val="18"/>
                <w:szCs w:val="18"/>
              </w:rPr>
            </w:pPr>
            <w:r>
              <w:rPr>
                <w:sz w:val="18"/>
                <w:szCs w:val="18"/>
              </w:rPr>
              <w:t>Polymeric Material</w:t>
            </w:r>
          </w:p>
        </w:tc>
        <w:tc>
          <w:tcPr>
            <w:tcW w:w="942" w:type="pct"/>
          </w:tcPr>
          <w:p w14:paraId="01F0D7CD">
            <w:pPr>
              <w:ind w:left="45"/>
              <w:rPr>
                <w:bCs/>
                <w:sz w:val="18"/>
                <w:szCs w:val="18"/>
              </w:rPr>
            </w:pPr>
            <w:r>
              <w:rPr>
                <w:sz w:val="18"/>
                <w:szCs w:val="18"/>
              </w:rPr>
              <w:t>P(L/DL)LA</w:t>
            </w:r>
          </w:p>
        </w:tc>
        <w:tc>
          <w:tcPr>
            <w:tcW w:w="1022" w:type="pct"/>
          </w:tcPr>
          <w:p w14:paraId="5A76C8AA">
            <w:pPr>
              <w:ind w:left="45"/>
              <w:rPr>
                <w:bCs/>
                <w:sz w:val="18"/>
                <w:szCs w:val="18"/>
              </w:rPr>
            </w:pPr>
            <w:r>
              <w:rPr>
                <w:sz w:val="18"/>
                <w:szCs w:val="18"/>
              </w:rPr>
              <w:t>P(L/DL)LA</w:t>
            </w:r>
          </w:p>
        </w:tc>
        <w:tc>
          <w:tcPr>
            <w:tcW w:w="1141" w:type="pct"/>
          </w:tcPr>
          <w:p w14:paraId="4E7B210C">
            <w:pPr>
              <w:ind w:left="45"/>
              <w:rPr>
                <w:bCs/>
                <w:sz w:val="18"/>
                <w:szCs w:val="18"/>
              </w:rPr>
            </w:pPr>
            <w:r>
              <w:rPr>
                <w:sz w:val="18"/>
                <w:szCs w:val="18"/>
              </w:rPr>
              <w:t>P(L/DL)LA</w:t>
            </w:r>
          </w:p>
        </w:tc>
        <w:tc>
          <w:tcPr>
            <w:tcW w:w="1292" w:type="pct"/>
          </w:tcPr>
          <w:p w14:paraId="038B03D9">
            <w:pPr>
              <w:ind w:left="45"/>
              <w:rPr>
                <w:bCs/>
                <w:sz w:val="18"/>
                <w:szCs w:val="18"/>
              </w:rPr>
            </w:pPr>
            <w:r>
              <w:rPr>
                <w:sz w:val="18"/>
                <w:szCs w:val="18"/>
              </w:rPr>
              <w:t xml:space="preserve">P(L/DL)LA </w:t>
            </w:r>
          </w:p>
        </w:tc>
      </w:tr>
      <w:tr w14:paraId="1EFB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1" w:hRule="atLeast"/>
        </w:trPr>
        <w:tc>
          <w:tcPr>
            <w:tcW w:w="603" w:type="pct"/>
            <w:shd w:val="clear" w:color="auto" w:fill="auto"/>
          </w:tcPr>
          <w:p w14:paraId="00A42329">
            <w:pPr>
              <w:rPr>
                <w:sz w:val="18"/>
                <w:szCs w:val="18"/>
              </w:rPr>
            </w:pPr>
            <w:r>
              <w:rPr>
                <w:sz w:val="18"/>
                <w:szCs w:val="18"/>
              </w:rPr>
              <w:t xml:space="preserve">Degradation </w:t>
            </w:r>
          </w:p>
        </w:tc>
        <w:tc>
          <w:tcPr>
            <w:tcW w:w="942" w:type="pct"/>
          </w:tcPr>
          <w:p w14:paraId="482E0A9D">
            <w:pPr>
              <w:ind w:left="45"/>
              <w:rPr>
                <w:sz w:val="18"/>
                <w:szCs w:val="18"/>
              </w:rPr>
            </w:pPr>
            <w:r>
              <w:rPr>
                <w:rFonts w:eastAsia="Batang"/>
                <w:color w:val="000000"/>
                <w:sz w:val="18"/>
                <w:szCs w:val="18"/>
                <w:lang w:eastAsia="ko-KR"/>
              </w:rPr>
              <w:t>The implants retain most of initial strength 16 weeks and gradually lose strength thereafter. Bioresorption takes place within two to four years.</w:t>
            </w:r>
          </w:p>
        </w:tc>
        <w:tc>
          <w:tcPr>
            <w:tcW w:w="1022" w:type="pct"/>
          </w:tcPr>
          <w:p w14:paraId="1A8F802A">
            <w:pPr>
              <w:ind w:left="45"/>
              <w:rPr>
                <w:sz w:val="18"/>
                <w:szCs w:val="18"/>
              </w:rPr>
            </w:pPr>
            <w:r>
              <w:rPr>
                <w:sz w:val="18"/>
                <w:szCs w:val="18"/>
              </w:rPr>
              <w:t>Retains approximately 80% of initial strength for 12 weeks, 60% at 6 months</w:t>
            </w:r>
          </w:p>
        </w:tc>
        <w:tc>
          <w:tcPr>
            <w:tcW w:w="1141" w:type="pct"/>
          </w:tcPr>
          <w:p w14:paraId="79A63A4F">
            <w:pPr>
              <w:ind w:left="45"/>
              <w:rPr>
                <w:sz w:val="18"/>
                <w:szCs w:val="18"/>
              </w:rPr>
            </w:pPr>
            <w:r>
              <w:rPr>
                <w:sz w:val="18"/>
                <w:szCs w:val="18"/>
              </w:rPr>
              <w:t>Retains approximately 80% of initial strength for 12 weeks, 60% at 6 months</w:t>
            </w:r>
          </w:p>
        </w:tc>
        <w:tc>
          <w:tcPr>
            <w:tcW w:w="1292" w:type="pct"/>
          </w:tcPr>
          <w:p w14:paraId="74BD9046">
            <w:pPr>
              <w:ind w:left="45"/>
              <w:rPr>
                <w:sz w:val="18"/>
                <w:szCs w:val="18"/>
              </w:rPr>
            </w:pPr>
            <w:r>
              <w:rPr>
                <w:rFonts w:eastAsia="Batang"/>
                <w:color w:val="000000"/>
                <w:sz w:val="18"/>
                <w:szCs w:val="18"/>
                <w:lang w:eastAsia="ko-KR"/>
              </w:rPr>
              <w:t>The implants retain most of initial strength 16 weeks and gradually lose strength thereafter. Bioresorption takes place within two to four years.</w:t>
            </w:r>
          </w:p>
        </w:tc>
      </w:tr>
      <w:tr w14:paraId="06A6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03" w:type="pct"/>
            <w:shd w:val="clear" w:color="auto" w:fill="auto"/>
          </w:tcPr>
          <w:p w14:paraId="600C84A3">
            <w:pPr>
              <w:rPr>
                <w:sz w:val="18"/>
                <w:szCs w:val="18"/>
              </w:rPr>
            </w:pPr>
            <w:r>
              <w:rPr>
                <w:sz w:val="18"/>
                <w:szCs w:val="18"/>
              </w:rPr>
              <w:t xml:space="preserve">Sterilization </w:t>
            </w:r>
          </w:p>
        </w:tc>
        <w:tc>
          <w:tcPr>
            <w:tcW w:w="942" w:type="pct"/>
          </w:tcPr>
          <w:p w14:paraId="748642B8">
            <w:pPr>
              <w:spacing w:before="40"/>
              <w:ind w:left="44"/>
              <w:rPr>
                <w:bCs/>
                <w:sz w:val="18"/>
                <w:szCs w:val="18"/>
              </w:rPr>
            </w:pPr>
            <w:r>
              <w:rPr>
                <w:bCs/>
                <w:sz w:val="18"/>
                <w:szCs w:val="18"/>
              </w:rPr>
              <w:t>gamma irradiation</w:t>
            </w:r>
          </w:p>
        </w:tc>
        <w:tc>
          <w:tcPr>
            <w:tcW w:w="1022" w:type="pct"/>
          </w:tcPr>
          <w:p w14:paraId="77DAACFE">
            <w:pPr>
              <w:spacing w:before="40"/>
              <w:ind w:left="44"/>
              <w:rPr>
                <w:bCs/>
                <w:sz w:val="18"/>
                <w:szCs w:val="18"/>
              </w:rPr>
            </w:pPr>
            <w:r>
              <w:rPr>
                <w:bCs/>
                <w:sz w:val="18"/>
                <w:szCs w:val="18"/>
              </w:rPr>
              <w:t>gamma irradiation</w:t>
            </w:r>
          </w:p>
        </w:tc>
        <w:tc>
          <w:tcPr>
            <w:tcW w:w="1141" w:type="pct"/>
          </w:tcPr>
          <w:p w14:paraId="1014427B">
            <w:pPr>
              <w:spacing w:before="40"/>
              <w:ind w:left="44"/>
              <w:rPr>
                <w:bCs/>
                <w:sz w:val="18"/>
                <w:szCs w:val="18"/>
              </w:rPr>
            </w:pPr>
            <w:r>
              <w:rPr>
                <w:bCs/>
                <w:sz w:val="18"/>
                <w:szCs w:val="18"/>
              </w:rPr>
              <w:t>gamma irradiation</w:t>
            </w:r>
          </w:p>
        </w:tc>
        <w:tc>
          <w:tcPr>
            <w:tcW w:w="1292" w:type="pct"/>
          </w:tcPr>
          <w:p w14:paraId="6E7062C3">
            <w:pPr>
              <w:spacing w:before="40"/>
              <w:ind w:left="44"/>
              <w:rPr>
                <w:bCs/>
                <w:sz w:val="18"/>
                <w:szCs w:val="18"/>
              </w:rPr>
            </w:pPr>
            <w:r>
              <w:rPr>
                <w:bCs/>
                <w:sz w:val="18"/>
                <w:szCs w:val="18"/>
              </w:rPr>
              <w:t>gamma irradiation</w:t>
            </w:r>
          </w:p>
        </w:tc>
      </w:tr>
    </w:tbl>
    <w:p w14:paraId="4D2C6898">
      <w:pPr>
        <w:jc w:val="both"/>
        <w:rPr>
          <w:strike/>
        </w:rPr>
        <w:sectPr>
          <w:pgSz w:w="12240" w:h="15840"/>
          <w:pgMar w:top="1440" w:right="1797" w:bottom="1440" w:left="1797" w:header="709" w:footer="709" w:gutter="0"/>
          <w:cols w:space="708" w:num="1"/>
          <w:titlePg/>
          <w:docGrid w:linePitch="360" w:charSpace="0"/>
        </w:sectPr>
      </w:pPr>
    </w:p>
    <w:p w14:paraId="13FD2389">
      <w:pPr>
        <w:jc w:val="both"/>
      </w:pPr>
    </w:p>
    <w:p w14:paraId="71E80ED4">
      <w:pPr>
        <w:pStyle w:val="2"/>
      </w:pPr>
      <w:bookmarkStart w:id="32" w:name="_Toc459195980"/>
      <w:bookmarkStart w:id="33" w:name="_Toc480979557"/>
      <w:r>
        <w:t>Identification of relevant clinical data</w:t>
      </w:r>
      <w:bookmarkEnd w:id="32"/>
      <w:bookmarkEnd w:id="33"/>
    </w:p>
    <w:p w14:paraId="66FA4BA8"/>
    <w:p w14:paraId="35EE8575">
      <w:pPr>
        <w:jc w:val="both"/>
      </w:pPr>
      <w:r>
        <w:t>The purpose of this clinical evaluation is to identify and evaluate sufficient clinical data from published clinical studies and scientific literature, to demonstrate the safety and performance of the Inion Spinal Graft Containment in their intended use. In case sufficient clinical data is available on the devices themselves, data search is not needed to be extended to equivalent devices (see Table 7).</w:t>
      </w:r>
    </w:p>
    <w:p w14:paraId="2B274258">
      <w:pPr>
        <w:jc w:val="both"/>
      </w:pPr>
    </w:p>
    <w:p w14:paraId="39C8C4C2">
      <w:pPr>
        <w:jc w:val="both"/>
        <w:rPr>
          <w:lang w:eastAsia="zh-CN"/>
        </w:rPr>
      </w:pPr>
      <w:r>
        <w:rPr>
          <w:lang w:eastAsia="zh-CN"/>
        </w:rPr>
        <w:t>In addition, t</w:t>
      </w:r>
      <w:r>
        <w:rPr>
          <w:rFonts w:hint="eastAsia"/>
          <w:lang w:eastAsia="zh-CN"/>
        </w:rPr>
        <w:t xml:space="preserve">he </w:t>
      </w:r>
      <w:r>
        <w:rPr>
          <w:lang w:eastAsia="zh-CN"/>
        </w:rPr>
        <w:t xml:space="preserve">post-market </w:t>
      </w:r>
      <w:r>
        <w:rPr>
          <w:rFonts w:hint="eastAsia"/>
          <w:lang w:eastAsia="zh-CN"/>
        </w:rPr>
        <w:t>data</w:t>
      </w:r>
      <w:r>
        <w:rPr>
          <w:lang w:eastAsia="zh-CN"/>
        </w:rPr>
        <w:t xml:space="preserve"> of </w:t>
      </w:r>
      <w:r>
        <w:t xml:space="preserve">Inion Spinal Graft Containment System™ </w:t>
      </w:r>
      <w:r>
        <w:rPr>
          <w:lang w:eastAsia="zh-CN"/>
        </w:rPr>
        <w:t>is identified</w:t>
      </w:r>
      <w:r>
        <w:rPr>
          <w:rFonts w:hint="eastAsia"/>
          <w:lang w:eastAsia="zh-CN"/>
        </w:rPr>
        <w:t xml:space="preserve">, </w:t>
      </w:r>
      <w:r>
        <w:rPr>
          <w:lang w:eastAsia="zh-CN"/>
        </w:rPr>
        <w:t>appraised, and analyzed.</w:t>
      </w:r>
    </w:p>
    <w:p w14:paraId="4F8D31F9">
      <w:pPr>
        <w:jc w:val="both"/>
        <w:rPr>
          <w:i/>
        </w:rPr>
      </w:pPr>
    </w:p>
    <w:p w14:paraId="71B4FE10">
      <w:pPr>
        <w:jc w:val="both"/>
        <w:rPr>
          <w:i/>
          <w:lang w:eastAsia="fi-FI"/>
        </w:rPr>
      </w:pPr>
      <w:r>
        <w:rPr>
          <w:lang w:eastAsia="fi-FI"/>
        </w:rPr>
        <w:t>The clinical data search, appraisal and analysis were performed according to the following procedure presented in Picture</w:t>
      </w:r>
      <w:r>
        <w:rPr>
          <w:i/>
          <w:lang w:eastAsia="fi-FI"/>
        </w:rPr>
        <w:t xml:space="preserve"> </w:t>
      </w:r>
      <w:r>
        <w:rPr>
          <w:lang w:eastAsia="fi-FI"/>
        </w:rPr>
        <w:t>3</w:t>
      </w:r>
      <w:r>
        <w:rPr>
          <w:i/>
          <w:lang w:eastAsia="fi-FI"/>
        </w:rPr>
        <w:t>.</w:t>
      </w:r>
    </w:p>
    <w:p w14:paraId="26DED815">
      <w:pPr>
        <w:jc w:val="both"/>
        <w:rPr>
          <w:color w:val="FF0000"/>
          <w:lang w:eastAsia="fi-FI"/>
        </w:rPr>
      </w:pPr>
    </w:p>
    <w:p w14:paraId="3E91F2A5">
      <w:pPr>
        <w:ind w:left="-709"/>
        <w:rPr>
          <w:lang w:val="fi-FI" w:eastAsia="fi-FI"/>
        </w:rPr>
      </w:pPr>
      <w:r>
        <w:rPr>
          <w:lang w:eastAsia="zh-CN"/>
        </w:rPr>
        <w:drawing>
          <wp:inline distT="0" distB="0" distL="0" distR="0">
            <wp:extent cx="5981700" cy="110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81700" cy="1104900"/>
                    </a:xfrm>
                    <a:prstGeom prst="rect">
                      <a:avLst/>
                    </a:prstGeom>
                    <a:noFill/>
                    <a:ln>
                      <a:noFill/>
                    </a:ln>
                  </pic:spPr>
                </pic:pic>
              </a:graphicData>
            </a:graphic>
          </wp:inline>
        </w:drawing>
      </w:r>
    </w:p>
    <w:p w14:paraId="5982934D">
      <w:pPr>
        <w:pStyle w:val="11"/>
        <w:jc w:val="both"/>
        <w:rPr>
          <w:b w:val="0"/>
          <w:bCs w:val="0"/>
          <w:sz w:val="24"/>
          <w:szCs w:val="24"/>
          <w:lang w:eastAsia="fi-FI"/>
        </w:rPr>
      </w:pPr>
      <w:r>
        <w:rPr>
          <w:b w:val="0"/>
          <w:bCs w:val="0"/>
          <w:sz w:val="24"/>
          <w:szCs w:val="24"/>
          <w:lang w:eastAsia="fi-FI"/>
        </w:rPr>
        <w:t>Picture 3. Literature search, appraisal and analysis procedure</w:t>
      </w:r>
    </w:p>
    <w:p w14:paraId="59F00098">
      <w:pPr>
        <w:rPr>
          <w:i/>
          <w:color w:val="FF0000"/>
          <w:lang w:eastAsia="fi-FI"/>
        </w:rPr>
      </w:pPr>
    </w:p>
    <w:p w14:paraId="348B4775">
      <w:pPr>
        <w:pStyle w:val="3"/>
        <w:rPr>
          <w:lang w:eastAsia="fi-FI"/>
        </w:rPr>
      </w:pPr>
      <w:bookmarkStart w:id="34" w:name="_Toc480979558"/>
      <w:bookmarkStart w:id="35" w:name="_Toc459195982"/>
      <w:r>
        <w:rPr>
          <w:lang w:eastAsia="fi-FI"/>
        </w:rPr>
        <w:t>Literature search strategy</w:t>
      </w:r>
      <w:bookmarkEnd w:id="34"/>
      <w:bookmarkEnd w:id="35"/>
    </w:p>
    <w:p w14:paraId="15E0F9F6">
      <w:pPr>
        <w:autoSpaceDE w:val="0"/>
        <w:autoSpaceDN w:val="0"/>
        <w:adjustRightInd w:val="0"/>
        <w:jc w:val="both"/>
        <w:rPr>
          <w:lang w:eastAsia="fi-FI"/>
        </w:rPr>
      </w:pPr>
      <w:r>
        <w:rPr>
          <w:lang w:eastAsia="fi-FI"/>
        </w:rPr>
        <w:t>The following scientific databases were chosen as literature search sources:</w:t>
      </w:r>
    </w:p>
    <w:p w14:paraId="37E6D27C">
      <w:pPr>
        <w:autoSpaceDE w:val="0"/>
        <w:autoSpaceDN w:val="0"/>
        <w:adjustRightInd w:val="0"/>
        <w:jc w:val="both"/>
        <w:rPr>
          <w:lang w:eastAsia="fi-FI"/>
        </w:rPr>
      </w:pPr>
    </w:p>
    <w:p w14:paraId="2490FBC4">
      <w:pPr>
        <w:numPr>
          <w:ilvl w:val="0"/>
          <w:numId w:val="5"/>
        </w:numPr>
        <w:autoSpaceDE w:val="0"/>
        <w:autoSpaceDN w:val="0"/>
        <w:adjustRightInd w:val="0"/>
        <w:jc w:val="both"/>
      </w:pPr>
      <w:r>
        <w:rPr>
          <w:lang w:eastAsia="fi-FI"/>
        </w:rPr>
        <w:t>Pubmed</w:t>
      </w:r>
    </w:p>
    <w:p w14:paraId="172AA120">
      <w:pPr>
        <w:numPr>
          <w:ilvl w:val="0"/>
          <w:numId w:val="5"/>
        </w:numPr>
        <w:autoSpaceDE w:val="0"/>
        <w:autoSpaceDN w:val="0"/>
        <w:adjustRightInd w:val="0"/>
        <w:jc w:val="both"/>
      </w:pPr>
      <w:r>
        <w:rPr>
          <w:lang w:eastAsia="fi-FI"/>
        </w:rPr>
        <w:t>ScienceDirect</w:t>
      </w:r>
    </w:p>
    <w:p w14:paraId="6676AE0F">
      <w:pPr>
        <w:numPr>
          <w:ilvl w:val="0"/>
          <w:numId w:val="5"/>
        </w:numPr>
        <w:autoSpaceDE w:val="0"/>
        <w:autoSpaceDN w:val="0"/>
        <w:adjustRightInd w:val="0"/>
        <w:jc w:val="both"/>
        <w:rPr>
          <w:i/>
          <w:lang w:eastAsia="fi-FI"/>
        </w:rPr>
      </w:pPr>
      <w:r>
        <w:t xml:space="preserve">Embase </w:t>
      </w:r>
    </w:p>
    <w:p w14:paraId="4F540566">
      <w:pPr>
        <w:numPr>
          <w:ilvl w:val="0"/>
          <w:numId w:val="5"/>
        </w:numPr>
        <w:autoSpaceDE w:val="0"/>
        <w:autoSpaceDN w:val="0"/>
        <w:adjustRightInd w:val="0"/>
        <w:jc w:val="both"/>
        <w:rPr>
          <w:i/>
          <w:lang w:eastAsia="fi-FI"/>
        </w:rPr>
      </w:pPr>
      <w:r>
        <w:t>Cochrane CENTRAL</w:t>
      </w:r>
    </w:p>
    <w:p w14:paraId="730980F8">
      <w:pPr>
        <w:autoSpaceDE w:val="0"/>
        <w:autoSpaceDN w:val="0"/>
        <w:adjustRightInd w:val="0"/>
        <w:jc w:val="both"/>
        <w:rPr>
          <w:i/>
          <w:lang w:eastAsia="fi-FI"/>
        </w:rPr>
      </w:pPr>
    </w:p>
    <w:p w14:paraId="398C9DE9">
      <w:pPr>
        <w:autoSpaceDE w:val="0"/>
        <w:autoSpaceDN w:val="0"/>
        <w:adjustRightInd w:val="0"/>
        <w:jc w:val="both"/>
        <w:rPr>
          <w:lang w:eastAsia="zh-CN"/>
        </w:rPr>
      </w:pPr>
      <w:r>
        <w:rPr>
          <w:lang w:eastAsia="zh-CN"/>
        </w:rPr>
        <w:t>In addition, clinical data was searched from</w:t>
      </w:r>
    </w:p>
    <w:p w14:paraId="0EE64869">
      <w:pPr>
        <w:autoSpaceDE w:val="0"/>
        <w:autoSpaceDN w:val="0"/>
        <w:adjustRightInd w:val="0"/>
        <w:jc w:val="both"/>
        <w:rPr>
          <w:lang w:eastAsia="zh-CN"/>
        </w:rPr>
      </w:pPr>
    </w:p>
    <w:p w14:paraId="71FF0ADA">
      <w:pPr>
        <w:numPr>
          <w:ilvl w:val="0"/>
          <w:numId w:val="6"/>
        </w:numPr>
        <w:autoSpaceDE w:val="0"/>
        <w:autoSpaceDN w:val="0"/>
        <w:adjustRightInd w:val="0"/>
        <w:jc w:val="both"/>
        <w:rPr>
          <w:lang w:eastAsia="zh-CN"/>
        </w:rPr>
      </w:pPr>
      <w:r>
        <w:rPr>
          <w:lang w:eastAsia="zh-CN"/>
        </w:rPr>
        <w:t xml:space="preserve">Clinicaltrials.gov </w:t>
      </w:r>
    </w:p>
    <w:p w14:paraId="7CAD4B32">
      <w:pPr>
        <w:numPr>
          <w:ilvl w:val="0"/>
          <w:numId w:val="6"/>
        </w:numPr>
        <w:autoSpaceDE w:val="0"/>
        <w:autoSpaceDN w:val="0"/>
        <w:adjustRightInd w:val="0"/>
        <w:jc w:val="both"/>
        <w:rPr>
          <w:lang w:eastAsia="zh-CN"/>
        </w:rPr>
      </w:pPr>
      <w:r>
        <w:rPr>
          <w:lang w:eastAsia="zh-CN"/>
        </w:rPr>
        <w:t>WHO ICTRP</w:t>
      </w:r>
    </w:p>
    <w:p w14:paraId="3453FD7C">
      <w:pPr>
        <w:numPr>
          <w:ilvl w:val="0"/>
          <w:numId w:val="6"/>
        </w:numPr>
        <w:autoSpaceDE w:val="0"/>
        <w:autoSpaceDN w:val="0"/>
        <w:adjustRightInd w:val="0"/>
        <w:jc w:val="both"/>
        <w:rPr>
          <w:color w:val="000000"/>
          <w:lang w:eastAsia="zh-CN"/>
        </w:rPr>
      </w:pPr>
      <w:r>
        <w:rPr>
          <w:rFonts w:hint="eastAsia"/>
          <w:color w:val="000000"/>
          <w:lang w:eastAsia="zh-CN"/>
        </w:rPr>
        <w:t>Citations</w:t>
      </w:r>
      <w:r>
        <w:rPr>
          <w:color w:val="000000"/>
          <w:lang w:eastAsia="zh-CN"/>
        </w:rPr>
        <w:t xml:space="preserve"> referenced in the searched literature</w:t>
      </w:r>
    </w:p>
    <w:p w14:paraId="6A75272C">
      <w:pPr>
        <w:numPr>
          <w:ilvl w:val="0"/>
          <w:numId w:val="6"/>
        </w:numPr>
        <w:autoSpaceDE w:val="0"/>
        <w:autoSpaceDN w:val="0"/>
        <w:adjustRightInd w:val="0"/>
        <w:jc w:val="both"/>
        <w:rPr>
          <w:color w:val="000000"/>
          <w:lang w:eastAsia="zh-CN"/>
        </w:rPr>
      </w:pPr>
      <w:r>
        <w:rPr>
          <w:color w:val="000000"/>
          <w:lang w:eastAsia="zh-CN"/>
        </w:rPr>
        <w:t xml:space="preserve">Articles identified in previous </w:t>
      </w:r>
      <w:r>
        <w:t>Inion Spinal Graft Containment System™</w:t>
      </w:r>
      <w:r>
        <w:rPr>
          <w:color w:val="000000"/>
          <w:lang w:eastAsia="zh-CN"/>
        </w:rPr>
        <w:t xml:space="preserve"> clinical evaluation literature searches</w:t>
      </w:r>
    </w:p>
    <w:p w14:paraId="5D9CB6CA">
      <w:pPr>
        <w:autoSpaceDE w:val="0"/>
        <w:autoSpaceDN w:val="0"/>
        <w:adjustRightInd w:val="0"/>
        <w:jc w:val="both"/>
        <w:rPr>
          <w:i/>
          <w:lang w:eastAsia="fi-FI"/>
        </w:rPr>
      </w:pPr>
    </w:p>
    <w:p w14:paraId="00E1E5F8">
      <w:pPr>
        <w:autoSpaceDE w:val="0"/>
        <w:autoSpaceDN w:val="0"/>
        <w:adjustRightInd w:val="0"/>
        <w:jc w:val="both"/>
        <w:rPr>
          <w:lang w:eastAsia="zh-CN"/>
        </w:rPr>
      </w:pPr>
      <w:r>
        <w:t xml:space="preserve">Furthermore, adverse event data was searched from FDA Manufacturer and User Facility Device Experience (MAUDE) </w:t>
      </w:r>
      <w:r>
        <w:rPr>
          <w:rFonts w:hint="eastAsia"/>
          <w:lang w:eastAsia="zh-CN"/>
        </w:rPr>
        <w:t xml:space="preserve">and </w:t>
      </w:r>
      <w:r>
        <w:rPr>
          <w:rFonts w:hint="eastAsia"/>
          <w:lang w:eastAsia="fi-FI"/>
        </w:rPr>
        <w:t>Total Product Life Cycle (TPLC)</w:t>
      </w:r>
      <w:r>
        <w:rPr>
          <w:rFonts w:hint="eastAsia"/>
          <w:color w:val="3333FF"/>
          <w:lang w:eastAsia="fi-FI"/>
        </w:rPr>
        <w:t xml:space="preserve"> </w:t>
      </w:r>
      <w:r>
        <w:t>database</w:t>
      </w:r>
      <w:r>
        <w:rPr>
          <w:rFonts w:hint="eastAsia"/>
          <w:lang w:eastAsia="zh-CN"/>
        </w:rPr>
        <w:t>s</w:t>
      </w:r>
      <w:r>
        <w:rPr>
          <w:lang w:eastAsia="zh-CN"/>
        </w:rPr>
        <w:t>.</w:t>
      </w:r>
    </w:p>
    <w:p w14:paraId="04F35C08">
      <w:pPr>
        <w:pStyle w:val="4"/>
        <w:jc w:val="both"/>
        <w:rPr>
          <w:lang w:eastAsia="fi-FI"/>
        </w:rPr>
      </w:pPr>
      <w:bookmarkStart w:id="36" w:name="_Toc471299984"/>
      <w:bookmarkStart w:id="37" w:name="_Toc480979559"/>
      <w:r>
        <w:rPr>
          <w:lang w:eastAsia="fi-FI"/>
        </w:rPr>
        <w:t>Clinical literature search</w:t>
      </w:r>
      <w:bookmarkEnd w:id="36"/>
      <w:bookmarkEnd w:id="37"/>
    </w:p>
    <w:p w14:paraId="1A3422FB">
      <w:pPr>
        <w:jc w:val="both"/>
      </w:pPr>
      <w:r>
        <w:t>The search queries and search parameters used for literature search in different databases and additional clinical data sources are summarized in Table 8:</w:t>
      </w:r>
    </w:p>
    <w:p w14:paraId="69DC4425">
      <w:pPr>
        <w:jc w:val="both"/>
      </w:pPr>
    </w:p>
    <w:p w14:paraId="0C950FEB">
      <w:pPr>
        <w:pStyle w:val="14"/>
        <w:ind w:right="-1"/>
        <w:jc w:val="both"/>
        <w:rPr>
          <w:rFonts w:ascii="Calibri" w:hAnsi="Calibri"/>
        </w:rPr>
      </w:pPr>
      <w:bookmarkStart w:id="38" w:name="_Toc471300022"/>
      <w:bookmarkStart w:id="39" w:name="_Toc480979587"/>
      <w:r>
        <w:rPr>
          <w:rFonts w:ascii="Calibri" w:hAnsi="Calibri"/>
        </w:rPr>
        <w:t>Table 8. Search queries and search parameters used for literature search in different databases and additional clinical data sources.</w:t>
      </w:r>
      <w:bookmarkEnd w:id="38"/>
      <w:bookmarkEnd w:id="39"/>
    </w:p>
    <w:p w14:paraId="45FBDB33">
      <w:pPr>
        <w:rPr>
          <w:lang w:val="en-GB"/>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573"/>
        <w:gridCol w:w="1257"/>
        <w:gridCol w:w="1159"/>
        <w:gridCol w:w="881"/>
        <w:gridCol w:w="947"/>
        <w:gridCol w:w="947"/>
        <w:gridCol w:w="969"/>
      </w:tblGrid>
      <w:tr w14:paraId="415E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F2F2F2"/>
          </w:tcPr>
          <w:p w14:paraId="0573B5CA">
            <w:pPr>
              <w:jc w:val="both"/>
              <w:rPr>
                <w:b/>
                <w:sz w:val="20"/>
                <w:szCs w:val="20"/>
              </w:rPr>
            </w:pPr>
            <w:r>
              <w:rPr>
                <w:b/>
                <w:sz w:val="20"/>
                <w:szCs w:val="20"/>
              </w:rPr>
              <w:t>Database</w:t>
            </w:r>
          </w:p>
        </w:tc>
        <w:tc>
          <w:tcPr>
            <w:tcW w:w="768" w:type="pct"/>
            <w:shd w:val="clear" w:color="auto" w:fill="F2F2F2"/>
          </w:tcPr>
          <w:p w14:paraId="46189832">
            <w:pPr>
              <w:jc w:val="both"/>
              <w:rPr>
                <w:b/>
                <w:sz w:val="20"/>
                <w:szCs w:val="20"/>
              </w:rPr>
            </w:pPr>
            <w:r>
              <w:rPr>
                <w:b/>
                <w:sz w:val="20"/>
                <w:szCs w:val="20"/>
              </w:rPr>
              <w:t>Search query</w:t>
            </w:r>
          </w:p>
        </w:tc>
        <w:tc>
          <w:tcPr>
            <w:tcW w:w="976" w:type="pct"/>
            <w:shd w:val="clear" w:color="auto" w:fill="F2F2F2"/>
          </w:tcPr>
          <w:p w14:paraId="5F3426F1">
            <w:pPr>
              <w:jc w:val="both"/>
              <w:rPr>
                <w:b/>
                <w:sz w:val="20"/>
                <w:szCs w:val="20"/>
              </w:rPr>
            </w:pPr>
            <w:r>
              <w:rPr>
                <w:b/>
                <w:sz w:val="20"/>
                <w:szCs w:val="20"/>
              </w:rPr>
              <w:t>Search timeframe</w:t>
            </w:r>
          </w:p>
        </w:tc>
        <w:tc>
          <w:tcPr>
            <w:tcW w:w="626" w:type="pct"/>
            <w:shd w:val="clear" w:color="auto" w:fill="F2F2F2"/>
          </w:tcPr>
          <w:p w14:paraId="249B4E4B">
            <w:pPr>
              <w:jc w:val="both"/>
              <w:rPr>
                <w:b/>
                <w:sz w:val="20"/>
                <w:szCs w:val="20"/>
              </w:rPr>
            </w:pPr>
            <w:r>
              <w:rPr>
                <w:b/>
                <w:sz w:val="20"/>
                <w:szCs w:val="20"/>
              </w:rPr>
              <w:t>Search date</w:t>
            </w:r>
          </w:p>
        </w:tc>
        <w:tc>
          <w:tcPr>
            <w:tcW w:w="475" w:type="pct"/>
            <w:shd w:val="clear" w:color="auto" w:fill="F2F2F2"/>
          </w:tcPr>
          <w:p w14:paraId="63AD65F2">
            <w:pPr>
              <w:rPr>
                <w:b/>
                <w:sz w:val="20"/>
                <w:szCs w:val="20"/>
              </w:rPr>
            </w:pPr>
            <w:r>
              <w:rPr>
                <w:b/>
                <w:sz w:val="20"/>
                <w:szCs w:val="20"/>
              </w:rPr>
              <w:t>Number of search results</w:t>
            </w:r>
          </w:p>
        </w:tc>
        <w:tc>
          <w:tcPr>
            <w:tcW w:w="511" w:type="pct"/>
            <w:shd w:val="clear" w:color="auto" w:fill="F2F2F2"/>
          </w:tcPr>
          <w:p w14:paraId="4EEE8C13">
            <w:pPr>
              <w:rPr>
                <w:b/>
                <w:sz w:val="20"/>
                <w:szCs w:val="20"/>
              </w:rPr>
            </w:pPr>
            <w:r>
              <w:rPr>
                <w:b/>
                <w:sz w:val="20"/>
                <w:szCs w:val="20"/>
              </w:rPr>
              <w:t>Number of search results excluded before data selection</w:t>
            </w:r>
          </w:p>
        </w:tc>
        <w:tc>
          <w:tcPr>
            <w:tcW w:w="511" w:type="pct"/>
            <w:shd w:val="clear" w:color="auto" w:fill="DDD9C3"/>
          </w:tcPr>
          <w:p w14:paraId="465192B6">
            <w:pPr>
              <w:jc w:val="both"/>
              <w:rPr>
                <w:b/>
                <w:sz w:val="20"/>
                <w:szCs w:val="20"/>
              </w:rPr>
            </w:pPr>
            <w:r>
              <w:rPr>
                <w:b/>
                <w:sz w:val="20"/>
                <w:szCs w:val="20"/>
              </w:rPr>
              <w:t>Number of search results included into data selection</w:t>
            </w:r>
          </w:p>
        </w:tc>
        <w:tc>
          <w:tcPr>
            <w:tcW w:w="523" w:type="pct"/>
            <w:shd w:val="clear" w:color="auto" w:fill="F2F2F2"/>
          </w:tcPr>
          <w:p w14:paraId="1C7BD3D6">
            <w:pPr>
              <w:jc w:val="both"/>
              <w:rPr>
                <w:b/>
                <w:sz w:val="20"/>
                <w:szCs w:val="20"/>
              </w:rPr>
            </w:pPr>
            <w:r>
              <w:rPr>
                <w:b/>
                <w:sz w:val="20"/>
                <w:szCs w:val="20"/>
              </w:rPr>
              <w:t>Raw data appendix number</w:t>
            </w:r>
          </w:p>
        </w:tc>
      </w:tr>
      <w:tr w14:paraId="0CBE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7E0C4FEC">
            <w:pPr>
              <w:jc w:val="both"/>
              <w:rPr>
                <w:sz w:val="20"/>
                <w:szCs w:val="20"/>
              </w:rPr>
            </w:pPr>
            <w:r>
              <w:rPr>
                <w:sz w:val="20"/>
                <w:szCs w:val="20"/>
              </w:rPr>
              <w:t>PubMed</w:t>
            </w:r>
          </w:p>
        </w:tc>
        <w:tc>
          <w:tcPr>
            <w:tcW w:w="768" w:type="pct"/>
            <w:shd w:val="clear" w:color="auto" w:fill="auto"/>
          </w:tcPr>
          <w:p w14:paraId="4BFF0281">
            <w:pPr>
              <w:rPr>
                <w:sz w:val="20"/>
                <w:szCs w:val="20"/>
              </w:rPr>
            </w:pPr>
            <w:r>
              <w:rPr>
                <w:sz w:val="20"/>
                <w:szCs w:val="20"/>
              </w:rPr>
              <w:t>inion AND (s-1 OR s1 OR s-2 OR s2);</w:t>
            </w:r>
          </w:p>
          <w:p w14:paraId="649903BE">
            <w:pPr>
              <w:rPr>
                <w:sz w:val="20"/>
                <w:szCs w:val="20"/>
              </w:rPr>
            </w:pPr>
            <w:r>
              <w:rPr>
                <w:sz w:val="20"/>
                <w:szCs w:val="20"/>
              </w:rPr>
              <w:t>inion AND (plate OR plating OR plates) AND (spine OR spinal);</w:t>
            </w:r>
          </w:p>
          <w:p w14:paraId="3BBC51B4">
            <w:pPr>
              <w:rPr>
                <w:sz w:val="20"/>
                <w:szCs w:val="20"/>
              </w:rPr>
            </w:pPr>
            <w:r>
              <w:rPr>
                <w:sz w:val="20"/>
                <w:szCs w:val="20"/>
              </w:rPr>
              <w:t>inion AND (cervical OR thoracic OR lumbar OR thoraco-lumbar);</w:t>
            </w:r>
          </w:p>
          <w:p w14:paraId="231336FD">
            <w:pPr>
              <w:rPr>
                <w:sz w:val="20"/>
                <w:szCs w:val="20"/>
              </w:rPr>
            </w:pPr>
            <w:r>
              <w:rPr>
                <w:sz w:val="20"/>
                <w:szCs w:val="20"/>
              </w:rPr>
              <w:t>(biodegradable OR bioabsorbable OR bioresorbable OR degradable OR absorbable OR resorbable) AND (spine OR spinal) AND (plate OR plating OR plates);</w:t>
            </w:r>
          </w:p>
          <w:p w14:paraId="615A4C29">
            <w:pPr>
              <w:rPr>
                <w:sz w:val="20"/>
                <w:szCs w:val="20"/>
              </w:rPr>
            </w:pPr>
            <w:r>
              <w:rPr>
                <w:sz w:val="20"/>
                <w:szCs w:val="20"/>
              </w:rPr>
              <w:t xml:space="preserve">(biodegradable OR bioabsorbable OR bioresorbable OR degradable OR absorbable OR resorbable) AND (cervical OR thoracic OR lumbar OR thoraco-lumbar OR fusion) AND (plate OR plating OR plates) </w:t>
            </w:r>
          </w:p>
        </w:tc>
        <w:tc>
          <w:tcPr>
            <w:tcW w:w="976" w:type="pct"/>
            <w:shd w:val="clear" w:color="auto" w:fill="auto"/>
          </w:tcPr>
          <w:p w14:paraId="0DAD075C">
            <w:pPr>
              <w:rPr>
                <w:sz w:val="20"/>
                <w:szCs w:val="20"/>
              </w:rPr>
            </w:pPr>
            <w:r>
              <w:rPr>
                <w:sz w:val="20"/>
                <w:szCs w:val="20"/>
              </w:rPr>
              <w:t>2005/01/01 –2017/12/31</w:t>
            </w:r>
          </w:p>
        </w:tc>
        <w:tc>
          <w:tcPr>
            <w:tcW w:w="626" w:type="pct"/>
            <w:shd w:val="clear" w:color="auto" w:fill="auto"/>
          </w:tcPr>
          <w:p w14:paraId="7809E2D3">
            <w:pPr>
              <w:jc w:val="both"/>
              <w:rPr>
                <w:sz w:val="20"/>
                <w:szCs w:val="20"/>
                <w:lang w:eastAsia="zh-CN"/>
              </w:rPr>
            </w:pPr>
            <w:r>
              <w:rPr>
                <w:sz w:val="20"/>
                <w:szCs w:val="20"/>
                <w:lang w:eastAsia="zh-CN"/>
              </w:rPr>
              <w:t>2017/02/20</w:t>
            </w:r>
          </w:p>
        </w:tc>
        <w:tc>
          <w:tcPr>
            <w:tcW w:w="475" w:type="pct"/>
            <w:shd w:val="clear" w:color="auto" w:fill="auto"/>
          </w:tcPr>
          <w:p w14:paraId="39169CC1">
            <w:pPr>
              <w:jc w:val="both"/>
              <w:rPr>
                <w:sz w:val="20"/>
                <w:szCs w:val="20"/>
                <w:lang w:eastAsia="zh-CN"/>
              </w:rPr>
            </w:pPr>
            <w:r>
              <w:rPr>
                <w:sz w:val="20"/>
                <w:szCs w:val="20"/>
                <w:lang w:eastAsia="zh-CN"/>
              </w:rPr>
              <w:t>78</w:t>
            </w:r>
          </w:p>
        </w:tc>
        <w:tc>
          <w:tcPr>
            <w:tcW w:w="511" w:type="pct"/>
            <w:shd w:val="clear" w:color="auto" w:fill="auto"/>
          </w:tcPr>
          <w:p w14:paraId="6C50301C">
            <w:pPr>
              <w:jc w:val="both"/>
              <w:rPr>
                <w:sz w:val="20"/>
                <w:szCs w:val="20"/>
                <w:lang w:eastAsia="zh-CN"/>
              </w:rPr>
            </w:pPr>
            <w:r>
              <w:rPr>
                <w:sz w:val="20"/>
                <w:szCs w:val="20"/>
                <w:lang w:eastAsia="zh-CN"/>
              </w:rPr>
              <w:t>24</w:t>
            </w:r>
          </w:p>
        </w:tc>
        <w:tc>
          <w:tcPr>
            <w:tcW w:w="511" w:type="pct"/>
            <w:shd w:val="clear" w:color="auto" w:fill="DDD9C3"/>
          </w:tcPr>
          <w:p w14:paraId="12231D4A">
            <w:pPr>
              <w:jc w:val="both"/>
              <w:rPr>
                <w:sz w:val="20"/>
                <w:szCs w:val="20"/>
                <w:lang w:eastAsia="zh-CN"/>
              </w:rPr>
            </w:pPr>
            <w:r>
              <w:rPr>
                <w:sz w:val="20"/>
                <w:szCs w:val="20"/>
                <w:lang w:eastAsia="zh-CN"/>
              </w:rPr>
              <w:t>54</w:t>
            </w:r>
          </w:p>
        </w:tc>
        <w:tc>
          <w:tcPr>
            <w:tcW w:w="523" w:type="pct"/>
            <w:shd w:val="clear" w:color="auto" w:fill="auto"/>
          </w:tcPr>
          <w:p w14:paraId="06D88B75">
            <w:pPr>
              <w:jc w:val="both"/>
              <w:rPr>
                <w:sz w:val="20"/>
                <w:szCs w:val="20"/>
              </w:rPr>
            </w:pPr>
            <w:r>
              <w:rPr>
                <w:sz w:val="20"/>
                <w:szCs w:val="20"/>
              </w:rPr>
              <w:t>Appendix 1</w:t>
            </w:r>
          </w:p>
        </w:tc>
      </w:tr>
      <w:tr w14:paraId="5738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10C411BF">
            <w:pPr>
              <w:jc w:val="both"/>
              <w:rPr>
                <w:sz w:val="20"/>
                <w:szCs w:val="20"/>
              </w:rPr>
            </w:pPr>
            <w:r>
              <w:rPr>
                <w:sz w:val="20"/>
                <w:szCs w:val="20"/>
              </w:rPr>
              <w:t>Science</w:t>
            </w:r>
          </w:p>
          <w:p w14:paraId="6E4882FA">
            <w:pPr>
              <w:jc w:val="both"/>
              <w:rPr>
                <w:sz w:val="20"/>
                <w:szCs w:val="20"/>
              </w:rPr>
            </w:pPr>
            <w:r>
              <w:rPr>
                <w:sz w:val="20"/>
                <w:szCs w:val="20"/>
              </w:rPr>
              <w:t>Direct</w:t>
            </w:r>
          </w:p>
        </w:tc>
        <w:tc>
          <w:tcPr>
            <w:tcW w:w="768" w:type="pct"/>
            <w:shd w:val="clear" w:color="auto" w:fill="auto"/>
          </w:tcPr>
          <w:p w14:paraId="2C356067">
            <w:pPr>
              <w:rPr>
                <w:sz w:val="20"/>
                <w:szCs w:val="20"/>
              </w:rPr>
            </w:pPr>
            <w:r>
              <w:rPr>
                <w:sz w:val="20"/>
                <w:szCs w:val="20"/>
                <w:lang w:eastAsia="zh-CN"/>
              </w:rPr>
              <w:t>See above</w:t>
            </w:r>
          </w:p>
        </w:tc>
        <w:tc>
          <w:tcPr>
            <w:tcW w:w="976" w:type="pct"/>
            <w:shd w:val="clear" w:color="auto" w:fill="auto"/>
          </w:tcPr>
          <w:p w14:paraId="1DA5DE55">
            <w:pPr>
              <w:rPr>
                <w:sz w:val="20"/>
                <w:szCs w:val="20"/>
              </w:rPr>
            </w:pPr>
            <w:r>
              <w:rPr>
                <w:sz w:val="20"/>
                <w:szCs w:val="20"/>
              </w:rPr>
              <w:t>2005/01/01 –2017/12/31</w:t>
            </w:r>
          </w:p>
        </w:tc>
        <w:tc>
          <w:tcPr>
            <w:tcW w:w="626" w:type="pct"/>
            <w:shd w:val="clear" w:color="auto" w:fill="auto"/>
          </w:tcPr>
          <w:p w14:paraId="4EBECF18">
            <w:pPr>
              <w:jc w:val="both"/>
              <w:rPr>
                <w:sz w:val="20"/>
                <w:szCs w:val="20"/>
              </w:rPr>
            </w:pPr>
            <w:r>
              <w:rPr>
                <w:sz w:val="20"/>
                <w:szCs w:val="20"/>
                <w:lang w:eastAsia="zh-CN"/>
              </w:rPr>
              <w:t>2017/02/20</w:t>
            </w:r>
          </w:p>
        </w:tc>
        <w:tc>
          <w:tcPr>
            <w:tcW w:w="475" w:type="pct"/>
            <w:shd w:val="clear" w:color="auto" w:fill="auto"/>
          </w:tcPr>
          <w:p w14:paraId="4FA07689">
            <w:pPr>
              <w:jc w:val="both"/>
              <w:rPr>
                <w:sz w:val="20"/>
                <w:szCs w:val="20"/>
                <w:lang w:eastAsia="zh-CN"/>
              </w:rPr>
            </w:pPr>
            <w:r>
              <w:rPr>
                <w:sz w:val="20"/>
                <w:szCs w:val="20"/>
                <w:lang w:eastAsia="zh-CN"/>
              </w:rPr>
              <w:t>19</w:t>
            </w:r>
          </w:p>
        </w:tc>
        <w:tc>
          <w:tcPr>
            <w:tcW w:w="511" w:type="pct"/>
            <w:shd w:val="clear" w:color="auto" w:fill="auto"/>
          </w:tcPr>
          <w:p w14:paraId="322B2FA2">
            <w:pPr>
              <w:jc w:val="both"/>
              <w:rPr>
                <w:sz w:val="20"/>
                <w:szCs w:val="20"/>
                <w:lang w:eastAsia="zh-CN"/>
              </w:rPr>
            </w:pPr>
            <w:r>
              <w:rPr>
                <w:sz w:val="20"/>
                <w:szCs w:val="20"/>
                <w:lang w:eastAsia="zh-CN"/>
              </w:rPr>
              <w:t>7</w:t>
            </w:r>
          </w:p>
        </w:tc>
        <w:tc>
          <w:tcPr>
            <w:tcW w:w="511" w:type="pct"/>
            <w:shd w:val="clear" w:color="auto" w:fill="DDD9C3"/>
          </w:tcPr>
          <w:p w14:paraId="6C4CA5EB">
            <w:pPr>
              <w:jc w:val="both"/>
              <w:rPr>
                <w:sz w:val="20"/>
                <w:szCs w:val="20"/>
                <w:lang w:eastAsia="zh-CN"/>
              </w:rPr>
            </w:pPr>
            <w:r>
              <w:rPr>
                <w:sz w:val="20"/>
                <w:szCs w:val="20"/>
                <w:lang w:eastAsia="zh-CN"/>
              </w:rPr>
              <w:t>12</w:t>
            </w:r>
          </w:p>
        </w:tc>
        <w:tc>
          <w:tcPr>
            <w:tcW w:w="523" w:type="pct"/>
            <w:shd w:val="clear" w:color="auto" w:fill="auto"/>
          </w:tcPr>
          <w:p w14:paraId="4BF71CD5">
            <w:pPr>
              <w:jc w:val="both"/>
              <w:rPr>
                <w:sz w:val="20"/>
                <w:szCs w:val="20"/>
              </w:rPr>
            </w:pPr>
            <w:r>
              <w:rPr>
                <w:sz w:val="20"/>
                <w:szCs w:val="20"/>
              </w:rPr>
              <w:t>Appendix 2</w:t>
            </w:r>
          </w:p>
        </w:tc>
      </w:tr>
      <w:tr w14:paraId="3704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7CF031AB">
            <w:pPr>
              <w:jc w:val="both"/>
              <w:rPr>
                <w:sz w:val="20"/>
                <w:szCs w:val="20"/>
              </w:rPr>
            </w:pPr>
            <w:r>
              <w:rPr>
                <w:sz w:val="20"/>
                <w:szCs w:val="20"/>
              </w:rPr>
              <w:t>Embase</w:t>
            </w:r>
          </w:p>
        </w:tc>
        <w:tc>
          <w:tcPr>
            <w:tcW w:w="768" w:type="pct"/>
            <w:shd w:val="clear" w:color="auto" w:fill="auto"/>
          </w:tcPr>
          <w:p w14:paraId="4C070332">
            <w:pPr>
              <w:jc w:val="both"/>
              <w:rPr>
                <w:sz w:val="20"/>
                <w:szCs w:val="20"/>
              </w:rPr>
            </w:pPr>
            <w:r>
              <w:rPr>
                <w:sz w:val="20"/>
                <w:szCs w:val="20"/>
              </w:rPr>
              <w:t>inion:df or inion:dn</w:t>
            </w:r>
          </w:p>
        </w:tc>
        <w:tc>
          <w:tcPr>
            <w:tcW w:w="976" w:type="pct"/>
            <w:shd w:val="clear" w:color="auto" w:fill="auto"/>
          </w:tcPr>
          <w:p w14:paraId="0A6FF4C5">
            <w:pPr>
              <w:jc w:val="both"/>
              <w:rPr>
                <w:sz w:val="20"/>
                <w:szCs w:val="20"/>
              </w:rPr>
            </w:pPr>
            <w:r>
              <w:rPr>
                <w:sz w:val="20"/>
                <w:szCs w:val="20"/>
              </w:rPr>
              <w:t>Not limited</w:t>
            </w:r>
          </w:p>
        </w:tc>
        <w:tc>
          <w:tcPr>
            <w:tcW w:w="626" w:type="pct"/>
            <w:shd w:val="clear" w:color="auto" w:fill="auto"/>
          </w:tcPr>
          <w:p w14:paraId="02013E7E">
            <w:pPr>
              <w:jc w:val="both"/>
              <w:rPr>
                <w:sz w:val="20"/>
                <w:szCs w:val="20"/>
              </w:rPr>
            </w:pPr>
            <w:r>
              <w:rPr>
                <w:sz w:val="20"/>
                <w:szCs w:val="20"/>
                <w:lang w:eastAsia="zh-CN"/>
              </w:rPr>
              <w:t>2017/02/14</w:t>
            </w:r>
          </w:p>
        </w:tc>
        <w:tc>
          <w:tcPr>
            <w:tcW w:w="475" w:type="pct"/>
            <w:shd w:val="clear" w:color="auto" w:fill="auto"/>
          </w:tcPr>
          <w:p w14:paraId="1932919D">
            <w:pPr>
              <w:jc w:val="both"/>
              <w:rPr>
                <w:sz w:val="20"/>
                <w:szCs w:val="20"/>
                <w:lang w:eastAsia="zh-CN"/>
              </w:rPr>
            </w:pPr>
            <w:r>
              <w:rPr>
                <w:sz w:val="20"/>
                <w:szCs w:val="20"/>
                <w:lang w:eastAsia="zh-CN"/>
              </w:rPr>
              <w:t>60</w:t>
            </w:r>
          </w:p>
        </w:tc>
        <w:tc>
          <w:tcPr>
            <w:tcW w:w="511" w:type="pct"/>
            <w:shd w:val="clear" w:color="auto" w:fill="auto"/>
          </w:tcPr>
          <w:p w14:paraId="4FBADB8B">
            <w:pPr>
              <w:jc w:val="both"/>
              <w:rPr>
                <w:sz w:val="20"/>
                <w:szCs w:val="20"/>
                <w:lang w:eastAsia="zh-CN"/>
              </w:rPr>
            </w:pPr>
            <w:r>
              <w:rPr>
                <w:sz w:val="20"/>
                <w:szCs w:val="20"/>
                <w:lang w:eastAsia="zh-CN"/>
              </w:rPr>
              <w:t>5</w:t>
            </w:r>
          </w:p>
        </w:tc>
        <w:tc>
          <w:tcPr>
            <w:tcW w:w="511" w:type="pct"/>
            <w:shd w:val="clear" w:color="auto" w:fill="DDD9C3"/>
          </w:tcPr>
          <w:p w14:paraId="11A52292">
            <w:pPr>
              <w:jc w:val="both"/>
              <w:rPr>
                <w:sz w:val="20"/>
                <w:szCs w:val="20"/>
                <w:lang w:eastAsia="zh-CN"/>
              </w:rPr>
            </w:pPr>
            <w:r>
              <w:rPr>
                <w:sz w:val="20"/>
                <w:szCs w:val="20"/>
                <w:lang w:eastAsia="zh-CN"/>
              </w:rPr>
              <w:t>55</w:t>
            </w:r>
          </w:p>
        </w:tc>
        <w:tc>
          <w:tcPr>
            <w:tcW w:w="523" w:type="pct"/>
            <w:shd w:val="clear" w:color="auto" w:fill="auto"/>
          </w:tcPr>
          <w:p w14:paraId="4949C050">
            <w:pPr>
              <w:jc w:val="both"/>
              <w:rPr>
                <w:sz w:val="20"/>
                <w:szCs w:val="20"/>
              </w:rPr>
            </w:pPr>
            <w:r>
              <w:rPr>
                <w:sz w:val="20"/>
                <w:szCs w:val="20"/>
              </w:rPr>
              <w:t>Appendix 3</w:t>
            </w:r>
          </w:p>
        </w:tc>
      </w:tr>
      <w:tr w14:paraId="4F84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49A2470E">
            <w:pPr>
              <w:rPr>
                <w:sz w:val="20"/>
                <w:szCs w:val="20"/>
              </w:rPr>
            </w:pPr>
            <w:r>
              <w:rPr>
                <w:sz w:val="20"/>
                <w:szCs w:val="20"/>
              </w:rPr>
              <w:t>Cochrane Central Register of Controlled Trials (CENTRAL)</w:t>
            </w:r>
          </w:p>
        </w:tc>
        <w:tc>
          <w:tcPr>
            <w:tcW w:w="768" w:type="pct"/>
            <w:shd w:val="clear" w:color="auto" w:fill="auto"/>
          </w:tcPr>
          <w:p w14:paraId="77CFFFE1">
            <w:pPr>
              <w:jc w:val="both"/>
              <w:rPr>
                <w:sz w:val="20"/>
                <w:szCs w:val="20"/>
              </w:rPr>
            </w:pPr>
            <w:r>
              <w:rPr>
                <w:sz w:val="20"/>
                <w:szCs w:val="20"/>
              </w:rPr>
              <w:t>inion</w:t>
            </w:r>
            <w:r>
              <w:rPr>
                <w:sz w:val="20"/>
                <w:szCs w:val="20"/>
                <w:lang w:eastAsia="zh-CN"/>
              </w:rPr>
              <w:t xml:space="preserve"> (All text)</w:t>
            </w:r>
          </w:p>
        </w:tc>
        <w:tc>
          <w:tcPr>
            <w:tcW w:w="976" w:type="pct"/>
            <w:shd w:val="clear" w:color="auto" w:fill="auto"/>
          </w:tcPr>
          <w:p w14:paraId="52D6476D">
            <w:pPr>
              <w:jc w:val="both"/>
              <w:rPr>
                <w:sz w:val="20"/>
                <w:szCs w:val="20"/>
              </w:rPr>
            </w:pPr>
            <w:r>
              <w:rPr>
                <w:sz w:val="20"/>
                <w:szCs w:val="20"/>
              </w:rPr>
              <w:t>Not limited</w:t>
            </w:r>
          </w:p>
        </w:tc>
        <w:tc>
          <w:tcPr>
            <w:tcW w:w="626" w:type="pct"/>
            <w:shd w:val="clear" w:color="auto" w:fill="auto"/>
          </w:tcPr>
          <w:p w14:paraId="6AC19D4D">
            <w:pPr>
              <w:jc w:val="both"/>
              <w:rPr>
                <w:sz w:val="20"/>
                <w:szCs w:val="20"/>
              </w:rPr>
            </w:pPr>
            <w:r>
              <w:rPr>
                <w:sz w:val="20"/>
                <w:szCs w:val="20"/>
                <w:lang w:eastAsia="zh-CN"/>
              </w:rPr>
              <w:t>2017/02/14</w:t>
            </w:r>
          </w:p>
        </w:tc>
        <w:tc>
          <w:tcPr>
            <w:tcW w:w="475" w:type="pct"/>
            <w:shd w:val="clear" w:color="auto" w:fill="auto"/>
          </w:tcPr>
          <w:p w14:paraId="20BCB411">
            <w:pPr>
              <w:jc w:val="both"/>
              <w:rPr>
                <w:sz w:val="20"/>
                <w:szCs w:val="20"/>
                <w:lang w:eastAsia="zh-CN"/>
              </w:rPr>
            </w:pPr>
            <w:r>
              <w:rPr>
                <w:sz w:val="20"/>
                <w:szCs w:val="20"/>
                <w:lang w:eastAsia="zh-CN"/>
              </w:rPr>
              <w:t>31</w:t>
            </w:r>
          </w:p>
        </w:tc>
        <w:tc>
          <w:tcPr>
            <w:tcW w:w="511" w:type="pct"/>
            <w:shd w:val="clear" w:color="auto" w:fill="auto"/>
          </w:tcPr>
          <w:p w14:paraId="6E047521">
            <w:pPr>
              <w:jc w:val="both"/>
              <w:rPr>
                <w:sz w:val="20"/>
                <w:szCs w:val="20"/>
                <w:lang w:eastAsia="zh-CN"/>
              </w:rPr>
            </w:pPr>
            <w:r>
              <w:rPr>
                <w:sz w:val="20"/>
                <w:szCs w:val="20"/>
                <w:lang w:eastAsia="zh-CN"/>
              </w:rPr>
              <w:t>3</w:t>
            </w:r>
          </w:p>
        </w:tc>
        <w:tc>
          <w:tcPr>
            <w:tcW w:w="511" w:type="pct"/>
            <w:shd w:val="clear" w:color="auto" w:fill="DDD9C3"/>
          </w:tcPr>
          <w:p w14:paraId="76635F09">
            <w:pPr>
              <w:jc w:val="both"/>
              <w:rPr>
                <w:sz w:val="20"/>
                <w:szCs w:val="20"/>
                <w:lang w:eastAsia="zh-CN"/>
              </w:rPr>
            </w:pPr>
            <w:r>
              <w:rPr>
                <w:sz w:val="20"/>
                <w:szCs w:val="20"/>
                <w:lang w:eastAsia="zh-CN"/>
              </w:rPr>
              <w:t>28</w:t>
            </w:r>
          </w:p>
        </w:tc>
        <w:tc>
          <w:tcPr>
            <w:tcW w:w="523" w:type="pct"/>
            <w:shd w:val="clear" w:color="auto" w:fill="auto"/>
          </w:tcPr>
          <w:p w14:paraId="2DD12820">
            <w:pPr>
              <w:jc w:val="both"/>
              <w:rPr>
                <w:sz w:val="20"/>
                <w:szCs w:val="20"/>
              </w:rPr>
            </w:pPr>
            <w:r>
              <w:rPr>
                <w:sz w:val="20"/>
                <w:szCs w:val="20"/>
              </w:rPr>
              <w:t>Appendix 4</w:t>
            </w:r>
          </w:p>
          <w:p w14:paraId="5C69830D">
            <w:pPr>
              <w:jc w:val="both"/>
              <w:rPr>
                <w:sz w:val="20"/>
                <w:szCs w:val="20"/>
                <w:highlight w:val="yellow"/>
              </w:rPr>
            </w:pPr>
            <w:r>
              <w:rPr>
                <w:sz w:val="20"/>
                <w:szCs w:val="20"/>
              </w:rPr>
              <w:t>Appendix 5</w:t>
            </w:r>
          </w:p>
        </w:tc>
      </w:tr>
      <w:tr w14:paraId="07C1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2F7F16ED">
            <w:pPr>
              <w:jc w:val="both"/>
              <w:rPr>
                <w:sz w:val="20"/>
                <w:szCs w:val="20"/>
                <w:lang w:eastAsia="zh-CN"/>
              </w:rPr>
            </w:pPr>
            <w:r>
              <w:rPr>
                <w:sz w:val="20"/>
                <w:szCs w:val="20"/>
                <w:lang w:eastAsia="zh-CN"/>
              </w:rPr>
              <w:t>Clinical</w:t>
            </w:r>
          </w:p>
          <w:p w14:paraId="06CCA925">
            <w:pPr>
              <w:jc w:val="both"/>
              <w:rPr>
                <w:sz w:val="20"/>
                <w:szCs w:val="20"/>
              </w:rPr>
            </w:pPr>
            <w:r>
              <w:rPr>
                <w:sz w:val="20"/>
                <w:szCs w:val="20"/>
                <w:lang w:eastAsia="zh-CN"/>
              </w:rPr>
              <w:t>trials.gov</w:t>
            </w:r>
          </w:p>
        </w:tc>
        <w:tc>
          <w:tcPr>
            <w:tcW w:w="768" w:type="pct"/>
            <w:shd w:val="clear" w:color="auto" w:fill="auto"/>
          </w:tcPr>
          <w:p w14:paraId="5C0D348F">
            <w:pPr>
              <w:jc w:val="both"/>
              <w:rPr>
                <w:sz w:val="20"/>
                <w:szCs w:val="20"/>
              </w:rPr>
            </w:pPr>
            <w:r>
              <w:rPr>
                <w:sz w:val="20"/>
                <w:szCs w:val="20"/>
              </w:rPr>
              <w:t>inion</w:t>
            </w:r>
          </w:p>
        </w:tc>
        <w:tc>
          <w:tcPr>
            <w:tcW w:w="976" w:type="pct"/>
            <w:shd w:val="clear" w:color="auto" w:fill="auto"/>
          </w:tcPr>
          <w:p w14:paraId="332170EB">
            <w:pPr>
              <w:jc w:val="both"/>
              <w:rPr>
                <w:sz w:val="20"/>
                <w:szCs w:val="20"/>
              </w:rPr>
            </w:pPr>
            <w:r>
              <w:rPr>
                <w:sz w:val="20"/>
                <w:szCs w:val="20"/>
              </w:rPr>
              <w:t>Not limited</w:t>
            </w:r>
          </w:p>
        </w:tc>
        <w:tc>
          <w:tcPr>
            <w:tcW w:w="626" w:type="pct"/>
            <w:shd w:val="clear" w:color="auto" w:fill="auto"/>
          </w:tcPr>
          <w:p w14:paraId="56938A00">
            <w:pPr>
              <w:rPr>
                <w:sz w:val="20"/>
                <w:szCs w:val="20"/>
              </w:rPr>
            </w:pPr>
            <w:r>
              <w:rPr>
                <w:sz w:val="20"/>
                <w:szCs w:val="20"/>
                <w:lang w:eastAsia="zh-CN"/>
              </w:rPr>
              <w:t>2017/02/27</w:t>
            </w:r>
          </w:p>
        </w:tc>
        <w:tc>
          <w:tcPr>
            <w:tcW w:w="475" w:type="pct"/>
            <w:shd w:val="clear" w:color="auto" w:fill="auto"/>
          </w:tcPr>
          <w:p w14:paraId="0692FCAA">
            <w:pPr>
              <w:jc w:val="both"/>
              <w:rPr>
                <w:sz w:val="20"/>
                <w:szCs w:val="20"/>
                <w:lang w:eastAsia="zh-CN"/>
              </w:rPr>
            </w:pPr>
            <w:r>
              <w:rPr>
                <w:sz w:val="20"/>
                <w:szCs w:val="20"/>
                <w:lang w:eastAsia="zh-CN"/>
              </w:rPr>
              <w:t>16</w:t>
            </w:r>
          </w:p>
        </w:tc>
        <w:tc>
          <w:tcPr>
            <w:tcW w:w="511" w:type="pct"/>
            <w:shd w:val="clear" w:color="auto" w:fill="auto"/>
          </w:tcPr>
          <w:p w14:paraId="62B232EE">
            <w:pPr>
              <w:jc w:val="both"/>
              <w:rPr>
                <w:sz w:val="20"/>
                <w:szCs w:val="20"/>
                <w:lang w:eastAsia="zh-CN"/>
              </w:rPr>
            </w:pPr>
            <w:r>
              <w:rPr>
                <w:sz w:val="20"/>
                <w:szCs w:val="20"/>
                <w:lang w:eastAsia="zh-CN"/>
              </w:rPr>
              <w:t>0</w:t>
            </w:r>
          </w:p>
        </w:tc>
        <w:tc>
          <w:tcPr>
            <w:tcW w:w="511" w:type="pct"/>
            <w:shd w:val="clear" w:color="auto" w:fill="DDD9C3"/>
          </w:tcPr>
          <w:p w14:paraId="1B90054D">
            <w:pPr>
              <w:jc w:val="both"/>
              <w:rPr>
                <w:sz w:val="20"/>
                <w:szCs w:val="20"/>
                <w:lang w:eastAsia="zh-CN"/>
              </w:rPr>
            </w:pPr>
            <w:r>
              <w:rPr>
                <w:sz w:val="20"/>
                <w:szCs w:val="20"/>
                <w:lang w:eastAsia="zh-CN"/>
              </w:rPr>
              <w:t>16</w:t>
            </w:r>
          </w:p>
        </w:tc>
        <w:tc>
          <w:tcPr>
            <w:tcW w:w="523" w:type="pct"/>
            <w:shd w:val="clear" w:color="auto" w:fill="auto"/>
          </w:tcPr>
          <w:p w14:paraId="0E453B00">
            <w:pPr>
              <w:jc w:val="both"/>
              <w:rPr>
                <w:sz w:val="20"/>
                <w:szCs w:val="20"/>
              </w:rPr>
            </w:pPr>
            <w:r>
              <w:rPr>
                <w:sz w:val="20"/>
                <w:szCs w:val="20"/>
              </w:rPr>
              <w:t>Appendix 6</w:t>
            </w:r>
          </w:p>
        </w:tc>
      </w:tr>
      <w:tr w14:paraId="5747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1A1EB816">
            <w:pPr>
              <w:jc w:val="both"/>
              <w:rPr>
                <w:sz w:val="20"/>
                <w:szCs w:val="20"/>
              </w:rPr>
            </w:pPr>
            <w:r>
              <w:rPr>
                <w:sz w:val="20"/>
                <w:szCs w:val="20"/>
                <w:lang w:eastAsia="zh-CN"/>
              </w:rPr>
              <w:t>WHO ICTRP</w:t>
            </w:r>
          </w:p>
        </w:tc>
        <w:tc>
          <w:tcPr>
            <w:tcW w:w="768" w:type="pct"/>
            <w:shd w:val="clear" w:color="auto" w:fill="auto"/>
          </w:tcPr>
          <w:p w14:paraId="045DFE71">
            <w:pPr>
              <w:rPr>
                <w:sz w:val="20"/>
                <w:szCs w:val="20"/>
              </w:rPr>
            </w:pPr>
            <w:r>
              <w:rPr>
                <w:sz w:val="20"/>
                <w:szCs w:val="20"/>
              </w:rPr>
              <w:t>spine OR spinal / “condition” AND spinal graft containment or S-1 or s 1 or s-2 or s2 / “intervention”</w:t>
            </w:r>
          </w:p>
        </w:tc>
        <w:tc>
          <w:tcPr>
            <w:tcW w:w="976" w:type="pct"/>
            <w:shd w:val="clear" w:color="auto" w:fill="auto"/>
          </w:tcPr>
          <w:p w14:paraId="1FD80CE2">
            <w:pPr>
              <w:jc w:val="both"/>
              <w:rPr>
                <w:sz w:val="20"/>
                <w:szCs w:val="20"/>
              </w:rPr>
            </w:pPr>
            <w:r>
              <w:rPr>
                <w:sz w:val="20"/>
                <w:szCs w:val="20"/>
              </w:rPr>
              <w:t>Not limited</w:t>
            </w:r>
          </w:p>
        </w:tc>
        <w:tc>
          <w:tcPr>
            <w:tcW w:w="626" w:type="pct"/>
            <w:shd w:val="clear" w:color="auto" w:fill="auto"/>
          </w:tcPr>
          <w:p w14:paraId="04F88134">
            <w:pPr>
              <w:rPr>
                <w:sz w:val="20"/>
                <w:szCs w:val="20"/>
              </w:rPr>
            </w:pPr>
            <w:r>
              <w:rPr>
                <w:sz w:val="20"/>
                <w:szCs w:val="20"/>
                <w:lang w:eastAsia="zh-CN"/>
              </w:rPr>
              <w:t>2017/02/27</w:t>
            </w:r>
          </w:p>
        </w:tc>
        <w:tc>
          <w:tcPr>
            <w:tcW w:w="475" w:type="pct"/>
            <w:shd w:val="clear" w:color="auto" w:fill="auto"/>
          </w:tcPr>
          <w:p w14:paraId="4CD89AD9">
            <w:pPr>
              <w:jc w:val="both"/>
              <w:rPr>
                <w:sz w:val="20"/>
                <w:szCs w:val="20"/>
                <w:lang w:eastAsia="zh-CN"/>
              </w:rPr>
            </w:pPr>
            <w:r>
              <w:rPr>
                <w:sz w:val="20"/>
                <w:szCs w:val="20"/>
                <w:lang w:eastAsia="zh-CN"/>
              </w:rPr>
              <w:t>9</w:t>
            </w:r>
          </w:p>
        </w:tc>
        <w:tc>
          <w:tcPr>
            <w:tcW w:w="511" w:type="pct"/>
            <w:shd w:val="clear" w:color="auto" w:fill="auto"/>
          </w:tcPr>
          <w:p w14:paraId="02ED3987">
            <w:pPr>
              <w:jc w:val="both"/>
              <w:rPr>
                <w:sz w:val="20"/>
                <w:szCs w:val="20"/>
                <w:lang w:eastAsia="zh-CN"/>
              </w:rPr>
            </w:pPr>
            <w:r>
              <w:rPr>
                <w:sz w:val="20"/>
                <w:szCs w:val="20"/>
                <w:lang w:eastAsia="zh-CN"/>
              </w:rPr>
              <w:t>0</w:t>
            </w:r>
          </w:p>
        </w:tc>
        <w:tc>
          <w:tcPr>
            <w:tcW w:w="511" w:type="pct"/>
            <w:shd w:val="clear" w:color="auto" w:fill="DDD9C3"/>
          </w:tcPr>
          <w:p w14:paraId="359725B9">
            <w:pPr>
              <w:jc w:val="both"/>
              <w:rPr>
                <w:sz w:val="20"/>
                <w:szCs w:val="20"/>
                <w:lang w:eastAsia="zh-CN"/>
              </w:rPr>
            </w:pPr>
            <w:r>
              <w:rPr>
                <w:sz w:val="20"/>
                <w:szCs w:val="20"/>
                <w:lang w:eastAsia="zh-CN"/>
              </w:rPr>
              <w:t>9</w:t>
            </w:r>
          </w:p>
        </w:tc>
        <w:tc>
          <w:tcPr>
            <w:tcW w:w="523" w:type="pct"/>
            <w:shd w:val="clear" w:color="auto" w:fill="auto"/>
          </w:tcPr>
          <w:p w14:paraId="5403A6B2">
            <w:pPr>
              <w:jc w:val="both"/>
              <w:rPr>
                <w:sz w:val="20"/>
                <w:szCs w:val="20"/>
                <w:lang w:eastAsia="zh-CN"/>
              </w:rPr>
            </w:pPr>
            <w:r>
              <w:rPr>
                <w:sz w:val="20"/>
                <w:szCs w:val="20"/>
              </w:rPr>
              <w:t>Appendix 6</w:t>
            </w:r>
          </w:p>
        </w:tc>
      </w:tr>
      <w:tr w14:paraId="32F4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013C7091">
            <w:pPr>
              <w:rPr>
                <w:sz w:val="20"/>
                <w:szCs w:val="20"/>
                <w:lang w:eastAsia="zh-CN"/>
              </w:rPr>
            </w:pPr>
            <w:r>
              <w:rPr>
                <w:sz w:val="20"/>
                <w:szCs w:val="20"/>
                <w:lang w:eastAsia="zh-CN"/>
              </w:rPr>
              <w:t>Citations referenced in the searched literature</w:t>
            </w:r>
          </w:p>
        </w:tc>
        <w:tc>
          <w:tcPr>
            <w:tcW w:w="768" w:type="pct"/>
            <w:shd w:val="clear" w:color="auto" w:fill="auto"/>
          </w:tcPr>
          <w:p w14:paraId="2F981427">
            <w:pPr>
              <w:rPr>
                <w:sz w:val="20"/>
                <w:szCs w:val="20"/>
              </w:rPr>
            </w:pPr>
            <w:r>
              <w:rPr>
                <w:sz w:val="20"/>
                <w:szCs w:val="20"/>
              </w:rPr>
              <w:t>-</w:t>
            </w:r>
          </w:p>
        </w:tc>
        <w:tc>
          <w:tcPr>
            <w:tcW w:w="976" w:type="pct"/>
            <w:shd w:val="clear" w:color="auto" w:fill="auto"/>
          </w:tcPr>
          <w:p w14:paraId="16410DEA">
            <w:pPr>
              <w:jc w:val="both"/>
              <w:rPr>
                <w:sz w:val="20"/>
                <w:szCs w:val="20"/>
              </w:rPr>
            </w:pPr>
            <w:r>
              <w:rPr>
                <w:sz w:val="20"/>
                <w:szCs w:val="20"/>
              </w:rPr>
              <w:t>-</w:t>
            </w:r>
          </w:p>
        </w:tc>
        <w:tc>
          <w:tcPr>
            <w:tcW w:w="626" w:type="pct"/>
            <w:shd w:val="clear" w:color="auto" w:fill="auto"/>
          </w:tcPr>
          <w:p w14:paraId="4FCEB010">
            <w:pPr>
              <w:rPr>
                <w:sz w:val="20"/>
                <w:szCs w:val="20"/>
              </w:rPr>
            </w:pPr>
            <w:r>
              <w:rPr>
                <w:sz w:val="20"/>
                <w:szCs w:val="20"/>
              </w:rPr>
              <w:t>-</w:t>
            </w:r>
          </w:p>
        </w:tc>
        <w:tc>
          <w:tcPr>
            <w:tcW w:w="475" w:type="pct"/>
            <w:shd w:val="clear" w:color="auto" w:fill="auto"/>
          </w:tcPr>
          <w:p w14:paraId="7B25FE8F">
            <w:pPr>
              <w:jc w:val="both"/>
              <w:rPr>
                <w:sz w:val="20"/>
                <w:szCs w:val="20"/>
                <w:lang w:eastAsia="zh-CN"/>
              </w:rPr>
            </w:pPr>
            <w:r>
              <w:rPr>
                <w:sz w:val="20"/>
                <w:szCs w:val="20"/>
                <w:lang w:eastAsia="zh-CN"/>
              </w:rPr>
              <w:t>0</w:t>
            </w:r>
          </w:p>
        </w:tc>
        <w:tc>
          <w:tcPr>
            <w:tcW w:w="511" w:type="pct"/>
            <w:shd w:val="clear" w:color="auto" w:fill="auto"/>
          </w:tcPr>
          <w:p w14:paraId="123FC1DA">
            <w:pPr>
              <w:jc w:val="both"/>
              <w:rPr>
                <w:sz w:val="20"/>
                <w:szCs w:val="20"/>
                <w:lang w:eastAsia="zh-CN"/>
              </w:rPr>
            </w:pPr>
            <w:r>
              <w:rPr>
                <w:sz w:val="20"/>
                <w:szCs w:val="20"/>
                <w:lang w:eastAsia="zh-CN"/>
              </w:rPr>
              <w:t>0</w:t>
            </w:r>
          </w:p>
        </w:tc>
        <w:tc>
          <w:tcPr>
            <w:tcW w:w="511" w:type="pct"/>
            <w:shd w:val="clear" w:color="auto" w:fill="DDD9C3"/>
          </w:tcPr>
          <w:p w14:paraId="2D96C31E">
            <w:pPr>
              <w:jc w:val="both"/>
              <w:rPr>
                <w:sz w:val="20"/>
                <w:szCs w:val="20"/>
                <w:lang w:eastAsia="zh-CN"/>
              </w:rPr>
            </w:pPr>
            <w:r>
              <w:rPr>
                <w:sz w:val="20"/>
                <w:szCs w:val="20"/>
                <w:lang w:eastAsia="zh-CN"/>
              </w:rPr>
              <w:t>0</w:t>
            </w:r>
          </w:p>
        </w:tc>
        <w:tc>
          <w:tcPr>
            <w:tcW w:w="523" w:type="pct"/>
            <w:shd w:val="clear" w:color="auto" w:fill="auto"/>
          </w:tcPr>
          <w:p w14:paraId="455DB18D">
            <w:pPr>
              <w:jc w:val="both"/>
              <w:rPr>
                <w:sz w:val="20"/>
                <w:szCs w:val="20"/>
              </w:rPr>
            </w:pPr>
            <w:r>
              <w:rPr>
                <w:sz w:val="20"/>
                <w:szCs w:val="20"/>
              </w:rPr>
              <w:t>-</w:t>
            </w:r>
          </w:p>
        </w:tc>
      </w:tr>
      <w:tr w14:paraId="1C9C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shd w:val="clear" w:color="auto" w:fill="auto"/>
          </w:tcPr>
          <w:p w14:paraId="24EE9957">
            <w:pPr>
              <w:rPr>
                <w:sz w:val="20"/>
                <w:szCs w:val="20"/>
                <w:lang w:eastAsia="zh-CN"/>
              </w:rPr>
            </w:pPr>
            <w:r>
              <w:rPr>
                <w:sz w:val="20"/>
                <w:szCs w:val="20"/>
                <w:lang w:eastAsia="zh-CN"/>
              </w:rPr>
              <w:t>Articles identified in previous clinical evaluations</w:t>
            </w:r>
          </w:p>
        </w:tc>
        <w:tc>
          <w:tcPr>
            <w:tcW w:w="768" w:type="pct"/>
            <w:shd w:val="clear" w:color="auto" w:fill="auto"/>
          </w:tcPr>
          <w:p w14:paraId="1C87E406">
            <w:pPr>
              <w:rPr>
                <w:sz w:val="20"/>
                <w:szCs w:val="20"/>
              </w:rPr>
            </w:pPr>
            <w:r>
              <w:rPr>
                <w:sz w:val="20"/>
                <w:szCs w:val="20"/>
              </w:rPr>
              <w:t>-</w:t>
            </w:r>
          </w:p>
        </w:tc>
        <w:tc>
          <w:tcPr>
            <w:tcW w:w="976" w:type="pct"/>
            <w:shd w:val="clear" w:color="auto" w:fill="auto"/>
          </w:tcPr>
          <w:p w14:paraId="7204E897">
            <w:pPr>
              <w:jc w:val="both"/>
              <w:rPr>
                <w:sz w:val="20"/>
                <w:szCs w:val="20"/>
              </w:rPr>
            </w:pPr>
            <w:r>
              <w:rPr>
                <w:sz w:val="20"/>
                <w:szCs w:val="20"/>
              </w:rPr>
              <w:t>-</w:t>
            </w:r>
          </w:p>
        </w:tc>
        <w:tc>
          <w:tcPr>
            <w:tcW w:w="626" w:type="pct"/>
            <w:shd w:val="clear" w:color="auto" w:fill="auto"/>
          </w:tcPr>
          <w:p w14:paraId="45560776">
            <w:pPr>
              <w:rPr>
                <w:sz w:val="20"/>
                <w:szCs w:val="20"/>
              </w:rPr>
            </w:pPr>
            <w:r>
              <w:rPr>
                <w:sz w:val="20"/>
                <w:szCs w:val="20"/>
              </w:rPr>
              <w:t>-</w:t>
            </w:r>
          </w:p>
        </w:tc>
        <w:tc>
          <w:tcPr>
            <w:tcW w:w="475" w:type="pct"/>
            <w:shd w:val="clear" w:color="auto" w:fill="auto"/>
          </w:tcPr>
          <w:p w14:paraId="79201A4D">
            <w:pPr>
              <w:jc w:val="both"/>
              <w:rPr>
                <w:sz w:val="20"/>
                <w:szCs w:val="20"/>
                <w:lang w:eastAsia="zh-CN"/>
              </w:rPr>
            </w:pPr>
            <w:r>
              <w:rPr>
                <w:sz w:val="20"/>
                <w:szCs w:val="20"/>
                <w:lang w:eastAsia="zh-CN"/>
              </w:rPr>
              <w:t>6</w:t>
            </w:r>
          </w:p>
        </w:tc>
        <w:tc>
          <w:tcPr>
            <w:tcW w:w="511" w:type="pct"/>
            <w:shd w:val="clear" w:color="auto" w:fill="auto"/>
          </w:tcPr>
          <w:p w14:paraId="5168B077">
            <w:pPr>
              <w:jc w:val="both"/>
              <w:rPr>
                <w:sz w:val="20"/>
                <w:szCs w:val="20"/>
                <w:lang w:eastAsia="zh-CN"/>
              </w:rPr>
            </w:pPr>
            <w:r>
              <w:rPr>
                <w:sz w:val="20"/>
                <w:szCs w:val="20"/>
                <w:lang w:eastAsia="zh-CN"/>
              </w:rPr>
              <w:t>5</w:t>
            </w:r>
          </w:p>
        </w:tc>
        <w:tc>
          <w:tcPr>
            <w:tcW w:w="511" w:type="pct"/>
            <w:shd w:val="clear" w:color="auto" w:fill="DDD9C3"/>
          </w:tcPr>
          <w:p w14:paraId="6A4AA49D">
            <w:pPr>
              <w:rPr>
                <w:sz w:val="20"/>
                <w:szCs w:val="20"/>
                <w:lang w:eastAsia="zh-CN"/>
              </w:rPr>
            </w:pPr>
            <w:r>
              <w:rPr>
                <w:sz w:val="20"/>
                <w:szCs w:val="20"/>
                <w:lang w:eastAsia="zh-CN"/>
              </w:rPr>
              <w:t>1</w:t>
            </w:r>
          </w:p>
        </w:tc>
        <w:tc>
          <w:tcPr>
            <w:tcW w:w="523" w:type="pct"/>
            <w:shd w:val="clear" w:color="auto" w:fill="auto"/>
          </w:tcPr>
          <w:p w14:paraId="4CD5FFD4">
            <w:pPr>
              <w:jc w:val="both"/>
              <w:rPr>
                <w:sz w:val="20"/>
                <w:szCs w:val="20"/>
                <w:lang w:eastAsia="zh-CN"/>
              </w:rPr>
            </w:pPr>
            <w:r>
              <w:rPr>
                <w:sz w:val="20"/>
                <w:szCs w:val="20"/>
              </w:rPr>
              <w:t>Appendix 7</w:t>
            </w:r>
          </w:p>
        </w:tc>
      </w:tr>
    </w:tbl>
    <w:p w14:paraId="719CA02B">
      <w:pPr>
        <w:jc w:val="both"/>
      </w:pPr>
    </w:p>
    <w:p w14:paraId="5FC3D563">
      <w:pPr>
        <w:autoSpaceDE w:val="0"/>
        <w:autoSpaceDN w:val="0"/>
        <w:adjustRightInd w:val="0"/>
        <w:jc w:val="both"/>
        <w:rPr>
          <w:color w:val="000000"/>
        </w:rPr>
      </w:pPr>
      <w:r>
        <w:rPr>
          <w:color w:val="000000"/>
        </w:rPr>
        <w:t>The search queries were defined with the goal of finding a reasonable number of pertinent data, which would either directly</w:t>
      </w:r>
      <w:r>
        <w:rPr>
          <w:rFonts w:ascii="Arial" w:hAnsi="Arial" w:cs="Arial"/>
          <w:sz w:val="22"/>
          <w:szCs w:val="22"/>
          <w:lang w:eastAsia="fi-FI"/>
        </w:rPr>
        <w:t xml:space="preserve"> </w:t>
      </w:r>
      <w:r>
        <w:rPr>
          <w:color w:val="000000"/>
        </w:rPr>
        <w:t>demonstrate adequate clinical performance and clinical safety of the device (i.e pivotal data), or provide an indirect supportive role.</w:t>
      </w:r>
    </w:p>
    <w:p w14:paraId="44C0F8B4">
      <w:pPr>
        <w:jc w:val="both"/>
        <w:rPr>
          <w:color w:val="000000"/>
        </w:rPr>
      </w:pPr>
    </w:p>
    <w:p w14:paraId="4A67B37A">
      <w:pPr>
        <w:autoSpaceDE w:val="0"/>
        <w:autoSpaceDN w:val="0"/>
        <w:adjustRightInd w:val="0"/>
        <w:jc w:val="both"/>
        <w:rPr>
          <w:lang w:eastAsia="fi-FI"/>
        </w:rPr>
      </w:pPr>
      <w:r>
        <w:rPr>
          <w:lang w:eastAsia="fi-FI"/>
        </w:rPr>
        <w:t>The timeframe used in PubMed and ScienceDirect literature searches was 2005 - present, because</w:t>
      </w:r>
      <w:r>
        <w:rPr>
          <w:b/>
        </w:rPr>
        <w:t xml:space="preserve"> </w:t>
      </w:r>
      <w:r>
        <w:t>the Inion S-1</w:t>
      </w:r>
      <w:r>
        <w:rPr>
          <w:lang w:eastAsia="zh-CN"/>
        </w:rPr>
        <w:t xml:space="preserve"> has been on the market since the year 2005</w:t>
      </w:r>
      <w:r>
        <w:rPr>
          <w:lang w:eastAsia="fi-FI"/>
        </w:rPr>
        <w:t>. The timeframe used in Embase and Cochrane searches was not limited.</w:t>
      </w:r>
    </w:p>
    <w:p w14:paraId="30162B78">
      <w:pPr>
        <w:jc w:val="both"/>
      </w:pPr>
    </w:p>
    <w:p w14:paraId="1653C2F9">
      <w:pPr>
        <w:jc w:val="both"/>
      </w:pPr>
      <w:r>
        <w:t>Results of literature searches of PubMed, Science Direct, Embase and Cochrane were exported from the databases to an Excel, and at that point a sanity check was made to see if there were any duplicates or data entries that were incomplete and which needed to be excluded before data selection.</w:t>
      </w:r>
    </w:p>
    <w:p w14:paraId="4134245D">
      <w:pPr>
        <w:rPr>
          <w:lang w:eastAsia="zh-CN"/>
        </w:rPr>
      </w:pPr>
    </w:p>
    <w:p w14:paraId="1BA41544">
      <w:pPr>
        <w:pStyle w:val="4"/>
      </w:pPr>
      <w:bookmarkStart w:id="40" w:name="_Toc471299985"/>
      <w:bookmarkStart w:id="41" w:name="_Toc480979560"/>
      <w:r>
        <w:t>Data selection of clinical literature search results</w:t>
      </w:r>
      <w:bookmarkEnd w:id="40"/>
      <w:bookmarkEnd w:id="41"/>
    </w:p>
    <w:p w14:paraId="2E49ADDE">
      <w:pPr>
        <w:jc w:val="both"/>
        <w:rPr>
          <w:color w:val="3333FF"/>
        </w:rPr>
      </w:pPr>
    </w:p>
    <w:p w14:paraId="10659B9C">
      <w:pPr>
        <w:jc w:val="both"/>
      </w:pPr>
      <w:r>
        <w:t xml:space="preserve">The search results from PubMed, Science Direct, Embase and Cochrane were exported into an Excel. Also, Citations referenced in the searched literature and Articles identified in previous Inion Spinal Graft Containment System™ clinical evaluations were evaluated in the Excel. A data selection was made by reviewing the publications’ title and/or abstracts. Publications were excluded if </w:t>
      </w:r>
      <w:r>
        <w:rPr>
          <w:lang w:eastAsia="fi-FI"/>
        </w:rPr>
        <w:t xml:space="preserve">the studied products clearly did not include </w:t>
      </w:r>
      <w:r>
        <w:t xml:space="preserve">Inion Spinal Graft Containment System™; </w:t>
      </w:r>
      <w:r>
        <w:rPr>
          <w:lang w:eastAsia="fi-FI"/>
        </w:rPr>
        <w:t xml:space="preserve">a language other than English was used; the article in question did not examine humans; or </w:t>
      </w:r>
      <w:r>
        <w:t>no clinical data was available. These exclusions were marked as “EBA” (i.e. Excluded Before Appraisal) in the data selection and appraisal excel file</w:t>
      </w:r>
      <w:r>
        <w:rPr>
          <w:color w:val="FF0000"/>
        </w:rPr>
        <w:t xml:space="preserve"> </w:t>
      </w:r>
      <w:r>
        <w:t>(see Appendix</w:t>
      </w:r>
      <w:r>
        <w:rPr>
          <w:color w:val="FF0000"/>
        </w:rPr>
        <w:t xml:space="preserve"> </w:t>
      </w:r>
      <w:r>
        <w:t>7).</w:t>
      </w:r>
    </w:p>
    <w:p w14:paraId="4B4D5F78">
      <w:pPr>
        <w:jc w:val="both"/>
      </w:pPr>
    </w:p>
    <w:p w14:paraId="1CFA5D47">
      <w:pPr>
        <w:jc w:val="both"/>
      </w:pPr>
      <w:r>
        <w:t>Please see the following Table 9 for a summary of data selection results:</w:t>
      </w:r>
    </w:p>
    <w:p w14:paraId="43DC8FED">
      <w:pPr>
        <w:rPr>
          <w:lang w:eastAsia="zh-CN"/>
        </w:rPr>
      </w:pPr>
    </w:p>
    <w:p w14:paraId="137B66F0">
      <w:pPr>
        <w:pStyle w:val="14"/>
        <w:rPr>
          <w:rFonts w:ascii="Calibri" w:hAnsi="Calibri"/>
        </w:rPr>
      </w:pPr>
      <w:bookmarkStart w:id="42" w:name="_Toc471300023"/>
      <w:bookmarkStart w:id="43" w:name="_Toc480979588"/>
      <w:r>
        <w:rPr>
          <w:rFonts w:ascii="Calibri" w:hAnsi="Calibri"/>
        </w:rPr>
        <w:t>Table 9. Clinical literature search data selection results</w:t>
      </w:r>
      <w:bookmarkEnd w:id="42"/>
      <w:bookmarkEnd w:id="43"/>
    </w:p>
    <w:p w14:paraId="5326E03A">
      <w:pPr>
        <w:rPr>
          <w:lang w:val="en-GB" w:eastAsia="zh-CN"/>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343"/>
        <w:gridCol w:w="1306"/>
        <w:gridCol w:w="1453"/>
        <w:gridCol w:w="1597"/>
      </w:tblGrid>
      <w:tr w14:paraId="754D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F2F2F2"/>
          </w:tcPr>
          <w:p w14:paraId="395711EC">
            <w:pPr>
              <w:jc w:val="both"/>
              <w:rPr>
                <w:b/>
                <w:sz w:val="20"/>
                <w:szCs w:val="20"/>
              </w:rPr>
            </w:pPr>
            <w:r>
              <w:rPr>
                <w:b/>
                <w:sz w:val="20"/>
                <w:szCs w:val="20"/>
              </w:rPr>
              <w:t>Database</w:t>
            </w:r>
          </w:p>
        </w:tc>
        <w:tc>
          <w:tcPr>
            <w:tcW w:w="1886" w:type="pct"/>
            <w:shd w:val="clear" w:color="auto" w:fill="F2F2F2"/>
          </w:tcPr>
          <w:p w14:paraId="2FABBE94">
            <w:pPr>
              <w:jc w:val="both"/>
              <w:rPr>
                <w:b/>
                <w:sz w:val="20"/>
                <w:szCs w:val="20"/>
              </w:rPr>
            </w:pPr>
            <w:r>
              <w:rPr>
                <w:b/>
                <w:sz w:val="20"/>
                <w:szCs w:val="20"/>
              </w:rPr>
              <w:t>Search query</w:t>
            </w:r>
          </w:p>
        </w:tc>
        <w:tc>
          <w:tcPr>
            <w:tcW w:w="737" w:type="pct"/>
            <w:shd w:val="clear" w:color="auto" w:fill="F2F2F2"/>
          </w:tcPr>
          <w:p w14:paraId="4761D286">
            <w:pPr>
              <w:rPr>
                <w:b/>
                <w:sz w:val="20"/>
                <w:szCs w:val="20"/>
              </w:rPr>
            </w:pPr>
            <w:r>
              <w:rPr>
                <w:b/>
                <w:sz w:val="20"/>
                <w:szCs w:val="20"/>
              </w:rPr>
              <w:t>Number of search results included into data selection</w:t>
            </w:r>
          </w:p>
        </w:tc>
        <w:tc>
          <w:tcPr>
            <w:tcW w:w="820" w:type="pct"/>
            <w:shd w:val="clear" w:color="auto" w:fill="F2F2F2"/>
          </w:tcPr>
          <w:p w14:paraId="1121A4A2">
            <w:pPr>
              <w:rPr>
                <w:b/>
                <w:sz w:val="20"/>
                <w:szCs w:val="20"/>
              </w:rPr>
            </w:pPr>
            <w:r>
              <w:rPr>
                <w:b/>
                <w:sz w:val="20"/>
                <w:szCs w:val="20"/>
              </w:rPr>
              <w:t>Number of search results excluded (EBA) after data selection</w:t>
            </w:r>
          </w:p>
        </w:tc>
        <w:tc>
          <w:tcPr>
            <w:tcW w:w="901" w:type="pct"/>
            <w:shd w:val="clear" w:color="auto" w:fill="DDD9C3"/>
          </w:tcPr>
          <w:p w14:paraId="04294B4E">
            <w:pPr>
              <w:rPr>
                <w:b/>
                <w:sz w:val="20"/>
                <w:szCs w:val="20"/>
              </w:rPr>
            </w:pPr>
            <w:r>
              <w:rPr>
                <w:b/>
                <w:sz w:val="20"/>
                <w:szCs w:val="20"/>
              </w:rPr>
              <w:t>Number of search results included (INC) after data selection for data appraisal</w:t>
            </w:r>
          </w:p>
        </w:tc>
      </w:tr>
      <w:tr w14:paraId="092F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1BF60B62">
            <w:pPr>
              <w:jc w:val="both"/>
              <w:rPr>
                <w:sz w:val="20"/>
                <w:szCs w:val="20"/>
              </w:rPr>
            </w:pPr>
            <w:r>
              <w:rPr>
                <w:sz w:val="20"/>
                <w:szCs w:val="20"/>
              </w:rPr>
              <w:t>PubMed</w:t>
            </w:r>
          </w:p>
        </w:tc>
        <w:tc>
          <w:tcPr>
            <w:tcW w:w="1886" w:type="pct"/>
          </w:tcPr>
          <w:p w14:paraId="566C7E10">
            <w:pPr>
              <w:rPr>
                <w:sz w:val="20"/>
                <w:szCs w:val="20"/>
              </w:rPr>
            </w:pPr>
            <w:r>
              <w:rPr>
                <w:sz w:val="20"/>
                <w:szCs w:val="20"/>
              </w:rPr>
              <w:t>inion AND (s-1 OR s1 OR s-2 OR s2);</w:t>
            </w:r>
          </w:p>
          <w:p w14:paraId="3CDAE77C">
            <w:pPr>
              <w:rPr>
                <w:sz w:val="20"/>
                <w:szCs w:val="20"/>
              </w:rPr>
            </w:pPr>
            <w:r>
              <w:rPr>
                <w:sz w:val="20"/>
                <w:szCs w:val="20"/>
              </w:rPr>
              <w:t>inion AND (plate OR plating OR plates) AND (spine OR spinal);</w:t>
            </w:r>
          </w:p>
          <w:p w14:paraId="1D1342F5">
            <w:pPr>
              <w:rPr>
                <w:sz w:val="20"/>
                <w:szCs w:val="20"/>
              </w:rPr>
            </w:pPr>
            <w:r>
              <w:rPr>
                <w:sz w:val="20"/>
                <w:szCs w:val="20"/>
              </w:rPr>
              <w:t>inion AND (cervical OR thoracic OR lumbar OR thoraco-lumbar);</w:t>
            </w:r>
          </w:p>
          <w:p w14:paraId="58AF7231">
            <w:pPr>
              <w:rPr>
                <w:sz w:val="20"/>
                <w:szCs w:val="20"/>
              </w:rPr>
            </w:pPr>
            <w:r>
              <w:rPr>
                <w:sz w:val="20"/>
                <w:szCs w:val="20"/>
              </w:rPr>
              <w:t>(biodegradable OR bioabsorbable OR bioresorbable OR degradable OR absorbable OR resorbable) AND (spine OR spinal) AND (plate OR plating OR plates);</w:t>
            </w:r>
          </w:p>
          <w:p w14:paraId="3EEEC035">
            <w:pPr>
              <w:rPr>
                <w:sz w:val="20"/>
                <w:szCs w:val="20"/>
              </w:rPr>
            </w:pPr>
            <w:r>
              <w:rPr>
                <w:sz w:val="20"/>
                <w:szCs w:val="20"/>
              </w:rPr>
              <w:t xml:space="preserve">(biodegradable OR bioabsorbable OR bioresorbable OR degradable OR absorbable OR resorbable) AND (cervical OR thoracic OR lumbar OR thoraco-lumbar OR fusion) AND (plate OR plating OR plates) </w:t>
            </w:r>
          </w:p>
        </w:tc>
        <w:tc>
          <w:tcPr>
            <w:tcW w:w="737" w:type="pct"/>
            <w:shd w:val="clear" w:color="auto" w:fill="auto"/>
          </w:tcPr>
          <w:p w14:paraId="344F253C">
            <w:pPr>
              <w:jc w:val="both"/>
              <w:rPr>
                <w:sz w:val="20"/>
                <w:szCs w:val="20"/>
                <w:lang w:eastAsia="zh-CN"/>
              </w:rPr>
            </w:pPr>
            <w:r>
              <w:rPr>
                <w:sz w:val="20"/>
                <w:szCs w:val="20"/>
                <w:lang w:eastAsia="zh-CN"/>
              </w:rPr>
              <w:t>54</w:t>
            </w:r>
          </w:p>
        </w:tc>
        <w:tc>
          <w:tcPr>
            <w:tcW w:w="820" w:type="pct"/>
            <w:shd w:val="clear" w:color="auto" w:fill="auto"/>
          </w:tcPr>
          <w:p w14:paraId="6BF5C368">
            <w:pPr>
              <w:jc w:val="both"/>
              <w:rPr>
                <w:sz w:val="20"/>
                <w:szCs w:val="20"/>
                <w:lang w:eastAsia="zh-CN"/>
              </w:rPr>
            </w:pPr>
            <w:r>
              <w:rPr>
                <w:sz w:val="20"/>
                <w:szCs w:val="20"/>
                <w:lang w:eastAsia="zh-CN"/>
              </w:rPr>
              <w:t>43</w:t>
            </w:r>
          </w:p>
        </w:tc>
        <w:tc>
          <w:tcPr>
            <w:tcW w:w="901" w:type="pct"/>
            <w:shd w:val="clear" w:color="auto" w:fill="DDD9C3"/>
          </w:tcPr>
          <w:p w14:paraId="6CD21760">
            <w:pPr>
              <w:rPr>
                <w:sz w:val="20"/>
                <w:szCs w:val="20"/>
                <w:lang w:eastAsia="zh-CN"/>
              </w:rPr>
            </w:pPr>
            <w:r>
              <w:rPr>
                <w:sz w:val="20"/>
                <w:szCs w:val="20"/>
                <w:lang w:eastAsia="zh-CN"/>
              </w:rPr>
              <w:t>11</w:t>
            </w:r>
          </w:p>
        </w:tc>
      </w:tr>
      <w:tr w14:paraId="50F2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3F2669DF">
            <w:pPr>
              <w:jc w:val="both"/>
              <w:rPr>
                <w:sz w:val="20"/>
                <w:szCs w:val="20"/>
              </w:rPr>
            </w:pPr>
            <w:r>
              <w:rPr>
                <w:sz w:val="20"/>
                <w:szCs w:val="20"/>
              </w:rPr>
              <w:t>Science</w:t>
            </w:r>
          </w:p>
          <w:p w14:paraId="55225F28">
            <w:pPr>
              <w:jc w:val="both"/>
              <w:rPr>
                <w:sz w:val="20"/>
                <w:szCs w:val="20"/>
              </w:rPr>
            </w:pPr>
            <w:r>
              <w:rPr>
                <w:sz w:val="20"/>
                <w:szCs w:val="20"/>
              </w:rPr>
              <w:t>Direct</w:t>
            </w:r>
          </w:p>
        </w:tc>
        <w:tc>
          <w:tcPr>
            <w:tcW w:w="1886" w:type="pct"/>
          </w:tcPr>
          <w:p w14:paraId="60E15BBF">
            <w:pPr>
              <w:rPr>
                <w:sz w:val="20"/>
                <w:szCs w:val="20"/>
              </w:rPr>
            </w:pPr>
            <w:r>
              <w:rPr>
                <w:sz w:val="20"/>
                <w:szCs w:val="20"/>
                <w:lang w:eastAsia="zh-CN"/>
              </w:rPr>
              <w:t>See above</w:t>
            </w:r>
          </w:p>
        </w:tc>
        <w:tc>
          <w:tcPr>
            <w:tcW w:w="737" w:type="pct"/>
            <w:shd w:val="clear" w:color="auto" w:fill="auto"/>
          </w:tcPr>
          <w:p w14:paraId="425102E9">
            <w:pPr>
              <w:jc w:val="both"/>
              <w:rPr>
                <w:sz w:val="20"/>
                <w:szCs w:val="20"/>
                <w:lang w:eastAsia="zh-CN"/>
              </w:rPr>
            </w:pPr>
            <w:r>
              <w:rPr>
                <w:sz w:val="20"/>
                <w:szCs w:val="20"/>
                <w:lang w:eastAsia="zh-CN"/>
              </w:rPr>
              <w:t>7</w:t>
            </w:r>
          </w:p>
        </w:tc>
        <w:tc>
          <w:tcPr>
            <w:tcW w:w="820" w:type="pct"/>
            <w:shd w:val="clear" w:color="auto" w:fill="auto"/>
          </w:tcPr>
          <w:p w14:paraId="01297905">
            <w:pPr>
              <w:jc w:val="both"/>
              <w:rPr>
                <w:color w:val="000000"/>
                <w:sz w:val="20"/>
                <w:szCs w:val="20"/>
                <w:lang w:eastAsia="zh-CN"/>
              </w:rPr>
            </w:pPr>
            <w:r>
              <w:rPr>
                <w:color w:val="000000"/>
                <w:sz w:val="20"/>
                <w:szCs w:val="20"/>
                <w:lang w:eastAsia="zh-CN"/>
              </w:rPr>
              <w:t>7</w:t>
            </w:r>
          </w:p>
        </w:tc>
        <w:tc>
          <w:tcPr>
            <w:tcW w:w="901" w:type="pct"/>
            <w:shd w:val="clear" w:color="auto" w:fill="DDD9C3"/>
          </w:tcPr>
          <w:p w14:paraId="0C33E756">
            <w:pPr>
              <w:jc w:val="both"/>
              <w:rPr>
                <w:color w:val="000000"/>
                <w:sz w:val="20"/>
                <w:szCs w:val="20"/>
                <w:lang w:eastAsia="zh-CN"/>
              </w:rPr>
            </w:pPr>
            <w:r>
              <w:rPr>
                <w:color w:val="000000"/>
                <w:sz w:val="20"/>
                <w:szCs w:val="20"/>
                <w:lang w:eastAsia="zh-CN"/>
              </w:rPr>
              <w:t>0</w:t>
            </w:r>
          </w:p>
        </w:tc>
      </w:tr>
      <w:tr w14:paraId="42B1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0A70AB0B">
            <w:pPr>
              <w:jc w:val="both"/>
              <w:rPr>
                <w:sz w:val="20"/>
                <w:szCs w:val="20"/>
              </w:rPr>
            </w:pPr>
            <w:r>
              <w:rPr>
                <w:sz w:val="20"/>
                <w:szCs w:val="20"/>
              </w:rPr>
              <w:t>Embase</w:t>
            </w:r>
          </w:p>
        </w:tc>
        <w:tc>
          <w:tcPr>
            <w:tcW w:w="1886" w:type="pct"/>
          </w:tcPr>
          <w:p w14:paraId="2C5391F0">
            <w:pPr>
              <w:jc w:val="both"/>
              <w:rPr>
                <w:sz w:val="20"/>
                <w:szCs w:val="20"/>
              </w:rPr>
            </w:pPr>
            <w:r>
              <w:rPr>
                <w:sz w:val="20"/>
                <w:szCs w:val="20"/>
              </w:rPr>
              <w:t>inion:df or inion:dn</w:t>
            </w:r>
          </w:p>
        </w:tc>
        <w:tc>
          <w:tcPr>
            <w:tcW w:w="737" w:type="pct"/>
            <w:shd w:val="clear" w:color="auto" w:fill="auto"/>
          </w:tcPr>
          <w:p w14:paraId="126B686A">
            <w:pPr>
              <w:jc w:val="both"/>
              <w:rPr>
                <w:sz w:val="20"/>
                <w:szCs w:val="20"/>
                <w:lang w:eastAsia="zh-CN"/>
              </w:rPr>
            </w:pPr>
            <w:r>
              <w:rPr>
                <w:sz w:val="20"/>
                <w:szCs w:val="20"/>
                <w:lang w:eastAsia="zh-CN"/>
              </w:rPr>
              <w:t>55</w:t>
            </w:r>
          </w:p>
        </w:tc>
        <w:tc>
          <w:tcPr>
            <w:tcW w:w="820" w:type="pct"/>
            <w:shd w:val="clear" w:color="auto" w:fill="auto"/>
          </w:tcPr>
          <w:p w14:paraId="60597275">
            <w:pPr>
              <w:jc w:val="both"/>
              <w:rPr>
                <w:sz w:val="20"/>
                <w:szCs w:val="20"/>
              </w:rPr>
            </w:pPr>
            <w:r>
              <w:rPr>
                <w:sz w:val="20"/>
                <w:szCs w:val="20"/>
              </w:rPr>
              <w:t>54</w:t>
            </w:r>
          </w:p>
        </w:tc>
        <w:tc>
          <w:tcPr>
            <w:tcW w:w="901" w:type="pct"/>
            <w:shd w:val="clear" w:color="auto" w:fill="DDD9C3"/>
          </w:tcPr>
          <w:p w14:paraId="4E79A032">
            <w:pPr>
              <w:jc w:val="both"/>
              <w:rPr>
                <w:sz w:val="20"/>
                <w:szCs w:val="20"/>
              </w:rPr>
            </w:pPr>
            <w:r>
              <w:rPr>
                <w:sz w:val="20"/>
                <w:szCs w:val="20"/>
              </w:rPr>
              <w:t>1</w:t>
            </w:r>
          </w:p>
        </w:tc>
      </w:tr>
      <w:tr w14:paraId="7FD1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47CB23AC">
            <w:pPr>
              <w:rPr>
                <w:sz w:val="20"/>
                <w:szCs w:val="20"/>
              </w:rPr>
            </w:pPr>
            <w:r>
              <w:rPr>
                <w:sz w:val="20"/>
                <w:szCs w:val="20"/>
              </w:rPr>
              <w:t>Cochrane Central Register of Controlled Trials (CENTRAL)</w:t>
            </w:r>
          </w:p>
        </w:tc>
        <w:tc>
          <w:tcPr>
            <w:tcW w:w="1886" w:type="pct"/>
          </w:tcPr>
          <w:p w14:paraId="76CC6902">
            <w:pPr>
              <w:jc w:val="both"/>
              <w:rPr>
                <w:sz w:val="20"/>
                <w:szCs w:val="20"/>
              </w:rPr>
            </w:pPr>
            <w:r>
              <w:rPr>
                <w:sz w:val="20"/>
                <w:szCs w:val="20"/>
              </w:rPr>
              <w:t>inion</w:t>
            </w:r>
            <w:r>
              <w:rPr>
                <w:sz w:val="20"/>
                <w:szCs w:val="20"/>
                <w:lang w:eastAsia="zh-CN"/>
              </w:rPr>
              <w:t xml:space="preserve"> (All text)</w:t>
            </w:r>
          </w:p>
        </w:tc>
        <w:tc>
          <w:tcPr>
            <w:tcW w:w="737" w:type="pct"/>
            <w:shd w:val="clear" w:color="auto" w:fill="auto"/>
          </w:tcPr>
          <w:p w14:paraId="2424CB7D">
            <w:pPr>
              <w:jc w:val="both"/>
              <w:rPr>
                <w:sz w:val="20"/>
                <w:szCs w:val="20"/>
                <w:lang w:eastAsia="zh-CN"/>
              </w:rPr>
            </w:pPr>
            <w:r>
              <w:rPr>
                <w:sz w:val="20"/>
                <w:szCs w:val="20"/>
                <w:lang w:eastAsia="zh-CN"/>
              </w:rPr>
              <w:t>28</w:t>
            </w:r>
          </w:p>
        </w:tc>
        <w:tc>
          <w:tcPr>
            <w:tcW w:w="820" w:type="pct"/>
            <w:shd w:val="clear" w:color="auto" w:fill="auto"/>
          </w:tcPr>
          <w:p w14:paraId="3016FC48">
            <w:pPr>
              <w:jc w:val="both"/>
              <w:rPr>
                <w:sz w:val="20"/>
                <w:szCs w:val="20"/>
              </w:rPr>
            </w:pPr>
            <w:r>
              <w:rPr>
                <w:sz w:val="20"/>
                <w:szCs w:val="20"/>
              </w:rPr>
              <w:t>28</w:t>
            </w:r>
          </w:p>
        </w:tc>
        <w:tc>
          <w:tcPr>
            <w:tcW w:w="901" w:type="pct"/>
            <w:shd w:val="clear" w:color="auto" w:fill="DDD9C3"/>
          </w:tcPr>
          <w:p w14:paraId="0117C3EB">
            <w:pPr>
              <w:jc w:val="both"/>
              <w:rPr>
                <w:sz w:val="20"/>
                <w:szCs w:val="20"/>
              </w:rPr>
            </w:pPr>
            <w:r>
              <w:rPr>
                <w:sz w:val="20"/>
                <w:szCs w:val="20"/>
              </w:rPr>
              <w:t>0</w:t>
            </w:r>
          </w:p>
        </w:tc>
      </w:tr>
      <w:tr w14:paraId="7E88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21071763">
            <w:pPr>
              <w:jc w:val="both"/>
              <w:rPr>
                <w:sz w:val="20"/>
                <w:szCs w:val="20"/>
                <w:lang w:eastAsia="zh-CN"/>
              </w:rPr>
            </w:pPr>
            <w:r>
              <w:rPr>
                <w:sz w:val="20"/>
                <w:szCs w:val="20"/>
                <w:lang w:eastAsia="zh-CN"/>
              </w:rPr>
              <w:t>Clinical</w:t>
            </w:r>
          </w:p>
          <w:p w14:paraId="56F61AA6">
            <w:pPr>
              <w:jc w:val="both"/>
              <w:rPr>
                <w:sz w:val="20"/>
                <w:szCs w:val="20"/>
              </w:rPr>
            </w:pPr>
            <w:r>
              <w:rPr>
                <w:sz w:val="20"/>
                <w:szCs w:val="20"/>
                <w:lang w:eastAsia="zh-CN"/>
              </w:rPr>
              <w:t>trials.gov</w:t>
            </w:r>
          </w:p>
        </w:tc>
        <w:tc>
          <w:tcPr>
            <w:tcW w:w="1886" w:type="pct"/>
          </w:tcPr>
          <w:p w14:paraId="20CA1F63">
            <w:pPr>
              <w:jc w:val="both"/>
              <w:rPr>
                <w:sz w:val="20"/>
                <w:szCs w:val="20"/>
              </w:rPr>
            </w:pPr>
            <w:r>
              <w:rPr>
                <w:sz w:val="20"/>
                <w:szCs w:val="20"/>
              </w:rPr>
              <w:t>inion</w:t>
            </w:r>
          </w:p>
        </w:tc>
        <w:tc>
          <w:tcPr>
            <w:tcW w:w="737" w:type="pct"/>
            <w:shd w:val="clear" w:color="auto" w:fill="auto"/>
          </w:tcPr>
          <w:p w14:paraId="1F22A180">
            <w:pPr>
              <w:jc w:val="both"/>
              <w:rPr>
                <w:sz w:val="20"/>
                <w:szCs w:val="20"/>
                <w:lang w:eastAsia="zh-CN"/>
              </w:rPr>
            </w:pPr>
            <w:r>
              <w:rPr>
                <w:sz w:val="20"/>
                <w:szCs w:val="20"/>
                <w:lang w:eastAsia="zh-CN"/>
              </w:rPr>
              <w:t>16</w:t>
            </w:r>
          </w:p>
        </w:tc>
        <w:tc>
          <w:tcPr>
            <w:tcW w:w="820" w:type="pct"/>
            <w:shd w:val="clear" w:color="auto" w:fill="auto"/>
          </w:tcPr>
          <w:p w14:paraId="2D6495E7">
            <w:pPr>
              <w:jc w:val="both"/>
              <w:rPr>
                <w:sz w:val="20"/>
                <w:szCs w:val="20"/>
                <w:lang w:eastAsia="zh-CN"/>
              </w:rPr>
            </w:pPr>
            <w:r>
              <w:rPr>
                <w:sz w:val="20"/>
                <w:szCs w:val="20"/>
                <w:lang w:eastAsia="zh-CN"/>
              </w:rPr>
              <w:t>16</w:t>
            </w:r>
          </w:p>
        </w:tc>
        <w:tc>
          <w:tcPr>
            <w:tcW w:w="901" w:type="pct"/>
            <w:shd w:val="clear" w:color="auto" w:fill="DDD9C3"/>
          </w:tcPr>
          <w:p w14:paraId="7543962B">
            <w:pPr>
              <w:rPr>
                <w:sz w:val="20"/>
                <w:szCs w:val="20"/>
                <w:lang w:eastAsia="zh-CN"/>
              </w:rPr>
            </w:pPr>
            <w:r>
              <w:rPr>
                <w:sz w:val="20"/>
                <w:szCs w:val="20"/>
                <w:lang w:eastAsia="zh-CN"/>
              </w:rPr>
              <w:t>0</w:t>
            </w:r>
          </w:p>
        </w:tc>
      </w:tr>
      <w:tr w14:paraId="3F5A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6923E07B">
            <w:pPr>
              <w:jc w:val="both"/>
              <w:rPr>
                <w:sz w:val="20"/>
                <w:szCs w:val="20"/>
              </w:rPr>
            </w:pPr>
            <w:r>
              <w:rPr>
                <w:sz w:val="20"/>
                <w:szCs w:val="20"/>
                <w:lang w:eastAsia="zh-CN"/>
              </w:rPr>
              <w:t>WHO ICTRP</w:t>
            </w:r>
          </w:p>
        </w:tc>
        <w:tc>
          <w:tcPr>
            <w:tcW w:w="1886" w:type="pct"/>
          </w:tcPr>
          <w:p w14:paraId="56110E63">
            <w:pPr>
              <w:rPr>
                <w:color w:val="00B050"/>
                <w:sz w:val="20"/>
                <w:szCs w:val="20"/>
                <w:lang w:eastAsia="zh-CN"/>
              </w:rPr>
            </w:pPr>
            <w:r>
              <w:rPr>
                <w:sz w:val="20"/>
                <w:szCs w:val="20"/>
              </w:rPr>
              <w:t>spine OR spinal / “condition” AND spinal graft containment or S-1 or s 1 or s-2 or s2 / “intervention”</w:t>
            </w:r>
          </w:p>
        </w:tc>
        <w:tc>
          <w:tcPr>
            <w:tcW w:w="737" w:type="pct"/>
            <w:shd w:val="clear" w:color="auto" w:fill="auto"/>
          </w:tcPr>
          <w:p w14:paraId="7F5FF09A">
            <w:pPr>
              <w:jc w:val="both"/>
              <w:rPr>
                <w:sz w:val="20"/>
                <w:szCs w:val="20"/>
                <w:lang w:eastAsia="zh-CN"/>
              </w:rPr>
            </w:pPr>
            <w:r>
              <w:rPr>
                <w:sz w:val="20"/>
                <w:szCs w:val="20"/>
                <w:lang w:eastAsia="zh-CN"/>
              </w:rPr>
              <w:t>9</w:t>
            </w:r>
          </w:p>
        </w:tc>
        <w:tc>
          <w:tcPr>
            <w:tcW w:w="820" w:type="pct"/>
            <w:shd w:val="clear" w:color="auto" w:fill="auto"/>
          </w:tcPr>
          <w:p w14:paraId="681E4929">
            <w:pPr>
              <w:jc w:val="both"/>
              <w:rPr>
                <w:sz w:val="20"/>
                <w:szCs w:val="20"/>
                <w:lang w:eastAsia="zh-CN"/>
              </w:rPr>
            </w:pPr>
            <w:r>
              <w:rPr>
                <w:sz w:val="20"/>
                <w:szCs w:val="20"/>
                <w:lang w:eastAsia="zh-CN"/>
              </w:rPr>
              <w:t>9</w:t>
            </w:r>
          </w:p>
        </w:tc>
        <w:tc>
          <w:tcPr>
            <w:tcW w:w="901" w:type="pct"/>
            <w:shd w:val="clear" w:color="auto" w:fill="DDD9C3"/>
          </w:tcPr>
          <w:p w14:paraId="4FDFE2E3">
            <w:pPr>
              <w:jc w:val="both"/>
              <w:rPr>
                <w:sz w:val="20"/>
                <w:szCs w:val="20"/>
                <w:lang w:eastAsia="zh-CN"/>
              </w:rPr>
            </w:pPr>
            <w:r>
              <w:rPr>
                <w:sz w:val="20"/>
                <w:szCs w:val="20"/>
                <w:lang w:eastAsia="zh-CN"/>
              </w:rPr>
              <w:t>0</w:t>
            </w:r>
          </w:p>
        </w:tc>
      </w:tr>
      <w:tr w14:paraId="0438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4F475DBB">
            <w:pPr>
              <w:rPr>
                <w:sz w:val="20"/>
                <w:szCs w:val="20"/>
                <w:lang w:eastAsia="zh-CN"/>
              </w:rPr>
            </w:pPr>
            <w:r>
              <w:rPr>
                <w:sz w:val="20"/>
                <w:szCs w:val="20"/>
                <w:lang w:eastAsia="zh-CN"/>
              </w:rPr>
              <w:t>Citations referenced in the searched literature</w:t>
            </w:r>
          </w:p>
        </w:tc>
        <w:tc>
          <w:tcPr>
            <w:tcW w:w="1886" w:type="pct"/>
          </w:tcPr>
          <w:p w14:paraId="14ED472F">
            <w:pPr>
              <w:rPr>
                <w:sz w:val="20"/>
                <w:szCs w:val="20"/>
              </w:rPr>
            </w:pPr>
            <w:r>
              <w:rPr>
                <w:sz w:val="20"/>
                <w:szCs w:val="20"/>
              </w:rPr>
              <w:t>-</w:t>
            </w:r>
          </w:p>
        </w:tc>
        <w:tc>
          <w:tcPr>
            <w:tcW w:w="737" w:type="pct"/>
            <w:shd w:val="clear" w:color="auto" w:fill="auto"/>
          </w:tcPr>
          <w:p w14:paraId="77788FC5">
            <w:pPr>
              <w:jc w:val="both"/>
              <w:rPr>
                <w:sz w:val="20"/>
                <w:szCs w:val="20"/>
                <w:lang w:eastAsia="zh-CN"/>
              </w:rPr>
            </w:pPr>
            <w:r>
              <w:rPr>
                <w:sz w:val="20"/>
                <w:szCs w:val="20"/>
                <w:lang w:eastAsia="zh-CN"/>
              </w:rPr>
              <w:t>0</w:t>
            </w:r>
          </w:p>
        </w:tc>
        <w:tc>
          <w:tcPr>
            <w:tcW w:w="820" w:type="pct"/>
            <w:shd w:val="clear" w:color="auto" w:fill="auto"/>
          </w:tcPr>
          <w:p w14:paraId="5F70E9B2">
            <w:pPr>
              <w:jc w:val="both"/>
              <w:rPr>
                <w:sz w:val="20"/>
                <w:szCs w:val="20"/>
                <w:lang w:eastAsia="zh-CN"/>
              </w:rPr>
            </w:pPr>
            <w:r>
              <w:rPr>
                <w:sz w:val="20"/>
                <w:szCs w:val="20"/>
                <w:lang w:eastAsia="zh-CN"/>
              </w:rPr>
              <w:t>0</w:t>
            </w:r>
          </w:p>
        </w:tc>
        <w:tc>
          <w:tcPr>
            <w:tcW w:w="901" w:type="pct"/>
            <w:shd w:val="clear" w:color="auto" w:fill="DDD9C3"/>
          </w:tcPr>
          <w:p w14:paraId="197F89DC">
            <w:pPr>
              <w:jc w:val="both"/>
              <w:rPr>
                <w:sz w:val="20"/>
                <w:szCs w:val="20"/>
                <w:lang w:eastAsia="zh-CN"/>
              </w:rPr>
            </w:pPr>
            <w:r>
              <w:rPr>
                <w:sz w:val="20"/>
                <w:szCs w:val="20"/>
                <w:lang w:eastAsia="zh-CN"/>
              </w:rPr>
              <w:t>0</w:t>
            </w:r>
          </w:p>
        </w:tc>
      </w:tr>
      <w:tr w14:paraId="6ED1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 w:type="pct"/>
            <w:shd w:val="clear" w:color="auto" w:fill="auto"/>
          </w:tcPr>
          <w:p w14:paraId="3B8A26C4">
            <w:pPr>
              <w:rPr>
                <w:sz w:val="20"/>
                <w:szCs w:val="20"/>
                <w:lang w:eastAsia="zh-CN"/>
              </w:rPr>
            </w:pPr>
            <w:r>
              <w:rPr>
                <w:sz w:val="20"/>
                <w:szCs w:val="20"/>
                <w:lang w:eastAsia="zh-CN"/>
              </w:rPr>
              <w:t>Articles identified in previous clinical evaluations</w:t>
            </w:r>
          </w:p>
        </w:tc>
        <w:tc>
          <w:tcPr>
            <w:tcW w:w="1886" w:type="pct"/>
          </w:tcPr>
          <w:p w14:paraId="48B202EE">
            <w:pPr>
              <w:rPr>
                <w:sz w:val="20"/>
                <w:szCs w:val="20"/>
              </w:rPr>
            </w:pPr>
            <w:r>
              <w:rPr>
                <w:sz w:val="20"/>
                <w:szCs w:val="20"/>
              </w:rPr>
              <w:t>-</w:t>
            </w:r>
          </w:p>
        </w:tc>
        <w:tc>
          <w:tcPr>
            <w:tcW w:w="737" w:type="pct"/>
            <w:shd w:val="clear" w:color="auto" w:fill="auto"/>
          </w:tcPr>
          <w:p w14:paraId="4139275F">
            <w:pPr>
              <w:rPr>
                <w:sz w:val="20"/>
                <w:szCs w:val="20"/>
                <w:lang w:eastAsia="zh-CN"/>
              </w:rPr>
            </w:pPr>
            <w:r>
              <w:rPr>
                <w:sz w:val="20"/>
                <w:szCs w:val="20"/>
                <w:lang w:eastAsia="zh-CN"/>
              </w:rPr>
              <w:t>1</w:t>
            </w:r>
          </w:p>
        </w:tc>
        <w:tc>
          <w:tcPr>
            <w:tcW w:w="820" w:type="pct"/>
            <w:shd w:val="clear" w:color="auto" w:fill="auto"/>
          </w:tcPr>
          <w:p w14:paraId="6CC69F9C">
            <w:pPr>
              <w:jc w:val="both"/>
              <w:rPr>
                <w:sz w:val="20"/>
                <w:szCs w:val="20"/>
                <w:lang w:eastAsia="zh-CN"/>
              </w:rPr>
            </w:pPr>
            <w:r>
              <w:rPr>
                <w:sz w:val="20"/>
                <w:szCs w:val="20"/>
                <w:lang w:eastAsia="zh-CN"/>
              </w:rPr>
              <w:t>0</w:t>
            </w:r>
          </w:p>
        </w:tc>
        <w:tc>
          <w:tcPr>
            <w:tcW w:w="901" w:type="pct"/>
            <w:shd w:val="clear" w:color="auto" w:fill="DDD9C3"/>
          </w:tcPr>
          <w:p w14:paraId="27143222">
            <w:pPr>
              <w:jc w:val="both"/>
              <w:rPr>
                <w:sz w:val="20"/>
                <w:szCs w:val="20"/>
                <w:lang w:eastAsia="zh-CN"/>
              </w:rPr>
            </w:pPr>
            <w:r>
              <w:rPr>
                <w:sz w:val="20"/>
                <w:szCs w:val="20"/>
                <w:lang w:eastAsia="zh-CN"/>
              </w:rPr>
              <w:t>1</w:t>
            </w:r>
          </w:p>
        </w:tc>
      </w:tr>
    </w:tbl>
    <w:p w14:paraId="4002EF21">
      <w:pPr>
        <w:jc w:val="both"/>
        <w:rPr>
          <w:color w:val="FF0000"/>
        </w:rPr>
      </w:pPr>
    </w:p>
    <w:p w14:paraId="488E5FDB">
      <w:pPr>
        <w:pStyle w:val="4"/>
      </w:pPr>
      <w:bookmarkStart w:id="44" w:name="_Toc480979561"/>
      <w:bookmarkStart w:id="45" w:name="_Toc459195984"/>
      <w:r>
        <w:t>Adverse event database search</w:t>
      </w:r>
      <w:bookmarkEnd w:id="44"/>
      <w:bookmarkEnd w:id="45"/>
    </w:p>
    <w:p w14:paraId="57021E97"/>
    <w:p w14:paraId="63A5C8BB">
      <w:pPr>
        <w:jc w:val="both"/>
        <w:rPr>
          <w:color w:val="FF0000"/>
          <w:lang w:eastAsia="zh-CN"/>
        </w:rPr>
      </w:pPr>
      <w:bookmarkStart w:id="46" w:name="_Toc459195985"/>
      <w:r>
        <w:t xml:space="preserve">As part of the clinical evaluation, a search in FDA Manufacturer and User Facility Device Experience (MAUDE) </w:t>
      </w:r>
      <w:r>
        <w:rPr>
          <w:lang w:eastAsia="zh-CN"/>
        </w:rPr>
        <w:t xml:space="preserve">and </w:t>
      </w:r>
      <w:r>
        <w:rPr>
          <w:lang w:eastAsia="fi-FI"/>
        </w:rPr>
        <w:t>Total Product Life Cycle (TPLC)</w:t>
      </w:r>
      <w:r>
        <w:rPr>
          <w:color w:val="3333FF"/>
          <w:lang w:eastAsia="fi-FI"/>
        </w:rPr>
        <w:t xml:space="preserve"> </w:t>
      </w:r>
      <w:r>
        <w:t>database</w:t>
      </w:r>
      <w:r>
        <w:rPr>
          <w:lang w:eastAsia="zh-CN"/>
        </w:rPr>
        <w:t>s</w:t>
      </w:r>
      <w:r>
        <w:t xml:space="preserve"> w</w:t>
      </w:r>
      <w:r>
        <w:rPr>
          <w:lang w:eastAsia="zh-CN"/>
        </w:rPr>
        <w:t>as</w:t>
      </w:r>
      <w:r>
        <w:t xml:space="preserve"> performed. The search was conducted to retrieve information of reported adverse events related to the use of Inion Spinal Graft Containment System™</w:t>
      </w:r>
      <w:r>
        <w:rPr>
          <w:lang w:eastAsia="zh-CN"/>
        </w:rPr>
        <w:t>. Data was searched from 2005 onwards when the first Inion S-1 products were launched to the market</w:t>
      </w:r>
      <w:r>
        <w:t xml:space="preserve">. </w:t>
      </w:r>
      <w:r>
        <w:rPr>
          <w:lang w:eastAsia="zh-CN"/>
        </w:rPr>
        <w:t>T</w:t>
      </w:r>
      <w:r>
        <w:rPr>
          <w:rFonts w:hint="eastAsia"/>
          <w:lang w:eastAsia="zh-CN"/>
        </w:rPr>
        <w:t>he search results are</w:t>
      </w:r>
      <w:r>
        <w:t xml:space="preserve"> copied as unedited in</w:t>
      </w:r>
      <w:r>
        <w:rPr>
          <w:i/>
        </w:rPr>
        <w:t xml:space="preserve"> </w:t>
      </w:r>
      <w:r>
        <w:t>Appendix 8</w:t>
      </w:r>
      <w:r>
        <w:rPr>
          <w:lang w:eastAsia="zh-CN"/>
        </w:rPr>
        <w:t>.</w:t>
      </w:r>
    </w:p>
    <w:p w14:paraId="569F7DF4"/>
    <w:p w14:paraId="28E9256E">
      <w:pPr>
        <w:jc w:val="both"/>
        <w:rPr>
          <w:rFonts w:eastAsia="PMingLiU" w:cs="Calibri"/>
          <w:strike/>
          <w:lang w:eastAsia="zh-TW"/>
        </w:rPr>
      </w:pPr>
      <w:r>
        <w:t xml:space="preserve">As a result, </w:t>
      </w:r>
      <w:r>
        <w:rPr>
          <w:rFonts w:eastAsia="PMingLiU" w:cs="Calibri"/>
          <w:lang w:eastAsia="zh-TW"/>
        </w:rPr>
        <w:t xml:space="preserve">5 separate </w:t>
      </w:r>
      <w:r>
        <w:t>reported adverse events related to the use of</w:t>
      </w:r>
      <w:r>
        <w:rPr>
          <w:lang w:eastAsia="zh-CN"/>
        </w:rPr>
        <w:t xml:space="preserve"> </w:t>
      </w:r>
      <w:r>
        <w:t>Inion S-1™ were found</w:t>
      </w:r>
      <w:r>
        <w:rPr>
          <w:lang w:eastAsia="zh-CN"/>
        </w:rPr>
        <w:t xml:space="preserve">. </w:t>
      </w:r>
      <w:r>
        <w:rPr>
          <w:rFonts w:eastAsia="PMingLiU" w:cs="Calibri"/>
          <w:lang w:eastAsia="zh-TW"/>
        </w:rPr>
        <w:t xml:space="preserve"> No adverse events </w:t>
      </w:r>
      <w:r>
        <w:t>related to the use of</w:t>
      </w:r>
      <w:r>
        <w:rPr>
          <w:rFonts w:eastAsia="PMingLiU" w:cs="Calibri"/>
          <w:lang w:eastAsia="zh-TW"/>
        </w:rPr>
        <w:t xml:space="preserve"> Inion S-2</w:t>
      </w:r>
      <w:r>
        <w:rPr>
          <w:rFonts w:eastAsia="PMingLiU" w:cs="Calibri"/>
          <w:vertAlign w:val="superscript"/>
          <w:lang w:eastAsia="zh-TW"/>
        </w:rPr>
        <w:t>TM</w:t>
      </w:r>
      <w:r>
        <w:rPr>
          <w:rFonts w:eastAsia="PMingLiU" w:cs="Calibri"/>
          <w:lang w:eastAsia="zh-TW"/>
        </w:rPr>
        <w:t xml:space="preserve"> were found. Results are discussed in Chapter 5.3 PMS data.</w:t>
      </w:r>
    </w:p>
    <w:p w14:paraId="0CE90E62">
      <w:pPr>
        <w:jc w:val="both"/>
        <w:rPr>
          <w:strike/>
          <w:color w:val="FF0000"/>
          <w:sz w:val="32"/>
          <w:szCs w:val="16"/>
          <w:lang w:eastAsia="fi-FI"/>
        </w:rPr>
      </w:pPr>
      <w:r>
        <w:rPr>
          <w:strike/>
          <w:color w:val="FF0000"/>
          <w:sz w:val="32"/>
          <w:szCs w:val="16"/>
          <w:lang w:eastAsia="fi-FI"/>
        </w:rPr>
        <w:br w:type="page"/>
      </w:r>
    </w:p>
    <w:p w14:paraId="0F0E07B7">
      <w:pPr>
        <w:pStyle w:val="2"/>
      </w:pPr>
      <w:bookmarkStart w:id="47" w:name="_Toc480979562"/>
      <w:r>
        <w:t>Summary and appraisal of the clinical data</w:t>
      </w:r>
      <w:bookmarkEnd w:id="46"/>
      <w:bookmarkEnd w:id="47"/>
    </w:p>
    <w:p w14:paraId="776F3DF9">
      <w:pPr>
        <w:jc w:val="both"/>
        <w:rPr>
          <w:lang w:eastAsia="fi-FI"/>
        </w:rPr>
      </w:pPr>
      <w:r>
        <w:rPr>
          <w:lang w:eastAsia="fi-FI"/>
        </w:rPr>
        <w:t>The following chapters 4.1-4.3, 5.1 and 5.2</w:t>
      </w:r>
      <w:r>
        <w:rPr>
          <w:color w:val="FF0000"/>
          <w:lang w:eastAsia="fi-FI"/>
        </w:rPr>
        <w:t xml:space="preserve"> </w:t>
      </w:r>
      <w:r>
        <w:rPr>
          <w:lang w:eastAsia="fi-FI"/>
        </w:rPr>
        <w:t>describe the clinical data appraisal and analysis process in more detail.</w:t>
      </w:r>
    </w:p>
    <w:p w14:paraId="2459CC63">
      <w:pPr>
        <w:jc w:val="both"/>
        <w:rPr>
          <w:i/>
          <w:lang w:eastAsia="fi-FI"/>
        </w:rPr>
      </w:pPr>
    </w:p>
    <w:p w14:paraId="607FA797">
      <w:pPr>
        <w:pStyle w:val="3"/>
        <w:rPr>
          <w:lang w:eastAsia="fi-FI"/>
        </w:rPr>
      </w:pPr>
      <w:bookmarkStart w:id="48" w:name="_Toc480979563"/>
      <w:r>
        <w:rPr>
          <w:lang w:eastAsia="fi-FI"/>
        </w:rPr>
        <w:t>Criteria for suitability</w:t>
      </w:r>
      <w:bookmarkEnd w:id="48"/>
    </w:p>
    <w:p w14:paraId="4AE9092E">
      <w:pPr>
        <w:jc w:val="both"/>
        <w:rPr>
          <w:lang w:eastAsia="fi-FI"/>
        </w:rPr>
      </w:pPr>
      <w:r>
        <w:t>The publications were screened based on their relevance to</w:t>
      </w:r>
      <w:r>
        <w:rPr>
          <w:i/>
          <w:color w:val="FF0000"/>
        </w:rPr>
        <w:t xml:space="preserve"> </w:t>
      </w:r>
      <w:r>
        <w:t>the intended use of Inion Spinal Graft Containment System™ in spinal fusion procedures as a means to maintain the relative position of weak bony tissue such as allografts or autografts. C</w:t>
      </w:r>
      <w:r>
        <w:rPr>
          <w:lang w:eastAsia="fi-FI"/>
        </w:rPr>
        <w:t>riteria for suitability are presented in Table 10.</w:t>
      </w:r>
    </w:p>
    <w:p w14:paraId="1A26F1CD">
      <w:pPr>
        <w:jc w:val="both"/>
        <w:rPr>
          <w:lang w:eastAsia="fi-FI"/>
        </w:rPr>
      </w:pPr>
    </w:p>
    <w:p w14:paraId="5DADF4CE">
      <w:pPr>
        <w:pStyle w:val="14"/>
        <w:rPr>
          <w:rFonts w:ascii="Calibri" w:hAnsi="Calibri"/>
        </w:rPr>
      </w:pPr>
      <w:bookmarkStart w:id="49" w:name="_Toc480979589"/>
      <w:r>
        <w:rPr>
          <w:rFonts w:ascii="Calibri" w:hAnsi="Calibri"/>
        </w:rPr>
        <w:t>Table 10. Suitability criteria</w:t>
      </w:r>
      <w:bookmarkEnd w:id="49"/>
    </w:p>
    <w:p w14:paraId="54BDB59A">
      <w:pPr>
        <w:pStyle w:val="14"/>
        <w:rPr>
          <w:rFonts w:ascii="Calibri" w:hAnsi="Calibri"/>
        </w:rPr>
      </w:pPr>
    </w:p>
    <w:tbl>
      <w:tblPr>
        <w:tblStyle w:val="26"/>
        <w:tblW w:w="8652" w:type="dxa"/>
        <w:tblInd w:w="65" w:type="dxa"/>
        <w:tblLayout w:type="autofit"/>
        <w:tblCellMar>
          <w:top w:w="0" w:type="dxa"/>
          <w:left w:w="70" w:type="dxa"/>
          <w:bottom w:w="0" w:type="dxa"/>
          <w:right w:w="70" w:type="dxa"/>
        </w:tblCellMar>
      </w:tblPr>
      <w:tblGrid>
        <w:gridCol w:w="2415"/>
        <w:gridCol w:w="3544"/>
        <w:gridCol w:w="2693"/>
      </w:tblGrid>
      <w:tr w14:paraId="1AFD6F23">
        <w:tblPrEx>
          <w:tblCellMar>
            <w:top w:w="0" w:type="dxa"/>
            <w:left w:w="70" w:type="dxa"/>
            <w:bottom w:w="0" w:type="dxa"/>
            <w:right w:w="70" w:type="dxa"/>
          </w:tblCellMar>
        </w:tblPrEx>
        <w:trPr>
          <w:trHeight w:val="287" w:hRule="atLeast"/>
        </w:trPr>
        <w:tc>
          <w:tcPr>
            <w:tcW w:w="2415" w:type="dxa"/>
            <w:tcBorders>
              <w:top w:val="single" w:color="auto" w:sz="4" w:space="0"/>
              <w:left w:val="single" w:color="auto" w:sz="4" w:space="0"/>
              <w:bottom w:val="nil"/>
              <w:right w:val="single" w:color="auto" w:sz="4" w:space="0"/>
            </w:tcBorders>
            <w:shd w:val="clear" w:color="auto" w:fill="auto"/>
            <w:noWrap/>
            <w:vAlign w:val="bottom"/>
          </w:tcPr>
          <w:p w14:paraId="15365F7F">
            <w:pPr>
              <w:rPr>
                <w:b/>
                <w:bCs/>
                <w:color w:val="000000"/>
                <w:sz w:val="22"/>
                <w:szCs w:val="22"/>
              </w:rPr>
            </w:pPr>
            <w:r>
              <w:rPr>
                <w:b/>
                <w:bCs/>
                <w:color w:val="000000"/>
                <w:sz w:val="22"/>
                <w:szCs w:val="22"/>
              </w:rPr>
              <w:t>Suitability criteria</w:t>
            </w:r>
          </w:p>
        </w:tc>
        <w:tc>
          <w:tcPr>
            <w:tcW w:w="3544" w:type="dxa"/>
            <w:tcBorders>
              <w:top w:val="single" w:color="auto" w:sz="4" w:space="0"/>
              <w:left w:val="nil"/>
              <w:bottom w:val="nil"/>
              <w:right w:val="single" w:color="auto" w:sz="4" w:space="0"/>
            </w:tcBorders>
            <w:shd w:val="clear" w:color="auto" w:fill="auto"/>
            <w:noWrap/>
            <w:vAlign w:val="bottom"/>
          </w:tcPr>
          <w:p w14:paraId="3465224C">
            <w:pPr>
              <w:rPr>
                <w:b/>
                <w:bCs/>
                <w:color w:val="000000"/>
                <w:sz w:val="22"/>
                <w:szCs w:val="22"/>
              </w:rPr>
            </w:pPr>
            <w:r>
              <w:rPr>
                <w:b/>
                <w:bCs/>
                <w:color w:val="000000"/>
                <w:sz w:val="22"/>
                <w:szCs w:val="22"/>
              </w:rPr>
              <w:t>Description</w:t>
            </w:r>
          </w:p>
        </w:tc>
        <w:tc>
          <w:tcPr>
            <w:tcW w:w="2693" w:type="dxa"/>
            <w:tcBorders>
              <w:top w:val="single" w:color="auto" w:sz="4" w:space="0"/>
              <w:left w:val="nil"/>
              <w:bottom w:val="nil"/>
              <w:right w:val="single" w:color="auto" w:sz="4" w:space="0"/>
            </w:tcBorders>
            <w:shd w:val="clear" w:color="auto" w:fill="auto"/>
            <w:noWrap/>
            <w:vAlign w:val="bottom"/>
          </w:tcPr>
          <w:p w14:paraId="15B351FB">
            <w:pPr>
              <w:rPr>
                <w:b/>
                <w:bCs/>
                <w:color w:val="000000"/>
                <w:sz w:val="22"/>
                <w:szCs w:val="22"/>
              </w:rPr>
            </w:pPr>
            <w:r>
              <w:rPr>
                <w:b/>
                <w:bCs/>
                <w:color w:val="000000"/>
                <w:sz w:val="22"/>
                <w:szCs w:val="22"/>
              </w:rPr>
              <w:t>Grading system</w:t>
            </w:r>
          </w:p>
        </w:tc>
      </w:tr>
      <w:tr w14:paraId="330329CD">
        <w:tblPrEx>
          <w:tblCellMar>
            <w:top w:w="0" w:type="dxa"/>
            <w:left w:w="70" w:type="dxa"/>
            <w:bottom w:w="0" w:type="dxa"/>
            <w:right w:w="70" w:type="dxa"/>
          </w:tblCellMar>
        </w:tblPrEx>
        <w:trPr>
          <w:trHeight w:val="363" w:hRule="atLeast"/>
        </w:trPr>
        <w:tc>
          <w:tcPr>
            <w:tcW w:w="2415" w:type="dxa"/>
            <w:vMerge w:val="restart"/>
            <w:tcBorders>
              <w:top w:val="single" w:color="auto" w:sz="8" w:space="0"/>
              <w:left w:val="single" w:color="auto" w:sz="8" w:space="0"/>
              <w:bottom w:val="single" w:color="000000" w:sz="8" w:space="0"/>
              <w:right w:val="single" w:color="auto" w:sz="4" w:space="0"/>
            </w:tcBorders>
            <w:shd w:val="clear" w:color="auto" w:fill="auto"/>
            <w:noWrap/>
            <w:vAlign w:val="center"/>
          </w:tcPr>
          <w:p w14:paraId="0FB0E072">
            <w:pPr>
              <w:rPr>
                <w:color w:val="000000"/>
                <w:sz w:val="22"/>
                <w:szCs w:val="22"/>
              </w:rPr>
            </w:pPr>
            <w:r>
              <w:rPr>
                <w:color w:val="000000"/>
                <w:sz w:val="22"/>
                <w:szCs w:val="22"/>
              </w:rPr>
              <w:t>Appropriate device</w:t>
            </w:r>
          </w:p>
        </w:tc>
        <w:tc>
          <w:tcPr>
            <w:tcW w:w="3544" w:type="dxa"/>
            <w:vMerge w:val="restart"/>
            <w:tcBorders>
              <w:top w:val="single" w:color="auto" w:sz="8" w:space="0"/>
              <w:left w:val="single" w:color="auto" w:sz="4" w:space="0"/>
              <w:bottom w:val="single" w:color="000000" w:sz="8" w:space="0"/>
              <w:right w:val="single" w:color="auto" w:sz="4" w:space="0"/>
            </w:tcBorders>
            <w:shd w:val="clear" w:color="auto" w:fill="auto"/>
            <w:vAlign w:val="center"/>
          </w:tcPr>
          <w:p w14:paraId="0E7ED648">
            <w:pPr>
              <w:rPr>
                <w:color w:val="000000"/>
                <w:sz w:val="22"/>
                <w:szCs w:val="22"/>
              </w:rPr>
            </w:pPr>
            <w:r>
              <w:rPr>
                <w:color w:val="000000"/>
                <w:sz w:val="22"/>
                <w:szCs w:val="22"/>
              </w:rPr>
              <w:t>Were the data generated from the device in question?</w:t>
            </w:r>
          </w:p>
        </w:tc>
        <w:tc>
          <w:tcPr>
            <w:tcW w:w="2693" w:type="dxa"/>
            <w:tcBorders>
              <w:top w:val="single" w:color="auto" w:sz="8" w:space="0"/>
              <w:left w:val="nil"/>
              <w:bottom w:val="single" w:color="auto" w:sz="4" w:space="0"/>
              <w:right w:val="single" w:color="auto" w:sz="4" w:space="0"/>
            </w:tcBorders>
            <w:shd w:val="clear" w:color="auto" w:fill="auto"/>
            <w:noWrap/>
            <w:vAlign w:val="bottom"/>
          </w:tcPr>
          <w:p w14:paraId="692E6041">
            <w:pPr>
              <w:rPr>
                <w:color w:val="000000"/>
                <w:sz w:val="22"/>
                <w:szCs w:val="22"/>
              </w:rPr>
            </w:pPr>
            <w:r>
              <w:rPr>
                <w:color w:val="000000"/>
                <w:sz w:val="22"/>
                <w:szCs w:val="22"/>
              </w:rPr>
              <w:t>Actual  device</w:t>
            </w:r>
          </w:p>
        </w:tc>
      </w:tr>
      <w:tr w14:paraId="4768A4AA">
        <w:tblPrEx>
          <w:tblCellMar>
            <w:top w:w="0" w:type="dxa"/>
            <w:left w:w="70" w:type="dxa"/>
            <w:bottom w:w="0" w:type="dxa"/>
            <w:right w:w="70" w:type="dxa"/>
          </w:tblCellMar>
        </w:tblPrEx>
        <w:trPr>
          <w:trHeight w:val="280" w:hRule="atLeast"/>
        </w:trPr>
        <w:tc>
          <w:tcPr>
            <w:tcW w:w="2415" w:type="dxa"/>
            <w:vMerge w:val="continue"/>
            <w:tcBorders>
              <w:top w:val="single" w:color="auto" w:sz="8" w:space="0"/>
              <w:left w:val="single" w:color="auto" w:sz="8" w:space="0"/>
              <w:bottom w:val="single" w:color="000000" w:sz="8" w:space="0"/>
              <w:right w:val="single" w:color="auto" w:sz="4" w:space="0"/>
            </w:tcBorders>
            <w:vAlign w:val="center"/>
          </w:tcPr>
          <w:p w14:paraId="357A7498">
            <w:pPr>
              <w:rPr>
                <w:color w:val="000000"/>
                <w:sz w:val="22"/>
                <w:szCs w:val="22"/>
              </w:rPr>
            </w:pPr>
          </w:p>
        </w:tc>
        <w:tc>
          <w:tcPr>
            <w:tcW w:w="3544" w:type="dxa"/>
            <w:vMerge w:val="continue"/>
            <w:tcBorders>
              <w:top w:val="single" w:color="auto" w:sz="8" w:space="0"/>
              <w:left w:val="single" w:color="auto" w:sz="4" w:space="0"/>
              <w:bottom w:val="single" w:color="000000" w:sz="8" w:space="0"/>
              <w:right w:val="single" w:color="auto" w:sz="4" w:space="0"/>
            </w:tcBorders>
            <w:vAlign w:val="center"/>
          </w:tcPr>
          <w:p w14:paraId="3A500305">
            <w:pPr>
              <w:rPr>
                <w:color w:val="000000"/>
                <w:sz w:val="22"/>
                <w:szCs w:val="22"/>
              </w:rPr>
            </w:pPr>
          </w:p>
        </w:tc>
        <w:tc>
          <w:tcPr>
            <w:tcW w:w="2693" w:type="dxa"/>
            <w:tcBorders>
              <w:top w:val="nil"/>
              <w:left w:val="nil"/>
              <w:bottom w:val="single" w:color="auto" w:sz="4" w:space="0"/>
              <w:right w:val="single" w:color="auto" w:sz="4" w:space="0"/>
            </w:tcBorders>
            <w:shd w:val="clear" w:color="auto" w:fill="auto"/>
            <w:noWrap/>
            <w:vAlign w:val="bottom"/>
          </w:tcPr>
          <w:p w14:paraId="4C621E7C">
            <w:pPr>
              <w:rPr>
                <w:color w:val="000000"/>
                <w:sz w:val="22"/>
                <w:szCs w:val="22"/>
              </w:rPr>
            </w:pPr>
            <w:r>
              <w:rPr>
                <w:color w:val="000000"/>
                <w:sz w:val="22"/>
                <w:szCs w:val="22"/>
              </w:rPr>
              <w:t>Equivalent device</w:t>
            </w:r>
          </w:p>
        </w:tc>
      </w:tr>
      <w:tr w14:paraId="76D9ACC1">
        <w:tblPrEx>
          <w:tblCellMar>
            <w:top w:w="0" w:type="dxa"/>
            <w:left w:w="70" w:type="dxa"/>
            <w:bottom w:w="0" w:type="dxa"/>
            <w:right w:w="70" w:type="dxa"/>
          </w:tblCellMar>
        </w:tblPrEx>
        <w:trPr>
          <w:trHeight w:val="273" w:hRule="atLeast"/>
        </w:trPr>
        <w:tc>
          <w:tcPr>
            <w:tcW w:w="2415" w:type="dxa"/>
            <w:vMerge w:val="continue"/>
            <w:tcBorders>
              <w:top w:val="single" w:color="auto" w:sz="8" w:space="0"/>
              <w:left w:val="single" w:color="auto" w:sz="8" w:space="0"/>
              <w:bottom w:val="single" w:color="000000" w:sz="8" w:space="0"/>
              <w:right w:val="single" w:color="auto" w:sz="4" w:space="0"/>
            </w:tcBorders>
            <w:vAlign w:val="center"/>
          </w:tcPr>
          <w:p w14:paraId="75CB9003">
            <w:pPr>
              <w:rPr>
                <w:color w:val="000000"/>
                <w:sz w:val="22"/>
                <w:szCs w:val="22"/>
              </w:rPr>
            </w:pPr>
          </w:p>
        </w:tc>
        <w:tc>
          <w:tcPr>
            <w:tcW w:w="3544" w:type="dxa"/>
            <w:vMerge w:val="continue"/>
            <w:tcBorders>
              <w:top w:val="single" w:color="auto" w:sz="8" w:space="0"/>
              <w:left w:val="single" w:color="auto" w:sz="4" w:space="0"/>
              <w:bottom w:val="single" w:color="000000" w:sz="8" w:space="0"/>
              <w:right w:val="single" w:color="auto" w:sz="4" w:space="0"/>
            </w:tcBorders>
            <w:vAlign w:val="center"/>
          </w:tcPr>
          <w:p w14:paraId="5612233C">
            <w:pPr>
              <w:rPr>
                <w:color w:val="000000"/>
                <w:sz w:val="22"/>
                <w:szCs w:val="22"/>
              </w:rPr>
            </w:pPr>
          </w:p>
        </w:tc>
        <w:tc>
          <w:tcPr>
            <w:tcW w:w="2693" w:type="dxa"/>
            <w:tcBorders>
              <w:top w:val="nil"/>
              <w:left w:val="nil"/>
              <w:bottom w:val="nil"/>
              <w:right w:val="single" w:color="auto" w:sz="4" w:space="0"/>
            </w:tcBorders>
            <w:shd w:val="clear" w:color="auto" w:fill="auto"/>
            <w:noWrap/>
            <w:vAlign w:val="bottom"/>
          </w:tcPr>
          <w:p w14:paraId="42971209">
            <w:pPr>
              <w:rPr>
                <w:color w:val="000000"/>
                <w:sz w:val="22"/>
                <w:szCs w:val="22"/>
              </w:rPr>
            </w:pPr>
            <w:r>
              <w:rPr>
                <w:color w:val="000000"/>
                <w:sz w:val="22"/>
                <w:szCs w:val="22"/>
              </w:rPr>
              <w:t>Other device</w:t>
            </w:r>
          </w:p>
        </w:tc>
      </w:tr>
      <w:tr w14:paraId="382BDAA1">
        <w:tblPrEx>
          <w:tblCellMar>
            <w:top w:w="0" w:type="dxa"/>
            <w:left w:w="70" w:type="dxa"/>
            <w:bottom w:w="0" w:type="dxa"/>
            <w:right w:w="70" w:type="dxa"/>
          </w:tblCellMar>
        </w:tblPrEx>
        <w:trPr>
          <w:trHeight w:val="61" w:hRule="atLeast"/>
        </w:trPr>
        <w:tc>
          <w:tcPr>
            <w:tcW w:w="2415" w:type="dxa"/>
            <w:vMerge w:val="continue"/>
            <w:tcBorders>
              <w:top w:val="single" w:color="auto" w:sz="8" w:space="0"/>
              <w:left w:val="single" w:color="auto" w:sz="8" w:space="0"/>
              <w:bottom w:val="single" w:color="000000" w:sz="8" w:space="0"/>
              <w:right w:val="single" w:color="auto" w:sz="4" w:space="0"/>
            </w:tcBorders>
            <w:vAlign w:val="center"/>
          </w:tcPr>
          <w:p w14:paraId="40EF2397">
            <w:pPr>
              <w:rPr>
                <w:color w:val="000000"/>
                <w:sz w:val="22"/>
                <w:szCs w:val="22"/>
              </w:rPr>
            </w:pPr>
          </w:p>
        </w:tc>
        <w:tc>
          <w:tcPr>
            <w:tcW w:w="3544" w:type="dxa"/>
            <w:vMerge w:val="continue"/>
            <w:tcBorders>
              <w:top w:val="single" w:color="auto" w:sz="8" w:space="0"/>
              <w:left w:val="single" w:color="auto" w:sz="4" w:space="0"/>
              <w:bottom w:val="single" w:color="000000" w:sz="8" w:space="0"/>
              <w:right w:val="single" w:color="auto" w:sz="4" w:space="0"/>
            </w:tcBorders>
            <w:vAlign w:val="center"/>
          </w:tcPr>
          <w:p w14:paraId="785E9E51">
            <w:pPr>
              <w:rPr>
                <w:color w:val="000000"/>
                <w:sz w:val="22"/>
                <w:szCs w:val="22"/>
              </w:rPr>
            </w:pPr>
          </w:p>
        </w:tc>
        <w:tc>
          <w:tcPr>
            <w:tcW w:w="2693" w:type="dxa"/>
            <w:tcBorders>
              <w:top w:val="single" w:color="auto" w:sz="4" w:space="0"/>
              <w:left w:val="nil"/>
              <w:bottom w:val="nil"/>
              <w:right w:val="single" w:color="auto" w:sz="4" w:space="0"/>
            </w:tcBorders>
            <w:shd w:val="clear" w:color="auto" w:fill="auto"/>
            <w:noWrap/>
            <w:vAlign w:val="bottom"/>
          </w:tcPr>
          <w:p w14:paraId="0D0F8BA7">
            <w:pPr>
              <w:rPr>
                <w:color w:val="000000"/>
                <w:sz w:val="22"/>
                <w:szCs w:val="22"/>
              </w:rPr>
            </w:pPr>
            <w:r>
              <w:rPr>
                <w:color w:val="000000"/>
                <w:sz w:val="22"/>
                <w:szCs w:val="22"/>
              </w:rPr>
              <w:t>Insufficient information</w:t>
            </w:r>
          </w:p>
        </w:tc>
      </w:tr>
      <w:tr w14:paraId="1BB764C0">
        <w:tblPrEx>
          <w:tblCellMar>
            <w:top w:w="0" w:type="dxa"/>
            <w:left w:w="70" w:type="dxa"/>
            <w:bottom w:w="0" w:type="dxa"/>
            <w:right w:w="70" w:type="dxa"/>
          </w:tblCellMar>
        </w:tblPrEx>
        <w:trPr>
          <w:trHeight w:val="268" w:hRule="atLeast"/>
        </w:trPr>
        <w:tc>
          <w:tcPr>
            <w:tcW w:w="2415" w:type="dxa"/>
            <w:vMerge w:val="restart"/>
            <w:tcBorders>
              <w:top w:val="nil"/>
              <w:left w:val="single" w:color="auto" w:sz="8" w:space="0"/>
              <w:bottom w:val="single" w:color="000000" w:sz="8" w:space="0"/>
              <w:right w:val="single" w:color="auto" w:sz="4" w:space="0"/>
            </w:tcBorders>
            <w:shd w:val="clear" w:color="auto" w:fill="auto"/>
            <w:noWrap/>
            <w:vAlign w:val="center"/>
          </w:tcPr>
          <w:p w14:paraId="4078D95C">
            <w:pPr>
              <w:rPr>
                <w:color w:val="000000"/>
                <w:sz w:val="22"/>
                <w:szCs w:val="22"/>
              </w:rPr>
            </w:pPr>
            <w:r>
              <w:rPr>
                <w:color w:val="000000"/>
                <w:sz w:val="22"/>
                <w:szCs w:val="22"/>
              </w:rPr>
              <w:t>Appropriate device application</w:t>
            </w:r>
          </w:p>
        </w:tc>
        <w:tc>
          <w:tcPr>
            <w:tcW w:w="3544" w:type="dxa"/>
            <w:vMerge w:val="restart"/>
            <w:tcBorders>
              <w:top w:val="nil"/>
              <w:left w:val="single" w:color="auto" w:sz="4" w:space="0"/>
              <w:bottom w:val="single" w:color="000000" w:sz="8" w:space="0"/>
              <w:right w:val="single" w:color="auto" w:sz="8" w:space="0"/>
            </w:tcBorders>
            <w:shd w:val="clear" w:color="auto" w:fill="auto"/>
            <w:vAlign w:val="center"/>
          </w:tcPr>
          <w:p w14:paraId="54FF0014">
            <w:pPr>
              <w:rPr>
                <w:color w:val="000000"/>
                <w:sz w:val="22"/>
                <w:szCs w:val="22"/>
              </w:rPr>
            </w:pPr>
            <w:r>
              <w:rPr>
                <w:color w:val="000000"/>
                <w:sz w:val="22"/>
                <w:szCs w:val="22"/>
              </w:rPr>
              <w:t>Was the device used for the same intended use?</w:t>
            </w:r>
          </w:p>
        </w:tc>
        <w:tc>
          <w:tcPr>
            <w:tcW w:w="2693" w:type="dxa"/>
            <w:tcBorders>
              <w:top w:val="single" w:color="auto" w:sz="8" w:space="0"/>
              <w:left w:val="nil"/>
              <w:bottom w:val="single" w:color="auto" w:sz="4" w:space="0"/>
              <w:right w:val="single" w:color="auto" w:sz="4" w:space="0"/>
            </w:tcBorders>
            <w:shd w:val="clear" w:color="auto" w:fill="auto"/>
            <w:noWrap/>
            <w:vAlign w:val="bottom"/>
          </w:tcPr>
          <w:p w14:paraId="0773ABE1">
            <w:pPr>
              <w:rPr>
                <w:color w:val="000000"/>
                <w:sz w:val="22"/>
                <w:szCs w:val="22"/>
              </w:rPr>
            </w:pPr>
            <w:r>
              <w:rPr>
                <w:color w:val="000000"/>
                <w:sz w:val="22"/>
                <w:szCs w:val="22"/>
              </w:rPr>
              <w:t>Same use</w:t>
            </w:r>
          </w:p>
        </w:tc>
      </w:tr>
      <w:tr w14:paraId="270609F6">
        <w:tblPrEx>
          <w:tblCellMar>
            <w:top w:w="0" w:type="dxa"/>
            <w:left w:w="70" w:type="dxa"/>
            <w:bottom w:w="0" w:type="dxa"/>
            <w:right w:w="70" w:type="dxa"/>
          </w:tblCellMar>
        </w:tblPrEx>
        <w:trPr>
          <w:trHeight w:val="273" w:hRule="atLeast"/>
        </w:trPr>
        <w:tc>
          <w:tcPr>
            <w:tcW w:w="2415" w:type="dxa"/>
            <w:vMerge w:val="continue"/>
            <w:tcBorders>
              <w:top w:val="nil"/>
              <w:left w:val="single" w:color="auto" w:sz="8" w:space="0"/>
              <w:bottom w:val="single" w:color="000000" w:sz="8" w:space="0"/>
              <w:right w:val="single" w:color="auto" w:sz="4" w:space="0"/>
            </w:tcBorders>
            <w:vAlign w:val="center"/>
          </w:tcPr>
          <w:p w14:paraId="3FEDE6A1">
            <w:pPr>
              <w:rPr>
                <w:color w:val="000000"/>
                <w:sz w:val="22"/>
                <w:szCs w:val="22"/>
              </w:rPr>
            </w:pPr>
          </w:p>
        </w:tc>
        <w:tc>
          <w:tcPr>
            <w:tcW w:w="3544" w:type="dxa"/>
            <w:vMerge w:val="continue"/>
            <w:tcBorders>
              <w:top w:val="nil"/>
              <w:left w:val="single" w:color="auto" w:sz="4" w:space="0"/>
              <w:bottom w:val="single" w:color="000000" w:sz="8" w:space="0"/>
              <w:right w:val="single" w:color="auto" w:sz="8" w:space="0"/>
            </w:tcBorders>
            <w:vAlign w:val="center"/>
          </w:tcPr>
          <w:p w14:paraId="630243B5">
            <w:pPr>
              <w:rPr>
                <w:color w:val="000000"/>
                <w:sz w:val="22"/>
                <w:szCs w:val="22"/>
              </w:rPr>
            </w:pPr>
          </w:p>
        </w:tc>
        <w:tc>
          <w:tcPr>
            <w:tcW w:w="2693" w:type="dxa"/>
            <w:tcBorders>
              <w:top w:val="nil"/>
              <w:left w:val="nil"/>
              <w:bottom w:val="single" w:color="auto" w:sz="4" w:space="0"/>
              <w:right w:val="single" w:color="auto" w:sz="4" w:space="0"/>
            </w:tcBorders>
            <w:shd w:val="clear" w:color="auto" w:fill="auto"/>
            <w:noWrap/>
            <w:vAlign w:val="bottom"/>
          </w:tcPr>
          <w:p w14:paraId="236247C1">
            <w:pPr>
              <w:rPr>
                <w:color w:val="000000"/>
                <w:sz w:val="22"/>
                <w:szCs w:val="22"/>
              </w:rPr>
            </w:pPr>
            <w:r>
              <w:rPr>
                <w:color w:val="000000"/>
                <w:sz w:val="22"/>
                <w:szCs w:val="22"/>
              </w:rPr>
              <w:t>Minor deviation</w:t>
            </w:r>
          </w:p>
        </w:tc>
      </w:tr>
      <w:tr w14:paraId="20B92C6F">
        <w:tblPrEx>
          <w:tblCellMar>
            <w:top w:w="0" w:type="dxa"/>
            <w:left w:w="70" w:type="dxa"/>
            <w:bottom w:w="0" w:type="dxa"/>
            <w:right w:w="70" w:type="dxa"/>
          </w:tblCellMar>
        </w:tblPrEx>
        <w:trPr>
          <w:trHeight w:val="306" w:hRule="atLeast"/>
        </w:trPr>
        <w:tc>
          <w:tcPr>
            <w:tcW w:w="2415" w:type="dxa"/>
            <w:vMerge w:val="continue"/>
            <w:tcBorders>
              <w:top w:val="nil"/>
              <w:left w:val="single" w:color="auto" w:sz="8" w:space="0"/>
              <w:bottom w:val="single" w:color="000000" w:sz="8" w:space="0"/>
              <w:right w:val="single" w:color="auto" w:sz="4" w:space="0"/>
            </w:tcBorders>
            <w:vAlign w:val="center"/>
          </w:tcPr>
          <w:p w14:paraId="039C44B7">
            <w:pPr>
              <w:rPr>
                <w:color w:val="000000"/>
                <w:sz w:val="22"/>
                <w:szCs w:val="22"/>
              </w:rPr>
            </w:pPr>
          </w:p>
        </w:tc>
        <w:tc>
          <w:tcPr>
            <w:tcW w:w="3544" w:type="dxa"/>
            <w:vMerge w:val="continue"/>
            <w:tcBorders>
              <w:top w:val="nil"/>
              <w:left w:val="single" w:color="auto" w:sz="4" w:space="0"/>
              <w:bottom w:val="single" w:color="000000" w:sz="8" w:space="0"/>
              <w:right w:val="single" w:color="auto" w:sz="8" w:space="0"/>
            </w:tcBorders>
            <w:vAlign w:val="center"/>
          </w:tcPr>
          <w:p w14:paraId="163AA6C9">
            <w:pPr>
              <w:rPr>
                <w:color w:val="000000"/>
                <w:sz w:val="22"/>
                <w:szCs w:val="22"/>
              </w:rPr>
            </w:pPr>
          </w:p>
        </w:tc>
        <w:tc>
          <w:tcPr>
            <w:tcW w:w="2693" w:type="dxa"/>
            <w:tcBorders>
              <w:top w:val="nil"/>
              <w:left w:val="nil"/>
              <w:bottom w:val="single" w:color="auto" w:sz="4" w:space="0"/>
              <w:right w:val="single" w:color="auto" w:sz="4" w:space="0"/>
            </w:tcBorders>
            <w:shd w:val="clear" w:color="auto" w:fill="auto"/>
            <w:noWrap/>
            <w:vAlign w:val="bottom"/>
          </w:tcPr>
          <w:p w14:paraId="6DE95BE0">
            <w:pPr>
              <w:rPr>
                <w:color w:val="000000"/>
                <w:sz w:val="22"/>
                <w:szCs w:val="22"/>
              </w:rPr>
            </w:pPr>
            <w:r>
              <w:rPr>
                <w:color w:val="000000"/>
                <w:sz w:val="22"/>
                <w:szCs w:val="22"/>
              </w:rPr>
              <w:t>Major deviation</w:t>
            </w:r>
          </w:p>
        </w:tc>
      </w:tr>
      <w:tr w14:paraId="3E3413CB">
        <w:tblPrEx>
          <w:tblCellMar>
            <w:top w:w="0" w:type="dxa"/>
            <w:left w:w="70" w:type="dxa"/>
            <w:bottom w:w="0" w:type="dxa"/>
            <w:right w:w="70" w:type="dxa"/>
          </w:tblCellMar>
        </w:tblPrEx>
        <w:trPr>
          <w:trHeight w:val="369" w:hRule="atLeast"/>
        </w:trPr>
        <w:tc>
          <w:tcPr>
            <w:tcW w:w="2415" w:type="dxa"/>
            <w:vMerge w:val="continue"/>
            <w:tcBorders>
              <w:top w:val="nil"/>
              <w:left w:val="single" w:color="auto" w:sz="8" w:space="0"/>
              <w:bottom w:val="single" w:color="000000" w:sz="8" w:space="0"/>
              <w:right w:val="single" w:color="auto" w:sz="4" w:space="0"/>
            </w:tcBorders>
            <w:vAlign w:val="center"/>
          </w:tcPr>
          <w:p w14:paraId="12891DE9">
            <w:pPr>
              <w:rPr>
                <w:color w:val="000000"/>
                <w:sz w:val="22"/>
                <w:szCs w:val="22"/>
              </w:rPr>
            </w:pPr>
          </w:p>
        </w:tc>
        <w:tc>
          <w:tcPr>
            <w:tcW w:w="3544" w:type="dxa"/>
            <w:vMerge w:val="continue"/>
            <w:tcBorders>
              <w:top w:val="nil"/>
              <w:left w:val="single" w:color="auto" w:sz="4" w:space="0"/>
              <w:bottom w:val="single" w:color="000000" w:sz="8" w:space="0"/>
              <w:right w:val="single" w:color="auto" w:sz="8" w:space="0"/>
            </w:tcBorders>
            <w:vAlign w:val="center"/>
          </w:tcPr>
          <w:p w14:paraId="06A35F8F">
            <w:pPr>
              <w:rPr>
                <w:color w:val="000000"/>
                <w:sz w:val="22"/>
                <w:szCs w:val="22"/>
              </w:rPr>
            </w:pPr>
          </w:p>
        </w:tc>
        <w:tc>
          <w:tcPr>
            <w:tcW w:w="2693" w:type="dxa"/>
            <w:tcBorders>
              <w:top w:val="nil"/>
              <w:left w:val="nil"/>
              <w:bottom w:val="nil"/>
              <w:right w:val="single" w:color="auto" w:sz="4" w:space="0"/>
            </w:tcBorders>
            <w:shd w:val="clear" w:color="auto" w:fill="auto"/>
            <w:noWrap/>
            <w:vAlign w:val="bottom"/>
          </w:tcPr>
          <w:p w14:paraId="7AB768A5">
            <w:pPr>
              <w:rPr>
                <w:color w:val="000000"/>
                <w:sz w:val="22"/>
                <w:szCs w:val="22"/>
              </w:rPr>
            </w:pPr>
            <w:r>
              <w:rPr>
                <w:color w:val="000000"/>
                <w:sz w:val="22"/>
                <w:szCs w:val="22"/>
              </w:rPr>
              <w:t>Insufficient information</w:t>
            </w:r>
          </w:p>
        </w:tc>
      </w:tr>
      <w:tr w14:paraId="45182D56">
        <w:tblPrEx>
          <w:tblCellMar>
            <w:top w:w="0" w:type="dxa"/>
            <w:left w:w="70" w:type="dxa"/>
            <w:bottom w:w="0" w:type="dxa"/>
            <w:right w:w="70" w:type="dxa"/>
          </w:tblCellMar>
        </w:tblPrEx>
        <w:trPr>
          <w:trHeight w:val="254" w:hRule="atLeast"/>
        </w:trPr>
        <w:tc>
          <w:tcPr>
            <w:tcW w:w="2415" w:type="dxa"/>
            <w:vMerge w:val="restart"/>
            <w:tcBorders>
              <w:top w:val="nil"/>
              <w:left w:val="single" w:color="auto" w:sz="8" w:space="0"/>
              <w:bottom w:val="single" w:color="000000" w:sz="8" w:space="0"/>
              <w:right w:val="single" w:color="auto" w:sz="8" w:space="0"/>
            </w:tcBorders>
            <w:shd w:val="clear" w:color="auto" w:fill="auto"/>
            <w:noWrap/>
            <w:vAlign w:val="center"/>
          </w:tcPr>
          <w:p w14:paraId="45878AB6">
            <w:pPr>
              <w:rPr>
                <w:color w:val="000000"/>
                <w:sz w:val="22"/>
                <w:szCs w:val="22"/>
              </w:rPr>
            </w:pPr>
            <w:r>
              <w:rPr>
                <w:color w:val="000000"/>
                <w:sz w:val="22"/>
                <w:szCs w:val="22"/>
              </w:rPr>
              <w:t>Appropriate patient group</w:t>
            </w:r>
          </w:p>
        </w:tc>
        <w:tc>
          <w:tcPr>
            <w:tcW w:w="3544" w:type="dxa"/>
            <w:vMerge w:val="restart"/>
            <w:tcBorders>
              <w:top w:val="nil"/>
              <w:left w:val="single" w:color="auto" w:sz="8" w:space="0"/>
              <w:bottom w:val="single" w:color="000000" w:sz="8" w:space="0"/>
              <w:right w:val="single" w:color="auto" w:sz="8" w:space="0"/>
            </w:tcBorders>
            <w:shd w:val="clear" w:color="auto" w:fill="auto"/>
            <w:vAlign w:val="center"/>
          </w:tcPr>
          <w:p w14:paraId="7DE017DD">
            <w:pPr>
              <w:rPr>
                <w:color w:val="000000"/>
                <w:sz w:val="22"/>
                <w:szCs w:val="22"/>
              </w:rPr>
            </w:pPr>
            <w:r>
              <w:rPr>
                <w:color w:val="000000"/>
                <w:sz w:val="22"/>
                <w:szCs w:val="22"/>
              </w:rPr>
              <w:t>Where the data generated from a patient group that is representative of the intended treatment population and clinical condition?</w:t>
            </w:r>
          </w:p>
        </w:tc>
        <w:tc>
          <w:tcPr>
            <w:tcW w:w="2693" w:type="dxa"/>
            <w:tcBorders>
              <w:top w:val="single" w:color="auto" w:sz="8" w:space="0"/>
              <w:left w:val="nil"/>
              <w:bottom w:val="single" w:color="auto" w:sz="4" w:space="0"/>
              <w:right w:val="single" w:color="auto" w:sz="4" w:space="0"/>
            </w:tcBorders>
            <w:shd w:val="clear" w:color="auto" w:fill="auto"/>
            <w:noWrap/>
            <w:vAlign w:val="bottom"/>
          </w:tcPr>
          <w:p w14:paraId="3160D338">
            <w:pPr>
              <w:rPr>
                <w:color w:val="000000"/>
                <w:sz w:val="22"/>
                <w:szCs w:val="22"/>
              </w:rPr>
            </w:pPr>
            <w:r>
              <w:rPr>
                <w:color w:val="000000"/>
                <w:sz w:val="22"/>
                <w:szCs w:val="22"/>
              </w:rPr>
              <w:t>Applicable</w:t>
            </w:r>
          </w:p>
        </w:tc>
      </w:tr>
      <w:tr w14:paraId="656C2BCD">
        <w:tblPrEx>
          <w:tblCellMar>
            <w:top w:w="0" w:type="dxa"/>
            <w:left w:w="70" w:type="dxa"/>
            <w:bottom w:w="0" w:type="dxa"/>
            <w:right w:w="70" w:type="dxa"/>
          </w:tblCellMar>
        </w:tblPrEx>
        <w:trPr>
          <w:trHeight w:val="306" w:hRule="atLeast"/>
        </w:trPr>
        <w:tc>
          <w:tcPr>
            <w:tcW w:w="2415" w:type="dxa"/>
            <w:vMerge w:val="continue"/>
            <w:tcBorders>
              <w:top w:val="nil"/>
              <w:left w:val="single" w:color="auto" w:sz="8" w:space="0"/>
              <w:bottom w:val="single" w:color="000000" w:sz="8" w:space="0"/>
              <w:right w:val="single" w:color="auto" w:sz="8" w:space="0"/>
            </w:tcBorders>
            <w:vAlign w:val="center"/>
          </w:tcPr>
          <w:p w14:paraId="5C8A60B1">
            <w:pPr>
              <w:rPr>
                <w:color w:val="000000"/>
                <w:sz w:val="22"/>
                <w:szCs w:val="22"/>
              </w:rPr>
            </w:pPr>
          </w:p>
        </w:tc>
        <w:tc>
          <w:tcPr>
            <w:tcW w:w="3544" w:type="dxa"/>
            <w:vMerge w:val="continue"/>
            <w:tcBorders>
              <w:top w:val="nil"/>
              <w:left w:val="single" w:color="auto" w:sz="8" w:space="0"/>
              <w:bottom w:val="single" w:color="000000" w:sz="8" w:space="0"/>
              <w:right w:val="single" w:color="auto" w:sz="8" w:space="0"/>
            </w:tcBorders>
            <w:vAlign w:val="center"/>
          </w:tcPr>
          <w:p w14:paraId="319B134E">
            <w:pPr>
              <w:rPr>
                <w:color w:val="000000"/>
                <w:sz w:val="22"/>
                <w:szCs w:val="22"/>
              </w:rPr>
            </w:pPr>
          </w:p>
        </w:tc>
        <w:tc>
          <w:tcPr>
            <w:tcW w:w="2693" w:type="dxa"/>
            <w:tcBorders>
              <w:top w:val="nil"/>
              <w:left w:val="nil"/>
              <w:bottom w:val="single" w:color="auto" w:sz="4" w:space="0"/>
              <w:right w:val="single" w:color="auto" w:sz="4" w:space="0"/>
            </w:tcBorders>
            <w:shd w:val="clear" w:color="auto" w:fill="auto"/>
            <w:noWrap/>
            <w:vAlign w:val="bottom"/>
          </w:tcPr>
          <w:p w14:paraId="69AE6D23">
            <w:pPr>
              <w:rPr>
                <w:color w:val="000000"/>
                <w:sz w:val="22"/>
                <w:szCs w:val="22"/>
              </w:rPr>
            </w:pPr>
            <w:r>
              <w:rPr>
                <w:color w:val="000000"/>
                <w:sz w:val="22"/>
                <w:szCs w:val="22"/>
              </w:rPr>
              <w:t>Limited</w:t>
            </w:r>
          </w:p>
        </w:tc>
      </w:tr>
      <w:tr w14:paraId="4382AC0A">
        <w:tblPrEx>
          <w:tblCellMar>
            <w:top w:w="0" w:type="dxa"/>
            <w:left w:w="70" w:type="dxa"/>
            <w:bottom w:w="0" w:type="dxa"/>
            <w:right w:w="70" w:type="dxa"/>
          </w:tblCellMar>
        </w:tblPrEx>
        <w:trPr>
          <w:trHeight w:val="371" w:hRule="atLeast"/>
        </w:trPr>
        <w:tc>
          <w:tcPr>
            <w:tcW w:w="2415" w:type="dxa"/>
            <w:vMerge w:val="continue"/>
            <w:tcBorders>
              <w:top w:val="nil"/>
              <w:left w:val="single" w:color="auto" w:sz="8" w:space="0"/>
              <w:bottom w:val="single" w:color="000000" w:sz="8" w:space="0"/>
              <w:right w:val="single" w:color="auto" w:sz="8" w:space="0"/>
            </w:tcBorders>
            <w:vAlign w:val="center"/>
          </w:tcPr>
          <w:p w14:paraId="4649FE87">
            <w:pPr>
              <w:rPr>
                <w:color w:val="000000"/>
                <w:sz w:val="22"/>
                <w:szCs w:val="22"/>
              </w:rPr>
            </w:pPr>
          </w:p>
        </w:tc>
        <w:tc>
          <w:tcPr>
            <w:tcW w:w="3544" w:type="dxa"/>
            <w:vMerge w:val="continue"/>
            <w:tcBorders>
              <w:top w:val="nil"/>
              <w:left w:val="single" w:color="auto" w:sz="8" w:space="0"/>
              <w:bottom w:val="single" w:color="000000" w:sz="8" w:space="0"/>
              <w:right w:val="single" w:color="auto" w:sz="8" w:space="0"/>
            </w:tcBorders>
            <w:vAlign w:val="center"/>
          </w:tcPr>
          <w:p w14:paraId="2B919717">
            <w:pPr>
              <w:rPr>
                <w:color w:val="000000"/>
                <w:sz w:val="22"/>
                <w:szCs w:val="22"/>
              </w:rPr>
            </w:pPr>
          </w:p>
        </w:tc>
        <w:tc>
          <w:tcPr>
            <w:tcW w:w="2693" w:type="dxa"/>
            <w:tcBorders>
              <w:top w:val="nil"/>
              <w:left w:val="nil"/>
              <w:bottom w:val="single" w:color="auto" w:sz="4" w:space="0"/>
              <w:right w:val="single" w:color="auto" w:sz="4" w:space="0"/>
            </w:tcBorders>
            <w:shd w:val="clear" w:color="auto" w:fill="auto"/>
            <w:noWrap/>
            <w:vAlign w:val="bottom"/>
          </w:tcPr>
          <w:p w14:paraId="772CF6D6">
            <w:pPr>
              <w:rPr>
                <w:color w:val="000000"/>
                <w:sz w:val="22"/>
                <w:szCs w:val="22"/>
              </w:rPr>
            </w:pPr>
            <w:r>
              <w:rPr>
                <w:color w:val="000000"/>
                <w:sz w:val="22"/>
                <w:szCs w:val="22"/>
              </w:rPr>
              <w:t>Different population</w:t>
            </w:r>
          </w:p>
        </w:tc>
      </w:tr>
      <w:tr w14:paraId="03E2EF04">
        <w:tblPrEx>
          <w:tblCellMar>
            <w:top w:w="0" w:type="dxa"/>
            <w:left w:w="70" w:type="dxa"/>
            <w:bottom w:w="0" w:type="dxa"/>
            <w:right w:w="70" w:type="dxa"/>
          </w:tblCellMar>
        </w:tblPrEx>
        <w:trPr>
          <w:trHeight w:val="61" w:hRule="atLeast"/>
        </w:trPr>
        <w:tc>
          <w:tcPr>
            <w:tcW w:w="2415" w:type="dxa"/>
            <w:vMerge w:val="continue"/>
            <w:tcBorders>
              <w:top w:val="nil"/>
              <w:left w:val="single" w:color="auto" w:sz="8" w:space="0"/>
              <w:bottom w:val="single" w:color="000000" w:sz="8" w:space="0"/>
              <w:right w:val="single" w:color="auto" w:sz="8" w:space="0"/>
            </w:tcBorders>
            <w:vAlign w:val="center"/>
          </w:tcPr>
          <w:p w14:paraId="0DB9C644">
            <w:pPr>
              <w:rPr>
                <w:color w:val="000000"/>
                <w:sz w:val="22"/>
                <w:szCs w:val="22"/>
              </w:rPr>
            </w:pPr>
          </w:p>
        </w:tc>
        <w:tc>
          <w:tcPr>
            <w:tcW w:w="3544" w:type="dxa"/>
            <w:vMerge w:val="continue"/>
            <w:tcBorders>
              <w:top w:val="nil"/>
              <w:left w:val="single" w:color="auto" w:sz="8" w:space="0"/>
              <w:bottom w:val="single" w:color="000000" w:sz="8" w:space="0"/>
              <w:right w:val="single" w:color="auto" w:sz="8" w:space="0"/>
            </w:tcBorders>
            <w:vAlign w:val="center"/>
          </w:tcPr>
          <w:p w14:paraId="519B35DF">
            <w:pPr>
              <w:rPr>
                <w:color w:val="000000"/>
                <w:sz w:val="22"/>
                <w:szCs w:val="22"/>
              </w:rPr>
            </w:pPr>
          </w:p>
        </w:tc>
        <w:tc>
          <w:tcPr>
            <w:tcW w:w="2693" w:type="dxa"/>
            <w:tcBorders>
              <w:top w:val="nil"/>
              <w:left w:val="nil"/>
              <w:bottom w:val="single" w:color="auto" w:sz="8" w:space="0"/>
              <w:right w:val="single" w:color="auto" w:sz="4" w:space="0"/>
            </w:tcBorders>
            <w:shd w:val="clear" w:color="auto" w:fill="auto"/>
            <w:noWrap/>
            <w:vAlign w:val="bottom"/>
          </w:tcPr>
          <w:p w14:paraId="22A0314C">
            <w:pPr>
              <w:rPr>
                <w:color w:val="000000"/>
                <w:sz w:val="22"/>
                <w:szCs w:val="22"/>
              </w:rPr>
            </w:pPr>
            <w:r>
              <w:rPr>
                <w:color w:val="000000"/>
                <w:sz w:val="22"/>
                <w:szCs w:val="22"/>
              </w:rPr>
              <w:t>Insufficient information</w:t>
            </w:r>
          </w:p>
        </w:tc>
      </w:tr>
      <w:tr w14:paraId="7C1347CA">
        <w:tblPrEx>
          <w:tblCellMar>
            <w:top w:w="0" w:type="dxa"/>
            <w:left w:w="70" w:type="dxa"/>
            <w:bottom w:w="0" w:type="dxa"/>
            <w:right w:w="70" w:type="dxa"/>
          </w:tblCellMar>
        </w:tblPrEx>
        <w:trPr>
          <w:trHeight w:val="410" w:hRule="atLeast"/>
        </w:trPr>
        <w:tc>
          <w:tcPr>
            <w:tcW w:w="2415" w:type="dxa"/>
            <w:vMerge w:val="restart"/>
            <w:tcBorders>
              <w:top w:val="nil"/>
              <w:left w:val="single" w:color="auto" w:sz="8" w:space="0"/>
              <w:bottom w:val="single" w:color="000000" w:sz="8" w:space="0"/>
              <w:right w:val="single" w:color="auto" w:sz="4" w:space="0"/>
            </w:tcBorders>
            <w:shd w:val="clear" w:color="auto" w:fill="auto"/>
            <w:noWrap/>
            <w:vAlign w:val="center"/>
          </w:tcPr>
          <w:p w14:paraId="5C1EE62A">
            <w:pPr>
              <w:rPr>
                <w:color w:val="000000"/>
                <w:sz w:val="22"/>
                <w:szCs w:val="22"/>
              </w:rPr>
            </w:pPr>
            <w:r>
              <w:rPr>
                <w:color w:val="000000"/>
                <w:sz w:val="22"/>
                <w:szCs w:val="22"/>
              </w:rPr>
              <w:t>Acceptable report/data collation</w:t>
            </w:r>
          </w:p>
        </w:tc>
        <w:tc>
          <w:tcPr>
            <w:tcW w:w="3544" w:type="dxa"/>
            <w:vMerge w:val="restart"/>
            <w:tcBorders>
              <w:top w:val="nil"/>
              <w:left w:val="single" w:color="auto" w:sz="4" w:space="0"/>
              <w:bottom w:val="single" w:color="000000" w:sz="8" w:space="0"/>
              <w:right w:val="single" w:color="auto" w:sz="4" w:space="0"/>
            </w:tcBorders>
            <w:shd w:val="clear" w:color="auto" w:fill="auto"/>
            <w:vAlign w:val="center"/>
          </w:tcPr>
          <w:p w14:paraId="58F39BBD">
            <w:pPr>
              <w:rPr>
                <w:color w:val="000000"/>
                <w:sz w:val="22"/>
                <w:szCs w:val="22"/>
              </w:rPr>
            </w:pPr>
            <w:r>
              <w:rPr>
                <w:color w:val="000000"/>
                <w:sz w:val="22"/>
                <w:szCs w:val="22"/>
              </w:rPr>
              <w:t>Do the reports or collations of data contain sufficient information to be able to undertake a rational and objective assessment?</w:t>
            </w:r>
          </w:p>
        </w:tc>
        <w:tc>
          <w:tcPr>
            <w:tcW w:w="2693" w:type="dxa"/>
            <w:tcBorders>
              <w:top w:val="nil"/>
              <w:left w:val="nil"/>
              <w:bottom w:val="single" w:color="auto" w:sz="4" w:space="0"/>
              <w:right w:val="single" w:color="auto" w:sz="4" w:space="0"/>
            </w:tcBorders>
            <w:shd w:val="clear" w:color="auto" w:fill="auto"/>
            <w:noWrap/>
            <w:vAlign w:val="bottom"/>
          </w:tcPr>
          <w:p w14:paraId="66D0406C">
            <w:pPr>
              <w:rPr>
                <w:color w:val="000000"/>
                <w:sz w:val="22"/>
                <w:szCs w:val="22"/>
              </w:rPr>
            </w:pPr>
            <w:r>
              <w:rPr>
                <w:color w:val="000000"/>
                <w:sz w:val="22"/>
                <w:szCs w:val="22"/>
              </w:rPr>
              <w:t>High quality</w:t>
            </w:r>
          </w:p>
        </w:tc>
      </w:tr>
      <w:tr w14:paraId="4ACE832A">
        <w:tblPrEx>
          <w:tblCellMar>
            <w:top w:w="0" w:type="dxa"/>
            <w:left w:w="70" w:type="dxa"/>
            <w:bottom w:w="0" w:type="dxa"/>
            <w:right w:w="70" w:type="dxa"/>
          </w:tblCellMar>
        </w:tblPrEx>
        <w:trPr>
          <w:trHeight w:val="258" w:hRule="atLeast"/>
        </w:trPr>
        <w:tc>
          <w:tcPr>
            <w:tcW w:w="2415" w:type="dxa"/>
            <w:vMerge w:val="continue"/>
            <w:tcBorders>
              <w:top w:val="nil"/>
              <w:left w:val="single" w:color="auto" w:sz="8" w:space="0"/>
              <w:bottom w:val="single" w:color="000000" w:sz="8" w:space="0"/>
              <w:right w:val="single" w:color="auto" w:sz="4" w:space="0"/>
            </w:tcBorders>
            <w:vAlign w:val="center"/>
          </w:tcPr>
          <w:p w14:paraId="0BE5A448">
            <w:pPr>
              <w:rPr>
                <w:color w:val="000000"/>
                <w:sz w:val="22"/>
                <w:szCs w:val="22"/>
              </w:rPr>
            </w:pPr>
          </w:p>
        </w:tc>
        <w:tc>
          <w:tcPr>
            <w:tcW w:w="3544" w:type="dxa"/>
            <w:vMerge w:val="continue"/>
            <w:tcBorders>
              <w:top w:val="nil"/>
              <w:left w:val="single" w:color="auto" w:sz="4" w:space="0"/>
              <w:bottom w:val="single" w:color="000000" w:sz="8" w:space="0"/>
              <w:right w:val="single" w:color="auto" w:sz="4" w:space="0"/>
            </w:tcBorders>
            <w:vAlign w:val="center"/>
          </w:tcPr>
          <w:p w14:paraId="695DCDEA">
            <w:pPr>
              <w:rPr>
                <w:color w:val="000000"/>
                <w:sz w:val="22"/>
                <w:szCs w:val="22"/>
              </w:rPr>
            </w:pPr>
          </w:p>
        </w:tc>
        <w:tc>
          <w:tcPr>
            <w:tcW w:w="2693" w:type="dxa"/>
            <w:tcBorders>
              <w:top w:val="nil"/>
              <w:left w:val="nil"/>
              <w:bottom w:val="single" w:color="auto" w:sz="4" w:space="0"/>
              <w:right w:val="single" w:color="auto" w:sz="4" w:space="0"/>
            </w:tcBorders>
            <w:shd w:val="clear" w:color="auto" w:fill="auto"/>
            <w:noWrap/>
            <w:vAlign w:val="bottom"/>
          </w:tcPr>
          <w:p w14:paraId="4D2F3E23">
            <w:pPr>
              <w:rPr>
                <w:color w:val="000000"/>
                <w:sz w:val="22"/>
                <w:szCs w:val="22"/>
              </w:rPr>
            </w:pPr>
            <w:r>
              <w:rPr>
                <w:color w:val="000000"/>
                <w:sz w:val="22"/>
                <w:szCs w:val="22"/>
              </w:rPr>
              <w:t>Minor deficiencies</w:t>
            </w:r>
          </w:p>
        </w:tc>
      </w:tr>
      <w:tr w14:paraId="75C39E81">
        <w:tblPrEx>
          <w:tblCellMar>
            <w:top w:w="0" w:type="dxa"/>
            <w:left w:w="70" w:type="dxa"/>
            <w:bottom w:w="0" w:type="dxa"/>
            <w:right w:w="70" w:type="dxa"/>
          </w:tblCellMar>
        </w:tblPrEx>
        <w:trPr>
          <w:trHeight w:val="396" w:hRule="atLeast"/>
        </w:trPr>
        <w:tc>
          <w:tcPr>
            <w:tcW w:w="2415" w:type="dxa"/>
            <w:vMerge w:val="continue"/>
            <w:tcBorders>
              <w:top w:val="nil"/>
              <w:left w:val="single" w:color="auto" w:sz="8" w:space="0"/>
              <w:bottom w:val="single" w:color="auto" w:sz="8" w:space="0"/>
              <w:right w:val="single" w:color="auto" w:sz="4" w:space="0"/>
            </w:tcBorders>
            <w:vAlign w:val="center"/>
          </w:tcPr>
          <w:p w14:paraId="3A986584">
            <w:pPr>
              <w:rPr>
                <w:color w:val="000000"/>
                <w:sz w:val="22"/>
                <w:szCs w:val="22"/>
              </w:rPr>
            </w:pPr>
          </w:p>
        </w:tc>
        <w:tc>
          <w:tcPr>
            <w:tcW w:w="3544" w:type="dxa"/>
            <w:vMerge w:val="continue"/>
            <w:tcBorders>
              <w:top w:val="nil"/>
              <w:left w:val="single" w:color="auto" w:sz="4" w:space="0"/>
              <w:bottom w:val="single" w:color="auto" w:sz="8" w:space="0"/>
              <w:right w:val="single" w:color="auto" w:sz="4" w:space="0"/>
            </w:tcBorders>
            <w:vAlign w:val="center"/>
          </w:tcPr>
          <w:p w14:paraId="3F9B296C">
            <w:pPr>
              <w:rPr>
                <w:color w:val="000000"/>
                <w:sz w:val="22"/>
                <w:szCs w:val="22"/>
              </w:rPr>
            </w:pPr>
          </w:p>
        </w:tc>
        <w:tc>
          <w:tcPr>
            <w:tcW w:w="2693" w:type="dxa"/>
            <w:tcBorders>
              <w:top w:val="nil"/>
              <w:left w:val="nil"/>
              <w:bottom w:val="single" w:color="auto" w:sz="8" w:space="0"/>
              <w:right w:val="single" w:color="auto" w:sz="4" w:space="0"/>
            </w:tcBorders>
            <w:shd w:val="clear" w:color="auto" w:fill="auto"/>
            <w:noWrap/>
            <w:vAlign w:val="bottom"/>
          </w:tcPr>
          <w:p w14:paraId="058F005E">
            <w:pPr>
              <w:rPr>
                <w:color w:val="000000"/>
                <w:sz w:val="22"/>
                <w:szCs w:val="22"/>
              </w:rPr>
            </w:pPr>
            <w:r>
              <w:rPr>
                <w:color w:val="000000"/>
                <w:sz w:val="22"/>
                <w:szCs w:val="22"/>
              </w:rPr>
              <w:t>Insufficient information</w:t>
            </w:r>
          </w:p>
        </w:tc>
      </w:tr>
    </w:tbl>
    <w:p w14:paraId="14721409"/>
    <w:p w14:paraId="1ECB9EFB">
      <w:r>
        <w:br w:type="page"/>
      </w:r>
    </w:p>
    <w:p w14:paraId="0A4ED0E7">
      <w:pPr>
        <w:pStyle w:val="3"/>
      </w:pPr>
      <w:bookmarkStart w:id="50" w:name="_Toc480979564"/>
      <w:r>
        <w:t>Criteria for data contribution</w:t>
      </w:r>
      <w:bookmarkEnd w:id="50"/>
    </w:p>
    <w:p w14:paraId="06DA3AC7">
      <w:r>
        <w:rPr>
          <w:lang w:eastAsia="fi-FI"/>
        </w:rPr>
        <w:t>The criteria for data contribution are presented in Table 11.</w:t>
      </w:r>
    </w:p>
    <w:p w14:paraId="21AF6774">
      <w:pPr>
        <w:pStyle w:val="14"/>
        <w:rPr>
          <w:rFonts w:ascii="Calibri" w:hAnsi="Calibri"/>
        </w:rPr>
      </w:pPr>
    </w:p>
    <w:p w14:paraId="0DD1DDFE">
      <w:pPr>
        <w:pStyle w:val="14"/>
        <w:rPr>
          <w:rFonts w:ascii="Calibri" w:hAnsi="Calibri"/>
        </w:rPr>
      </w:pPr>
      <w:bookmarkStart w:id="51" w:name="_Toc480979590"/>
      <w:r>
        <w:rPr>
          <w:rFonts w:ascii="Calibri" w:hAnsi="Calibri"/>
        </w:rPr>
        <w:t>Table 11. Criteria for data contribution</w:t>
      </w:r>
      <w:bookmarkEnd w:id="51"/>
    </w:p>
    <w:p w14:paraId="2BB2671C">
      <w:pPr>
        <w:pStyle w:val="14"/>
        <w:rPr>
          <w:rFonts w:ascii="Calibri" w:hAnsi="Calibri"/>
        </w:rPr>
      </w:pPr>
    </w:p>
    <w:tbl>
      <w:tblPr>
        <w:tblStyle w:val="26"/>
        <w:tblW w:w="8652" w:type="dxa"/>
        <w:tblInd w:w="65" w:type="dxa"/>
        <w:tblLayout w:type="autofit"/>
        <w:tblCellMar>
          <w:top w:w="0" w:type="dxa"/>
          <w:left w:w="70" w:type="dxa"/>
          <w:bottom w:w="0" w:type="dxa"/>
          <w:right w:w="70" w:type="dxa"/>
        </w:tblCellMar>
      </w:tblPr>
      <w:tblGrid>
        <w:gridCol w:w="2415"/>
        <w:gridCol w:w="3544"/>
        <w:gridCol w:w="2693"/>
      </w:tblGrid>
      <w:tr w14:paraId="19632693">
        <w:tblPrEx>
          <w:tblCellMar>
            <w:top w:w="0" w:type="dxa"/>
            <w:left w:w="70" w:type="dxa"/>
            <w:bottom w:w="0" w:type="dxa"/>
            <w:right w:w="70" w:type="dxa"/>
          </w:tblCellMar>
        </w:tblPrEx>
        <w:trPr>
          <w:trHeight w:val="615" w:hRule="atLeast"/>
        </w:trPr>
        <w:tc>
          <w:tcPr>
            <w:tcW w:w="2415" w:type="dxa"/>
            <w:tcBorders>
              <w:top w:val="single" w:color="auto" w:sz="4" w:space="0"/>
              <w:left w:val="single" w:color="auto" w:sz="4" w:space="0"/>
              <w:bottom w:val="nil"/>
              <w:right w:val="single" w:color="auto" w:sz="4" w:space="0"/>
            </w:tcBorders>
            <w:shd w:val="clear" w:color="auto" w:fill="auto"/>
            <w:vAlign w:val="center"/>
          </w:tcPr>
          <w:p w14:paraId="33454A9F">
            <w:pPr>
              <w:rPr>
                <w:b/>
                <w:bCs/>
                <w:color w:val="000000"/>
                <w:sz w:val="22"/>
                <w:szCs w:val="22"/>
              </w:rPr>
            </w:pPr>
            <w:r>
              <w:rPr>
                <w:b/>
                <w:bCs/>
                <w:color w:val="000000"/>
                <w:sz w:val="22"/>
                <w:szCs w:val="22"/>
              </w:rPr>
              <w:t>Data Contribution criteria</w:t>
            </w:r>
          </w:p>
        </w:tc>
        <w:tc>
          <w:tcPr>
            <w:tcW w:w="3544" w:type="dxa"/>
            <w:tcBorders>
              <w:top w:val="single" w:color="auto" w:sz="4" w:space="0"/>
              <w:left w:val="nil"/>
              <w:bottom w:val="nil"/>
              <w:right w:val="single" w:color="auto" w:sz="4" w:space="0"/>
            </w:tcBorders>
            <w:shd w:val="clear" w:color="auto" w:fill="auto"/>
            <w:vAlign w:val="center"/>
          </w:tcPr>
          <w:p w14:paraId="2B22FB29">
            <w:pPr>
              <w:rPr>
                <w:b/>
                <w:bCs/>
                <w:color w:val="000000"/>
                <w:sz w:val="22"/>
                <w:szCs w:val="22"/>
              </w:rPr>
            </w:pPr>
            <w:r>
              <w:rPr>
                <w:b/>
                <w:bCs/>
                <w:color w:val="000000"/>
                <w:sz w:val="22"/>
                <w:szCs w:val="22"/>
              </w:rPr>
              <w:t>Description</w:t>
            </w:r>
          </w:p>
        </w:tc>
        <w:tc>
          <w:tcPr>
            <w:tcW w:w="2693" w:type="dxa"/>
            <w:tcBorders>
              <w:top w:val="single" w:color="auto" w:sz="4" w:space="0"/>
              <w:left w:val="nil"/>
              <w:bottom w:val="nil"/>
              <w:right w:val="single" w:color="auto" w:sz="4" w:space="0"/>
            </w:tcBorders>
            <w:shd w:val="clear" w:color="auto" w:fill="auto"/>
            <w:vAlign w:val="center"/>
          </w:tcPr>
          <w:p w14:paraId="13FD59E0">
            <w:pPr>
              <w:rPr>
                <w:b/>
                <w:bCs/>
                <w:color w:val="000000"/>
                <w:sz w:val="22"/>
                <w:szCs w:val="22"/>
              </w:rPr>
            </w:pPr>
            <w:r>
              <w:rPr>
                <w:b/>
                <w:bCs/>
                <w:color w:val="000000"/>
                <w:sz w:val="22"/>
                <w:szCs w:val="22"/>
              </w:rPr>
              <w:t>Grading System</w:t>
            </w:r>
          </w:p>
        </w:tc>
      </w:tr>
      <w:tr w14:paraId="0044BBA2">
        <w:tblPrEx>
          <w:tblCellMar>
            <w:top w:w="0" w:type="dxa"/>
            <w:left w:w="70" w:type="dxa"/>
            <w:bottom w:w="0" w:type="dxa"/>
            <w:right w:w="70" w:type="dxa"/>
          </w:tblCellMar>
        </w:tblPrEx>
        <w:trPr>
          <w:trHeight w:val="117" w:hRule="atLeast"/>
        </w:trPr>
        <w:tc>
          <w:tcPr>
            <w:tcW w:w="2415" w:type="dxa"/>
            <w:vMerge w:val="restart"/>
            <w:tcBorders>
              <w:top w:val="single" w:color="auto" w:sz="8" w:space="0"/>
              <w:left w:val="single" w:color="auto" w:sz="8" w:space="0"/>
              <w:bottom w:val="single" w:color="000000" w:sz="8" w:space="0"/>
              <w:right w:val="single" w:color="auto" w:sz="4" w:space="0"/>
            </w:tcBorders>
            <w:shd w:val="clear" w:color="auto" w:fill="auto"/>
            <w:vAlign w:val="center"/>
          </w:tcPr>
          <w:p w14:paraId="252E002E">
            <w:pPr>
              <w:rPr>
                <w:color w:val="000000"/>
                <w:sz w:val="22"/>
                <w:szCs w:val="22"/>
              </w:rPr>
            </w:pPr>
            <w:r>
              <w:rPr>
                <w:color w:val="000000"/>
                <w:sz w:val="22"/>
                <w:szCs w:val="22"/>
              </w:rPr>
              <w:t>Data source type</w:t>
            </w:r>
          </w:p>
        </w:tc>
        <w:tc>
          <w:tcPr>
            <w:tcW w:w="3544" w:type="dxa"/>
            <w:vMerge w:val="restart"/>
            <w:tcBorders>
              <w:top w:val="single" w:color="auto" w:sz="8" w:space="0"/>
              <w:left w:val="single" w:color="auto" w:sz="4" w:space="0"/>
              <w:bottom w:val="single" w:color="000000" w:sz="8" w:space="0"/>
              <w:right w:val="single" w:color="auto" w:sz="4" w:space="0"/>
            </w:tcBorders>
            <w:shd w:val="clear" w:color="auto" w:fill="auto"/>
            <w:vAlign w:val="center"/>
          </w:tcPr>
          <w:p w14:paraId="29A05D32">
            <w:pPr>
              <w:rPr>
                <w:color w:val="000000"/>
                <w:sz w:val="22"/>
                <w:szCs w:val="22"/>
              </w:rPr>
            </w:pPr>
            <w:r>
              <w:rPr>
                <w:color w:val="000000"/>
                <w:sz w:val="22"/>
                <w:szCs w:val="22"/>
              </w:rPr>
              <w:t>Was the design of the study appropriate?</w:t>
            </w:r>
          </w:p>
        </w:tc>
        <w:tc>
          <w:tcPr>
            <w:tcW w:w="2693" w:type="dxa"/>
            <w:tcBorders>
              <w:top w:val="single" w:color="auto" w:sz="8" w:space="0"/>
              <w:left w:val="nil"/>
              <w:bottom w:val="single" w:color="auto" w:sz="4" w:space="0"/>
              <w:right w:val="single" w:color="auto" w:sz="8" w:space="0"/>
            </w:tcBorders>
            <w:shd w:val="clear" w:color="auto" w:fill="auto"/>
            <w:vAlign w:val="center"/>
          </w:tcPr>
          <w:p w14:paraId="5A5F168B">
            <w:pPr>
              <w:rPr>
                <w:color w:val="000000"/>
                <w:sz w:val="22"/>
                <w:szCs w:val="22"/>
              </w:rPr>
            </w:pPr>
            <w:r>
              <w:rPr>
                <w:color w:val="000000"/>
                <w:sz w:val="22"/>
                <w:szCs w:val="22"/>
              </w:rPr>
              <w:t>yes</w:t>
            </w:r>
          </w:p>
        </w:tc>
      </w:tr>
      <w:tr w14:paraId="7EED2870">
        <w:tblPrEx>
          <w:tblCellMar>
            <w:top w:w="0" w:type="dxa"/>
            <w:left w:w="70" w:type="dxa"/>
            <w:bottom w:w="0" w:type="dxa"/>
            <w:right w:w="70" w:type="dxa"/>
          </w:tblCellMar>
        </w:tblPrEx>
        <w:trPr>
          <w:trHeight w:val="289" w:hRule="atLeast"/>
        </w:trPr>
        <w:tc>
          <w:tcPr>
            <w:tcW w:w="2415" w:type="dxa"/>
            <w:vMerge w:val="continue"/>
            <w:tcBorders>
              <w:top w:val="single" w:color="auto" w:sz="8" w:space="0"/>
              <w:left w:val="single" w:color="auto" w:sz="8" w:space="0"/>
              <w:bottom w:val="single" w:color="000000" w:sz="8" w:space="0"/>
              <w:right w:val="single" w:color="auto" w:sz="4" w:space="0"/>
            </w:tcBorders>
            <w:vAlign w:val="center"/>
          </w:tcPr>
          <w:p w14:paraId="074AD714">
            <w:pPr>
              <w:rPr>
                <w:color w:val="000000"/>
                <w:sz w:val="22"/>
                <w:szCs w:val="22"/>
              </w:rPr>
            </w:pPr>
          </w:p>
        </w:tc>
        <w:tc>
          <w:tcPr>
            <w:tcW w:w="3544" w:type="dxa"/>
            <w:vMerge w:val="continue"/>
            <w:tcBorders>
              <w:top w:val="single" w:color="auto" w:sz="8" w:space="0"/>
              <w:left w:val="single" w:color="auto" w:sz="4" w:space="0"/>
              <w:bottom w:val="single" w:color="000000" w:sz="8" w:space="0"/>
              <w:right w:val="single" w:color="auto" w:sz="4" w:space="0"/>
            </w:tcBorders>
            <w:vAlign w:val="center"/>
          </w:tcPr>
          <w:p w14:paraId="3C54AACA">
            <w:pPr>
              <w:rPr>
                <w:color w:val="000000"/>
                <w:sz w:val="22"/>
                <w:szCs w:val="22"/>
              </w:rPr>
            </w:pPr>
          </w:p>
        </w:tc>
        <w:tc>
          <w:tcPr>
            <w:tcW w:w="2693" w:type="dxa"/>
            <w:tcBorders>
              <w:top w:val="nil"/>
              <w:left w:val="nil"/>
              <w:bottom w:val="single" w:color="auto" w:sz="8" w:space="0"/>
              <w:right w:val="single" w:color="auto" w:sz="8" w:space="0"/>
            </w:tcBorders>
            <w:shd w:val="clear" w:color="auto" w:fill="auto"/>
            <w:vAlign w:val="center"/>
          </w:tcPr>
          <w:p w14:paraId="081DA76A">
            <w:pPr>
              <w:rPr>
                <w:color w:val="000000"/>
                <w:sz w:val="22"/>
                <w:szCs w:val="22"/>
              </w:rPr>
            </w:pPr>
            <w:r>
              <w:rPr>
                <w:color w:val="000000"/>
                <w:sz w:val="22"/>
                <w:szCs w:val="22"/>
              </w:rPr>
              <w:t>no</w:t>
            </w:r>
          </w:p>
        </w:tc>
      </w:tr>
      <w:tr w14:paraId="6F3CDAC2">
        <w:tblPrEx>
          <w:tblCellMar>
            <w:top w:w="0" w:type="dxa"/>
            <w:left w:w="70" w:type="dxa"/>
            <w:bottom w:w="0" w:type="dxa"/>
            <w:right w:w="70" w:type="dxa"/>
          </w:tblCellMar>
        </w:tblPrEx>
        <w:trPr>
          <w:trHeight w:val="60" w:hRule="atLeast"/>
        </w:trPr>
        <w:tc>
          <w:tcPr>
            <w:tcW w:w="2415" w:type="dxa"/>
            <w:vMerge w:val="continue"/>
            <w:tcBorders>
              <w:top w:val="single" w:color="auto" w:sz="8" w:space="0"/>
              <w:left w:val="single" w:color="auto" w:sz="8" w:space="0"/>
              <w:bottom w:val="single" w:color="000000" w:sz="8" w:space="0"/>
              <w:right w:val="single" w:color="auto" w:sz="4" w:space="0"/>
            </w:tcBorders>
            <w:vAlign w:val="center"/>
          </w:tcPr>
          <w:p w14:paraId="68E8B565">
            <w:pPr>
              <w:rPr>
                <w:color w:val="000000"/>
                <w:sz w:val="22"/>
                <w:szCs w:val="22"/>
              </w:rPr>
            </w:pPr>
          </w:p>
        </w:tc>
        <w:tc>
          <w:tcPr>
            <w:tcW w:w="3544" w:type="dxa"/>
            <w:vMerge w:val="continue"/>
            <w:tcBorders>
              <w:top w:val="single" w:color="auto" w:sz="8" w:space="0"/>
              <w:left w:val="single" w:color="auto" w:sz="4" w:space="0"/>
              <w:bottom w:val="single" w:color="000000" w:sz="8" w:space="0"/>
              <w:right w:val="single" w:color="auto" w:sz="4" w:space="0"/>
            </w:tcBorders>
            <w:vAlign w:val="center"/>
          </w:tcPr>
          <w:p w14:paraId="3E610995">
            <w:pPr>
              <w:rPr>
                <w:color w:val="000000"/>
                <w:sz w:val="22"/>
                <w:szCs w:val="22"/>
              </w:rPr>
            </w:pPr>
          </w:p>
        </w:tc>
        <w:tc>
          <w:tcPr>
            <w:tcW w:w="2693" w:type="dxa"/>
            <w:tcBorders>
              <w:top w:val="single" w:color="auto" w:sz="4" w:space="0"/>
              <w:left w:val="nil"/>
              <w:bottom w:val="single" w:color="auto" w:sz="8" w:space="0"/>
              <w:right w:val="single" w:color="auto" w:sz="8" w:space="0"/>
            </w:tcBorders>
            <w:shd w:val="clear" w:color="auto" w:fill="auto"/>
            <w:vAlign w:val="center"/>
          </w:tcPr>
          <w:p w14:paraId="3583A088">
            <w:pPr>
              <w:rPr>
                <w:color w:val="000000"/>
                <w:sz w:val="22"/>
                <w:szCs w:val="22"/>
              </w:rPr>
            </w:pPr>
            <w:r>
              <w:rPr>
                <w:color w:val="000000"/>
                <w:sz w:val="22"/>
                <w:szCs w:val="22"/>
              </w:rPr>
              <w:t>insufficient information</w:t>
            </w:r>
          </w:p>
        </w:tc>
      </w:tr>
      <w:tr w14:paraId="00957DBD">
        <w:tblPrEx>
          <w:tblCellMar>
            <w:top w:w="0" w:type="dxa"/>
            <w:left w:w="70" w:type="dxa"/>
            <w:bottom w:w="0" w:type="dxa"/>
            <w:right w:w="70" w:type="dxa"/>
          </w:tblCellMar>
        </w:tblPrEx>
        <w:trPr>
          <w:trHeight w:val="88" w:hRule="atLeast"/>
        </w:trPr>
        <w:tc>
          <w:tcPr>
            <w:tcW w:w="2415" w:type="dxa"/>
            <w:vMerge w:val="restart"/>
            <w:tcBorders>
              <w:top w:val="nil"/>
              <w:left w:val="single" w:color="auto" w:sz="8" w:space="0"/>
              <w:bottom w:val="single" w:color="000000" w:sz="8" w:space="0"/>
              <w:right w:val="single" w:color="auto" w:sz="4" w:space="0"/>
            </w:tcBorders>
            <w:shd w:val="clear" w:color="auto" w:fill="auto"/>
            <w:vAlign w:val="center"/>
          </w:tcPr>
          <w:p w14:paraId="7B020E93">
            <w:pPr>
              <w:rPr>
                <w:color w:val="000000"/>
                <w:sz w:val="22"/>
                <w:szCs w:val="22"/>
              </w:rPr>
            </w:pPr>
            <w:r>
              <w:rPr>
                <w:color w:val="000000"/>
                <w:sz w:val="22"/>
                <w:szCs w:val="22"/>
              </w:rPr>
              <w:t>Outcome measures</w:t>
            </w:r>
          </w:p>
        </w:tc>
        <w:tc>
          <w:tcPr>
            <w:tcW w:w="3544" w:type="dxa"/>
            <w:vMerge w:val="restart"/>
            <w:tcBorders>
              <w:top w:val="nil"/>
              <w:left w:val="single" w:color="auto" w:sz="4" w:space="0"/>
              <w:bottom w:val="single" w:color="000000" w:sz="8" w:space="0"/>
              <w:right w:val="single" w:color="auto" w:sz="4" w:space="0"/>
            </w:tcBorders>
            <w:shd w:val="clear" w:color="auto" w:fill="auto"/>
            <w:vAlign w:val="center"/>
          </w:tcPr>
          <w:p w14:paraId="23F4E2F1">
            <w:pPr>
              <w:rPr>
                <w:color w:val="000000"/>
                <w:sz w:val="22"/>
                <w:szCs w:val="22"/>
              </w:rPr>
            </w:pPr>
            <w:r>
              <w:rPr>
                <w:color w:val="000000"/>
                <w:sz w:val="22"/>
                <w:szCs w:val="22"/>
              </w:rPr>
              <w:t>Does the outcome measures reported reflect the intended performance of the device?</w:t>
            </w:r>
          </w:p>
        </w:tc>
        <w:tc>
          <w:tcPr>
            <w:tcW w:w="2693" w:type="dxa"/>
            <w:tcBorders>
              <w:top w:val="nil"/>
              <w:left w:val="nil"/>
              <w:bottom w:val="single" w:color="auto" w:sz="4" w:space="0"/>
              <w:right w:val="single" w:color="auto" w:sz="8" w:space="0"/>
            </w:tcBorders>
            <w:shd w:val="clear" w:color="auto" w:fill="auto"/>
            <w:vAlign w:val="center"/>
          </w:tcPr>
          <w:p w14:paraId="00F40975">
            <w:pPr>
              <w:rPr>
                <w:color w:val="000000"/>
                <w:sz w:val="22"/>
                <w:szCs w:val="22"/>
              </w:rPr>
            </w:pPr>
            <w:r>
              <w:rPr>
                <w:color w:val="000000"/>
                <w:sz w:val="22"/>
                <w:szCs w:val="22"/>
              </w:rPr>
              <w:t>yes</w:t>
            </w:r>
          </w:p>
        </w:tc>
      </w:tr>
      <w:tr w14:paraId="3795E798">
        <w:tblPrEx>
          <w:tblCellMar>
            <w:top w:w="0" w:type="dxa"/>
            <w:left w:w="70" w:type="dxa"/>
            <w:bottom w:w="0" w:type="dxa"/>
            <w:right w:w="70" w:type="dxa"/>
          </w:tblCellMar>
        </w:tblPrEx>
        <w:trPr>
          <w:trHeight w:val="259" w:hRule="atLeast"/>
        </w:trPr>
        <w:tc>
          <w:tcPr>
            <w:tcW w:w="2415" w:type="dxa"/>
            <w:vMerge w:val="continue"/>
            <w:tcBorders>
              <w:top w:val="nil"/>
              <w:left w:val="single" w:color="auto" w:sz="8" w:space="0"/>
              <w:bottom w:val="single" w:color="000000" w:sz="8" w:space="0"/>
              <w:right w:val="single" w:color="auto" w:sz="4" w:space="0"/>
            </w:tcBorders>
            <w:vAlign w:val="center"/>
          </w:tcPr>
          <w:p w14:paraId="282C2A56">
            <w:pPr>
              <w:rPr>
                <w:color w:val="000000"/>
                <w:sz w:val="22"/>
                <w:szCs w:val="22"/>
              </w:rPr>
            </w:pPr>
          </w:p>
        </w:tc>
        <w:tc>
          <w:tcPr>
            <w:tcW w:w="3544" w:type="dxa"/>
            <w:vMerge w:val="continue"/>
            <w:tcBorders>
              <w:top w:val="nil"/>
              <w:left w:val="single" w:color="auto" w:sz="4" w:space="0"/>
              <w:bottom w:val="single" w:color="000000" w:sz="8" w:space="0"/>
              <w:right w:val="single" w:color="auto" w:sz="4" w:space="0"/>
            </w:tcBorders>
            <w:vAlign w:val="center"/>
          </w:tcPr>
          <w:p w14:paraId="15FE8707">
            <w:pPr>
              <w:rPr>
                <w:color w:val="000000"/>
                <w:sz w:val="22"/>
                <w:szCs w:val="22"/>
              </w:rPr>
            </w:pPr>
          </w:p>
        </w:tc>
        <w:tc>
          <w:tcPr>
            <w:tcW w:w="2693" w:type="dxa"/>
            <w:tcBorders>
              <w:top w:val="nil"/>
              <w:left w:val="nil"/>
              <w:bottom w:val="nil"/>
              <w:right w:val="single" w:color="auto" w:sz="8" w:space="0"/>
            </w:tcBorders>
            <w:shd w:val="clear" w:color="auto" w:fill="auto"/>
            <w:vAlign w:val="center"/>
          </w:tcPr>
          <w:p w14:paraId="5579905B">
            <w:pPr>
              <w:rPr>
                <w:color w:val="000000"/>
                <w:sz w:val="22"/>
                <w:szCs w:val="22"/>
              </w:rPr>
            </w:pPr>
            <w:r>
              <w:rPr>
                <w:color w:val="000000"/>
                <w:sz w:val="22"/>
                <w:szCs w:val="22"/>
              </w:rPr>
              <w:t>no</w:t>
            </w:r>
          </w:p>
        </w:tc>
      </w:tr>
      <w:tr w14:paraId="41E14DBB">
        <w:tblPrEx>
          <w:tblCellMar>
            <w:top w:w="0" w:type="dxa"/>
            <w:left w:w="70" w:type="dxa"/>
            <w:bottom w:w="0" w:type="dxa"/>
            <w:right w:w="70" w:type="dxa"/>
          </w:tblCellMar>
        </w:tblPrEx>
        <w:trPr>
          <w:trHeight w:val="153" w:hRule="atLeast"/>
        </w:trPr>
        <w:tc>
          <w:tcPr>
            <w:tcW w:w="2415" w:type="dxa"/>
            <w:vMerge w:val="continue"/>
            <w:tcBorders>
              <w:top w:val="nil"/>
              <w:left w:val="single" w:color="auto" w:sz="8" w:space="0"/>
              <w:bottom w:val="single" w:color="000000" w:sz="8" w:space="0"/>
              <w:right w:val="single" w:color="auto" w:sz="4" w:space="0"/>
            </w:tcBorders>
            <w:vAlign w:val="center"/>
          </w:tcPr>
          <w:p w14:paraId="24580B57">
            <w:pPr>
              <w:rPr>
                <w:color w:val="000000"/>
                <w:sz w:val="22"/>
                <w:szCs w:val="22"/>
              </w:rPr>
            </w:pPr>
          </w:p>
        </w:tc>
        <w:tc>
          <w:tcPr>
            <w:tcW w:w="3544" w:type="dxa"/>
            <w:vMerge w:val="continue"/>
            <w:tcBorders>
              <w:top w:val="nil"/>
              <w:left w:val="single" w:color="auto" w:sz="4" w:space="0"/>
              <w:bottom w:val="single" w:color="000000" w:sz="8" w:space="0"/>
              <w:right w:val="single" w:color="auto" w:sz="4" w:space="0"/>
            </w:tcBorders>
            <w:vAlign w:val="center"/>
          </w:tcPr>
          <w:p w14:paraId="3D6B6DD4">
            <w:pPr>
              <w:rPr>
                <w:color w:val="000000"/>
                <w:sz w:val="22"/>
                <w:szCs w:val="22"/>
              </w:rPr>
            </w:pPr>
          </w:p>
        </w:tc>
        <w:tc>
          <w:tcPr>
            <w:tcW w:w="2693" w:type="dxa"/>
            <w:tcBorders>
              <w:top w:val="single" w:color="auto" w:sz="4" w:space="0"/>
              <w:left w:val="nil"/>
              <w:bottom w:val="single" w:color="auto" w:sz="8" w:space="0"/>
              <w:right w:val="single" w:color="auto" w:sz="8" w:space="0"/>
            </w:tcBorders>
            <w:shd w:val="clear" w:color="auto" w:fill="auto"/>
            <w:vAlign w:val="center"/>
          </w:tcPr>
          <w:p w14:paraId="52483D55">
            <w:pPr>
              <w:rPr>
                <w:color w:val="000000"/>
                <w:sz w:val="22"/>
                <w:szCs w:val="22"/>
              </w:rPr>
            </w:pPr>
            <w:r>
              <w:rPr>
                <w:color w:val="000000"/>
                <w:sz w:val="22"/>
                <w:szCs w:val="22"/>
              </w:rPr>
              <w:t>insufficient information</w:t>
            </w:r>
          </w:p>
        </w:tc>
      </w:tr>
      <w:tr w14:paraId="6045421A">
        <w:tblPrEx>
          <w:tblCellMar>
            <w:top w:w="0" w:type="dxa"/>
            <w:left w:w="70" w:type="dxa"/>
            <w:bottom w:w="0" w:type="dxa"/>
            <w:right w:w="70" w:type="dxa"/>
          </w:tblCellMar>
        </w:tblPrEx>
        <w:trPr>
          <w:trHeight w:val="300" w:hRule="atLeast"/>
        </w:trPr>
        <w:tc>
          <w:tcPr>
            <w:tcW w:w="2415" w:type="dxa"/>
            <w:vMerge w:val="restart"/>
            <w:tcBorders>
              <w:top w:val="nil"/>
              <w:left w:val="single" w:color="auto" w:sz="8" w:space="0"/>
              <w:bottom w:val="single" w:color="000000" w:sz="8" w:space="0"/>
              <w:right w:val="single" w:color="auto" w:sz="4" w:space="0"/>
            </w:tcBorders>
            <w:shd w:val="clear" w:color="auto" w:fill="auto"/>
            <w:vAlign w:val="center"/>
          </w:tcPr>
          <w:p w14:paraId="1C5826D0">
            <w:pPr>
              <w:rPr>
                <w:sz w:val="22"/>
                <w:szCs w:val="22"/>
              </w:rPr>
            </w:pPr>
            <w:r>
              <w:rPr>
                <w:sz w:val="22"/>
                <w:szCs w:val="22"/>
              </w:rPr>
              <w:t>Follow up</w:t>
            </w:r>
          </w:p>
        </w:tc>
        <w:tc>
          <w:tcPr>
            <w:tcW w:w="3544" w:type="dxa"/>
            <w:vMerge w:val="restart"/>
            <w:tcBorders>
              <w:top w:val="nil"/>
              <w:left w:val="single" w:color="auto" w:sz="4" w:space="0"/>
              <w:bottom w:val="single" w:color="000000" w:sz="8" w:space="0"/>
              <w:right w:val="single" w:color="auto" w:sz="4" w:space="0"/>
            </w:tcBorders>
            <w:shd w:val="clear" w:color="auto" w:fill="auto"/>
            <w:vAlign w:val="center"/>
          </w:tcPr>
          <w:p w14:paraId="3A23A41F">
            <w:pPr>
              <w:rPr>
                <w:sz w:val="22"/>
                <w:szCs w:val="22"/>
              </w:rPr>
            </w:pPr>
            <w:r>
              <w:rPr>
                <w:sz w:val="22"/>
                <w:szCs w:val="22"/>
              </w:rPr>
              <w:t>Is the duration of follow up long enough to assess whether duration of treatment effects and identify complications?</w:t>
            </w:r>
          </w:p>
        </w:tc>
        <w:tc>
          <w:tcPr>
            <w:tcW w:w="2693" w:type="dxa"/>
            <w:tcBorders>
              <w:top w:val="nil"/>
              <w:left w:val="nil"/>
              <w:bottom w:val="single" w:color="auto" w:sz="4" w:space="0"/>
              <w:right w:val="single" w:color="auto" w:sz="8" w:space="0"/>
            </w:tcBorders>
            <w:shd w:val="clear" w:color="auto" w:fill="auto"/>
            <w:vAlign w:val="center"/>
          </w:tcPr>
          <w:p w14:paraId="33A744C9">
            <w:pPr>
              <w:rPr>
                <w:sz w:val="22"/>
                <w:szCs w:val="22"/>
              </w:rPr>
            </w:pPr>
            <w:r>
              <w:rPr>
                <w:sz w:val="22"/>
                <w:szCs w:val="22"/>
              </w:rPr>
              <w:t>yes</w:t>
            </w:r>
          </w:p>
        </w:tc>
      </w:tr>
      <w:tr w14:paraId="779360AD">
        <w:tblPrEx>
          <w:tblCellMar>
            <w:top w:w="0" w:type="dxa"/>
            <w:left w:w="70" w:type="dxa"/>
            <w:bottom w:w="0" w:type="dxa"/>
            <w:right w:w="70" w:type="dxa"/>
          </w:tblCellMar>
        </w:tblPrEx>
        <w:trPr>
          <w:trHeight w:val="181" w:hRule="atLeast"/>
        </w:trPr>
        <w:tc>
          <w:tcPr>
            <w:tcW w:w="2415" w:type="dxa"/>
            <w:vMerge w:val="continue"/>
            <w:tcBorders>
              <w:top w:val="nil"/>
              <w:left w:val="single" w:color="auto" w:sz="8" w:space="0"/>
              <w:bottom w:val="single" w:color="000000" w:sz="8" w:space="0"/>
              <w:right w:val="single" w:color="auto" w:sz="4" w:space="0"/>
            </w:tcBorders>
            <w:vAlign w:val="center"/>
          </w:tcPr>
          <w:p w14:paraId="152F99DC">
            <w:pPr>
              <w:rPr>
                <w:sz w:val="22"/>
                <w:szCs w:val="22"/>
              </w:rPr>
            </w:pPr>
          </w:p>
        </w:tc>
        <w:tc>
          <w:tcPr>
            <w:tcW w:w="3544" w:type="dxa"/>
            <w:vMerge w:val="continue"/>
            <w:tcBorders>
              <w:top w:val="nil"/>
              <w:left w:val="single" w:color="auto" w:sz="4" w:space="0"/>
              <w:bottom w:val="single" w:color="000000" w:sz="8" w:space="0"/>
              <w:right w:val="single" w:color="auto" w:sz="4" w:space="0"/>
            </w:tcBorders>
            <w:vAlign w:val="center"/>
          </w:tcPr>
          <w:p w14:paraId="636370A5">
            <w:pPr>
              <w:rPr>
                <w:sz w:val="22"/>
                <w:szCs w:val="22"/>
              </w:rPr>
            </w:pPr>
          </w:p>
        </w:tc>
        <w:tc>
          <w:tcPr>
            <w:tcW w:w="2693" w:type="dxa"/>
            <w:tcBorders>
              <w:top w:val="nil"/>
              <w:left w:val="nil"/>
              <w:bottom w:val="single" w:color="auto" w:sz="8" w:space="0"/>
              <w:right w:val="single" w:color="auto" w:sz="8" w:space="0"/>
            </w:tcBorders>
            <w:shd w:val="clear" w:color="auto" w:fill="auto"/>
            <w:vAlign w:val="center"/>
          </w:tcPr>
          <w:p w14:paraId="1CD497CF">
            <w:pPr>
              <w:rPr>
                <w:sz w:val="22"/>
                <w:szCs w:val="22"/>
              </w:rPr>
            </w:pPr>
            <w:r>
              <w:rPr>
                <w:sz w:val="22"/>
                <w:szCs w:val="22"/>
              </w:rPr>
              <w:t>no</w:t>
            </w:r>
          </w:p>
        </w:tc>
      </w:tr>
      <w:tr w14:paraId="7C3EA7D9">
        <w:tblPrEx>
          <w:tblCellMar>
            <w:top w:w="0" w:type="dxa"/>
            <w:left w:w="70" w:type="dxa"/>
            <w:bottom w:w="0" w:type="dxa"/>
            <w:right w:w="70" w:type="dxa"/>
          </w:tblCellMar>
        </w:tblPrEx>
        <w:trPr>
          <w:trHeight w:val="277" w:hRule="atLeast"/>
        </w:trPr>
        <w:tc>
          <w:tcPr>
            <w:tcW w:w="2415" w:type="dxa"/>
            <w:vMerge w:val="continue"/>
            <w:tcBorders>
              <w:top w:val="nil"/>
              <w:left w:val="single" w:color="auto" w:sz="8" w:space="0"/>
              <w:bottom w:val="single" w:color="auto" w:sz="4" w:space="0"/>
              <w:right w:val="single" w:color="auto" w:sz="4" w:space="0"/>
            </w:tcBorders>
            <w:vAlign w:val="center"/>
          </w:tcPr>
          <w:p w14:paraId="2CE87967">
            <w:pPr>
              <w:rPr>
                <w:sz w:val="22"/>
                <w:szCs w:val="22"/>
              </w:rPr>
            </w:pPr>
          </w:p>
        </w:tc>
        <w:tc>
          <w:tcPr>
            <w:tcW w:w="3544" w:type="dxa"/>
            <w:vMerge w:val="continue"/>
            <w:tcBorders>
              <w:top w:val="nil"/>
              <w:left w:val="single" w:color="auto" w:sz="4" w:space="0"/>
              <w:bottom w:val="single" w:color="auto" w:sz="4" w:space="0"/>
              <w:right w:val="single" w:color="auto" w:sz="4" w:space="0"/>
            </w:tcBorders>
            <w:vAlign w:val="center"/>
          </w:tcPr>
          <w:p w14:paraId="78DD15D8">
            <w:pPr>
              <w:rPr>
                <w:sz w:val="22"/>
                <w:szCs w:val="22"/>
              </w:rPr>
            </w:pPr>
          </w:p>
        </w:tc>
        <w:tc>
          <w:tcPr>
            <w:tcW w:w="2693" w:type="dxa"/>
            <w:tcBorders>
              <w:top w:val="single" w:color="auto" w:sz="4" w:space="0"/>
              <w:left w:val="nil"/>
              <w:bottom w:val="single" w:color="auto" w:sz="4" w:space="0"/>
              <w:right w:val="single" w:color="auto" w:sz="8" w:space="0"/>
            </w:tcBorders>
            <w:shd w:val="clear" w:color="auto" w:fill="auto"/>
            <w:vAlign w:val="center"/>
          </w:tcPr>
          <w:p w14:paraId="351B67ED">
            <w:pPr>
              <w:rPr>
                <w:sz w:val="22"/>
                <w:szCs w:val="22"/>
              </w:rPr>
            </w:pPr>
            <w:r>
              <w:rPr>
                <w:sz w:val="22"/>
                <w:szCs w:val="22"/>
              </w:rPr>
              <w:t>insufficient information</w:t>
            </w:r>
          </w:p>
        </w:tc>
      </w:tr>
      <w:tr w14:paraId="05235C14">
        <w:tblPrEx>
          <w:tblCellMar>
            <w:top w:w="0" w:type="dxa"/>
            <w:left w:w="70" w:type="dxa"/>
            <w:bottom w:w="0" w:type="dxa"/>
            <w:right w:w="70" w:type="dxa"/>
          </w:tblCellMar>
        </w:tblPrEx>
        <w:trPr>
          <w:trHeight w:val="267" w:hRule="atLeast"/>
        </w:trPr>
        <w:tc>
          <w:tcPr>
            <w:tcW w:w="2415" w:type="dxa"/>
            <w:vMerge w:val="restart"/>
            <w:tcBorders>
              <w:top w:val="single" w:color="auto" w:sz="4" w:space="0"/>
              <w:left w:val="single" w:color="auto" w:sz="8" w:space="0"/>
              <w:right w:val="single" w:color="auto" w:sz="4" w:space="0"/>
            </w:tcBorders>
            <w:vAlign w:val="center"/>
          </w:tcPr>
          <w:p w14:paraId="0C03ADD8">
            <w:pPr>
              <w:rPr>
                <w:sz w:val="22"/>
                <w:szCs w:val="22"/>
              </w:rPr>
            </w:pPr>
            <w:r>
              <w:rPr>
                <w:sz w:val="22"/>
                <w:szCs w:val="22"/>
              </w:rPr>
              <w:t>Statistical significance</w:t>
            </w:r>
          </w:p>
        </w:tc>
        <w:tc>
          <w:tcPr>
            <w:tcW w:w="3544" w:type="dxa"/>
            <w:vMerge w:val="restart"/>
            <w:tcBorders>
              <w:top w:val="single" w:color="auto" w:sz="4" w:space="0"/>
              <w:left w:val="single" w:color="auto" w:sz="4" w:space="0"/>
              <w:right w:val="single" w:color="auto" w:sz="4" w:space="0"/>
            </w:tcBorders>
            <w:vAlign w:val="center"/>
          </w:tcPr>
          <w:p w14:paraId="79D30E67">
            <w:pPr>
              <w:rPr>
                <w:sz w:val="22"/>
                <w:szCs w:val="22"/>
              </w:rPr>
            </w:pPr>
            <w:r>
              <w:rPr>
                <w:sz w:val="22"/>
                <w:szCs w:val="22"/>
              </w:rPr>
              <w:t>Has a statistical analysis of the data been provided and is it appropriate?</w:t>
            </w:r>
          </w:p>
        </w:tc>
        <w:tc>
          <w:tcPr>
            <w:tcW w:w="2693" w:type="dxa"/>
            <w:tcBorders>
              <w:top w:val="single" w:color="auto" w:sz="4" w:space="0"/>
              <w:left w:val="nil"/>
              <w:bottom w:val="single" w:color="auto" w:sz="8" w:space="0"/>
              <w:right w:val="single" w:color="auto" w:sz="8" w:space="0"/>
            </w:tcBorders>
            <w:shd w:val="clear" w:color="auto" w:fill="auto"/>
            <w:vAlign w:val="center"/>
          </w:tcPr>
          <w:p w14:paraId="03CAA24E">
            <w:pPr>
              <w:rPr>
                <w:sz w:val="22"/>
                <w:szCs w:val="22"/>
              </w:rPr>
            </w:pPr>
            <w:r>
              <w:rPr>
                <w:sz w:val="22"/>
                <w:szCs w:val="22"/>
              </w:rPr>
              <w:t>yes</w:t>
            </w:r>
          </w:p>
        </w:tc>
      </w:tr>
      <w:tr w14:paraId="2274706B">
        <w:tblPrEx>
          <w:tblCellMar>
            <w:top w:w="0" w:type="dxa"/>
            <w:left w:w="70" w:type="dxa"/>
            <w:bottom w:w="0" w:type="dxa"/>
            <w:right w:w="70" w:type="dxa"/>
          </w:tblCellMar>
        </w:tblPrEx>
        <w:trPr>
          <w:trHeight w:val="235" w:hRule="atLeast"/>
        </w:trPr>
        <w:tc>
          <w:tcPr>
            <w:tcW w:w="2415" w:type="dxa"/>
            <w:vMerge w:val="continue"/>
            <w:tcBorders>
              <w:left w:val="single" w:color="auto" w:sz="8" w:space="0"/>
              <w:right w:val="single" w:color="auto" w:sz="4" w:space="0"/>
            </w:tcBorders>
            <w:vAlign w:val="center"/>
          </w:tcPr>
          <w:p w14:paraId="565A4490">
            <w:pPr>
              <w:rPr>
                <w:sz w:val="22"/>
                <w:szCs w:val="22"/>
              </w:rPr>
            </w:pPr>
          </w:p>
        </w:tc>
        <w:tc>
          <w:tcPr>
            <w:tcW w:w="3544" w:type="dxa"/>
            <w:vMerge w:val="continue"/>
            <w:tcBorders>
              <w:left w:val="single" w:color="auto" w:sz="4" w:space="0"/>
              <w:right w:val="single" w:color="auto" w:sz="4" w:space="0"/>
            </w:tcBorders>
            <w:vAlign w:val="center"/>
          </w:tcPr>
          <w:p w14:paraId="57D8F26B">
            <w:pPr>
              <w:rPr>
                <w:sz w:val="22"/>
                <w:szCs w:val="22"/>
              </w:rPr>
            </w:pPr>
          </w:p>
        </w:tc>
        <w:tc>
          <w:tcPr>
            <w:tcW w:w="2693" w:type="dxa"/>
            <w:tcBorders>
              <w:top w:val="single" w:color="auto" w:sz="4" w:space="0"/>
              <w:left w:val="nil"/>
              <w:bottom w:val="single" w:color="auto" w:sz="4" w:space="0"/>
              <w:right w:val="single" w:color="auto" w:sz="8" w:space="0"/>
            </w:tcBorders>
            <w:shd w:val="clear" w:color="auto" w:fill="auto"/>
            <w:vAlign w:val="center"/>
          </w:tcPr>
          <w:p w14:paraId="76F19DF6">
            <w:pPr>
              <w:rPr>
                <w:sz w:val="22"/>
                <w:szCs w:val="22"/>
              </w:rPr>
            </w:pPr>
            <w:r>
              <w:rPr>
                <w:sz w:val="22"/>
                <w:szCs w:val="22"/>
              </w:rPr>
              <w:t>no</w:t>
            </w:r>
          </w:p>
        </w:tc>
      </w:tr>
      <w:tr w14:paraId="626207C1">
        <w:tblPrEx>
          <w:tblCellMar>
            <w:top w:w="0" w:type="dxa"/>
            <w:left w:w="70" w:type="dxa"/>
            <w:bottom w:w="0" w:type="dxa"/>
            <w:right w:w="70" w:type="dxa"/>
          </w:tblCellMar>
        </w:tblPrEx>
        <w:trPr>
          <w:trHeight w:val="223" w:hRule="atLeast"/>
        </w:trPr>
        <w:tc>
          <w:tcPr>
            <w:tcW w:w="2415" w:type="dxa"/>
            <w:vMerge w:val="continue"/>
            <w:tcBorders>
              <w:left w:val="single" w:color="auto" w:sz="8" w:space="0"/>
              <w:bottom w:val="single" w:color="auto" w:sz="4" w:space="0"/>
              <w:right w:val="single" w:color="auto" w:sz="4" w:space="0"/>
            </w:tcBorders>
            <w:vAlign w:val="center"/>
          </w:tcPr>
          <w:p w14:paraId="795F10B2">
            <w:pPr>
              <w:rPr>
                <w:sz w:val="22"/>
                <w:szCs w:val="22"/>
              </w:rPr>
            </w:pPr>
          </w:p>
        </w:tc>
        <w:tc>
          <w:tcPr>
            <w:tcW w:w="3544" w:type="dxa"/>
            <w:vMerge w:val="continue"/>
            <w:tcBorders>
              <w:left w:val="single" w:color="auto" w:sz="4" w:space="0"/>
              <w:bottom w:val="single" w:color="auto" w:sz="4" w:space="0"/>
              <w:right w:val="single" w:color="auto" w:sz="4" w:space="0"/>
            </w:tcBorders>
            <w:vAlign w:val="center"/>
          </w:tcPr>
          <w:p w14:paraId="098A5DC8">
            <w:pPr>
              <w:rPr>
                <w:sz w:val="22"/>
                <w:szCs w:val="22"/>
              </w:rPr>
            </w:pPr>
          </w:p>
        </w:tc>
        <w:tc>
          <w:tcPr>
            <w:tcW w:w="2693" w:type="dxa"/>
            <w:tcBorders>
              <w:top w:val="single" w:color="auto" w:sz="4" w:space="0"/>
              <w:left w:val="nil"/>
              <w:bottom w:val="single" w:color="auto" w:sz="4" w:space="0"/>
              <w:right w:val="single" w:color="auto" w:sz="8" w:space="0"/>
            </w:tcBorders>
            <w:shd w:val="clear" w:color="auto" w:fill="auto"/>
            <w:vAlign w:val="center"/>
          </w:tcPr>
          <w:p w14:paraId="4629443E">
            <w:pPr>
              <w:rPr>
                <w:sz w:val="22"/>
                <w:szCs w:val="22"/>
              </w:rPr>
            </w:pPr>
            <w:r>
              <w:rPr>
                <w:sz w:val="22"/>
                <w:szCs w:val="22"/>
              </w:rPr>
              <w:t>insufficient information</w:t>
            </w:r>
          </w:p>
        </w:tc>
      </w:tr>
      <w:tr w14:paraId="0C457FEF">
        <w:tblPrEx>
          <w:tblCellMar>
            <w:top w:w="0" w:type="dxa"/>
            <w:left w:w="70" w:type="dxa"/>
            <w:bottom w:w="0" w:type="dxa"/>
            <w:right w:w="70" w:type="dxa"/>
          </w:tblCellMar>
        </w:tblPrEx>
        <w:trPr>
          <w:trHeight w:val="223" w:hRule="atLeast"/>
        </w:trPr>
        <w:tc>
          <w:tcPr>
            <w:tcW w:w="2415" w:type="dxa"/>
            <w:vMerge w:val="restart"/>
            <w:tcBorders>
              <w:top w:val="single" w:color="auto" w:sz="4" w:space="0"/>
              <w:left w:val="single" w:color="auto" w:sz="8" w:space="0"/>
              <w:right w:val="single" w:color="auto" w:sz="4" w:space="0"/>
            </w:tcBorders>
            <w:vAlign w:val="center"/>
          </w:tcPr>
          <w:p w14:paraId="61B93E65">
            <w:pPr>
              <w:rPr>
                <w:sz w:val="22"/>
                <w:szCs w:val="22"/>
              </w:rPr>
            </w:pPr>
            <w:r>
              <w:rPr>
                <w:sz w:val="22"/>
                <w:szCs w:val="22"/>
              </w:rPr>
              <w:t>Clinical significance</w:t>
            </w:r>
          </w:p>
        </w:tc>
        <w:tc>
          <w:tcPr>
            <w:tcW w:w="3544" w:type="dxa"/>
            <w:vMerge w:val="restart"/>
            <w:tcBorders>
              <w:top w:val="single" w:color="auto" w:sz="4" w:space="0"/>
              <w:left w:val="single" w:color="auto" w:sz="4" w:space="0"/>
              <w:right w:val="single" w:color="auto" w:sz="4" w:space="0"/>
            </w:tcBorders>
            <w:vAlign w:val="center"/>
          </w:tcPr>
          <w:p w14:paraId="1401CA95">
            <w:pPr>
              <w:rPr>
                <w:sz w:val="22"/>
                <w:szCs w:val="22"/>
              </w:rPr>
            </w:pPr>
            <w:r>
              <w:rPr>
                <w:sz w:val="22"/>
                <w:szCs w:val="22"/>
              </w:rPr>
              <w:t>Was magnitude of the treatment affect observed clinically significant?</w:t>
            </w:r>
          </w:p>
        </w:tc>
        <w:tc>
          <w:tcPr>
            <w:tcW w:w="2693" w:type="dxa"/>
            <w:tcBorders>
              <w:top w:val="single" w:color="auto" w:sz="4" w:space="0"/>
              <w:left w:val="nil"/>
              <w:bottom w:val="single" w:color="auto" w:sz="8" w:space="0"/>
              <w:right w:val="single" w:color="auto" w:sz="8" w:space="0"/>
            </w:tcBorders>
            <w:shd w:val="clear" w:color="auto" w:fill="auto"/>
            <w:vAlign w:val="center"/>
          </w:tcPr>
          <w:p w14:paraId="4BAC4F85">
            <w:pPr>
              <w:rPr>
                <w:sz w:val="22"/>
                <w:szCs w:val="22"/>
              </w:rPr>
            </w:pPr>
            <w:r>
              <w:rPr>
                <w:sz w:val="22"/>
                <w:szCs w:val="22"/>
              </w:rPr>
              <w:t>yes</w:t>
            </w:r>
          </w:p>
        </w:tc>
      </w:tr>
      <w:tr w14:paraId="09112FCF">
        <w:tblPrEx>
          <w:tblCellMar>
            <w:top w:w="0" w:type="dxa"/>
            <w:left w:w="70" w:type="dxa"/>
            <w:bottom w:w="0" w:type="dxa"/>
            <w:right w:w="70" w:type="dxa"/>
          </w:tblCellMar>
        </w:tblPrEx>
        <w:trPr>
          <w:trHeight w:val="223" w:hRule="atLeast"/>
        </w:trPr>
        <w:tc>
          <w:tcPr>
            <w:tcW w:w="2415" w:type="dxa"/>
            <w:vMerge w:val="continue"/>
            <w:tcBorders>
              <w:left w:val="single" w:color="auto" w:sz="8" w:space="0"/>
              <w:right w:val="single" w:color="auto" w:sz="4" w:space="0"/>
            </w:tcBorders>
            <w:vAlign w:val="center"/>
          </w:tcPr>
          <w:p w14:paraId="06B8EC82">
            <w:pPr>
              <w:rPr>
                <w:sz w:val="22"/>
                <w:szCs w:val="22"/>
              </w:rPr>
            </w:pPr>
          </w:p>
        </w:tc>
        <w:tc>
          <w:tcPr>
            <w:tcW w:w="3544" w:type="dxa"/>
            <w:vMerge w:val="continue"/>
            <w:tcBorders>
              <w:left w:val="single" w:color="auto" w:sz="4" w:space="0"/>
              <w:right w:val="single" w:color="auto" w:sz="4" w:space="0"/>
            </w:tcBorders>
            <w:vAlign w:val="center"/>
          </w:tcPr>
          <w:p w14:paraId="0A1A64A0">
            <w:pPr>
              <w:rPr>
                <w:sz w:val="22"/>
                <w:szCs w:val="22"/>
              </w:rPr>
            </w:pPr>
          </w:p>
        </w:tc>
        <w:tc>
          <w:tcPr>
            <w:tcW w:w="2693" w:type="dxa"/>
            <w:tcBorders>
              <w:top w:val="single" w:color="auto" w:sz="4" w:space="0"/>
              <w:left w:val="nil"/>
              <w:bottom w:val="single" w:color="auto" w:sz="8" w:space="0"/>
              <w:right w:val="single" w:color="auto" w:sz="8" w:space="0"/>
            </w:tcBorders>
            <w:shd w:val="clear" w:color="auto" w:fill="auto"/>
            <w:vAlign w:val="center"/>
          </w:tcPr>
          <w:p w14:paraId="4555453F">
            <w:pPr>
              <w:rPr>
                <w:sz w:val="22"/>
                <w:szCs w:val="22"/>
              </w:rPr>
            </w:pPr>
            <w:r>
              <w:rPr>
                <w:sz w:val="22"/>
                <w:szCs w:val="22"/>
              </w:rPr>
              <w:t>no</w:t>
            </w:r>
          </w:p>
        </w:tc>
      </w:tr>
      <w:tr w14:paraId="60C2D7D9">
        <w:tblPrEx>
          <w:tblCellMar>
            <w:top w:w="0" w:type="dxa"/>
            <w:left w:w="70" w:type="dxa"/>
            <w:bottom w:w="0" w:type="dxa"/>
            <w:right w:w="70" w:type="dxa"/>
          </w:tblCellMar>
        </w:tblPrEx>
        <w:trPr>
          <w:trHeight w:val="223" w:hRule="atLeast"/>
        </w:trPr>
        <w:tc>
          <w:tcPr>
            <w:tcW w:w="2415" w:type="dxa"/>
            <w:vMerge w:val="continue"/>
            <w:tcBorders>
              <w:left w:val="single" w:color="auto" w:sz="8" w:space="0"/>
              <w:bottom w:val="single" w:color="000000" w:sz="8" w:space="0"/>
              <w:right w:val="single" w:color="auto" w:sz="4" w:space="0"/>
            </w:tcBorders>
            <w:vAlign w:val="center"/>
          </w:tcPr>
          <w:p w14:paraId="5B5A1E3C">
            <w:pPr>
              <w:rPr>
                <w:sz w:val="22"/>
                <w:szCs w:val="22"/>
              </w:rPr>
            </w:pPr>
          </w:p>
        </w:tc>
        <w:tc>
          <w:tcPr>
            <w:tcW w:w="3544" w:type="dxa"/>
            <w:vMerge w:val="continue"/>
            <w:tcBorders>
              <w:left w:val="single" w:color="auto" w:sz="4" w:space="0"/>
              <w:bottom w:val="single" w:color="000000" w:sz="8" w:space="0"/>
              <w:right w:val="single" w:color="auto" w:sz="4" w:space="0"/>
            </w:tcBorders>
            <w:vAlign w:val="center"/>
          </w:tcPr>
          <w:p w14:paraId="4519B95B">
            <w:pPr>
              <w:rPr>
                <w:sz w:val="22"/>
                <w:szCs w:val="22"/>
              </w:rPr>
            </w:pPr>
          </w:p>
        </w:tc>
        <w:tc>
          <w:tcPr>
            <w:tcW w:w="2693" w:type="dxa"/>
            <w:tcBorders>
              <w:top w:val="single" w:color="auto" w:sz="4" w:space="0"/>
              <w:left w:val="nil"/>
              <w:bottom w:val="single" w:color="auto" w:sz="8" w:space="0"/>
              <w:right w:val="single" w:color="auto" w:sz="8" w:space="0"/>
            </w:tcBorders>
            <w:shd w:val="clear" w:color="auto" w:fill="auto"/>
            <w:vAlign w:val="center"/>
          </w:tcPr>
          <w:p w14:paraId="1FEBF0BD">
            <w:pPr>
              <w:rPr>
                <w:sz w:val="22"/>
                <w:szCs w:val="22"/>
              </w:rPr>
            </w:pPr>
            <w:r>
              <w:rPr>
                <w:sz w:val="22"/>
                <w:szCs w:val="22"/>
              </w:rPr>
              <w:t>insufficient information</w:t>
            </w:r>
          </w:p>
        </w:tc>
      </w:tr>
    </w:tbl>
    <w:p w14:paraId="027C4084"/>
    <w:p w14:paraId="77B52213">
      <w:pPr>
        <w:pStyle w:val="3"/>
      </w:pPr>
      <w:bookmarkStart w:id="52" w:name="_Toc480979565"/>
      <w:r>
        <w:t>Selection criteria</w:t>
      </w:r>
      <w:bookmarkEnd w:id="52"/>
    </w:p>
    <w:p w14:paraId="7C72A108">
      <w:r>
        <w:t>The final selection was performed as described in Table 12.</w:t>
      </w:r>
    </w:p>
    <w:p w14:paraId="63C26D14"/>
    <w:p w14:paraId="1790D2F2">
      <w:pPr>
        <w:pStyle w:val="14"/>
        <w:rPr>
          <w:rFonts w:ascii="Calibri" w:hAnsi="Calibri"/>
        </w:rPr>
      </w:pPr>
      <w:bookmarkStart w:id="53" w:name="_Toc480979591"/>
      <w:r>
        <w:rPr>
          <w:rFonts w:ascii="Calibri" w:hAnsi="Calibri"/>
        </w:rPr>
        <w:t>Table 12. Selection criteria</w:t>
      </w:r>
      <w:bookmarkEnd w:id="53"/>
    </w:p>
    <w:p w14:paraId="4BB88140">
      <w:pPr>
        <w:pStyle w:val="14"/>
        <w:rPr>
          <w:rFonts w:ascii="Calibri" w:hAnsi="Calibri"/>
        </w:rPr>
      </w:pPr>
    </w:p>
    <w:tbl>
      <w:tblPr>
        <w:tblStyle w:val="26"/>
        <w:tblW w:w="8652" w:type="dxa"/>
        <w:tblInd w:w="65" w:type="dxa"/>
        <w:tblLayout w:type="autofit"/>
        <w:tblCellMar>
          <w:top w:w="0" w:type="dxa"/>
          <w:left w:w="70" w:type="dxa"/>
          <w:bottom w:w="0" w:type="dxa"/>
          <w:right w:w="70" w:type="dxa"/>
        </w:tblCellMar>
      </w:tblPr>
      <w:tblGrid>
        <w:gridCol w:w="2415"/>
        <w:gridCol w:w="3544"/>
        <w:gridCol w:w="2693"/>
      </w:tblGrid>
      <w:tr w14:paraId="53FD91D9">
        <w:tblPrEx>
          <w:tblCellMar>
            <w:top w:w="0" w:type="dxa"/>
            <w:left w:w="70" w:type="dxa"/>
            <w:bottom w:w="0" w:type="dxa"/>
            <w:right w:w="70" w:type="dxa"/>
          </w:tblCellMar>
        </w:tblPrEx>
        <w:trPr>
          <w:trHeight w:val="446" w:hRule="atLeast"/>
        </w:trPr>
        <w:tc>
          <w:tcPr>
            <w:tcW w:w="8652" w:type="dxa"/>
            <w:gridSpan w:val="3"/>
            <w:tcBorders>
              <w:top w:val="single" w:color="auto" w:sz="4" w:space="0"/>
              <w:left w:val="single" w:color="auto" w:sz="4" w:space="0"/>
              <w:bottom w:val="single" w:color="auto" w:sz="4" w:space="0"/>
              <w:right w:val="single" w:color="auto" w:sz="4" w:space="0"/>
            </w:tcBorders>
            <w:shd w:val="clear" w:color="auto" w:fill="auto"/>
            <w:vAlign w:val="bottom"/>
          </w:tcPr>
          <w:p w14:paraId="4B4938CA">
            <w:pPr>
              <w:jc w:val="center"/>
              <w:rPr>
                <w:b/>
                <w:bCs/>
                <w:color w:val="000000"/>
                <w:sz w:val="32"/>
                <w:szCs w:val="32"/>
              </w:rPr>
            </w:pPr>
            <w:r>
              <w:rPr>
                <w:b/>
                <w:bCs/>
                <w:color w:val="000000"/>
                <w:sz w:val="32"/>
                <w:szCs w:val="32"/>
              </w:rPr>
              <w:t>Selection</w:t>
            </w:r>
          </w:p>
        </w:tc>
      </w:tr>
      <w:tr w14:paraId="2148F125">
        <w:tblPrEx>
          <w:tblCellMar>
            <w:top w:w="0" w:type="dxa"/>
            <w:left w:w="70" w:type="dxa"/>
            <w:bottom w:w="0" w:type="dxa"/>
            <w:right w:w="70" w:type="dxa"/>
          </w:tblCellMar>
        </w:tblPrEx>
        <w:trPr>
          <w:trHeight w:val="315" w:hRule="atLeast"/>
        </w:trPr>
        <w:tc>
          <w:tcPr>
            <w:tcW w:w="2415" w:type="dxa"/>
            <w:tcBorders>
              <w:top w:val="nil"/>
              <w:left w:val="single" w:color="auto" w:sz="4" w:space="0"/>
              <w:bottom w:val="nil"/>
              <w:right w:val="single" w:color="auto" w:sz="4" w:space="0"/>
            </w:tcBorders>
            <w:shd w:val="clear" w:color="auto" w:fill="auto"/>
            <w:noWrap/>
            <w:vAlign w:val="bottom"/>
          </w:tcPr>
          <w:p w14:paraId="42D83C62">
            <w:pPr>
              <w:rPr>
                <w:b/>
                <w:bCs/>
                <w:color w:val="000000"/>
                <w:sz w:val="22"/>
                <w:szCs w:val="22"/>
              </w:rPr>
            </w:pPr>
            <w:r>
              <w:rPr>
                <w:b/>
                <w:bCs/>
                <w:color w:val="000000"/>
                <w:sz w:val="22"/>
                <w:szCs w:val="22"/>
              </w:rPr>
              <w:t>Selection</w:t>
            </w:r>
          </w:p>
        </w:tc>
        <w:tc>
          <w:tcPr>
            <w:tcW w:w="3544" w:type="dxa"/>
            <w:tcBorders>
              <w:top w:val="nil"/>
              <w:left w:val="nil"/>
              <w:bottom w:val="nil"/>
              <w:right w:val="single" w:color="auto" w:sz="4" w:space="0"/>
            </w:tcBorders>
            <w:shd w:val="clear" w:color="auto" w:fill="auto"/>
            <w:noWrap/>
            <w:vAlign w:val="bottom"/>
          </w:tcPr>
          <w:p w14:paraId="57AE91F2">
            <w:pPr>
              <w:rPr>
                <w:b/>
                <w:bCs/>
                <w:color w:val="000000"/>
                <w:sz w:val="22"/>
                <w:szCs w:val="22"/>
              </w:rPr>
            </w:pPr>
            <w:r>
              <w:rPr>
                <w:b/>
                <w:bCs/>
                <w:color w:val="000000"/>
                <w:sz w:val="22"/>
                <w:szCs w:val="22"/>
              </w:rPr>
              <w:t>Description</w:t>
            </w:r>
          </w:p>
        </w:tc>
        <w:tc>
          <w:tcPr>
            <w:tcW w:w="2693" w:type="dxa"/>
            <w:tcBorders>
              <w:top w:val="nil"/>
              <w:left w:val="nil"/>
              <w:bottom w:val="nil"/>
              <w:right w:val="single" w:color="auto" w:sz="4" w:space="0"/>
            </w:tcBorders>
            <w:shd w:val="clear" w:color="auto" w:fill="auto"/>
            <w:noWrap/>
            <w:vAlign w:val="bottom"/>
          </w:tcPr>
          <w:p w14:paraId="7683CAEA">
            <w:pPr>
              <w:rPr>
                <w:b/>
                <w:bCs/>
                <w:color w:val="000000"/>
                <w:sz w:val="22"/>
                <w:szCs w:val="22"/>
              </w:rPr>
            </w:pPr>
            <w:r>
              <w:rPr>
                <w:b/>
                <w:bCs/>
                <w:color w:val="000000"/>
                <w:sz w:val="22"/>
                <w:szCs w:val="22"/>
              </w:rPr>
              <w:t>Abbr.</w:t>
            </w:r>
          </w:p>
        </w:tc>
      </w:tr>
      <w:tr w14:paraId="5751648D">
        <w:tblPrEx>
          <w:tblCellMar>
            <w:top w:w="0" w:type="dxa"/>
            <w:left w:w="70" w:type="dxa"/>
            <w:bottom w:w="0" w:type="dxa"/>
            <w:right w:w="70" w:type="dxa"/>
          </w:tblCellMar>
        </w:tblPrEx>
        <w:trPr>
          <w:trHeight w:val="622" w:hRule="atLeast"/>
        </w:trPr>
        <w:tc>
          <w:tcPr>
            <w:tcW w:w="2415" w:type="dxa"/>
            <w:tcBorders>
              <w:top w:val="single" w:color="auto" w:sz="8" w:space="0"/>
              <w:left w:val="single" w:color="auto" w:sz="8" w:space="0"/>
              <w:bottom w:val="single" w:color="auto" w:sz="8" w:space="0"/>
              <w:right w:val="single" w:color="auto" w:sz="4" w:space="0"/>
            </w:tcBorders>
            <w:shd w:val="clear" w:color="auto" w:fill="auto"/>
            <w:vAlign w:val="center"/>
          </w:tcPr>
          <w:p w14:paraId="20B1C7D8">
            <w:pPr>
              <w:rPr>
                <w:color w:val="000000"/>
                <w:sz w:val="22"/>
                <w:szCs w:val="22"/>
              </w:rPr>
            </w:pPr>
            <w:r>
              <w:rPr>
                <w:color w:val="000000"/>
                <w:sz w:val="22"/>
                <w:szCs w:val="22"/>
              </w:rPr>
              <w:t>Excluded before assessment</w:t>
            </w:r>
          </w:p>
        </w:tc>
        <w:tc>
          <w:tcPr>
            <w:tcW w:w="3544" w:type="dxa"/>
            <w:tcBorders>
              <w:top w:val="single" w:color="auto" w:sz="8" w:space="0"/>
              <w:left w:val="nil"/>
              <w:bottom w:val="single" w:color="auto" w:sz="8" w:space="0"/>
              <w:right w:val="single" w:color="auto" w:sz="4" w:space="0"/>
            </w:tcBorders>
            <w:shd w:val="clear" w:color="auto" w:fill="auto"/>
            <w:vAlign w:val="center"/>
          </w:tcPr>
          <w:p w14:paraId="3313D3F3">
            <w:pPr>
              <w:rPr>
                <w:color w:val="000000"/>
                <w:sz w:val="22"/>
                <w:szCs w:val="22"/>
              </w:rPr>
            </w:pPr>
            <w:r>
              <w:rPr>
                <w:color w:val="000000"/>
                <w:sz w:val="22"/>
                <w:szCs w:val="22"/>
              </w:rPr>
              <w:t>Irrelevant article considering the inclusion criteria, can be excluded based on the title/abstract</w:t>
            </w:r>
          </w:p>
        </w:tc>
        <w:tc>
          <w:tcPr>
            <w:tcW w:w="2693" w:type="dxa"/>
            <w:tcBorders>
              <w:top w:val="single" w:color="auto" w:sz="8" w:space="0"/>
              <w:left w:val="nil"/>
              <w:bottom w:val="single" w:color="auto" w:sz="8" w:space="0"/>
              <w:right w:val="single" w:color="auto" w:sz="8" w:space="0"/>
            </w:tcBorders>
            <w:shd w:val="clear" w:color="auto" w:fill="auto"/>
            <w:noWrap/>
            <w:vAlign w:val="center"/>
          </w:tcPr>
          <w:p w14:paraId="4E877893">
            <w:pPr>
              <w:rPr>
                <w:color w:val="000000"/>
                <w:sz w:val="22"/>
                <w:szCs w:val="22"/>
              </w:rPr>
            </w:pPr>
            <w:r>
              <w:rPr>
                <w:color w:val="000000"/>
                <w:sz w:val="22"/>
                <w:szCs w:val="22"/>
              </w:rPr>
              <w:t>EBA</w:t>
            </w:r>
          </w:p>
        </w:tc>
      </w:tr>
      <w:tr w14:paraId="7B69FB01">
        <w:tblPrEx>
          <w:tblCellMar>
            <w:top w:w="0" w:type="dxa"/>
            <w:left w:w="70" w:type="dxa"/>
            <w:bottom w:w="0" w:type="dxa"/>
            <w:right w:w="70" w:type="dxa"/>
          </w:tblCellMar>
        </w:tblPrEx>
        <w:trPr>
          <w:trHeight w:val="776" w:hRule="atLeast"/>
        </w:trPr>
        <w:tc>
          <w:tcPr>
            <w:tcW w:w="2415" w:type="dxa"/>
            <w:tcBorders>
              <w:top w:val="nil"/>
              <w:left w:val="single" w:color="auto" w:sz="8" w:space="0"/>
              <w:bottom w:val="single" w:color="auto" w:sz="8" w:space="0"/>
              <w:right w:val="single" w:color="auto" w:sz="4" w:space="0"/>
            </w:tcBorders>
            <w:shd w:val="clear" w:color="auto" w:fill="auto"/>
            <w:vAlign w:val="center"/>
          </w:tcPr>
          <w:p w14:paraId="542EA053">
            <w:pPr>
              <w:rPr>
                <w:color w:val="000000"/>
                <w:sz w:val="22"/>
                <w:szCs w:val="22"/>
              </w:rPr>
            </w:pPr>
            <w:r>
              <w:rPr>
                <w:color w:val="000000"/>
                <w:sz w:val="22"/>
                <w:szCs w:val="22"/>
              </w:rPr>
              <w:t>Excluded after assessment</w:t>
            </w:r>
          </w:p>
        </w:tc>
        <w:tc>
          <w:tcPr>
            <w:tcW w:w="3544" w:type="dxa"/>
            <w:tcBorders>
              <w:top w:val="nil"/>
              <w:left w:val="nil"/>
              <w:bottom w:val="single" w:color="auto" w:sz="8" w:space="0"/>
              <w:right w:val="single" w:color="auto" w:sz="4" w:space="0"/>
            </w:tcBorders>
            <w:shd w:val="clear" w:color="auto" w:fill="auto"/>
            <w:vAlign w:val="center"/>
          </w:tcPr>
          <w:p w14:paraId="6C178CB9">
            <w:pPr>
              <w:rPr>
                <w:color w:val="000000"/>
                <w:sz w:val="22"/>
                <w:szCs w:val="22"/>
              </w:rPr>
            </w:pPr>
            <w:r>
              <w:rPr>
                <w:color w:val="000000"/>
                <w:sz w:val="22"/>
                <w:szCs w:val="22"/>
              </w:rPr>
              <w:t>Irrelevant article considering the inclusion criteria, can be excluded based on the content of article</w:t>
            </w:r>
          </w:p>
        </w:tc>
        <w:tc>
          <w:tcPr>
            <w:tcW w:w="2693" w:type="dxa"/>
            <w:tcBorders>
              <w:top w:val="nil"/>
              <w:left w:val="nil"/>
              <w:bottom w:val="single" w:color="auto" w:sz="8" w:space="0"/>
              <w:right w:val="single" w:color="auto" w:sz="8" w:space="0"/>
            </w:tcBorders>
            <w:shd w:val="clear" w:color="auto" w:fill="auto"/>
            <w:vAlign w:val="center"/>
          </w:tcPr>
          <w:p w14:paraId="120569EC">
            <w:pPr>
              <w:rPr>
                <w:color w:val="000000"/>
                <w:sz w:val="22"/>
                <w:szCs w:val="22"/>
              </w:rPr>
            </w:pPr>
            <w:r>
              <w:rPr>
                <w:color w:val="000000"/>
                <w:sz w:val="22"/>
                <w:szCs w:val="22"/>
              </w:rPr>
              <w:t>EAA</w:t>
            </w:r>
          </w:p>
        </w:tc>
      </w:tr>
      <w:tr w14:paraId="23627AB5">
        <w:tblPrEx>
          <w:tblCellMar>
            <w:top w:w="0" w:type="dxa"/>
            <w:left w:w="70" w:type="dxa"/>
            <w:bottom w:w="0" w:type="dxa"/>
            <w:right w:w="70" w:type="dxa"/>
          </w:tblCellMar>
        </w:tblPrEx>
        <w:trPr>
          <w:trHeight w:val="776" w:hRule="atLeast"/>
        </w:trPr>
        <w:tc>
          <w:tcPr>
            <w:tcW w:w="2415" w:type="dxa"/>
            <w:tcBorders>
              <w:top w:val="nil"/>
              <w:left w:val="single" w:color="auto" w:sz="8" w:space="0"/>
              <w:bottom w:val="single" w:color="auto" w:sz="8" w:space="0"/>
              <w:right w:val="single" w:color="auto" w:sz="4" w:space="0"/>
            </w:tcBorders>
            <w:shd w:val="clear" w:color="auto" w:fill="auto"/>
            <w:vAlign w:val="center"/>
          </w:tcPr>
          <w:p w14:paraId="1244445C">
            <w:pPr>
              <w:rPr>
                <w:color w:val="000000"/>
                <w:sz w:val="22"/>
                <w:szCs w:val="22"/>
              </w:rPr>
            </w:pPr>
            <w:r>
              <w:rPr>
                <w:color w:val="000000"/>
                <w:sz w:val="22"/>
                <w:szCs w:val="22"/>
              </w:rPr>
              <w:t>Included</w:t>
            </w:r>
          </w:p>
        </w:tc>
        <w:tc>
          <w:tcPr>
            <w:tcW w:w="3544" w:type="dxa"/>
            <w:tcBorders>
              <w:top w:val="nil"/>
              <w:left w:val="nil"/>
              <w:bottom w:val="single" w:color="auto" w:sz="8" w:space="0"/>
              <w:right w:val="single" w:color="auto" w:sz="4" w:space="0"/>
            </w:tcBorders>
            <w:shd w:val="clear" w:color="auto" w:fill="auto"/>
            <w:vAlign w:val="center"/>
          </w:tcPr>
          <w:p w14:paraId="33B33586">
            <w:pPr>
              <w:rPr>
                <w:color w:val="000000"/>
                <w:sz w:val="22"/>
                <w:szCs w:val="22"/>
              </w:rPr>
            </w:pPr>
            <w:r>
              <w:rPr>
                <w:color w:val="000000"/>
                <w:sz w:val="22"/>
                <w:szCs w:val="22"/>
              </w:rPr>
              <w:t>Relevant article, included in evaluation/conclusion</w:t>
            </w:r>
          </w:p>
        </w:tc>
        <w:tc>
          <w:tcPr>
            <w:tcW w:w="2693" w:type="dxa"/>
            <w:tcBorders>
              <w:top w:val="nil"/>
              <w:left w:val="nil"/>
              <w:bottom w:val="single" w:color="auto" w:sz="8" w:space="0"/>
              <w:right w:val="single" w:color="auto" w:sz="8" w:space="0"/>
            </w:tcBorders>
            <w:shd w:val="clear" w:color="auto" w:fill="auto"/>
            <w:vAlign w:val="center"/>
          </w:tcPr>
          <w:p w14:paraId="70D7EA88">
            <w:pPr>
              <w:rPr>
                <w:color w:val="000000"/>
                <w:sz w:val="22"/>
                <w:szCs w:val="22"/>
              </w:rPr>
            </w:pPr>
            <w:r>
              <w:rPr>
                <w:color w:val="000000"/>
                <w:sz w:val="22"/>
                <w:szCs w:val="22"/>
              </w:rPr>
              <w:t>INC</w:t>
            </w:r>
          </w:p>
        </w:tc>
      </w:tr>
    </w:tbl>
    <w:p w14:paraId="53BE1151">
      <w:pPr>
        <w:autoSpaceDE w:val="0"/>
        <w:autoSpaceDN w:val="0"/>
        <w:adjustRightInd w:val="0"/>
        <w:jc w:val="both"/>
        <w:rPr>
          <w:lang w:eastAsia="fi-FI"/>
        </w:rPr>
      </w:pPr>
      <w:r>
        <w:t xml:space="preserve">After the data selection, </w:t>
      </w:r>
      <w:r>
        <w:rPr>
          <w:lang w:eastAsia="zh-CN"/>
        </w:rPr>
        <w:t>13</w:t>
      </w:r>
      <w:r>
        <w:t xml:space="preserve"> publications were chosen for appraisal. The screening, appraisal processes and results are shown in Appendix 7. After the appraisal, 6 articles were selected for the final analysis. </w:t>
      </w:r>
      <w:r>
        <w:rPr>
          <w:lang w:eastAsia="fi-FI"/>
        </w:rPr>
        <w:t>A tabulation of the clinical data used in the evaluation is presented in Table 13. The data is categorized according to whether the data address the performance or the safety, or both, of the device in question. The patient quantities are presented in Chapter 5 when analyzing performance and safety clinical data</w:t>
      </w:r>
      <w:r>
        <w:rPr>
          <w:i/>
          <w:lang w:eastAsia="fi-FI"/>
        </w:rPr>
        <w:t>.</w:t>
      </w:r>
      <w:r>
        <w:rPr>
          <w:lang w:eastAsia="fi-FI"/>
        </w:rPr>
        <w:t xml:space="preserve"> </w:t>
      </w:r>
    </w:p>
    <w:p w14:paraId="365FE963">
      <w:pPr>
        <w:jc w:val="both"/>
        <w:rPr>
          <w:lang w:eastAsia="fi-FI"/>
        </w:rPr>
      </w:pPr>
    </w:p>
    <w:p w14:paraId="61D02EC8">
      <w:pPr>
        <w:pStyle w:val="14"/>
        <w:rPr>
          <w:rFonts w:ascii="Calibri" w:hAnsi="Calibri"/>
        </w:rPr>
      </w:pPr>
      <w:bookmarkStart w:id="54" w:name="_Toc480979592"/>
      <w:r>
        <w:rPr>
          <w:rFonts w:ascii="Calibri" w:hAnsi="Calibri"/>
        </w:rPr>
        <w:t>Table 13. Articles included for evaluation</w:t>
      </w:r>
      <w:bookmarkEnd w:id="54"/>
    </w:p>
    <w:p w14:paraId="3A556979">
      <w:pPr>
        <w:pStyle w:val="14"/>
        <w:rPr>
          <w:rFonts w:ascii="Calibri" w:hAnsi="Calibri"/>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5275"/>
        <w:gridCol w:w="1384"/>
        <w:gridCol w:w="1294"/>
      </w:tblGrid>
      <w:tr w14:paraId="30C6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shd w:val="clear" w:color="auto" w:fill="auto"/>
          </w:tcPr>
          <w:p w14:paraId="6DDDC717">
            <w:pPr>
              <w:jc w:val="center"/>
            </w:pPr>
            <w:r>
              <w:rPr>
                <w:rFonts w:cs="Calibri"/>
                <w:b/>
                <w:sz w:val="20"/>
                <w:szCs w:val="20"/>
              </w:rPr>
              <w:t>Article search No.</w:t>
            </w:r>
          </w:p>
        </w:tc>
        <w:tc>
          <w:tcPr>
            <w:tcW w:w="2976" w:type="pct"/>
            <w:shd w:val="clear" w:color="auto" w:fill="auto"/>
          </w:tcPr>
          <w:p w14:paraId="32E76512">
            <w:pPr>
              <w:jc w:val="center"/>
            </w:pPr>
            <w:r>
              <w:rPr>
                <w:rFonts w:cs="Calibri"/>
                <w:b/>
                <w:bCs/>
                <w:sz w:val="20"/>
                <w:szCs w:val="20"/>
              </w:rPr>
              <w:t>Authors/ Title/Citations</w:t>
            </w:r>
          </w:p>
        </w:tc>
        <w:tc>
          <w:tcPr>
            <w:tcW w:w="781" w:type="pct"/>
            <w:shd w:val="clear" w:color="auto" w:fill="auto"/>
          </w:tcPr>
          <w:p w14:paraId="4F65E261">
            <w:pPr>
              <w:jc w:val="center"/>
              <w:rPr>
                <w:rFonts w:cs="Calibri"/>
                <w:b/>
                <w:bCs/>
                <w:sz w:val="20"/>
                <w:szCs w:val="20"/>
              </w:rPr>
            </w:pPr>
            <w:r>
              <w:rPr>
                <w:rFonts w:cs="Calibri"/>
                <w:b/>
                <w:bCs/>
                <w:sz w:val="20"/>
                <w:szCs w:val="20"/>
              </w:rPr>
              <w:t>Does the data address performance</w:t>
            </w:r>
          </w:p>
        </w:tc>
        <w:tc>
          <w:tcPr>
            <w:tcW w:w="730" w:type="pct"/>
            <w:shd w:val="clear" w:color="auto" w:fill="auto"/>
          </w:tcPr>
          <w:p w14:paraId="3EEE226D">
            <w:pPr>
              <w:jc w:val="center"/>
              <w:rPr>
                <w:rFonts w:cs="Calibri"/>
                <w:b/>
                <w:bCs/>
                <w:sz w:val="20"/>
                <w:szCs w:val="20"/>
              </w:rPr>
            </w:pPr>
            <w:r>
              <w:rPr>
                <w:rFonts w:cs="Calibri"/>
                <w:b/>
                <w:bCs/>
                <w:sz w:val="20"/>
                <w:szCs w:val="20"/>
              </w:rPr>
              <w:t>Does the data address safety</w:t>
            </w:r>
          </w:p>
        </w:tc>
      </w:tr>
      <w:tr w14:paraId="690D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shd w:val="clear" w:color="auto" w:fill="auto"/>
            <w:vAlign w:val="center"/>
          </w:tcPr>
          <w:p w14:paraId="60003953">
            <w:pPr>
              <w:jc w:val="center"/>
              <w:rPr>
                <w:rFonts w:cs="Calibri"/>
                <w:sz w:val="20"/>
                <w:szCs w:val="20"/>
              </w:rPr>
            </w:pPr>
            <w:r>
              <w:rPr>
                <w:rFonts w:hint="eastAsia" w:cs="Calibri"/>
                <w:sz w:val="20"/>
                <w:szCs w:val="20"/>
              </w:rPr>
              <w:t>Pub</w:t>
            </w:r>
            <w:r>
              <w:rPr>
                <w:rFonts w:cs="Calibri"/>
                <w:sz w:val="20"/>
                <w:szCs w:val="20"/>
              </w:rPr>
              <w:t xml:space="preserve"> </w:t>
            </w:r>
            <w:r>
              <w:rPr>
                <w:rFonts w:hint="eastAsia" w:cs="Calibri"/>
                <w:sz w:val="20"/>
                <w:szCs w:val="20"/>
              </w:rPr>
              <w:t>2</w:t>
            </w:r>
          </w:p>
        </w:tc>
        <w:tc>
          <w:tcPr>
            <w:tcW w:w="2976" w:type="pct"/>
            <w:shd w:val="clear" w:color="auto" w:fill="auto"/>
            <w:vAlign w:val="center"/>
          </w:tcPr>
          <w:p w14:paraId="670EA35E">
            <w:pPr>
              <w:rPr>
                <w:rFonts w:cs="Calibri"/>
                <w:sz w:val="20"/>
                <w:szCs w:val="20"/>
              </w:rPr>
            </w:pPr>
            <w:r>
              <w:rPr>
                <w:rFonts w:cs="Calibri"/>
                <w:sz w:val="20"/>
                <w:szCs w:val="20"/>
              </w:rPr>
              <w:t>Rodrigo, et al. Long-term follow-up of anterior cervical discectomy and fusion with bioabsorbable plates and screws. Clin Neurol Neurosurg. 2015 Sep;136:116-21.</w:t>
            </w:r>
          </w:p>
        </w:tc>
        <w:tc>
          <w:tcPr>
            <w:tcW w:w="781" w:type="pct"/>
            <w:shd w:val="clear" w:color="auto" w:fill="auto"/>
          </w:tcPr>
          <w:p w14:paraId="04487665">
            <w:pPr>
              <w:jc w:val="center"/>
              <w:rPr>
                <w:sz w:val="20"/>
                <w:szCs w:val="20"/>
              </w:rPr>
            </w:pPr>
            <w:r>
              <w:rPr>
                <w:rFonts w:hint="eastAsia"/>
                <w:sz w:val="20"/>
                <w:szCs w:val="20"/>
              </w:rPr>
              <w:t>Yes</w:t>
            </w:r>
          </w:p>
        </w:tc>
        <w:tc>
          <w:tcPr>
            <w:tcW w:w="730" w:type="pct"/>
            <w:shd w:val="clear" w:color="auto" w:fill="auto"/>
          </w:tcPr>
          <w:p w14:paraId="45FD51AA">
            <w:pPr>
              <w:jc w:val="center"/>
              <w:rPr>
                <w:sz w:val="20"/>
                <w:szCs w:val="20"/>
                <w:lang w:eastAsia="fi-FI"/>
              </w:rPr>
            </w:pPr>
            <w:r>
              <w:rPr>
                <w:rFonts w:hint="eastAsia"/>
                <w:sz w:val="20"/>
                <w:szCs w:val="20"/>
              </w:rPr>
              <w:t>Yes</w:t>
            </w:r>
          </w:p>
        </w:tc>
      </w:tr>
      <w:tr w14:paraId="03DD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shd w:val="clear" w:color="auto" w:fill="auto"/>
            <w:vAlign w:val="center"/>
          </w:tcPr>
          <w:p w14:paraId="15674D10">
            <w:pPr>
              <w:jc w:val="center"/>
              <w:rPr>
                <w:rFonts w:cs="Calibri"/>
                <w:sz w:val="20"/>
                <w:szCs w:val="20"/>
              </w:rPr>
            </w:pPr>
            <w:r>
              <w:rPr>
                <w:rFonts w:hint="eastAsia" w:cs="Calibri"/>
                <w:sz w:val="20"/>
                <w:szCs w:val="20"/>
              </w:rPr>
              <w:t>Pub 13</w:t>
            </w:r>
          </w:p>
        </w:tc>
        <w:tc>
          <w:tcPr>
            <w:tcW w:w="2976" w:type="pct"/>
            <w:shd w:val="clear" w:color="auto" w:fill="auto"/>
            <w:vAlign w:val="center"/>
          </w:tcPr>
          <w:p w14:paraId="5D67FCE2">
            <w:pPr>
              <w:rPr>
                <w:rFonts w:cs="Calibri"/>
                <w:sz w:val="20"/>
                <w:szCs w:val="20"/>
              </w:rPr>
            </w:pPr>
            <w:r>
              <w:rPr>
                <w:rFonts w:cs="Calibri"/>
                <w:sz w:val="20"/>
                <w:szCs w:val="20"/>
              </w:rPr>
              <w:t>Truumees E. Commentary: Incorporating new technology into spine care: the case of resorbable cervical plates. Spine J. 2011 Nov;11(11):1009-14.</w:t>
            </w:r>
          </w:p>
        </w:tc>
        <w:tc>
          <w:tcPr>
            <w:tcW w:w="781" w:type="pct"/>
            <w:shd w:val="clear" w:color="auto" w:fill="auto"/>
          </w:tcPr>
          <w:p w14:paraId="2602AEEB">
            <w:pPr>
              <w:jc w:val="center"/>
              <w:rPr>
                <w:sz w:val="20"/>
                <w:szCs w:val="20"/>
              </w:rPr>
            </w:pPr>
            <w:r>
              <w:rPr>
                <w:rFonts w:hint="eastAsia"/>
                <w:sz w:val="20"/>
                <w:szCs w:val="20"/>
              </w:rPr>
              <w:t>Yes</w:t>
            </w:r>
          </w:p>
        </w:tc>
        <w:tc>
          <w:tcPr>
            <w:tcW w:w="730" w:type="pct"/>
            <w:shd w:val="clear" w:color="auto" w:fill="auto"/>
          </w:tcPr>
          <w:p w14:paraId="325823A1">
            <w:pPr>
              <w:jc w:val="center"/>
              <w:rPr>
                <w:sz w:val="20"/>
                <w:szCs w:val="20"/>
              </w:rPr>
            </w:pPr>
            <w:r>
              <w:rPr>
                <w:rFonts w:hint="eastAsia"/>
                <w:sz w:val="20"/>
                <w:szCs w:val="20"/>
              </w:rPr>
              <w:t>Yes</w:t>
            </w:r>
          </w:p>
        </w:tc>
      </w:tr>
      <w:tr w14:paraId="4C2F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shd w:val="clear" w:color="auto" w:fill="auto"/>
            <w:vAlign w:val="center"/>
          </w:tcPr>
          <w:p w14:paraId="2C940732">
            <w:pPr>
              <w:jc w:val="center"/>
              <w:rPr>
                <w:rFonts w:cs="Calibri"/>
                <w:sz w:val="20"/>
                <w:szCs w:val="20"/>
              </w:rPr>
            </w:pPr>
            <w:r>
              <w:rPr>
                <w:rFonts w:hint="eastAsia" w:cs="Calibri"/>
                <w:sz w:val="20"/>
                <w:szCs w:val="20"/>
              </w:rPr>
              <w:t>Pub 14</w:t>
            </w:r>
          </w:p>
        </w:tc>
        <w:tc>
          <w:tcPr>
            <w:tcW w:w="2976" w:type="pct"/>
            <w:shd w:val="clear" w:color="auto" w:fill="auto"/>
            <w:vAlign w:val="center"/>
          </w:tcPr>
          <w:p w14:paraId="5970F1C8">
            <w:pPr>
              <w:rPr>
                <w:rFonts w:cs="Calibri"/>
                <w:sz w:val="20"/>
                <w:szCs w:val="20"/>
              </w:rPr>
            </w:pPr>
            <w:r>
              <w:rPr>
                <w:rFonts w:cs="Calibri"/>
                <w:sz w:val="20"/>
                <w:szCs w:val="20"/>
              </w:rPr>
              <w:t>Lebl DR, et al. Bioabsorbable anterior cervical plate fixation for single-level degenerative disorders: early clinical and radiographic experience. Spine J. 2011 Nov;11(11):1002-8.</w:t>
            </w:r>
          </w:p>
        </w:tc>
        <w:tc>
          <w:tcPr>
            <w:tcW w:w="781" w:type="pct"/>
            <w:shd w:val="clear" w:color="auto" w:fill="auto"/>
          </w:tcPr>
          <w:p w14:paraId="48555A6E">
            <w:pPr>
              <w:jc w:val="center"/>
              <w:rPr>
                <w:sz w:val="20"/>
                <w:szCs w:val="20"/>
              </w:rPr>
            </w:pPr>
            <w:r>
              <w:rPr>
                <w:rFonts w:hint="eastAsia"/>
                <w:sz w:val="20"/>
                <w:szCs w:val="20"/>
              </w:rPr>
              <w:t>Yes</w:t>
            </w:r>
          </w:p>
        </w:tc>
        <w:tc>
          <w:tcPr>
            <w:tcW w:w="730" w:type="pct"/>
            <w:shd w:val="clear" w:color="auto" w:fill="auto"/>
          </w:tcPr>
          <w:p w14:paraId="5A2200D2">
            <w:pPr>
              <w:jc w:val="center"/>
              <w:rPr>
                <w:sz w:val="20"/>
                <w:szCs w:val="20"/>
              </w:rPr>
            </w:pPr>
            <w:r>
              <w:rPr>
                <w:rFonts w:hint="eastAsia"/>
                <w:sz w:val="20"/>
                <w:szCs w:val="20"/>
              </w:rPr>
              <w:t>Yes</w:t>
            </w:r>
          </w:p>
        </w:tc>
      </w:tr>
      <w:tr w14:paraId="0EBF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shd w:val="clear" w:color="auto" w:fill="auto"/>
            <w:vAlign w:val="center"/>
          </w:tcPr>
          <w:p w14:paraId="08F02849">
            <w:pPr>
              <w:jc w:val="center"/>
              <w:rPr>
                <w:rFonts w:cs="Calibri"/>
                <w:sz w:val="20"/>
                <w:szCs w:val="20"/>
              </w:rPr>
            </w:pPr>
            <w:r>
              <w:rPr>
                <w:rFonts w:hint="eastAsia" w:cs="Calibri"/>
                <w:sz w:val="20"/>
                <w:szCs w:val="20"/>
              </w:rPr>
              <w:t>Pub 18</w:t>
            </w:r>
          </w:p>
        </w:tc>
        <w:tc>
          <w:tcPr>
            <w:tcW w:w="2976" w:type="pct"/>
            <w:shd w:val="clear" w:color="auto" w:fill="auto"/>
            <w:vAlign w:val="center"/>
          </w:tcPr>
          <w:p w14:paraId="2F37B16D">
            <w:pPr>
              <w:rPr>
                <w:rFonts w:cs="Calibri"/>
                <w:sz w:val="20"/>
                <w:szCs w:val="20"/>
              </w:rPr>
            </w:pPr>
            <w:r>
              <w:rPr>
                <w:rFonts w:cs="Calibri"/>
                <w:sz w:val="20"/>
                <w:szCs w:val="20"/>
              </w:rPr>
              <w:t>Nabhan A, et al. Comparison of bioresorbable and titanium plates in cervical spinal fusion: early radiologic and clinical results. J Spinal Disord Tech. 2009 May;22(3):155-61.</w:t>
            </w:r>
          </w:p>
        </w:tc>
        <w:tc>
          <w:tcPr>
            <w:tcW w:w="781" w:type="pct"/>
            <w:shd w:val="clear" w:color="auto" w:fill="auto"/>
          </w:tcPr>
          <w:p w14:paraId="6A84F994">
            <w:pPr>
              <w:jc w:val="center"/>
              <w:rPr>
                <w:sz w:val="20"/>
                <w:szCs w:val="20"/>
              </w:rPr>
            </w:pPr>
            <w:r>
              <w:rPr>
                <w:rFonts w:hint="eastAsia"/>
                <w:sz w:val="20"/>
                <w:szCs w:val="20"/>
              </w:rPr>
              <w:t>Yes</w:t>
            </w:r>
          </w:p>
        </w:tc>
        <w:tc>
          <w:tcPr>
            <w:tcW w:w="730" w:type="pct"/>
            <w:shd w:val="clear" w:color="auto" w:fill="auto"/>
          </w:tcPr>
          <w:p w14:paraId="5EC835B4">
            <w:pPr>
              <w:jc w:val="center"/>
              <w:rPr>
                <w:sz w:val="20"/>
                <w:szCs w:val="20"/>
              </w:rPr>
            </w:pPr>
            <w:r>
              <w:rPr>
                <w:rFonts w:hint="eastAsia"/>
                <w:sz w:val="20"/>
                <w:szCs w:val="20"/>
              </w:rPr>
              <w:t>Yes</w:t>
            </w:r>
          </w:p>
        </w:tc>
      </w:tr>
      <w:tr w14:paraId="550C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shd w:val="clear" w:color="auto" w:fill="auto"/>
            <w:vAlign w:val="center"/>
          </w:tcPr>
          <w:p w14:paraId="1922E93C">
            <w:pPr>
              <w:jc w:val="center"/>
              <w:rPr>
                <w:rFonts w:cs="Calibri"/>
                <w:sz w:val="20"/>
                <w:szCs w:val="20"/>
              </w:rPr>
            </w:pPr>
            <w:r>
              <w:rPr>
                <w:rFonts w:hint="eastAsia" w:cs="Calibri"/>
                <w:sz w:val="20"/>
                <w:szCs w:val="20"/>
              </w:rPr>
              <w:t>Pub 21</w:t>
            </w:r>
          </w:p>
        </w:tc>
        <w:tc>
          <w:tcPr>
            <w:tcW w:w="2976" w:type="pct"/>
            <w:shd w:val="clear" w:color="auto" w:fill="auto"/>
            <w:vAlign w:val="center"/>
          </w:tcPr>
          <w:p w14:paraId="47D52A94">
            <w:pPr>
              <w:rPr>
                <w:rFonts w:cs="Calibri"/>
                <w:sz w:val="20"/>
                <w:szCs w:val="20"/>
              </w:rPr>
            </w:pPr>
            <w:r>
              <w:rPr>
                <w:rFonts w:cs="Calibri"/>
                <w:sz w:val="20"/>
                <w:szCs w:val="20"/>
              </w:rPr>
              <w:t>Franco A et al. Use of resorbable implants for symptomatic cervical spondylosis: experience on 16 consecutive patients. J Neurosurg Sci. 2007 Dec;51(4):169-75.</w:t>
            </w:r>
          </w:p>
        </w:tc>
        <w:tc>
          <w:tcPr>
            <w:tcW w:w="781" w:type="pct"/>
            <w:shd w:val="clear" w:color="auto" w:fill="auto"/>
          </w:tcPr>
          <w:p w14:paraId="5178A026">
            <w:pPr>
              <w:jc w:val="center"/>
              <w:rPr>
                <w:sz w:val="20"/>
                <w:szCs w:val="20"/>
              </w:rPr>
            </w:pPr>
            <w:r>
              <w:rPr>
                <w:rFonts w:hint="eastAsia"/>
                <w:sz w:val="20"/>
                <w:szCs w:val="20"/>
              </w:rPr>
              <w:t>Yes</w:t>
            </w:r>
          </w:p>
        </w:tc>
        <w:tc>
          <w:tcPr>
            <w:tcW w:w="730" w:type="pct"/>
            <w:shd w:val="clear" w:color="auto" w:fill="auto"/>
          </w:tcPr>
          <w:p w14:paraId="2CDB8158">
            <w:pPr>
              <w:jc w:val="center"/>
              <w:rPr>
                <w:sz w:val="20"/>
                <w:szCs w:val="20"/>
              </w:rPr>
            </w:pPr>
            <w:r>
              <w:rPr>
                <w:rFonts w:hint="eastAsia"/>
                <w:sz w:val="20"/>
                <w:szCs w:val="20"/>
              </w:rPr>
              <w:t>Yes</w:t>
            </w:r>
          </w:p>
        </w:tc>
      </w:tr>
      <w:tr w14:paraId="45DC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shd w:val="clear" w:color="auto" w:fill="auto"/>
            <w:vAlign w:val="center"/>
          </w:tcPr>
          <w:p w14:paraId="6AF2EEC6">
            <w:pPr>
              <w:jc w:val="center"/>
              <w:rPr>
                <w:rFonts w:cs="Calibri"/>
                <w:sz w:val="20"/>
                <w:szCs w:val="20"/>
              </w:rPr>
            </w:pPr>
            <w:r>
              <w:rPr>
                <w:rFonts w:hint="eastAsia" w:cs="Calibri"/>
                <w:sz w:val="20"/>
                <w:szCs w:val="20"/>
              </w:rPr>
              <w:t>Cit 1</w:t>
            </w:r>
          </w:p>
        </w:tc>
        <w:tc>
          <w:tcPr>
            <w:tcW w:w="2976" w:type="pct"/>
            <w:shd w:val="clear" w:color="auto" w:fill="auto"/>
            <w:vAlign w:val="center"/>
          </w:tcPr>
          <w:p w14:paraId="35738888">
            <w:pPr>
              <w:rPr>
                <w:rFonts w:cs="Calibri"/>
                <w:sz w:val="20"/>
                <w:szCs w:val="20"/>
              </w:rPr>
            </w:pPr>
            <w:r>
              <w:rPr>
                <w:rFonts w:cs="Calibri"/>
                <w:sz w:val="20"/>
                <w:szCs w:val="20"/>
              </w:rPr>
              <w:t>Arianne P et al, 2013: Effect of various kinds of cervical spinal surgery on clinical outcomes: A systematic review and meta-analysis</w:t>
            </w:r>
          </w:p>
        </w:tc>
        <w:tc>
          <w:tcPr>
            <w:tcW w:w="781" w:type="pct"/>
            <w:shd w:val="clear" w:color="auto" w:fill="auto"/>
          </w:tcPr>
          <w:p w14:paraId="08ACF90F">
            <w:pPr>
              <w:jc w:val="center"/>
              <w:rPr>
                <w:sz w:val="20"/>
                <w:szCs w:val="20"/>
              </w:rPr>
            </w:pPr>
            <w:r>
              <w:rPr>
                <w:sz w:val="20"/>
                <w:szCs w:val="20"/>
              </w:rPr>
              <w:t>Review</w:t>
            </w:r>
          </w:p>
        </w:tc>
        <w:tc>
          <w:tcPr>
            <w:tcW w:w="730" w:type="pct"/>
            <w:shd w:val="clear" w:color="auto" w:fill="auto"/>
          </w:tcPr>
          <w:p w14:paraId="69407225">
            <w:pPr>
              <w:jc w:val="center"/>
              <w:rPr>
                <w:sz w:val="20"/>
                <w:szCs w:val="20"/>
              </w:rPr>
            </w:pPr>
            <w:r>
              <w:rPr>
                <w:sz w:val="20"/>
                <w:szCs w:val="20"/>
              </w:rPr>
              <w:t>Review</w:t>
            </w:r>
          </w:p>
        </w:tc>
      </w:tr>
    </w:tbl>
    <w:p w14:paraId="0D167D0A">
      <w:pPr>
        <w:autoSpaceDE w:val="0"/>
        <w:autoSpaceDN w:val="0"/>
        <w:adjustRightInd w:val="0"/>
        <w:rPr>
          <w:i/>
          <w:lang w:eastAsia="fi-FI"/>
        </w:rPr>
      </w:pPr>
    </w:p>
    <w:p w14:paraId="1EB86DE3">
      <w:pPr>
        <w:pStyle w:val="2"/>
        <w:rPr>
          <w:lang w:eastAsia="fi-FI"/>
        </w:rPr>
      </w:pPr>
      <w:r>
        <w:rPr>
          <w:lang w:eastAsia="fi-FI"/>
        </w:rPr>
        <w:br w:type="page"/>
      </w:r>
      <w:bookmarkStart w:id="55" w:name="_Toc480979566"/>
      <w:r>
        <w:rPr>
          <w:lang w:eastAsia="fi-FI"/>
        </w:rPr>
        <w:t>Data analysis</w:t>
      </w:r>
      <w:bookmarkEnd w:id="55"/>
    </w:p>
    <w:p w14:paraId="50DEC600">
      <w:pPr>
        <w:autoSpaceDE w:val="0"/>
        <w:autoSpaceDN w:val="0"/>
        <w:adjustRightInd w:val="0"/>
        <w:jc w:val="both"/>
        <w:rPr>
          <w:lang w:eastAsia="fi-FI"/>
        </w:rPr>
      </w:pPr>
    </w:p>
    <w:p w14:paraId="03E957E0">
      <w:pPr>
        <w:autoSpaceDE w:val="0"/>
        <w:autoSpaceDN w:val="0"/>
        <w:adjustRightInd w:val="0"/>
        <w:jc w:val="both"/>
        <w:rPr>
          <w:i/>
          <w:lang w:eastAsia="fi-FI"/>
        </w:rPr>
      </w:pPr>
      <w:r>
        <w:rPr>
          <w:lang w:eastAsia="fi-FI"/>
        </w:rPr>
        <w:t xml:space="preserve">Overall, the selected clinical data consisted of </w:t>
      </w:r>
      <w:r>
        <w:rPr>
          <w:lang w:eastAsia="zh-CN"/>
        </w:rPr>
        <w:t>6</w:t>
      </w:r>
      <w:r>
        <w:rPr>
          <w:lang w:eastAsia="fi-FI"/>
        </w:rPr>
        <w:t xml:space="preserve"> publications</w:t>
      </w:r>
      <w:r>
        <w:rPr>
          <w:rFonts w:hint="eastAsia"/>
          <w:lang w:eastAsia="zh-CN"/>
        </w:rPr>
        <w:t>, including</w:t>
      </w:r>
      <w:r>
        <w:rPr>
          <w:lang w:eastAsia="fi-FI"/>
        </w:rPr>
        <w:t xml:space="preserve"> 1 review, 1 commentary and </w:t>
      </w:r>
      <w:r>
        <w:rPr>
          <w:lang w:eastAsia="zh-CN"/>
        </w:rPr>
        <w:t>4</w:t>
      </w:r>
      <w:r>
        <w:rPr>
          <w:lang w:eastAsia="fi-FI"/>
        </w:rPr>
        <w:t xml:space="preserve"> clinical studies in which at least </w:t>
      </w:r>
      <w:r>
        <w:rPr>
          <w:lang w:eastAsia="zh-CN"/>
        </w:rPr>
        <w:t>66</w:t>
      </w:r>
      <w:r>
        <w:rPr>
          <w:lang w:eastAsia="fi-FI"/>
        </w:rPr>
        <w:t xml:space="preserve"> patients were followed up with average follow–up time of </w:t>
      </w:r>
      <w:r>
        <w:rPr>
          <w:lang w:eastAsia="zh-CN"/>
        </w:rPr>
        <w:t>2.2 years</w:t>
      </w:r>
      <w:r>
        <w:rPr>
          <w:lang w:eastAsia="fi-FI"/>
        </w:rPr>
        <w:t xml:space="preserve">. The data consisted of </w:t>
      </w:r>
      <w:r>
        <w:t>performance</w:t>
      </w:r>
      <w:r>
        <w:rPr>
          <w:lang w:eastAsia="fi-FI"/>
        </w:rPr>
        <w:t xml:space="preserve"> and/or safety data about actual device: </w:t>
      </w:r>
      <w:r>
        <w:t>Inion Spinal Graft Containment System™</w:t>
      </w:r>
      <w:r>
        <w:rPr>
          <w:lang w:eastAsia="fi-FI"/>
        </w:rPr>
        <w:t xml:space="preserve"> implants and instruments. Publications</w:t>
      </w:r>
      <w:r>
        <w:t xml:space="preserve"> which demonstrated performance are included in chapter 5.1 Performance, while publications which contain data suitable for safety analysis are considered in 5.2 Safety.</w:t>
      </w:r>
    </w:p>
    <w:p w14:paraId="4B1A45FA">
      <w:pPr>
        <w:jc w:val="both"/>
        <w:rPr>
          <w:color w:val="FF0000"/>
          <w:highlight w:val="yellow"/>
        </w:rPr>
      </w:pPr>
    </w:p>
    <w:p w14:paraId="1582707E">
      <w:pPr>
        <w:pStyle w:val="14"/>
        <w:rPr>
          <w:rFonts w:ascii="Calibri" w:hAnsi="Calibri"/>
        </w:rPr>
      </w:pPr>
      <w:bookmarkStart w:id="56" w:name="_Toc475354980"/>
      <w:bookmarkStart w:id="57" w:name="_Toc480979593"/>
      <w:r>
        <w:rPr>
          <w:rFonts w:ascii="Calibri" w:hAnsi="Calibri"/>
        </w:rPr>
        <w:t>Table 14. A systematic review</w:t>
      </w:r>
      <w:bookmarkEnd w:id="56"/>
      <w:bookmarkEnd w:id="57"/>
    </w:p>
    <w:p w14:paraId="766321FD">
      <w:pPr>
        <w:jc w:val="both"/>
        <w:rPr>
          <w:color w:val="FF0000"/>
          <w:highlight w:val="yellow"/>
        </w:rPr>
      </w:pPr>
    </w:p>
    <w:tbl>
      <w:tblPr>
        <w:tblStyle w:val="26"/>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4395"/>
        <w:gridCol w:w="2551"/>
      </w:tblGrid>
      <w:tr w14:paraId="110F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701" w:type="dxa"/>
            <w:shd w:val="clear" w:color="auto" w:fill="auto"/>
          </w:tcPr>
          <w:p w14:paraId="4646AB37">
            <w:pPr>
              <w:jc w:val="center"/>
              <w:rPr>
                <w:b/>
                <w:bCs/>
                <w:sz w:val="20"/>
                <w:szCs w:val="20"/>
              </w:rPr>
            </w:pPr>
            <w:r>
              <w:rPr>
                <w:rFonts w:cs="Calibri"/>
                <w:b/>
                <w:bCs/>
                <w:sz w:val="20"/>
                <w:szCs w:val="20"/>
              </w:rPr>
              <w:t>Authors/ Title</w:t>
            </w:r>
          </w:p>
        </w:tc>
        <w:tc>
          <w:tcPr>
            <w:tcW w:w="4395" w:type="dxa"/>
            <w:shd w:val="clear" w:color="auto" w:fill="auto"/>
            <w:noWrap/>
          </w:tcPr>
          <w:p w14:paraId="218087A9">
            <w:pPr>
              <w:jc w:val="center"/>
              <w:rPr>
                <w:b/>
                <w:bCs/>
                <w:sz w:val="20"/>
                <w:szCs w:val="20"/>
              </w:rPr>
            </w:pPr>
            <w:r>
              <w:rPr>
                <w:b/>
                <w:bCs/>
                <w:sz w:val="20"/>
                <w:szCs w:val="20"/>
              </w:rPr>
              <w:t>Details</w:t>
            </w:r>
          </w:p>
        </w:tc>
        <w:tc>
          <w:tcPr>
            <w:tcW w:w="2551" w:type="dxa"/>
          </w:tcPr>
          <w:p w14:paraId="3F20289F">
            <w:pPr>
              <w:jc w:val="center"/>
              <w:rPr>
                <w:b/>
                <w:bCs/>
                <w:sz w:val="20"/>
                <w:szCs w:val="20"/>
                <w:lang w:eastAsia="zh-CN"/>
              </w:rPr>
            </w:pPr>
            <w:r>
              <w:rPr>
                <w:b/>
                <w:bCs/>
                <w:sz w:val="20"/>
                <w:szCs w:val="20"/>
                <w:lang w:eastAsia="zh-CN"/>
              </w:rPr>
              <w:t>About Inion Spinal Graft Containment System</w:t>
            </w:r>
            <w:r>
              <w:rPr>
                <w:b/>
                <w:bCs/>
                <w:sz w:val="20"/>
                <w:szCs w:val="20"/>
                <w:vertAlign w:val="superscript"/>
                <w:lang w:eastAsia="zh-CN"/>
              </w:rPr>
              <w:t>TM</w:t>
            </w:r>
          </w:p>
        </w:tc>
      </w:tr>
      <w:tr w14:paraId="2E6D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701" w:type="dxa"/>
            <w:shd w:val="clear" w:color="auto" w:fill="auto"/>
            <w:vAlign w:val="center"/>
          </w:tcPr>
          <w:p w14:paraId="63DE00A7">
            <w:pPr>
              <w:rPr>
                <w:rFonts w:cs="Calibri"/>
                <w:sz w:val="20"/>
                <w:szCs w:val="20"/>
              </w:rPr>
            </w:pPr>
            <w:r>
              <w:rPr>
                <w:rFonts w:cs="Calibri"/>
                <w:sz w:val="20"/>
                <w:szCs w:val="20"/>
                <w:lang w:eastAsia="zh-CN"/>
              </w:rPr>
              <w:t>Arianne P et al, 2013: Effect of various kinds of cervical spinal surgery on clinical outcomes: A systematic review and meta-analysis</w:t>
            </w:r>
          </w:p>
        </w:tc>
        <w:tc>
          <w:tcPr>
            <w:tcW w:w="4395" w:type="dxa"/>
            <w:shd w:val="clear" w:color="auto" w:fill="auto"/>
            <w:noWrap/>
            <w:vAlign w:val="center"/>
          </w:tcPr>
          <w:p w14:paraId="0AAEF815">
            <w:pPr>
              <w:jc w:val="both"/>
              <w:rPr>
                <w:sz w:val="20"/>
                <w:szCs w:val="20"/>
                <w:lang w:eastAsia="zh-CN"/>
              </w:rPr>
            </w:pPr>
            <w:r>
              <w:rPr>
                <w:rFonts w:hint="eastAsia"/>
                <w:b/>
                <w:sz w:val="20"/>
                <w:szCs w:val="20"/>
                <w:lang w:eastAsia="zh-CN"/>
              </w:rPr>
              <w:t>Article Type</w:t>
            </w:r>
            <w:r>
              <w:rPr>
                <w:rFonts w:hint="eastAsia"/>
                <w:sz w:val="20"/>
                <w:szCs w:val="20"/>
                <w:lang w:eastAsia="zh-CN"/>
              </w:rPr>
              <w:t>: Systematic</w:t>
            </w:r>
            <w:r>
              <w:rPr>
                <w:sz w:val="20"/>
                <w:szCs w:val="20"/>
                <w:lang w:eastAsia="zh-CN"/>
              </w:rPr>
              <w:t xml:space="preserve"> </w:t>
            </w:r>
            <w:r>
              <w:rPr>
                <w:rFonts w:hint="eastAsia"/>
                <w:sz w:val="20"/>
                <w:szCs w:val="20"/>
                <w:lang w:eastAsia="zh-CN"/>
              </w:rPr>
              <w:t>review</w:t>
            </w:r>
          </w:p>
          <w:p w14:paraId="4E85CA6C">
            <w:pPr>
              <w:widowControl w:val="0"/>
              <w:autoSpaceDE w:val="0"/>
              <w:autoSpaceDN w:val="0"/>
              <w:adjustRightInd w:val="0"/>
              <w:jc w:val="both"/>
              <w:rPr>
                <w:rFonts w:cs="AdvPSA88A"/>
                <w:sz w:val="20"/>
                <w:szCs w:val="20"/>
                <w:lang w:eastAsia="zh-CN"/>
              </w:rPr>
            </w:pPr>
            <w:r>
              <w:rPr>
                <w:rFonts w:cs="Calibri"/>
                <w:b/>
                <w:sz w:val="20"/>
                <w:szCs w:val="20"/>
                <w:lang w:eastAsia="zh-CN"/>
              </w:rPr>
              <w:t xml:space="preserve">Objective: </w:t>
            </w:r>
            <w:r>
              <w:rPr>
                <w:rFonts w:cs="AdvPSA88A"/>
                <w:sz w:val="20"/>
                <w:szCs w:val="20"/>
                <w:lang w:eastAsia="zh-CN"/>
              </w:rPr>
              <w:t>to evaluate the benefits and harms of surgical techniques in comparison with each other in patients with cervical disorders based on patient-reported outcomes such as pain, function, recovery, and reoperation.</w:t>
            </w:r>
          </w:p>
          <w:p w14:paraId="67BC55CB">
            <w:pPr>
              <w:widowControl w:val="0"/>
              <w:autoSpaceDE w:val="0"/>
              <w:autoSpaceDN w:val="0"/>
              <w:adjustRightInd w:val="0"/>
              <w:jc w:val="both"/>
              <w:rPr>
                <w:rFonts w:cs="AdvPSA88A"/>
                <w:b/>
                <w:sz w:val="20"/>
                <w:szCs w:val="20"/>
                <w:lang w:eastAsia="zh-CN"/>
              </w:rPr>
            </w:pPr>
            <w:r>
              <w:rPr>
                <w:rFonts w:cs="AdvPSA88A"/>
                <w:b/>
                <w:sz w:val="20"/>
                <w:szCs w:val="20"/>
                <w:lang w:eastAsia="zh-CN"/>
              </w:rPr>
              <w:t>Main Results:</w:t>
            </w:r>
          </w:p>
        </w:tc>
        <w:tc>
          <w:tcPr>
            <w:tcW w:w="2551" w:type="dxa"/>
            <w:vAlign w:val="center"/>
          </w:tcPr>
          <w:p w14:paraId="6DFC9B21">
            <w:pPr>
              <w:jc w:val="both"/>
              <w:rPr>
                <w:sz w:val="20"/>
                <w:szCs w:val="20"/>
                <w:lang w:eastAsia="zh-CN"/>
              </w:rPr>
            </w:pPr>
            <w:r>
              <w:rPr>
                <w:b/>
                <w:sz w:val="20"/>
                <w:szCs w:val="20"/>
              </w:rPr>
              <w:t>Reference studied Inion Spinal Graft Containment System™</w:t>
            </w:r>
            <w:r>
              <w:rPr>
                <w:sz w:val="20"/>
                <w:szCs w:val="20"/>
              </w:rPr>
              <w:t>: Pub 18.</w:t>
            </w:r>
          </w:p>
        </w:tc>
      </w:tr>
    </w:tbl>
    <w:p w14:paraId="29100B4B">
      <w:pPr>
        <w:jc w:val="both"/>
        <w:rPr>
          <w:color w:val="000000"/>
          <w:lang w:eastAsia="fi-FI"/>
        </w:rPr>
      </w:pPr>
    </w:p>
    <w:p w14:paraId="62449557">
      <w:pPr>
        <w:jc w:val="both"/>
      </w:pPr>
      <w:r>
        <w:t>There was one systematic review included in the data analysis. The review was conducted by Arianne P et al. (2013), aimed to assess the benefits and harms of cervical spinal surgery in patients with cervical disorders. The study by Nabhan et al. (2009) was one of the 39 studies which included in this review, and meta-analysis comparing different surgical interventions in patients with disorders of the cervical spine. Based on their findings the authors concluded that differences in benefits and harms between the various surgical techniques are small and therefore the surgeon, patient, and health care provider can make the choice of any surgical technique based on experience, preferences, or costs.</w:t>
      </w:r>
    </w:p>
    <w:p w14:paraId="13F8E9B3">
      <w:pPr>
        <w:jc w:val="both"/>
        <w:rPr>
          <w:color w:val="000000"/>
          <w:highlight w:val="yellow"/>
        </w:rPr>
      </w:pPr>
    </w:p>
    <w:p w14:paraId="59251A55">
      <w:pPr>
        <w:jc w:val="both"/>
        <w:rPr>
          <w:color w:val="000000"/>
          <w:lang w:eastAsia="fi-FI"/>
        </w:rPr>
      </w:pPr>
      <w:r>
        <w:rPr>
          <w:color w:val="000000"/>
          <w:lang w:eastAsia="fi-FI"/>
        </w:rPr>
        <w:t>Post-Market Surveillance (PMS) data analysis from FDA MAUDE database and Inion’s complaint handling records is presented in chapter 5.3.</w:t>
      </w:r>
    </w:p>
    <w:p w14:paraId="011CE899">
      <w:pPr>
        <w:rPr>
          <w:i/>
          <w:lang w:eastAsia="fi-FI"/>
        </w:rPr>
      </w:pPr>
    </w:p>
    <w:p w14:paraId="6289553A">
      <w:pPr>
        <w:pStyle w:val="3"/>
        <w:rPr>
          <w:lang w:eastAsia="fi-FI"/>
        </w:rPr>
      </w:pPr>
      <w:bookmarkStart w:id="58" w:name="_Toc480979567"/>
      <w:r>
        <w:rPr>
          <w:lang w:eastAsia="fi-FI"/>
        </w:rPr>
        <w:t>Performance</w:t>
      </w:r>
      <w:bookmarkEnd w:id="58"/>
    </w:p>
    <w:p w14:paraId="0AF32A32">
      <w:pPr>
        <w:jc w:val="both"/>
        <w:rPr>
          <w:lang w:eastAsia="fi-FI"/>
        </w:rPr>
      </w:pPr>
      <w:r>
        <w:rPr>
          <w:lang w:eastAsia="fi-FI"/>
        </w:rPr>
        <w:t xml:space="preserve">The Essential Requirement 3 of MDD pertains to the clinical performance of </w:t>
      </w:r>
      <w:r>
        <w:t xml:space="preserve">Inion Spinal Graft Containment System™ (implants and instruments) which is looked at in this evaluation. </w:t>
      </w:r>
      <w:r>
        <w:rPr>
          <w:lang w:eastAsia="fi-FI"/>
        </w:rPr>
        <w:t>The articles related to performance are listed below in Table 15.</w:t>
      </w:r>
    </w:p>
    <w:p w14:paraId="1FB87103">
      <w:pPr>
        <w:pStyle w:val="14"/>
        <w:rPr>
          <w:rFonts w:ascii="Calibri" w:hAnsi="Calibri"/>
        </w:rPr>
      </w:pPr>
      <w:r>
        <w:rPr>
          <w:rFonts w:ascii="Calibri" w:hAnsi="Calibri"/>
        </w:rPr>
        <w:br w:type="page"/>
      </w:r>
    </w:p>
    <w:p w14:paraId="094413C6">
      <w:pPr>
        <w:pStyle w:val="14"/>
        <w:rPr>
          <w:rFonts w:ascii="Calibri" w:hAnsi="Calibri"/>
        </w:rPr>
      </w:pPr>
      <w:bookmarkStart w:id="59" w:name="_Toc480979594"/>
      <w:r>
        <w:rPr>
          <w:rFonts w:ascii="Calibri" w:hAnsi="Calibri"/>
        </w:rPr>
        <w:t>Table 15. Performance related articles</w:t>
      </w:r>
      <w:bookmarkEnd w:id="59"/>
    </w:p>
    <w:p w14:paraId="0C9B2E62">
      <w:pPr>
        <w:pStyle w:val="14"/>
        <w:rPr>
          <w:lang w:eastAsia="zh-CN"/>
        </w:r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3979"/>
        <w:gridCol w:w="817"/>
        <w:gridCol w:w="1046"/>
        <w:gridCol w:w="1612"/>
      </w:tblGrid>
      <w:tr w14:paraId="69ED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jc w:val="center"/>
        </w:trPr>
        <w:tc>
          <w:tcPr>
            <w:tcW w:w="931" w:type="pct"/>
            <w:shd w:val="clear" w:color="auto" w:fill="auto"/>
          </w:tcPr>
          <w:p w14:paraId="0ADECC9B">
            <w:pPr>
              <w:rPr>
                <w:rFonts w:cs="Calibri"/>
                <w:b/>
                <w:bCs/>
                <w:sz w:val="20"/>
                <w:szCs w:val="20"/>
              </w:rPr>
            </w:pPr>
            <w:r>
              <w:rPr>
                <w:rFonts w:cs="Calibri"/>
                <w:b/>
                <w:bCs/>
                <w:sz w:val="20"/>
                <w:szCs w:val="20"/>
              </w:rPr>
              <w:t>Authors/ Title</w:t>
            </w:r>
          </w:p>
        </w:tc>
        <w:tc>
          <w:tcPr>
            <w:tcW w:w="2100" w:type="pct"/>
            <w:shd w:val="clear" w:color="auto" w:fill="auto"/>
            <w:noWrap/>
          </w:tcPr>
          <w:p w14:paraId="657BF168">
            <w:pPr>
              <w:rPr>
                <w:rFonts w:cs="Calibri"/>
                <w:b/>
                <w:bCs/>
                <w:sz w:val="20"/>
                <w:szCs w:val="20"/>
              </w:rPr>
            </w:pPr>
            <w:r>
              <w:rPr>
                <w:rFonts w:cs="Calibri"/>
                <w:b/>
                <w:bCs/>
                <w:sz w:val="20"/>
                <w:szCs w:val="20"/>
              </w:rPr>
              <w:t>Details</w:t>
            </w:r>
          </w:p>
          <w:p w14:paraId="2949C0DB">
            <w:pPr>
              <w:rPr>
                <w:rFonts w:cs="Calibri"/>
                <w:b/>
                <w:bCs/>
                <w:sz w:val="20"/>
                <w:szCs w:val="20"/>
              </w:rPr>
            </w:pPr>
            <w:r>
              <w:rPr>
                <w:rFonts w:cs="Calibri"/>
                <w:b/>
                <w:bCs/>
                <w:sz w:val="20"/>
                <w:szCs w:val="20"/>
              </w:rPr>
              <w:t>(</w:t>
            </w:r>
            <w:r>
              <w:rPr>
                <w:rFonts w:cs="Calibri"/>
                <w:b/>
                <w:bCs/>
                <w:sz w:val="20"/>
                <w:szCs w:val="20"/>
                <w:lang w:eastAsia="zh-CN"/>
              </w:rPr>
              <w:t xml:space="preserve">Study type </w:t>
            </w:r>
            <w:r>
              <w:rPr>
                <w:rFonts w:cs="Calibri"/>
                <w:b/>
                <w:bCs/>
                <w:sz w:val="20"/>
                <w:szCs w:val="20"/>
              </w:rPr>
              <w:t>/product</w:t>
            </w:r>
            <w:r>
              <w:rPr>
                <w:rFonts w:cs="Calibri"/>
                <w:b/>
                <w:bCs/>
                <w:sz w:val="20"/>
                <w:szCs w:val="20"/>
                <w:lang w:eastAsia="zh-CN"/>
              </w:rPr>
              <w:t xml:space="preserve"> </w:t>
            </w:r>
            <w:r>
              <w:rPr>
                <w:rFonts w:cs="Calibri"/>
                <w:b/>
                <w:bCs/>
                <w:sz w:val="20"/>
                <w:szCs w:val="20"/>
              </w:rPr>
              <w:t>/indications</w:t>
            </w:r>
            <w:r>
              <w:rPr>
                <w:rFonts w:cs="Calibri"/>
                <w:b/>
                <w:bCs/>
                <w:sz w:val="20"/>
                <w:szCs w:val="20"/>
                <w:lang w:eastAsia="zh-CN"/>
              </w:rPr>
              <w:t xml:space="preserve"> </w:t>
            </w:r>
            <w:r>
              <w:rPr>
                <w:rFonts w:cs="Calibri"/>
                <w:b/>
                <w:bCs/>
                <w:sz w:val="20"/>
                <w:szCs w:val="20"/>
              </w:rPr>
              <w:t>/Objective)</w:t>
            </w:r>
          </w:p>
        </w:tc>
        <w:tc>
          <w:tcPr>
            <w:tcW w:w="405" w:type="pct"/>
            <w:shd w:val="clear" w:color="auto" w:fill="auto"/>
          </w:tcPr>
          <w:p w14:paraId="33C4B12D">
            <w:pPr>
              <w:rPr>
                <w:rFonts w:cs="Calibri"/>
                <w:b/>
                <w:bCs/>
                <w:sz w:val="20"/>
                <w:szCs w:val="20"/>
              </w:rPr>
            </w:pPr>
            <w:r>
              <w:rPr>
                <w:rFonts w:cs="Calibri"/>
                <w:b/>
                <w:bCs/>
                <w:sz w:val="20"/>
                <w:szCs w:val="20"/>
              </w:rPr>
              <w:t>Patient qty.</w:t>
            </w:r>
          </w:p>
        </w:tc>
        <w:tc>
          <w:tcPr>
            <w:tcW w:w="518" w:type="pct"/>
            <w:shd w:val="clear" w:color="auto" w:fill="auto"/>
            <w:noWrap/>
          </w:tcPr>
          <w:p w14:paraId="02D6D7D4">
            <w:pPr>
              <w:rPr>
                <w:rFonts w:cs="Calibri"/>
                <w:b/>
                <w:bCs/>
                <w:sz w:val="20"/>
                <w:szCs w:val="20"/>
              </w:rPr>
            </w:pPr>
            <w:r>
              <w:rPr>
                <w:rFonts w:cs="Calibri"/>
                <w:b/>
                <w:bCs/>
                <w:sz w:val="20"/>
                <w:szCs w:val="20"/>
              </w:rPr>
              <w:t xml:space="preserve">Follow-up </w:t>
            </w:r>
          </w:p>
          <w:p w14:paraId="61A8CB02">
            <w:pPr>
              <w:rPr>
                <w:rFonts w:cs="Calibri"/>
                <w:b/>
                <w:bCs/>
                <w:sz w:val="20"/>
                <w:szCs w:val="20"/>
              </w:rPr>
            </w:pPr>
            <w:r>
              <w:rPr>
                <w:rFonts w:cs="Calibri"/>
                <w:b/>
                <w:bCs/>
                <w:sz w:val="20"/>
                <w:szCs w:val="20"/>
              </w:rPr>
              <w:t xml:space="preserve">time </w:t>
            </w:r>
          </w:p>
        </w:tc>
        <w:tc>
          <w:tcPr>
            <w:tcW w:w="1046" w:type="pct"/>
          </w:tcPr>
          <w:p w14:paraId="07283B5F">
            <w:pPr>
              <w:rPr>
                <w:rFonts w:cs="Calibri"/>
                <w:b/>
                <w:bCs/>
                <w:sz w:val="20"/>
                <w:szCs w:val="20"/>
              </w:rPr>
            </w:pPr>
            <w:r>
              <w:rPr>
                <w:rFonts w:cs="Calibri"/>
                <w:b/>
                <w:bCs/>
                <w:sz w:val="20"/>
                <w:szCs w:val="20"/>
              </w:rPr>
              <w:t>Performance</w:t>
            </w:r>
          </w:p>
        </w:tc>
      </w:tr>
      <w:tr w14:paraId="23E8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1" w:type="pct"/>
            <w:shd w:val="clear" w:color="auto" w:fill="auto"/>
          </w:tcPr>
          <w:p w14:paraId="2214AAED">
            <w:pPr>
              <w:rPr>
                <w:rFonts w:cs="Calibri"/>
                <w:color w:val="FF0000"/>
                <w:sz w:val="20"/>
                <w:szCs w:val="20"/>
                <w:lang w:eastAsia="zh-CN"/>
              </w:rPr>
            </w:pPr>
            <w:r>
              <w:rPr>
                <w:rFonts w:cs="Calibri"/>
                <w:sz w:val="20"/>
                <w:szCs w:val="20"/>
                <w:lang w:eastAsia="zh-CN"/>
              </w:rPr>
              <w:t>Franco A et al. Use of resorbable implants for symptomatic cervical spondylosis: experience on 16 consecutive patients.</w:t>
            </w:r>
          </w:p>
        </w:tc>
        <w:tc>
          <w:tcPr>
            <w:tcW w:w="2100" w:type="pct"/>
            <w:shd w:val="clear" w:color="auto" w:fill="auto"/>
          </w:tcPr>
          <w:p w14:paraId="45229FAE">
            <w:pPr>
              <w:rPr>
                <w:rFonts w:cs="Calibri"/>
                <w:sz w:val="20"/>
                <w:szCs w:val="20"/>
                <w:lang w:eastAsia="zh-CN"/>
              </w:rPr>
            </w:pPr>
            <w:r>
              <w:rPr>
                <w:rFonts w:cs="Calibri"/>
                <w:b/>
                <w:sz w:val="20"/>
                <w:szCs w:val="20"/>
                <w:lang w:eastAsia="zh-CN"/>
              </w:rPr>
              <w:t xml:space="preserve">Study type: </w:t>
            </w:r>
            <w:r>
              <w:rPr>
                <w:rFonts w:cs="Calibri"/>
                <w:sz w:val="20"/>
                <w:szCs w:val="20"/>
                <w:lang w:eastAsia="zh-CN"/>
              </w:rPr>
              <w:t>Retrospective study</w:t>
            </w:r>
          </w:p>
          <w:p w14:paraId="26F69664">
            <w:pPr>
              <w:rPr>
                <w:rFonts w:cs="Calibri"/>
                <w:b/>
                <w:sz w:val="20"/>
                <w:szCs w:val="20"/>
                <w:lang w:eastAsia="zh-CN"/>
              </w:rPr>
            </w:pPr>
            <w:r>
              <w:rPr>
                <w:rFonts w:cs="Calibri"/>
                <w:b/>
                <w:sz w:val="20"/>
                <w:szCs w:val="20"/>
                <w:lang w:eastAsia="zh-CN"/>
              </w:rPr>
              <w:t>Product:</w:t>
            </w:r>
            <w:r>
              <w:rPr>
                <w:rFonts w:cs="Calibri"/>
                <w:sz w:val="20"/>
                <w:szCs w:val="20"/>
                <w:lang w:eastAsia="zh-CN"/>
              </w:rPr>
              <w:t xml:space="preserve"> Inion S-1</w:t>
            </w:r>
          </w:p>
          <w:p w14:paraId="316C109B">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7E697462">
            <w:pPr>
              <w:rPr>
                <w:rFonts w:cs="Calibri"/>
                <w:b/>
                <w:color w:val="FF0000"/>
                <w:sz w:val="20"/>
                <w:szCs w:val="20"/>
                <w:lang w:eastAsia="zh-CN"/>
              </w:rPr>
            </w:pPr>
            <w:r>
              <w:rPr>
                <w:rFonts w:cs="Calibri"/>
                <w:b/>
                <w:sz w:val="20"/>
                <w:szCs w:val="20"/>
                <w:lang w:eastAsia="zh-CN"/>
              </w:rPr>
              <w:t>Objective:</w:t>
            </w:r>
            <w:r>
              <w:rPr>
                <w:rFonts w:cs="Calibri"/>
                <w:sz w:val="20"/>
                <w:szCs w:val="20"/>
                <w:lang w:eastAsia="zh-CN"/>
              </w:rPr>
              <w:t xml:space="preserve"> to evaluate the results of a consecutive series of 16 patients affected by degenerative cervical spondylosis and operated on by anterior cervical discectomy and fusion (ACFD) by means of anterior bioresorbable plates and screws. </w:t>
            </w:r>
          </w:p>
        </w:tc>
        <w:tc>
          <w:tcPr>
            <w:tcW w:w="405" w:type="pct"/>
            <w:shd w:val="clear" w:color="auto" w:fill="auto"/>
          </w:tcPr>
          <w:p w14:paraId="395EC05A">
            <w:pPr>
              <w:rPr>
                <w:rFonts w:cs="Calibri"/>
                <w:sz w:val="20"/>
                <w:szCs w:val="20"/>
                <w:lang w:eastAsia="zh-CN"/>
              </w:rPr>
            </w:pPr>
            <w:r>
              <w:rPr>
                <w:rFonts w:cs="Calibri"/>
                <w:sz w:val="20"/>
                <w:szCs w:val="20"/>
                <w:lang w:eastAsia="zh-CN"/>
              </w:rPr>
              <w:t>16</w:t>
            </w:r>
          </w:p>
        </w:tc>
        <w:tc>
          <w:tcPr>
            <w:tcW w:w="518" w:type="pct"/>
            <w:shd w:val="clear" w:color="auto" w:fill="auto"/>
          </w:tcPr>
          <w:p w14:paraId="06A0D891">
            <w:pPr>
              <w:rPr>
                <w:rFonts w:cs="Calibri"/>
                <w:sz w:val="20"/>
                <w:szCs w:val="20"/>
                <w:lang w:eastAsia="zh-CN"/>
              </w:rPr>
            </w:pPr>
            <w:r>
              <w:rPr>
                <w:rFonts w:cs="Calibri"/>
                <w:sz w:val="20"/>
                <w:szCs w:val="20"/>
                <w:lang w:eastAsia="zh-CN"/>
              </w:rPr>
              <w:t>12-25 months</w:t>
            </w:r>
          </w:p>
        </w:tc>
        <w:tc>
          <w:tcPr>
            <w:tcW w:w="1046" w:type="pct"/>
          </w:tcPr>
          <w:p w14:paraId="7894AFB7">
            <w:pPr>
              <w:widowControl w:val="0"/>
              <w:autoSpaceDE w:val="0"/>
              <w:autoSpaceDN w:val="0"/>
              <w:adjustRightInd w:val="0"/>
              <w:rPr>
                <w:rFonts w:cs="Calibri"/>
                <w:sz w:val="20"/>
                <w:szCs w:val="20"/>
              </w:rPr>
            </w:pPr>
            <w:r>
              <w:rPr>
                <w:rFonts w:cs="Calibri"/>
                <w:sz w:val="20"/>
                <w:szCs w:val="20"/>
                <w:lang w:eastAsia="zh-CN"/>
              </w:rPr>
              <w:t>Fusion rate with biodegradable plate:  90% vs. without plate: 88.9%</w:t>
            </w:r>
          </w:p>
        </w:tc>
      </w:tr>
      <w:tr w14:paraId="7D64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1" w:type="pct"/>
            <w:shd w:val="clear" w:color="auto" w:fill="auto"/>
          </w:tcPr>
          <w:p w14:paraId="3097A67F">
            <w:pPr>
              <w:rPr>
                <w:rFonts w:cs="Calibri"/>
                <w:color w:val="FF0000"/>
                <w:sz w:val="20"/>
                <w:szCs w:val="20"/>
                <w:lang w:eastAsia="zh-CN"/>
              </w:rPr>
            </w:pPr>
            <w:r>
              <w:rPr>
                <w:rFonts w:cs="Calibri"/>
                <w:sz w:val="20"/>
                <w:szCs w:val="20"/>
              </w:rPr>
              <w:t>Nabhan A, et al. Comparison of bioresorbable and titanium plates in cervical spinal fusion: early radiologic and clinical results.</w:t>
            </w:r>
          </w:p>
        </w:tc>
        <w:tc>
          <w:tcPr>
            <w:tcW w:w="2100" w:type="pct"/>
            <w:shd w:val="clear" w:color="auto" w:fill="auto"/>
          </w:tcPr>
          <w:p w14:paraId="171012B3">
            <w:pPr>
              <w:rPr>
                <w:rFonts w:cs="AdvPSA88A"/>
                <w:sz w:val="20"/>
                <w:szCs w:val="20"/>
                <w:lang w:eastAsia="zh-CN"/>
              </w:rPr>
            </w:pPr>
            <w:r>
              <w:rPr>
                <w:rFonts w:cs="Calibri"/>
                <w:b/>
                <w:sz w:val="20"/>
                <w:szCs w:val="20"/>
                <w:lang w:eastAsia="zh-CN"/>
              </w:rPr>
              <w:t xml:space="preserve">Study type: </w:t>
            </w:r>
            <w:r>
              <w:rPr>
                <w:rFonts w:cs="AdvPSA88A"/>
                <w:sz w:val="20"/>
                <w:szCs w:val="20"/>
                <w:lang w:eastAsia="zh-CN"/>
              </w:rPr>
              <w:t>a randomized, controlled, prospective study</w:t>
            </w:r>
          </w:p>
          <w:p w14:paraId="102A6D17">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06358463">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01CF616D">
            <w:pPr>
              <w:widowControl w:val="0"/>
              <w:autoSpaceDE w:val="0"/>
              <w:autoSpaceDN w:val="0"/>
              <w:adjustRightInd w:val="0"/>
              <w:rPr>
                <w:rFonts w:cs="AdvPSA88A"/>
                <w:sz w:val="20"/>
                <w:szCs w:val="20"/>
                <w:lang w:eastAsia="zh-CN"/>
              </w:rPr>
            </w:pPr>
            <w:r>
              <w:rPr>
                <w:rFonts w:cs="Calibri"/>
                <w:b/>
                <w:sz w:val="20"/>
                <w:szCs w:val="20"/>
                <w:lang w:eastAsia="zh-CN"/>
              </w:rPr>
              <w:t xml:space="preserve">Objective: </w:t>
            </w:r>
            <w:r>
              <w:rPr>
                <w:rFonts w:cs="AdvPSA88A"/>
                <w:sz w:val="20"/>
                <w:szCs w:val="20"/>
                <w:lang w:eastAsia="zh-CN"/>
              </w:rPr>
              <w:t>to compare clinical results, segmental motility, magnetic resonance imaging (MRI) compatibility, and change of the bone density of a cervical spine segment that was treated with either bioresorbable or titanium plates in single level.</w:t>
            </w:r>
          </w:p>
        </w:tc>
        <w:tc>
          <w:tcPr>
            <w:tcW w:w="405" w:type="pct"/>
            <w:shd w:val="clear" w:color="auto" w:fill="auto"/>
          </w:tcPr>
          <w:p w14:paraId="0EC47CCF">
            <w:pPr>
              <w:rPr>
                <w:rFonts w:cs="Calibri"/>
                <w:sz w:val="20"/>
                <w:szCs w:val="20"/>
                <w:lang w:eastAsia="zh-CN"/>
              </w:rPr>
            </w:pPr>
            <w:r>
              <w:rPr>
                <w:rFonts w:cs="Calibri"/>
                <w:sz w:val="20"/>
                <w:szCs w:val="20"/>
                <w:lang w:eastAsia="zh-CN"/>
              </w:rPr>
              <w:t>19</w:t>
            </w:r>
          </w:p>
        </w:tc>
        <w:tc>
          <w:tcPr>
            <w:tcW w:w="518" w:type="pct"/>
            <w:shd w:val="clear" w:color="auto" w:fill="auto"/>
          </w:tcPr>
          <w:p w14:paraId="367929C2">
            <w:pPr>
              <w:rPr>
                <w:rFonts w:cs="Calibri"/>
                <w:sz w:val="20"/>
                <w:szCs w:val="20"/>
                <w:lang w:eastAsia="zh-CN"/>
              </w:rPr>
            </w:pPr>
            <w:r>
              <w:rPr>
                <w:rFonts w:cs="Calibri"/>
                <w:sz w:val="20"/>
                <w:szCs w:val="20"/>
                <w:lang w:eastAsia="zh-CN"/>
              </w:rPr>
              <w:t>6 months</w:t>
            </w:r>
          </w:p>
        </w:tc>
        <w:tc>
          <w:tcPr>
            <w:tcW w:w="1046" w:type="pct"/>
          </w:tcPr>
          <w:p w14:paraId="4C23DC10">
            <w:pPr>
              <w:widowControl w:val="0"/>
              <w:numPr>
                <w:ilvl w:val="0"/>
                <w:numId w:val="7"/>
              </w:numPr>
              <w:autoSpaceDE w:val="0"/>
              <w:autoSpaceDN w:val="0"/>
              <w:adjustRightInd w:val="0"/>
              <w:rPr>
                <w:rFonts w:cs="Calibri"/>
                <w:sz w:val="20"/>
                <w:szCs w:val="20"/>
              </w:rPr>
            </w:pPr>
            <w:r>
              <w:rPr>
                <w:rFonts w:cs="Calibri"/>
                <w:sz w:val="20"/>
                <w:szCs w:val="20"/>
              </w:rPr>
              <w:t>Bioresorbable</w:t>
            </w:r>
            <w:r>
              <w:rPr>
                <w:rFonts w:cs="Calibri"/>
                <w:sz w:val="20"/>
                <w:szCs w:val="20"/>
                <w:lang w:eastAsia="zh-CN"/>
              </w:rPr>
              <w:t xml:space="preserve"> </w:t>
            </w:r>
            <w:r>
              <w:rPr>
                <w:rFonts w:cs="Calibri"/>
                <w:sz w:val="20"/>
                <w:szCs w:val="20"/>
              </w:rPr>
              <w:t>plate shows comparable</w:t>
            </w:r>
            <w:r>
              <w:rPr>
                <w:rFonts w:cs="Calibri"/>
                <w:sz w:val="20"/>
                <w:szCs w:val="20"/>
                <w:lang w:eastAsia="zh-CN"/>
              </w:rPr>
              <w:t xml:space="preserve"> </w:t>
            </w:r>
            <w:r>
              <w:rPr>
                <w:rFonts w:cs="Calibri"/>
                <w:sz w:val="20"/>
                <w:szCs w:val="20"/>
              </w:rPr>
              <w:t>fusion characteristics to titanium plate, fusion rate</w:t>
            </w:r>
            <w:r>
              <w:rPr>
                <w:rFonts w:cs="Calibri"/>
                <w:sz w:val="20"/>
                <w:szCs w:val="20"/>
                <w:lang w:eastAsia="zh-CN"/>
              </w:rPr>
              <w:t xml:space="preserve"> </w:t>
            </w:r>
            <w:r>
              <w:rPr>
                <w:rFonts w:cs="Calibri"/>
                <w:sz w:val="20"/>
                <w:szCs w:val="20"/>
              </w:rPr>
              <w:t>was 94.6%;</w:t>
            </w:r>
          </w:p>
          <w:p w14:paraId="66AB75D6">
            <w:pPr>
              <w:widowControl w:val="0"/>
              <w:numPr>
                <w:ilvl w:val="0"/>
                <w:numId w:val="7"/>
              </w:numPr>
              <w:autoSpaceDE w:val="0"/>
              <w:autoSpaceDN w:val="0"/>
              <w:adjustRightInd w:val="0"/>
              <w:rPr>
                <w:rFonts w:cs="Calibri"/>
                <w:sz w:val="20"/>
                <w:szCs w:val="20"/>
              </w:rPr>
            </w:pPr>
            <w:r>
              <w:rPr>
                <w:rFonts w:cs="Calibri"/>
                <w:sz w:val="20"/>
                <w:szCs w:val="20"/>
                <w:lang w:eastAsia="zh-CN"/>
              </w:rPr>
              <w:t>No removal surgery needed for S-1 products;</w:t>
            </w:r>
          </w:p>
          <w:p w14:paraId="7D5BCD3E">
            <w:pPr>
              <w:widowControl w:val="0"/>
              <w:numPr>
                <w:ilvl w:val="0"/>
                <w:numId w:val="7"/>
              </w:numPr>
              <w:autoSpaceDE w:val="0"/>
              <w:autoSpaceDN w:val="0"/>
              <w:adjustRightInd w:val="0"/>
              <w:rPr>
                <w:rFonts w:cs="Calibri"/>
                <w:sz w:val="20"/>
                <w:szCs w:val="20"/>
              </w:rPr>
            </w:pPr>
            <w:r>
              <w:rPr>
                <w:rFonts w:cs="Calibri"/>
                <w:sz w:val="20"/>
                <w:szCs w:val="20"/>
                <w:lang w:eastAsia="zh-CN"/>
              </w:rPr>
              <w:t xml:space="preserve">Lucency and radiolucency of bioresorbable plates benefits for surgical procedure. </w:t>
            </w:r>
          </w:p>
        </w:tc>
      </w:tr>
      <w:tr w14:paraId="30A2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1" w:type="pct"/>
            <w:shd w:val="clear" w:color="auto" w:fill="auto"/>
          </w:tcPr>
          <w:p w14:paraId="71316327">
            <w:pPr>
              <w:rPr>
                <w:rFonts w:cs="Calibri"/>
                <w:sz w:val="20"/>
                <w:szCs w:val="20"/>
                <w:lang w:eastAsia="zh-CN"/>
              </w:rPr>
            </w:pPr>
            <w:r>
              <w:rPr>
                <w:rFonts w:cs="Calibri"/>
                <w:sz w:val="20"/>
                <w:szCs w:val="20"/>
              </w:rPr>
              <w:t>Lebl DR, et al. Bioabsorbable anterior cervical plate fixation for single-level degenerative disorders: early clinical and radiographic experience.</w:t>
            </w:r>
          </w:p>
        </w:tc>
        <w:tc>
          <w:tcPr>
            <w:tcW w:w="2100" w:type="pct"/>
            <w:shd w:val="clear" w:color="auto" w:fill="auto"/>
          </w:tcPr>
          <w:p w14:paraId="4E5F0A68">
            <w:pPr>
              <w:rPr>
                <w:rFonts w:cs="Calibri"/>
                <w:sz w:val="20"/>
                <w:szCs w:val="20"/>
                <w:lang w:eastAsia="zh-CN"/>
              </w:rPr>
            </w:pPr>
            <w:r>
              <w:rPr>
                <w:rFonts w:cs="Calibri"/>
                <w:b/>
                <w:sz w:val="20"/>
                <w:szCs w:val="20"/>
                <w:lang w:eastAsia="zh-CN"/>
              </w:rPr>
              <w:t xml:space="preserve">Study type: </w:t>
            </w:r>
            <w:r>
              <w:rPr>
                <w:rFonts w:cs="Calibri"/>
                <w:sz w:val="20"/>
                <w:szCs w:val="20"/>
                <w:lang w:eastAsia="zh-CN"/>
              </w:rPr>
              <w:t>Retrospective comparative cohort study</w:t>
            </w:r>
          </w:p>
          <w:p w14:paraId="7F0A6B4A">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405A9BB5">
            <w:pPr>
              <w:rPr>
                <w:rFonts w:cs="Calibri"/>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7A6D6F80">
            <w:pPr>
              <w:rPr>
                <w:rFonts w:cs="Calibri"/>
                <w:sz w:val="20"/>
                <w:szCs w:val="20"/>
                <w:lang w:eastAsia="zh-CN"/>
              </w:rPr>
            </w:pPr>
            <w:r>
              <w:rPr>
                <w:rFonts w:cs="Calibri"/>
                <w:b/>
                <w:sz w:val="20"/>
                <w:szCs w:val="20"/>
                <w:lang w:eastAsia="zh-CN"/>
              </w:rPr>
              <w:t>Objective:</w:t>
            </w:r>
            <w:r>
              <w:rPr>
                <w:sz w:val="20"/>
                <w:szCs w:val="20"/>
              </w:rPr>
              <w:t xml:space="preserve"> </w:t>
            </w:r>
            <w:r>
              <w:rPr>
                <w:rFonts w:cs="Calibri"/>
                <w:sz w:val="20"/>
                <w:szCs w:val="20"/>
                <w:lang w:eastAsia="zh-CN"/>
              </w:rPr>
              <w:t>To compare the clinical and radiographic outcomes of patients undergoing ACDF for single-level degenerative disorders with a bACP versus a conventional metal ACP (mACP).</w:t>
            </w:r>
          </w:p>
        </w:tc>
        <w:tc>
          <w:tcPr>
            <w:tcW w:w="405" w:type="pct"/>
            <w:shd w:val="clear" w:color="auto" w:fill="auto"/>
          </w:tcPr>
          <w:p w14:paraId="11086AD1">
            <w:pPr>
              <w:rPr>
                <w:rFonts w:cs="Calibri"/>
                <w:sz w:val="20"/>
                <w:szCs w:val="20"/>
                <w:lang w:eastAsia="zh-CN"/>
              </w:rPr>
            </w:pPr>
            <w:r>
              <w:rPr>
                <w:rFonts w:cs="Calibri"/>
                <w:sz w:val="20"/>
                <w:szCs w:val="20"/>
                <w:lang w:eastAsia="zh-CN"/>
              </w:rPr>
              <w:t>14</w:t>
            </w:r>
          </w:p>
        </w:tc>
        <w:tc>
          <w:tcPr>
            <w:tcW w:w="518" w:type="pct"/>
            <w:shd w:val="clear" w:color="auto" w:fill="auto"/>
          </w:tcPr>
          <w:p w14:paraId="04A79DDF">
            <w:pPr>
              <w:rPr>
                <w:rFonts w:cs="Calibri"/>
                <w:sz w:val="20"/>
                <w:szCs w:val="20"/>
                <w:lang w:eastAsia="zh-CN"/>
              </w:rPr>
            </w:pPr>
            <w:r>
              <w:rPr>
                <w:rFonts w:cs="Calibri"/>
                <w:sz w:val="20"/>
                <w:szCs w:val="20"/>
                <w:lang w:eastAsia="zh-CN"/>
              </w:rPr>
              <w:t>11.4±2.6 months</w:t>
            </w:r>
          </w:p>
        </w:tc>
        <w:tc>
          <w:tcPr>
            <w:tcW w:w="1046" w:type="pct"/>
          </w:tcPr>
          <w:p w14:paraId="68D21CA0">
            <w:pPr>
              <w:widowControl w:val="0"/>
              <w:autoSpaceDE w:val="0"/>
              <w:autoSpaceDN w:val="0"/>
              <w:adjustRightInd w:val="0"/>
              <w:rPr>
                <w:rFonts w:cs="Calibri"/>
                <w:sz w:val="20"/>
                <w:szCs w:val="20"/>
                <w:lang w:eastAsia="zh-CN"/>
              </w:rPr>
            </w:pPr>
            <w:r>
              <w:rPr>
                <w:rFonts w:cs="Calibri"/>
                <w:sz w:val="20"/>
                <w:szCs w:val="20"/>
                <w:lang w:eastAsia="zh-CN"/>
              </w:rPr>
              <w:t>Patients with the resorbable plate had higher pseudathrosis rates (29% vs. 0%); lesser ability to maintain segmental lordosis (21% vs. 53%); and poorer clinical outcomes (50% good/excellent vs. 93%).</w:t>
            </w:r>
          </w:p>
        </w:tc>
      </w:tr>
      <w:tr w14:paraId="52DE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1" w:type="pct"/>
            <w:shd w:val="clear" w:color="auto" w:fill="auto"/>
          </w:tcPr>
          <w:p w14:paraId="10097DEF">
            <w:pPr>
              <w:rPr>
                <w:rFonts w:cs="Calibri"/>
                <w:color w:val="FF0000"/>
                <w:sz w:val="20"/>
                <w:szCs w:val="20"/>
                <w:lang w:eastAsia="zh-CN"/>
              </w:rPr>
            </w:pPr>
            <w:r>
              <w:rPr>
                <w:rFonts w:cs="Calibri"/>
                <w:sz w:val="20"/>
                <w:szCs w:val="20"/>
              </w:rPr>
              <w:t xml:space="preserve">Truumees E. Commentary: Incorporating new technology into spine care: the case of resorbable cervical plates. </w:t>
            </w:r>
          </w:p>
        </w:tc>
        <w:tc>
          <w:tcPr>
            <w:tcW w:w="2100" w:type="pct"/>
            <w:shd w:val="clear" w:color="auto" w:fill="auto"/>
          </w:tcPr>
          <w:p w14:paraId="0A4DFEF3">
            <w:pPr>
              <w:rPr>
                <w:rFonts w:cs="Calibri"/>
                <w:sz w:val="20"/>
                <w:szCs w:val="20"/>
                <w:lang w:eastAsia="zh-CN"/>
              </w:rPr>
            </w:pPr>
            <w:r>
              <w:rPr>
                <w:rFonts w:cs="Calibri"/>
                <w:b/>
                <w:sz w:val="20"/>
                <w:szCs w:val="20"/>
                <w:lang w:eastAsia="zh-CN"/>
              </w:rPr>
              <w:t xml:space="preserve">Study type: </w:t>
            </w:r>
            <w:r>
              <w:rPr>
                <w:rFonts w:cs="Calibri"/>
                <w:sz w:val="20"/>
                <w:szCs w:val="20"/>
                <w:lang w:eastAsia="zh-CN"/>
              </w:rPr>
              <w:t>commentary</w:t>
            </w:r>
          </w:p>
          <w:p w14:paraId="353874D6">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18C4B7B9">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672F4238">
            <w:pPr>
              <w:rPr>
                <w:rFonts w:cs="Calibri"/>
                <w:b/>
                <w:color w:val="FF0000"/>
                <w:sz w:val="20"/>
                <w:szCs w:val="20"/>
                <w:lang w:eastAsia="zh-CN"/>
              </w:rPr>
            </w:pPr>
            <w:r>
              <w:rPr>
                <w:rFonts w:cs="Calibri"/>
                <w:b/>
                <w:sz w:val="20"/>
                <w:szCs w:val="20"/>
                <w:lang w:eastAsia="zh-CN"/>
              </w:rPr>
              <w:t xml:space="preserve">Objective: </w:t>
            </w:r>
            <w:r>
              <w:rPr>
                <w:rFonts w:cs="Calibri"/>
                <w:sz w:val="20"/>
                <w:szCs w:val="20"/>
                <w:lang w:eastAsia="zh-CN"/>
              </w:rPr>
              <w:t>Commentary for article-</w:t>
            </w:r>
            <w:r>
              <w:rPr>
                <w:rFonts w:cs="Calibri"/>
                <w:sz w:val="20"/>
                <w:szCs w:val="20"/>
              </w:rPr>
              <w:t>Lebl DR, et al, 2011</w:t>
            </w:r>
          </w:p>
        </w:tc>
        <w:tc>
          <w:tcPr>
            <w:tcW w:w="405" w:type="pct"/>
            <w:shd w:val="clear" w:color="auto" w:fill="auto"/>
          </w:tcPr>
          <w:p w14:paraId="0F6E7EC7">
            <w:pPr>
              <w:rPr>
                <w:rFonts w:cs="Calibri"/>
                <w:sz w:val="20"/>
                <w:szCs w:val="20"/>
                <w:lang w:eastAsia="zh-CN"/>
              </w:rPr>
            </w:pPr>
            <w:r>
              <w:rPr>
                <w:rFonts w:cs="Calibri"/>
                <w:sz w:val="20"/>
                <w:szCs w:val="20"/>
                <w:lang w:eastAsia="zh-CN"/>
              </w:rPr>
              <w:t>--</w:t>
            </w:r>
          </w:p>
        </w:tc>
        <w:tc>
          <w:tcPr>
            <w:tcW w:w="518" w:type="pct"/>
            <w:shd w:val="clear" w:color="auto" w:fill="auto"/>
          </w:tcPr>
          <w:p w14:paraId="7DCDBA8E">
            <w:pPr>
              <w:rPr>
                <w:rFonts w:cs="Calibri"/>
                <w:sz w:val="20"/>
                <w:szCs w:val="20"/>
                <w:lang w:eastAsia="zh-CN"/>
              </w:rPr>
            </w:pPr>
            <w:r>
              <w:rPr>
                <w:rFonts w:cs="Calibri"/>
                <w:sz w:val="20"/>
                <w:szCs w:val="20"/>
                <w:lang w:eastAsia="zh-CN"/>
              </w:rPr>
              <w:t>--</w:t>
            </w:r>
          </w:p>
        </w:tc>
        <w:tc>
          <w:tcPr>
            <w:tcW w:w="1046" w:type="pct"/>
          </w:tcPr>
          <w:p w14:paraId="4D9906A0">
            <w:pPr>
              <w:widowControl w:val="0"/>
              <w:autoSpaceDE w:val="0"/>
              <w:autoSpaceDN w:val="0"/>
              <w:adjustRightInd w:val="0"/>
              <w:rPr>
                <w:rFonts w:cs="Calibri"/>
                <w:sz w:val="20"/>
                <w:szCs w:val="20"/>
                <w:lang w:eastAsia="zh-CN"/>
              </w:rPr>
            </w:pPr>
            <w:r>
              <w:rPr>
                <w:rFonts w:cs="Calibri"/>
                <w:sz w:val="20"/>
                <w:szCs w:val="20"/>
                <w:lang w:eastAsia="zh-CN"/>
              </w:rPr>
              <w:t>--</w:t>
            </w:r>
          </w:p>
        </w:tc>
      </w:tr>
      <w:tr w14:paraId="08FE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1" w:type="pct"/>
            <w:shd w:val="clear" w:color="auto" w:fill="auto"/>
          </w:tcPr>
          <w:p w14:paraId="05E37ABB">
            <w:pPr>
              <w:rPr>
                <w:rFonts w:cs="Calibri"/>
                <w:color w:val="FF0000"/>
                <w:sz w:val="20"/>
                <w:szCs w:val="20"/>
                <w:lang w:eastAsia="zh-CN"/>
              </w:rPr>
            </w:pPr>
            <w:r>
              <w:rPr>
                <w:rFonts w:cs="Calibri"/>
                <w:sz w:val="20"/>
                <w:szCs w:val="20"/>
                <w:lang w:eastAsia="zh-CN"/>
              </w:rPr>
              <w:t xml:space="preserve">Rodrigo, et al. Long-term follow-up of anterior cervical discectomy and fusion with bioabsorbable plates and screws. </w:t>
            </w:r>
          </w:p>
        </w:tc>
        <w:tc>
          <w:tcPr>
            <w:tcW w:w="2100" w:type="pct"/>
            <w:shd w:val="clear" w:color="auto" w:fill="auto"/>
          </w:tcPr>
          <w:p w14:paraId="4F31499B">
            <w:pPr>
              <w:rPr>
                <w:rFonts w:cs="Calibri"/>
                <w:sz w:val="20"/>
                <w:szCs w:val="20"/>
                <w:lang w:eastAsia="zh-CN"/>
              </w:rPr>
            </w:pPr>
            <w:r>
              <w:rPr>
                <w:rFonts w:cs="Calibri"/>
                <w:b/>
                <w:sz w:val="20"/>
                <w:szCs w:val="20"/>
                <w:lang w:eastAsia="zh-CN"/>
              </w:rPr>
              <w:t xml:space="preserve">Study type: </w:t>
            </w:r>
            <w:r>
              <w:rPr>
                <w:rFonts w:cs="Calibri"/>
                <w:sz w:val="20"/>
                <w:szCs w:val="20"/>
                <w:lang w:eastAsia="zh-CN"/>
              </w:rPr>
              <w:t>a retrospective descriptive study</w:t>
            </w:r>
          </w:p>
          <w:p w14:paraId="141ADEF7">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3963AAD1">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03D028D4">
            <w:pPr>
              <w:rPr>
                <w:rFonts w:cs="Calibri"/>
                <w:b/>
                <w:color w:val="FF0000"/>
                <w:sz w:val="20"/>
                <w:szCs w:val="20"/>
                <w:lang w:eastAsia="zh-CN"/>
              </w:rPr>
            </w:pPr>
            <w:r>
              <w:rPr>
                <w:rFonts w:cs="Calibri"/>
                <w:b/>
                <w:sz w:val="20"/>
                <w:szCs w:val="20"/>
                <w:lang w:eastAsia="zh-CN"/>
              </w:rPr>
              <w:t xml:space="preserve">Objective: </w:t>
            </w:r>
            <w:r>
              <w:rPr>
                <w:rFonts w:cs="Calibri"/>
                <w:sz w:val="20"/>
                <w:szCs w:val="20"/>
                <w:lang w:eastAsia="zh-CN"/>
              </w:rPr>
              <w:t>to evaluate the long-term clinical results of the ACDF implants made out of bioabsorbable materials.</w:t>
            </w:r>
          </w:p>
        </w:tc>
        <w:tc>
          <w:tcPr>
            <w:tcW w:w="405" w:type="pct"/>
            <w:shd w:val="clear" w:color="auto" w:fill="auto"/>
          </w:tcPr>
          <w:p w14:paraId="5FCB8664">
            <w:pPr>
              <w:rPr>
                <w:rFonts w:cs="Calibri"/>
                <w:sz w:val="20"/>
                <w:szCs w:val="20"/>
                <w:lang w:eastAsia="zh-CN"/>
              </w:rPr>
            </w:pPr>
            <w:r>
              <w:rPr>
                <w:rFonts w:cs="Calibri"/>
                <w:sz w:val="20"/>
                <w:szCs w:val="20"/>
                <w:lang w:eastAsia="zh-CN"/>
              </w:rPr>
              <w:t>17</w:t>
            </w:r>
          </w:p>
        </w:tc>
        <w:tc>
          <w:tcPr>
            <w:tcW w:w="518" w:type="pct"/>
            <w:shd w:val="clear" w:color="auto" w:fill="auto"/>
          </w:tcPr>
          <w:p w14:paraId="4FF544B9">
            <w:pPr>
              <w:rPr>
                <w:rFonts w:cs="Calibri"/>
                <w:sz w:val="20"/>
                <w:szCs w:val="20"/>
                <w:lang w:eastAsia="zh-CN"/>
              </w:rPr>
            </w:pPr>
            <w:r>
              <w:rPr>
                <w:rFonts w:cs="Calibri"/>
                <w:sz w:val="20"/>
                <w:szCs w:val="20"/>
                <w:lang w:eastAsia="zh-CN"/>
              </w:rPr>
              <w:t>5-7</w:t>
            </w:r>
          </w:p>
        </w:tc>
        <w:tc>
          <w:tcPr>
            <w:tcW w:w="1046" w:type="pct"/>
          </w:tcPr>
          <w:p w14:paraId="52DAF90B">
            <w:pPr>
              <w:widowControl w:val="0"/>
              <w:autoSpaceDE w:val="0"/>
              <w:autoSpaceDN w:val="0"/>
              <w:adjustRightInd w:val="0"/>
              <w:rPr>
                <w:rFonts w:cs="Calibri"/>
                <w:color w:val="FF0000"/>
                <w:sz w:val="20"/>
                <w:szCs w:val="20"/>
                <w:lang w:eastAsia="zh-CN"/>
              </w:rPr>
            </w:pPr>
            <w:r>
              <w:rPr>
                <w:rFonts w:cs="Calibri"/>
                <w:sz w:val="20"/>
                <w:szCs w:val="20"/>
                <w:lang w:eastAsia="zh-CN"/>
              </w:rPr>
              <w:t>Complete fusion was achieved in 100% of the cases.</w:t>
            </w:r>
          </w:p>
        </w:tc>
      </w:tr>
    </w:tbl>
    <w:p w14:paraId="69864284">
      <w:pPr>
        <w:jc w:val="both"/>
        <w:rPr>
          <w:lang w:eastAsia="zh-CN"/>
        </w:rPr>
      </w:pPr>
    </w:p>
    <w:p w14:paraId="7FFD0FA6">
      <w:pPr>
        <w:autoSpaceDE w:val="0"/>
        <w:autoSpaceDN w:val="0"/>
        <w:adjustRightInd w:val="0"/>
        <w:jc w:val="both"/>
        <w:rPr>
          <w:color w:val="000000"/>
        </w:rPr>
      </w:pPr>
      <w:r>
        <w:rPr>
          <w:color w:val="000000"/>
        </w:rPr>
        <w:t xml:space="preserve">The first clinical study regarding </w:t>
      </w:r>
      <w:r>
        <w:t xml:space="preserve">Inion Spinal Graft Containment System™ was conducted by </w:t>
      </w:r>
      <w:r>
        <w:rPr>
          <w:color w:val="000000"/>
        </w:rPr>
        <w:t xml:space="preserve">Franco et al. in 2007, to evaluate the results of 16 patients affected by degenerative cervical spondylosis and operated on by anterior cervical discectomy and fusion (ACFD) by means of anterior bioresorbable plates and screws. Further, the authors compared the results in these patients with 13 patients with same indication in whom arthrodesis was obtained by using cages without plates. 8 males and 8 females aging from 37 to 69 years were included in Group A, and 9 males, 4 females aging from 50 to 77 years were in the Group B. Group A was treated with dense cancellous allografts (Graftech; Osteotech; Inc.) and anterior resorbable plates and screws plates (INION OY) Surgical procedure was carried out at one level in 11 patients and at two levels in the remaining 5 cases. During the same period, other 13 patients (Group B) were operated by using intervertebral cages Solis (Stryker Spine), at one level in 10 patients and at two levels in 3 patients. The follow-up ranged from 12 to 25 months. </w:t>
      </w:r>
    </w:p>
    <w:p w14:paraId="524F9AB9">
      <w:pPr>
        <w:autoSpaceDE w:val="0"/>
        <w:autoSpaceDN w:val="0"/>
        <w:adjustRightInd w:val="0"/>
        <w:jc w:val="both"/>
        <w:rPr>
          <w:color w:val="000000"/>
        </w:rPr>
      </w:pPr>
    </w:p>
    <w:p w14:paraId="1D3AFEAC">
      <w:pPr>
        <w:autoSpaceDE w:val="0"/>
        <w:autoSpaceDN w:val="0"/>
        <w:adjustRightInd w:val="0"/>
        <w:jc w:val="both"/>
        <w:rPr>
          <w:color w:val="000000"/>
        </w:rPr>
      </w:pPr>
      <w:r>
        <w:rPr>
          <w:color w:val="000000"/>
        </w:rPr>
        <w:t>The fusion rates and the vertebral alignment were evaluated. For the vertebral body and disc space height (DSH), in the Group A, the mean values were: 37.5 mm (range 30-51 mm) soon after surgery and 36.9 mm (range 27-49 mm) at the most recent follow-up; in the Group B patients, the same measurement revealed mean values of 34.3 mm in the early postoperative period (range 21-49 mm) and of 25.7 mm (range 20-44 mm) at the most recent follow-up. Finally, the data relative to the vertebral alignment showed mean values of 2.75 soon after surgery and of 5.31 in the most recent follow-up in Group A. Such data proved the efficacy of these systems to ensure a good degree of fusion while maintaining vertebral alignment and ultimately stability in the operated segment.</w:t>
      </w:r>
      <w:r>
        <w:rPr>
          <w:rFonts w:hint="eastAsia"/>
          <w:color w:val="000000"/>
          <w:lang w:eastAsia="zh-CN"/>
        </w:rPr>
        <w:t xml:space="preserve"> </w:t>
      </w:r>
      <w:r>
        <w:rPr>
          <w:color w:val="000000"/>
        </w:rPr>
        <w:t>In the patients observed in this study the authors inserted a dense cancellous allograft stabilized by Inion cervical plate and screws gaining a fusion rate of 90%, while in the patients treated with Solis cage without plates, a fusion rate of 88.9% was achieved. With regard to the fusion rate is had to be noted that resorbable plates showed a modulus of elasticity closer to normal bone, discussed by the authors. The presurgical values of VAS decreased in the late postsurgical period whereas the JOA increased in both group of patients so revealing a meaningful improvement of the symptoms and neurological signs. It was concluded that the resorbable plate system ensures a stabilization of the operated segment long enough to ensure a good fusion before being degraded. Finally the ability of the resorbable plate of not interfering with the neuroradiological postoperative examinations represented a sure advantage over the metal plates.</w:t>
      </w:r>
    </w:p>
    <w:p w14:paraId="3F819C19">
      <w:pPr>
        <w:jc w:val="both"/>
        <w:rPr>
          <w:color w:val="000000"/>
        </w:rPr>
      </w:pPr>
    </w:p>
    <w:p w14:paraId="2A101A3F">
      <w:pPr>
        <w:jc w:val="both"/>
      </w:pPr>
      <w:r>
        <w:rPr>
          <w:color w:val="000000"/>
        </w:rPr>
        <w:t>In study by Nabhan et al. (2009) the Inion Spinal Graft Containment System™ (S-1™ System) was successfully used in anterior cervical discectomy and fusion (ACDF). A prospective, randomized, controlled clinical trial was performed with 37 patients in order to compare bioresorbable (n=19) and titanium (n=18) plate fixation in single-level ACDF. Follow-up used a visual analog scale (VAS) with regard to brachial pain and Neck Disability Index (NDI) for neck pain. Success of the procedure was evaluated by radioisometry (immediately postoperatively, 6 weeks, 3 and 6 months), MRI of cervical spine (immediately postoperatively, 3 and 6 months) and computed tomography. S</w:t>
      </w:r>
      <w:r>
        <w:t xml:space="preserve">atisfactory clinical results were achieved in both groups without differences in fusion rates or speeds. </w:t>
      </w:r>
    </w:p>
    <w:p w14:paraId="0328EDCD">
      <w:pPr>
        <w:jc w:val="both"/>
        <w:rPr>
          <w:lang w:eastAsia="zh-CN"/>
        </w:rPr>
      </w:pPr>
    </w:p>
    <w:p w14:paraId="6E77E1CF">
      <w:pPr>
        <w:jc w:val="both"/>
        <w:rPr>
          <w:color w:val="000000"/>
        </w:rPr>
      </w:pPr>
      <w:r>
        <w:rPr>
          <w:color w:val="000000"/>
        </w:rPr>
        <w:t xml:space="preserve">In retrospective study by Lebl et al. (2011) the clinical and radiographic outcomes of patients undergoing ACDF with structural allograft for single-level degenerative disorders with Inion S-1 System was compared to patients treated with a conventional metallic plates and titanium mesh cage filled with morzeliced allograft bone. In both groups patients were immobilized postoperatively in a rigid cervical orthosis for 2 weeks. 14 patients underwent ACDF with Inion S-1 and 15 with a metallic plate. The authors retrospectively reviewed the results of a consecutive series of patients undergoing ACDF for symptomatic single-level disc herniation or spondylotic neural compression over a 3-year period. Operative notes, clinical charts, and radiographs were analyzed. Radiographic outcomes were assessed for intersegmental alignment, graft subsidence, fusion rate, prevertebral soft-tissue shadow, and graft containment. Clinical outcome was evaluated by Odom’s criteria. Radiographic outcomes at the most recent follow-up demonstrated pseudarthrosis in 4 of 14 patients (29%) in the S-1 group and 0 of 15 patients in the metallic group. Comparing preoperative and final radiographs, cervical lordosis was maintained at the operative segment in only 3 of 14 S-1 patients (21%) compared with 8 of 15 patients (53%) in the metallic group. The mean Cobb angle was 2.4°±1.9° lordosis in the S-1 group and -2.7°±2.5° kyphosis in the metallic group (p=0.12). In the metallic group, 14 of 15 patients had good or excellent results. In the S-1 group, only 7 of 14 patients had good or excellent results. </w:t>
      </w:r>
      <w:r>
        <w:rPr>
          <w:rFonts w:hint="eastAsia"/>
          <w:color w:val="000000"/>
          <w:lang w:eastAsia="zh-CN"/>
        </w:rPr>
        <w:t>T</w:t>
      </w:r>
      <w:r>
        <w:rPr>
          <w:color w:val="000000"/>
          <w:lang w:eastAsia="zh-CN"/>
        </w:rPr>
        <w:t>he details</w:t>
      </w:r>
      <w:r>
        <w:rPr>
          <w:color w:val="000000"/>
        </w:rPr>
        <w:t xml:space="preserve"> were following:</w:t>
      </w:r>
    </w:p>
    <w:p w14:paraId="05DBD2C5">
      <w:pPr>
        <w:jc w:val="both"/>
        <w:rPr>
          <w:color w:val="000000"/>
        </w:rPr>
      </w:pPr>
      <w:r>
        <w:rPr>
          <w:color w:val="000000"/>
        </w:rPr>
        <w:br w:type="page"/>
      </w:r>
    </w:p>
    <w:p w14:paraId="731F0DB8">
      <w:pPr>
        <w:pStyle w:val="60"/>
        <w:numPr>
          <w:ilvl w:val="0"/>
          <w:numId w:val="8"/>
        </w:numPr>
        <w:contextualSpacing/>
        <w:jc w:val="both"/>
        <w:rPr>
          <w:color w:val="000000"/>
        </w:rPr>
      </w:pPr>
      <w:r>
        <w:rPr>
          <w:color w:val="000000"/>
        </w:rPr>
        <w:t>Odom's criteria:</w:t>
      </w:r>
    </w:p>
    <w:p w14:paraId="7FD6DDED">
      <w:pPr>
        <w:pStyle w:val="60"/>
        <w:numPr>
          <w:ilvl w:val="1"/>
          <w:numId w:val="8"/>
        </w:numPr>
        <w:contextualSpacing/>
        <w:jc w:val="both"/>
        <w:rPr>
          <w:color w:val="000000"/>
        </w:rPr>
      </w:pPr>
      <w:r>
        <w:rPr>
          <w:color w:val="000000"/>
        </w:rPr>
        <w:t>3 poor (21%) (one smoker)</w:t>
      </w:r>
    </w:p>
    <w:p w14:paraId="4CC25A95">
      <w:pPr>
        <w:pStyle w:val="60"/>
        <w:numPr>
          <w:ilvl w:val="1"/>
          <w:numId w:val="8"/>
        </w:numPr>
        <w:contextualSpacing/>
        <w:jc w:val="both"/>
        <w:rPr>
          <w:color w:val="000000"/>
        </w:rPr>
      </w:pPr>
      <w:r>
        <w:rPr>
          <w:color w:val="000000"/>
        </w:rPr>
        <w:t>4 fair (29%)</w:t>
      </w:r>
    </w:p>
    <w:p w14:paraId="054C77AE">
      <w:pPr>
        <w:pStyle w:val="60"/>
        <w:numPr>
          <w:ilvl w:val="1"/>
          <w:numId w:val="8"/>
        </w:numPr>
        <w:contextualSpacing/>
        <w:jc w:val="both"/>
        <w:rPr>
          <w:color w:val="000000"/>
        </w:rPr>
      </w:pPr>
      <w:r>
        <w:rPr>
          <w:color w:val="000000"/>
        </w:rPr>
        <w:t>3 good (21%)</w:t>
      </w:r>
    </w:p>
    <w:p w14:paraId="7E469070">
      <w:pPr>
        <w:pStyle w:val="60"/>
        <w:numPr>
          <w:ilvl w:val="1"/>
          <w:numId w:val="8"/>
        </w:numPr>
        <w:contextualSpacing/>
        <w:jc w:val="both"/>
        <w:rPr>
          <w:color w:val="000000"/>
        </w:rPr>
      </w:pPr>
      <w:r>
        <w:rPr>
          <w:color w:val="000000"/>
        </w:rPr>
        <w:t>4 excellent (29%)</w:t>
      </w:r>
    </w:p>
    <w:p w14:paraId="0D388CCE">
      <w:pPr>
        <w:pStyle w:val="60"/>
        <w:ind w:left="1440"/>
        <w:contextualSpacing/>
        <w:jc w:val="both"/>
        <w:rPr>
          <w:color w:val="000000"/>
        </w:rPr>
      </w:pPr>
    </w:p>
    <w:p w14:paraId="35B6361F">
      <w:pPr>
        <w:jc w:val="both"/>
      </w:pPr>
      <w:r>
        <w:t>In this study bioabsorbable ACP fixation, i.e., Inion S-1 fixation, was associated with a high rate of graft extrusion and early loss of intersegmental cervical alignment. Inferior clinical outcomes were observed in patients in the S-1 group compared with the metallic group. Based on their findings, authors stated and concluded that continued use of the Inion S-1 System cannot be recommended.</w:t>
      </w:r>
    </w:p>
    <w:p w14:paraId="130DF243">
      <w:pPr>
        <w:jc w:val="both"/>
        <w:rPr>
          <w:color w:val="000000"/>
        </w:rPr>
      </w:pPr>
    </w:p>
    <w:p w14:paraId="5FE3C157">
      <w:pPr>
        <w:jc w:val="both"/>
        <w:rPr>
          <w:color w:val="000000"/>
        </w:rPr>
      </w:pPr>
      <w:r>
        <w:rPr>
          <w:color w:val="000000"/>
        </w:rPr>
        <w:t>Truumees (2011) published his commentary article considering usage of resorbable cervical plates in spine surgery. In this review-type article no new data considering the Inion S-1 system was presented but study by Lebl et al. (2011) mentioned above was referenced. Author pointed out the importance of appropriate use of resorbable cervical plates and discussed about obvious risks related to their off-label use and limitations in their mechanical properties in scope of load-bearing applications. Truumees also criticizes FDA’s 510(k) clearance process in case of resorbable spinal devices and wonders the limited amount of clinical data prior their approval for commercial use. On the other hand, Truumees also pointed out that resorbable plates are proposed to compensate for the potential downsides of metal anterior cervical plates, such as graft shielding from axial loads, increasing pseudoarthrosis and the risk of adjacent segment degeneration.</w:t>
      </w:r>
    </w:p>
    <w:p w14:paraId="4B80793D">
      <w:pPr>
        <w:jc w:val="both"/>
        <w:rPr>
          <w:lang w:eastAsia="zh-CN"/>
        </w:rPr>
      </w:pPr>
    </w:p>
    <w:p w14:paraId="2FC9588E">
      <w:pPr>
        <w:jc w:val="both"/>
      </w:pPr>
      <w:r>
        <w:t>Goal of study by Rodrigo et al. (2015) was to investigate long term effectiveness of Inion S-1™ System for the anterior cervical discectomy and fusion (ACDF) in treatment of cervical spinal degenerative disease. Total of 17 patients (ten women and seven men, age range 30-58 years with mean of 45 years) underwent ACDF using Inion S-1™ resorbable plates and screws. Total of 13 one level and four dual level ACDF were performed. The most common level operated was C5-C6. To evaluate results and outcomes medical records, pre- and post-surgical symptoms, previous trauma, smokers, complications and prevertebral space in pre- and post-intervention were analysed. Patients remained hospital 2-8 days post-surgery (mean 3.5 days, 76% 3 days or less). Follow-up up was conducted up to 5-7 years (2006-2013). Based on their results authors concluded that the study provides proof for easy handling of Inion S-1™ Plates and good tolerance for their material, i.e., biodegradable copolymer of 80:20 poly (L-lactide-co-D,L-lactide). Author stated that such materials offer a feasible alternative to classical ACDF as the body itself integrates conventional titanium plates, but titanium implants remain in the body while the resorbable material is degraded and converted into bone.</w:t>
      </w:r>
    </w:p>
    <w:p w14:paraId="2DB74AFD">
      <w:pPr>
        <w:jc w:val="both"/>
        <w:rPr>
          <w:highlight w:val="yellow"/>
          <w:lang w:eastAsia="fi-FI"/>
        </w:rPr>
      </w:pPr>
    </w:p>
    <w:p w14:paraId="434775C3">
      <w:pPr>
        <w:autoSpaceDE w:val="0"/>
        <w:autoSpaceDN w:val="0"/>
        <w:adjustRightInd w:val="0"/>
        <w:jc w:val="both"/>
        <w:rPr>
          <w:rFonts w:eastAsia="微软雅黑" w:cs="微软雅黑"/>
          <w:lang w:eastAsia="zh-CN"/>
        </w:rPr>
      </w:pPr>
      <w:r>
        <w:rPr>
          <w:rFonts w:eastAsia="微软雅黑" w:cs="微软雅黑"/>
          <w:lang w:val="zh-CN" w:eastAsia="zh-CN"/>
        </w:rPr>
        <w:t>Among the articles analyzed above, only one clinical study conducted by Lebl et al. (2011) showed inferior clinical outcomes in the S-1 group compared with the metallic group</w:t>
      </w:r>
      <w:r>
        <w:rPr>
          <w:rFonts w:eastAsia="微软雅黑" w:cs="微软雅黑"/>
          <w:lang w:eastAsia="zh-CN"/>
        </w:rPr>
        <w:t xml:space="preserve">. These Inion S-1 products are intended to be used with additional rigid fixation (posterior interspinous wiring). It is noted though, that a similar Inion S-1 system is available outside the US, intended to be used in connection with a postoperative collar. In Lebl study additional posterior rigid fixation was not used; and postoperative collar was used for only for 2 weeks. It is estimated that this is improper use for even those indications, as the more general time period for postoperative collar after ACDF is approximately 3-6 weeks but is always determined by the surgeon for each case. </w:t>
      </w:r>
    </w:p>
    <w:p w14:paraId="60CF35C6">
      <w:pPr>
        <w:jc w:val="both"/>
        <w:rPr>
          <w:lang w:eastAsia="fi-FI"/>
        </w:rPr>
      </w:pPr>
    </w:p>
    <w:p w14:paraId="2A988933">
      <w:pPr>
        <w:jc w:val="both"/>
        <w:rPr>
          <w:lang w:eastAsia="fi-FI"/>
        </w:rPr>
      </w:pPr>
      <w:r>
        <w:rPr>
          <w:lang w:eastAsia="fi-FI"/>
        </w:rPr>
        <w:t>It is further noted that complications occur also when using devices made of metal, requiring re-operation and implant removal. With reference to Lowery et al. (1998) with up to 35% failure rate for metal plates in anterior cervical fusion.  Lowery et al. conclude that hardware failure associated with anterior cervical surgery does not pose a significant risk to the patients. In the case of nonabsorbable implants, careful and long-term follow-up can ensure that hardware has not progressed and can confirm that late failure has not occurred.  It is also clearly stated in the IFU that these devices (unlike metal plates) are not intended for full load bearing: "WARNINGS:• The INION S-1™ BIODEGRADABLE ANTERIOR CERVICAL FUSION SYSTEM devices provide fixation and are not intended to replace healthy tissues or withstand the stress of full load bearing."</w:t>
      </w:r>
    </w:p>
    <w:p w14:paraId="7F8009AB">
      <w:pPr>
        <w:jc w:val="both"/>
        <w:rPr>
          <w:highlight w:val="yellow"/>
          <w:lang w:eastAsia="fi-FI"/>
        </w:rPr>
      </w:pPr>
    </w:p>
    <w:p w14:paraId="26373C82">
      <w:pPr>
        <w:jc w:val="both"/>
        <w:rPr>
          <w:lang w:eastAsia="fi-FI"/>
        </w:rPr>
      </w:pPr>
      <w:r>
        <w:rPr>
          <w:lang w:eastAsia="fi-FI"/>
        </w:rPr>
        <w:t>Nabhan et al. 2009 study shows that when used correctly in accordance with the current instructions for use as detailed above, the anterior plate fixation using Inion S-1 plate has the same fusion progress and stability as titanium, with no biocompatibility issues, and with several benefits in comparison to metal such as: ability to contour the plate to patient anatomy, no imaging artifact, and ability to see the graft and vertebrae in postoperative imaging, implant removal is unnecessary in future surgeries (drill-through and degradation), material's modulus of elasticity allowing load sharing with the graft.</w:t>
      </w:r>
    </w:p>
    <w:p w14:paraId="70EC0163">
      <w:pPr>
        <w:jc w:val="both"/>
        <w:rPr>
          <w:highlight w:val="yellow"/>
          <w:lang w:eastAsia="fi-FI"/>
        </w:rPr>
      </w:pPr>
    </w:p>
    <w:p w14:paraId="5AA86F22">
      <w:pPr>
        <w:jc w:val="both"/>
        <w:rPr>
          <w:lang w:eastAsia="fi-FI"/>
        </w:rPr>
      </w:pPr>
      <w:r>
        <w:rPr>
          <w:lang w:eastAsia="fi-FI"/>
        </w:rPr>
        <w:t xml:space="preserve">These results are supported by Rodrigo et al. (2015) study, who investigated long term effectiveness of Inion S-1™ System for the anterior cervical discectomy and fusion (ACDF) in treatment of cervical spinal degenerative disease. Total of 17 patients (ten women and seven men, age range 30-58 years with mean of 45 years) underwent ACDF using Inion S-1™ resorbable plates and screws. Total of 13 one level and four dual level ACDF were performed. Follow-up period was 5-7 years. None of the patients had associated complications such as edema in adjacent tissues or long-term infections. All segments have documented fusion. No patient had to be reoperated due to failure or migration of the implants used in surgery. The authors conclude several benefits of the biodegradable materials in this application. The bioabsorbable implants allow gradual distribution and transfer of loads to the surrounding tissues minimizing the riskof stress shielding during the early stages of fusion (allowing correct fusion between the graft and fixed bodies) prior to the process of degradation of the plates and screws. Flexible and less rigid bioabsorbable implants provide the advantage of allowing a greater transfer of load to the healing bone over time during the degradation of the implants, potentially minimizing the risk of degeneration at adjacent levels. Other potential advantages of resorbable implants in spinal surgery include a more physiological modulus of elasticity in relation to native vertebral bone allowing more optimal load-sharing, as compared with rigid metal devices, and the elimination of long-term residual metal implants and their potential complications (migration or dislodgement) and the need for secondary hardware removal (e.g., in case of later adjacent level procedures). Biodegradable implants allow optimal postoperative radiographic evaluation because of their radiolucency and the absence of artifacts associated with similar metallic devices exposed to advanced imaging modalities. However, the postoperative position of implanted biodegradable implants can be evaluated radiographically if the implants contain radiopaque markers. </w:t>
      </w:r>
    </w:p>
    <w:p w14:paraId="218B560A">
      <w:pPr>
        <w:jc w:val="both"/>
        <w:rPr>
          <w:rFonts w:eastAsia="微软雅黑" w:cs="微软雅黑"/>
          <w:lang w:eastAsia="zh-CN"/>
        </w:rPr>
      </w:pPr>
    </w:p>
    <w:p w14:paraId="188ABF6D">
      <w:pPr>
        <w:jc w:val="both"/>
        <w:rPr>
          <w:lang w:eastAsia="fi-FI"/>
        </w:rPr>
      </w:pPr>
      <w:r>
        <w:rPr>
          <w:rFonts w:eastAsia="微软雅黑" w:cs="微软雅黑"/>
          <w:lang w:eastAsia="zh-CN"/>
        </w:rPr>
        <w:t>No</w:t>
      </w:r>
      <w:r>
        <w:rPr>
          <w:lang w:eastAsia="fi-FI"/>
        </w:rPr>
        <w:t xml:space="preserve"> new performance risks have been discovered during this evaluation. </w:t>
      </w:r>
      <w:r>
        <w:rPr>
          <w:rFonts w:eastAsia="微软雅黑" w:cs="微软雅黑"/>
          <w:lang w:val="zh-CN" w:eastAsia="zh-CN"/>
        </w:rPr>
        <w:t>Moreover,</w:t>
      </w:r>
      <w:r>
        <w:rPr>
          <w:lang w:eastAsia="fi-FI"/>
        </w:rPr>
        <w:t xml:space="preserve"> the risk analysis, verification and validation processes and post-marketing surveillance ensure that </w:t>
      </w:r>
      <w:r>
        <w:t>Inion Spinal Graft Containment System™</w:t>
      </w:r>
      <w:r>
        <w:rPr>
          <w:lang w:eastAsia="fi-FI"/>
        </w:rPr>
        <w:t xml:space="preserve"> complies with performance requirements.  </w:t>
      </w:r>
    </w:p>
    <w:p w14:paraId="77523985">
      <w:pPr>
        <w:jc w:val="both"/>
        <w:rPr>
          <w:lang w:eastAsia="zh-CN"/>
        </w:rPr>
      </w:pPr>
    </w:p>
    <w:p w14:paraId="33DE0922">
      <w:pPr>
        <w:pStyle w:val="3"/>
        <w:rPr>
          <w:lang w:eastAsia="fi-FI"/>
        </w:rPr>
      </w:pPr>
      <w:bookmarkStart w:id="60" w:name="_Toc480979568"/>
      <w:r>
        <w:rPr>
          <w:lang w:eastAsia="fi-FI"/>
        </w:rPr>
        <w:t>Safety</w:t>
      </w:r>
      <w:bookmarkEnd w:id="60"/>
    </w:p>
    <w:p w14:paraId="4ACD1044">
      <w:pPr>
        <w:jc w:val="both"/>
        <w:rPr>
          <w:color w:val="FF0000"/>
          <w:lang w:eastAsia="fi-FI"/>
        </w:rPr>
      </w:pPr>
      <w:r>
        <w:rPr>
          <w:lang w:eastAsia="fi-FI"/>
        </w:rPr>
        <w:t xml:space="preserve">The Essential Requirement 1 of MDD pertains to the clinical safety of </w:t>
      </w:r>
      <w:r>
        <w:t xml:space="preserve">Inion Spinal Graft Containment System™ implants and instruments which is looked at in this evaluation.  </w:t>
      </w:r>
      <w:r>
        <w:rPr>
          <w:lang w:eastAsia="fi-FI"/>
        </w:rPr>
        <w:t>The articles related to safety listed below in Table 16.</w:t>
      </w:r>
      <w:r>
        <w:rPr>
          <w:color w:val="FF0000"/>
          <w:lang w:eastAsia="fi-FI"/>
        </w:rPr>
        <w:t xml:space="preserve"> </w:t>
      </w:r>
    </w:p>
    <w:p w14:paraId="1616A586">
      <w:pPr>
        <w:autoSpaceDE w:val="0"/>
        <w:autoSpaceDN w:val="0"/>
        <w:adjustRightInd w:val="0"/>
        <w:jc w:val="both"/>
        <w:rPr>
          <w:color w:val="FF0000"/>
          <w:lang w:eastAsia="fi-FI"/>
        </w:rPr>
      </w:pPr>
    </w:p>
    <w:p w14:paraId="00E3DE1E">
      <w:pPr>
        <w:pStyle w:val="14"/>
        <w:rPr>
          <w:rFonts w:ascii="Calibri" w:hAnsi="Calibri"/>
        </w:rPr>
      </w:pPr>
      <w:bookmarkStart w:id="61" w:name="_Toc480979595"/>
      <w:r>
        <w:rPr>
          <w:rFonts w:ascii="Calibri" w:hAnsi="Calibri"/>
        </w:rPr>
        <w:t>Table 16. Safety related articles</w:t>
      </w:r>
      <w:bookmarkEnd w:id="61"/>
    </w:p>
    <w:p w14:paraId="3B71B1D5">
      <w:pPr>
        <w:pStyle w:val="14"/>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3826"/>
        <w:gridCol w:w="793"/>
        <w:gridCol w:w="1423"/>
        <w:gridCol w:w="1486"/>
      </w:tblGrid>
      <w:tr w14:paraId="41BC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trPr>
        <w:tc>
          <w:tcPr>
            <w:tcW w:w="752" w:type="pct"/>
            <w:shd w:val="clear" w:color="auto" w:fill="auto"/>
          </w:tcPr>
          <w:p w14:paraId="2A7CC513">
            <w:pPr>
              <w:rPr>
                <w:rFonts w:cs="Calibri"/>
                <w:b/>
                <w:bCs/>
                <w:sz w:val="20"/>
                <w:szCs w:val="20"/>
              </w:rPr>
            </w:pPr>
            <w:r>
              <w:rPr>
                <w:rFonts w:cs="Calibri"/>
                <w:b/>
                <w:bCs/>
                <w:sz w:val="20"/>
                <w:szCs w:val="20"/>
              </w:rPr>
              <w:t>Authors/ Title</w:t>
            </w:r>
          </w:p>
        </w:tc>
        <w:tc>
          <w:tcPr>
            <w:tcW w:w="2166" w:type="pct"/>
            <w:shd w:val="clear" w:color="auto" w:fill="auto"/>
            <w:noWrap/>
          </w:tcPr>
          <w:p w14:paraId="0BEE5F4A">
            <w:pPr>
              <w:rPr>
                <w:rFonts w:cs="Calibri"/>
                <w:b/>
                <w:bCs/>
                <w:sz w:val="20"/>
                <w:szCs w:val="20"/>
              </w:rPr>
            </w:pPr>
            <w:r>
              <w:rPr>
                <w:rFonts w:cs="Calibri"/>
                <w:b/>
                <w:bCs/>
                <w:sz w:val="20"/>
                <w:szCs w:val="20"/>
              </w:rPr>
              <w:t>Details</w:t>
            </w:r>
          </w:p>
          <w:p w14:paraId="354DEFB2">
            <w:pPr>
              <w:rPr>
                <w:rFonts w:cs="Calibri"/>
                <w:b/>
                <w:bCs/>
                <w:sz w:val="20"/>
                <w:szCs w:val="20"/>
              </w:rPr>
            </w:pPr>
            <w:r>
              <w:rPr>
                <w:rFonts w:cs="Calibri"/>
                <w:b/>
                <w:bCs/>
                <w:sz w:val="20"/>
                <w:szCs w:val="20"/>
              </w:rPr>
              <w:t>(</w:t>
            </w:r>
            <w:r>
              <w:rPr>
                <w:rFonts w:cs="Calibri"/>
                <w:b/>
                <w:bCs/>
                <w:sz w:val="20"/>
                <w:szCs w:val="20"/>
                <w:lang w:eastAsia="zh-CN"/>
              </w:rPr>
              <w:t xml:space="preserve">Study type </w:t>
            </w:r>
            <w:r>
              <w:rPr>
                <w:rFonts w:cs="Calibri"/>
                <w:b/>
                <w:bCs/>
                <w:sz w:val="20"/>
                <w:szCs w:val="20"/>
              </w:rPr>
              <w:t>/product /indications /Objective)</w:t>
            </w:r>
          </w:p>
        </w:tc>
        <w:tc>
          <w:tcPr>
            <w:tcW w:w="445" w:type="pct"/>
            <w:shd w:val="clear" w:color="auto" w:fill="auto"/>
          </w:tcPr>
          <w:p w14:paraId="59AC3AD1">
            <w:pPr>
              <w:rPr>
                <w:rFonts w:cs="Calibri"/>
                <w:b/>
                <w:bCs/>
                <w:sz w:val="20"/>
                <w:szCs w:val="20"/>
              </w:rPr>
            </w:pPr>
            <w:r>
              <w:rPr>
                <w:rFonts w:cs="Calibri"/>
                <w:b/>
                <w:bCs/>
                <w:sz w:val="20"/>
                <w:szCs w:val="20"/>
              </w:rPr>
              <w:t>Patient qty.</w:t>
            </w:r>
          </w:p>
        </w:tc>
        <w:tc>
          <w:tcPr>
            <w:tcW w:w="802" w:type="pct"/>
            <w:shd w:val="clear" w:color="auto" w:fill="auto"/>
            <w:noWrap/>
          </w:tcPr>
          <w:p w14:paraId="2F7189BD">
            <w:pPr>
              <w:rPr>
                <w:rFonts w:cs="Calibri"/>
                <w:b/>
                <w:bCs/>
                <w:sz w:val="20"/>
                <w:szCs w:val="20"/>
              </w:rPr>
            </w:pPr>
            <w:r>
              <w:rPr>
                <w:rFonts w:cs="Calibri"/>
                <w:b/>
                <w:bCs/>
                <w:sz w:val="20"/>
                <w:szCs w:val="20"/>
              </w:rPr>
              <w:t xml:space="preserve">Follow-up time </w:t>
            </w:r>
          </w:p>
        </w:tc>
        <w:tc>
          <w:tcPr>
            <w:tcW w:w="834" w:type="pct"/>
          </w:tcPr>
          <w:p w14:paraId="60AF6D3C">
            <w:pPr>
              <w:rPr>
                <w:rFonts w:cs="Calibri"/>
                <w:b/>
                <w:bCs/>
                <w:sz w:val="20"/>
                <w:szCs w:val="20"/>
              </w:rPr>
            </w:pPr>
            <w:r>
              <w:rPr>
                <w:rFonts w:cs="Calibri"/>
                <w:b/>
                <w:bCs/>
                <w:sz w:val="20"/>
                <w:szCs w:val="20"/>
              </w:rPr>
              <w:t>Safety</w:t>
            </w:r>
          </w:p>
        </w:tc>
      </w:tr>
      <w:tr w14:paraId="0D8B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2" w:type="pct"/>
            <w:shd w:val="clear" w:color="auto" w:fill="auto"/>
          </w:tcPr>
          <w:p w14:paraId="3077E777">
            <w:pPr>
              <w:rPr>
                <w:rFonts w:cs="Calibri"/>
                <w:color w:val="FF0000"/>
                <w:sz w:val="20"/>
                <w:szCs w:val="20"/>
                <w:lang w:eastAsia="zh-CN"/>
              </w:rPr>
            </w:pPr>
            <w:r>
              <w:rPr>
                <w:rFonts w:cs="Calibri"/>
                <w:sz w:val="20"/>
                <w:szCs w:val="20"/>
                <w:lang w:eastAsia="zh-CN"/>
              </w:rPr>
              <w:t xml:space="preserve">Franco A et al. Use of resorbable implants for symptomatic cervical spondylosis: experience on 16 consecutive patients. </w:t>
            </w:r>
          </w:p>
        </w:tc>
        <w:tc>
          <w:tcPr>
            <w:tcW w:w="2166" w:type="pct"/>
            <w:shd w:val="clear" w:color="auto" w:fill="auto"/>
          </w:tcPr>
          <w:p w14:paraId="72797C3B">
            <w:pPr>
              <w:rPr>
                <w:rFonts w:cs="Calibri"/>
                <w:sz w:val="20"/>
                <w:szCs w:val="20"/>
                <w:lang w:eastAsia="zh-CN"/>
              </w:rPr>
            </w:pPr>
            <w:r>
              <w:rPr>
                <w:rFonts w:cs="Calibri"/>
                <w:b/>
                <w:sz w:val="20"/>
                <w:szCs w:val="20"/>
                <w:lang w:eastAsia="zh-CN"/>
              </w:rPr>
              <w:t xml:space="preserve">Study type: </w:t>
            </w:r>
            <w:r>
              <w:rPr>
                <w:rFonts w:cs="Calibri"/>
                <w:sz w:val="20"/>
                <w:szCs w:val="20"/>
                <w:lang w:eastAsia="zh-CN"/>
              </w:rPr>
              <w:t>Retrospective study</w:t>
            </w:r>
          </w:p>
          <w:p w14:paraId="6788C126">
            <w:pPr>
              <w:rPr>
                <w:rFonts w:cs="Calibri"/>
                <w:b/>
                <w:sz w:val="20"/>
                <w:szCs w:val="20"/>
                <w:lang w:eastAsia="zh-CN"/>
              </w:rPr>
            </w:pPr>
            <w:r>
              <w:rPr>
                <w:rFonts w:cs="Calibri"/>
                <w:b/>
                <w:sz w:val="20"/>
                <w:szCs w:val="20"/>
                <w:lang w:eastAsia="zh-CN"/>
              </w:rPr>
              <w:t>Product:</w:t>
            </w:r>
            <w:r>
              <w:rPr>
                <w:rFonts w:cs="Calibri"/>
                <w:sz w:val="20"/>
                <w:szCs w:val="20"/>
                <w:lang w:eastAsia="zh-CN"/>
              </w:rPr>
              <w:t xml:space="preserve"> Inion S-1</w:t>
            </w:r>
          </w:p>
          <w:p w14:paraId="25B2AAA9">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6243E041">
            <w:pPr>
              <w:rPr>
                <w:rFonts w:cs="Calibri"/>
                <w:b/>
                <w:color w:val="FF0000"/>
                <w:sz w:val="20"/>
                <w:szCs w:val="20"/>
                <w:lang w:eastAsia="zh-CN"/>
              </w:rPr>
            </w:pPr>
            <w:r>
              <w:rPr>
                <w:rFonts w:cs="Calibri"/>
                <w:b/>
                <w:sz w:val="20"/>
                <w:szCs w:val="20"/>
                <w:lang w:eastAsia="zh-CN"/>
              </w:rPr>
              <w:t>Objective:</w:t>
            </w:r>
            <w:r>
              <w:rPr>
                <w:rFonts w:cs="Calibri"/>
                <w:sz w:val="20"/>
                <w:szCs w:val="20"/>
                <w:lang w:eastAsia="zh-CN"/>
              </w:rPr>
              <w:t xml:space="preserve"> to evaluate the results of a consecutive series of 16 patients affected by degenerative cervical spondylosis and operated on by anterior cervical discectomy and fusion (ACFD) by means of anterior bioresorbable plates and screws.</w:t>
            </w:r>
          </w:p>
        </w:tc>
        <w:tc>
          <w:tcPr>
            <w:tcW w:w="445" w:type="pct"/>
            <w:shd w:val="clear" w:color="auto" w:fill="auto"/>
          </w:tcPr>
          <w:p w14:paraId="3A4C693F">
            <w:pPr>
              <w:rPr>
                <w:rFonts w:cs="Calibri"/>
                <w:sz w:val="20"/>
                <w:szCs w:val="20"/>
                <w:lang w:eastAsia="zh-CN"/>
              </w:rPr>
            </w:pPr>
            <w:r>
              <w:rPr>
                <w:rFonts w:cs="Calibri"/>
                <w:sz w:val="20"/>
                <w:szCs w:val="20"/>
                <w:lang w:eastAsia="zh-CN"/>
              </w:rPr>
              <w:t>16</w:t>
            </w:r>
          </w:p>
        </w:tc>
        <w:tc>
          <w:tcPr>
            <w:tcW w:w="802" w:type="pct"/>
            <w:shd w:val="clear" w:color="auto" w:fill="auto"/>
          </w:tcPr>
          <w:p w14:paraId="0EC74E96">
            <w:pPr>
              <w:rPr>
                <w:rFonts w:cs="Calibri"/>
                <w:sz w:val="20"/>
                <w:szCs w:val="20"/>
                <w:lang w:eastAsia="zh-CN"/>
              </w:rPr>
            </w:pPr>
            <w:r>
              <w:rPr>
                <w:rFonts w:cs="Calibri"/>
                <w:sz w:val="20"/>
                <w:szCs w:val="20"/>
                <w:lang w:eastAsia="zh-CN"/>
              </w:rPr>
              <w:t>12-25 months</w:t>
            </w:r>
          </w:p>
        </w:tc>
        <w:tc>
          <w:tcPr>
            <w:tcW w:w="834" w:type="pct"/>
          </w:tcPr>
          <w:p w14:paraId="65E67C19">
            <w:pPr>
              <w:widowControl w:val="0"/>
              <w:autoSpaceDE w:val="0"/>
              <w:autoSpaceDN w:val="0"/>
              <w:adjustRightInd w:val="0"/>
              <w:rPr>
                <w:rFonts w:cs="Calibri"/>
                <w:color w:val="FF0000"/>
                <w:sz w:val="20"/>
                <w:szCs w:val="20"/>
                <w:lang w:eastAsia="zh-CN"/>
              </w:rPr>
            </w:pPr>
            <w:r>
              <w:rPr>
                <w:rFonts w:cs="Calibri"/>
                <w:sz w:val="20"/>
                <w:szCs w:val="20"/>
                <w:lang w:eastAsia="zh-CN"/>
              </w:rPr>
              <w:t>No incidence of postoperative hematoma or infection.</w:t>
            </w:r>
          </w:p>
        </w:tc>
      </w:tr>
      <w:tr w14:paraId="0EB0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2" w:type="pct"/>
            <w:shd w:val="clear" w:color="auto" w:fill="auto"/>
          </w:tcPr>
          <w:p w14:paraId="230056C5">
            <w:pPr>
              <w:rPr>
                <w:rFonts w:cs="Calibri"/>
                <w:color w:val="FF0000"/>
                <w:sz w:val="20"/>
                <w:szCs w:val="20"/>
                <w:lang w:eastAsia="zh-CN"/>
              </w:rPr>
            </w:pPr>
            <w:r>
              <w:rPr>
                <w:rFonts w:cs="Calibri"/>
                <w:sz w:val="20"/>
                <w:szCs w:val="20"/>
              </w:rPr>
              <w:t>Nabhan A, et al. Comparison of bioresorbable and titanium plates in cervical spinal fusion: early radiologic and clinical results.</w:t>
            </w:r>
          </w:p>
        </w:tc>
        <w:tc>
          <w:tcPr>
            <w:tcW w:w="2166" w:type="pct"/>
            <w:shd w:val="clear" w:color="auto" w:fill="auto"/>
          </w:tcPr>
          <w:p w14:paraId="793EF1F7">
            <w:pPr>
              <w:rPr>
                <w:rFonts w:cs="AdvPSA88A"/>
                <w:sz w:val="20"/>
                <w:szCs w:val="20"/>
                <w:lang w:eastAsia="zh-CN"/>
              </w:rPr>
            </w:pPr>
            <w:r>
              <w:rPr>
                <w:rFonts w:cs="Calibri"/>
                <w:b/>
                <w:sz w:val="20"/>
                <w:szCs w:val="20"/>
                <w:lang w:eastAsia="zh-CN"/>
              </w:rPr>
              <w:t xml:space="preserve">Study type: </w:t>
            </w:r>
            <w:r>
              <w:rPr>
                <w:rFonts w:cs="AdvPSA88A"/>
                <w:sz w:val="20"/>
                <w:szCs w:val="20"/>
                <w:lang w:eastAsia="zh-CN"/>
              </w:rPr>
              <w:t>a randomized, controlled, prospective study</w:t>
            </w:r>
          </w:p>
          <w:p w14:paraId="170E3C1C">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768B0FC1">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347B8DA3">
            <w:pPr>
              <w:widowControl w:val="0"/>
              <w:autoSpaceDE w:val="0"/>
              <w:autoSpaceDN w:val="0"/>
              <w:adjustRightInd w:val="0"/>
              <w:rPr>
                <w:rFonts w:cs="AdvPSA88A"/>
                <w:sz w:val="20"/>
                <w:szCs w:val="20"/>
                <w:lang w:eastAsia="zh-CN"/>
              </w:rPr>
            </w:pPr>
            <w:r>
              <w:rPr>
                <w:rFonts w:cs="Calibri"/>
                <w:b/>
                <w:sz w:val="20"/>
                <w:szCs w:val="20"/>
                <w:lang w:eastAsia="zh-CN"/>
              </w:rPr>
              <w:t xml:space="preserve">Objective: </w:t>
            </w:r>
            <w:r>
              <w:rPr>
                <w:rFonts w:cs="AdvPSA88A"/>
                <w:sz w:val="20"/>
                <w:szCs w:val="20"/>
                <w:lang w:eastAsia="zh-CN"/>
              </w:rPr>
              <w:t>to compare clinical results, segmental motility, magnetic resonance imaging (MRI) compatibility, and change of the bone density of a cervical spine segment that was treated with either bioresorbable or titanium plates in single level.</w:t>
            </w:r>
          </w:p>
        </w:tc>
        <w:tc>
          <w:tcPr>
            <w:tcW w:w="445" w:type="pct"/>
            <w:shd w:val="clear" w:color="auto" w:fill="auto"/>
          </w:tcPr>
          <w:p w14:paraId="3150060A">
            <w:pPr>
              <w:rPr>
                <w:rFonts w:cs="Calibri"/>
                <w:sz w:val="20"/>
                <w:szCs w:val="20"/>
                <w:lang w:eastAsia="zh-CN"/>
              </w:rPr>
            </w:pPr>
            <w:r>
              <w:rPr>
                <w:rFonts w:cs="Calibri"/>
                <w:sz w:val="20"/>
                <w:szCs w:val="20"/>
                <w:lang w:eastAsia="zh-CN"/>
              </w:rPr>
              <w:t>19</w:t>
            </w:r>
          </w:p>
        </w:tc>
        <w:tc>
          <w:tcPr>
            <w:tcW w:w="802" w:type="pct"/>
            <w:shd w:val="clear" w:color="auto" w:fill="auto"/>
          </w:tcPr>
          <w:p w14:paraId="7539AFDE">
            <w:pPr>
              <w:rPr>
                <w:rFonts w:cs="Calibri"/>
                <w:sz w:val="20"/>
                <w:szCs w:val="20"/>
                <w:lang w:eastAsia="zh-CN"/>
              </w:rPr>
            </w:pPr>
            <w:r>
              <w:rPr>
                <w:rFonts w:cs="Calibri"/>
                <w:sz w:val="20"/>
                <w:szCs w:val="20"/>
                <w:lang w:eastAsia="zh-CN"/>
              </w:rPr>
              <w:t>6 months</w:t>
            </w:r>
          </w:p>
        </w:tc>
        <w:tc>
          <w:tcPr>
            <w:tcW w:w="834" w:type="pct"/>
          </w:tcPr>
          <w:p w14:paraId="746AAA95">
            <w:pPr>
              <w:widowControl w:val="0"/>
              <w:autoSpaceDE w:val="0"/>
              <w:autoSpaceDN w:val="0"/>
              <w:adjustRightInd w:val="0"/>
              <w:rPr>
                <w:rFonts w:cs="AdvPSA88A"/>
                <w:sz w:val="20"/>
                <w:szCs w:val="20"/>
                <w:lang w:eastAsia="zh-CN"/>
              </w:rPr>
            </w:pPr>
            <w:r>
              <w:rPr>
                <w:rFonts w:cs="AdvPSA88A"/>
                <w:sz w:val="20"/>
                <w:szCs w:val="20"/>
                <w:lang w:eastAsia="zh-CN"/>
              </w:rPr>
              <w:t>MRI revealed no signs of soft tissue inflammation or swelling in both groups 6 months after surgery.</w:t>
            </w:r>
          </w:p>
        </w:tc>
      </w:tr>
      <w:tr w14:paraId="1095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2" w:type="pct"/>
            <w:shd w:val="clear" w:color="auto" w:fill="auto"/>
          </w:tcPr>
          <w:p w14:paraId="13D5E5DF">
            <w:pPr>
              <w:rPr>
                <w:rFonts w:cs="Calibri"/>
                <w:color w:val="FF0000"/>
                <w:sz w:val="20"/>
                <w:szCs w:val="20"/>
                <w:lang w:eastAsia="zh-CN"/>
              </w:rPr>
            </w:pPr>
            <w:r>
              <w:rPr>
                <w:rFonts w:cs="Calibri"/>
                <w:sz w:val="20"/>
                <w:szCs w:val="20"/>
              </w:rPr>
              <w:t xml:space="preserve">Lebl DR, et al. Bioabsorbable anterior cervical plate fixation for single-level degenerative disorders: early clinical and radiographic experience. </w:t>
            </w:r>
          </w:p>
        </w:tc>
        <w:tc>
          <w:tcPr>
            <w:tcW w:w="2166" w:type="pct"/>
            <w:shd w:val="clear" w:color="auto" w:fill="auto"/>
          </w:tcPr>
          <w:p w14:paraId="4CE00507">
            <w:pPr>
              <w:rPr>
                <w:rFonts w:cs="Calibri"/>
                <w:b/>
                <w:sz w:val="20"/>
                <w:szCs w:val="20"/>
                <w:lang w:eastAsia="zh-CN"/>
              </w:rPr>
            </w:pPr>
            <w:r>
              <w:rPr>
                <w:rFonts w:cs="Calibri"/>
                <w:b/>
                <w:sz w:val="20"/>
                <w:szCs w:val="20"/>
                <w:lang w:eastAsia="zh-CN"/>
              </w:rPr>
              <w:t>Study type:</w:t>
            </w:r>
            <w:r>
              <w:rPr>
                <w:rFonts w:cs="AdvPSA88A"/>
                <w:sz w:val="20"/>
                <w:szCs w:val="20"/>
                <w:lang w:eastAsia="zh-CN"/>
              </w:rPr>
              <w:t xml:space="preserve"> Retrospective comparative cohort study</w:t>
            </w:r>
          </w:p>
          <w:p w14:paraId="0C7CEA3F">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401EB792">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66CF4ED4">
            <w:pPr>
              <w:rPr>
                <w:rFonts w:cs="Calibri"/>
                <w:b/>
                <w:color w:val="FF0000"/>
                <w:sz w:val="20"/>
                <w:szCs w:val="20"/>
                <w:lang w:eastAsia="zh-CN"/>
              </w:rPr>
            </w:pPr>
            <w:r>
              <w:rPr>
                <w:rFonts w:cs="Calibri"/>
                <w:b/>
                <w:sz w:val="20"/>
                <w:szCs w:val="20"/>
                <w:lang w:eastAsia="zh-CN"/>
              </w:rPr>
              <w:t>Objective:</w:t>
            </w:r>
            <w:r>
              <w:rPr>
                <w:rFonts w:cs="AdvPSA88A"/>
                <w:sz w:val="20"/>
                <w:szCs w:val="20"/>
                <w:lang w:eastAsia="zh-CN"/>
              </w:rPr>
              <w:t xml:space="preserve"> To compare the clinical and radiographic outcomes of patients undergoing ACDF for single-level degenerative disorders with a bACP versus a conventional metal ACP (mACP).</w:t>
            </w:r>
          </w:p>
        </w:tc>
        <w:tc>
          <w:tcPr>
            <w:tcW w:w="445" w:type="pct"/>
            <w:shd w:val="clear" w:color="auto" w:fill="auto"/>
          </w:tcPr>
          <w:p w14:paraId="5E3F3A43">
            <w:pPr>
              <w:rPr>
                <w:rFonts w:cs="Calibri"/>
                <w:sz w:val="20"/>
                <w:szCs w:val="20"/>
                <w:lang w:eastAsia="zh-CN"/>
              </w:rPr>
            </w:pPr>
            <w:r>
              <w:rPr>
                <w:rFonts w:cs="Calibri"/>
                <w:sz w:val="20"/>
                <w:szCs w:val="20"/>
                <w:lang w:eastAsia="zh-CN"/>
              </w:rPr>
              <w:t>14</w:t>
            </w:r>
          </w:p>
        </w:tc>
        <w:tc>
          <w:tcPr>
            <w:tcW w:w="802" w:type="pct"/>
            <w:shd w:val="clear" w:color="auto" w:fill="auto"/>
          </w:tcPr>
          <w:p w14:paraId="2B9B88A9">
            <w:pPr>
              <w:rPr>
                <w:rFonts w:cs="Calibri"/>
                <w:sz w:val="20"/>
                <w:szCs w:val="20"/>
                <w:lang w:eastAsia="zh-CN"/>
              </w:rPr>
            </w:pPr>
            <w:r>
              <w:rPr>
                <w:rFonts w:cs="Calibri"/>
                <w:sz w:val="20"/>
                <w:szCs w:val="20"/>
                <w:lang w:eastAsia="zh-CN"/>
              </w:rPr>
              <w:t>11.4±2.6 months</w:t>
            </w:r>
          </w:p>
        </w:tc>
        <w:tc>
          <w:tcPr>
            <w:tcW w:w="834" w:type="pct"/>
          </w:tcPr>
          <w:p w14:paraId="0D106A64">
            <w:pPr>
              <w:widowControl w:val="0"/>
              <w:numPr>
                <w:ilvl w:val="0"/>
                <w:numId w:val="9"/>
              </w:numPr>
              <w:autoSpaceDE w:val="0"/>
              <w:autoSpaceDN w:val="0"/>
              <w:adjustRightInd w:val="0"/>
              <w:rPr>
                <w:rFonts w:cs="AdvPSA88A"/>
                <w:sz w:val="20"/>
                <w:szCs w:val="20"/>
                <w:lang w:eastAsia="zh-CN"/>
              </w:rPr>
            </w:pPr>
            <w:r>
              <w:rPr>
                <w:rFonts w:cs="AdvPSA88A"/>
                <w:sz w:val="20"/>
                <w:szCs w:val="20"/>
                <w:lang w:eastAsia="zh-CN"/>
              </w:rPr>
              <w:t>There were two patients with dysphagia in the bioresorbable group and one patient with dysphagia in the metal group.</w:t>
            </w:r>
            <w:r>
              <w:rPr>
                <w:rFonts w:cs="Calibri"/>
                <w:sz w:val="20"/>
                <w:szCs w:val="20"/>
                <w:lang w:eastAsia="zh-CN"/>
              </w:rPr>
              <w:t xml:space="preserve"> </w:t>
            </w:r>
          </w:p>
          <w:p w14:paraId="2CC4844C">
            <w:pPr>
              <w:widowControl w:val="0"/>
              <w:numPr>
                <w:ilvl w:val="0"/>
                <w:numId w:val="9"/>
              </w:numPr>
              <w:autoSpaceDE w:val="0"/>
              <w:autoSpaceDN w:val="0"/>
              <w:adjustRightInd w:val="0"/>
              <w:rPr>
                <w:rFonts w:cs="Calibri"/>
                <w:sz w:val="20"/>
                <w:szCs w:val="20"/>
                <w:lang w:eastAsia="zh-CN"/>
              </w:rPr>
            </w:pPr>
            <w:r>
              <w:rPr>
                <w:rFonts w:cs="Calibri"/>
                <w:sz w:val="20"/>
                <w:szCs w:val="20"/>
                <w:lang w:eastAsia="zh-CN"/>
              </w:rPr>
              <w:t>Patients with the resorbable plate had higher graft extrusion in 75% of pseudarthroses;</w:t>
            </w:r>
          </w:p>
        </w:tc>
      </w:tr>
      <w:tr w14:paraId="6BB0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2" w:type="pct"/>
            <w:shd w:val="clear" w:color="auto" w:fill="auto"/>
          </w:tcPr>
          <w:p w14:paraId="30FBC780">
            <w:pPr>
              <w:rPr>
                <w:rFonts w:cs="Calibri"/>
                <w:color w:val="FF0000"/>
                <w:sz w:val="20"/>
                <w:szCs w:val="20"/>
                <w:lang w:eastAsia="zh-CN"/>
              </w:rPr>
            </w:pPr>
            <w:r>
              <w:rPr>
                <w:rFonts w:cs="Calibri"/>
                <w:sz w:val="20"/>
                <w:szCs w:val="20"/>
              </w:rPr>
              <w:t>Truumees E. Commentary: Incorporating new technology into spine care: the case of resorbable cervical plates.</w:t>
            </w:r>
          </w:p>
        </w:tc>
        <w:tc>
          <w:tcPr>
            <w:tcW w:w="2166" w:type="pct"/>
            <w:shd w:val="clear" w:color="auto" w:fill="auto"/>
          </w:tcPr>
          <w:p w14:paraId="746E73E8">
            <w:pPr>
              <w:rPr>
                <w:rFonts w:cs="Calibri"/>
                <w:sz w:val="20"/>
                <w:szCs w:val="20"/>
                <w:lang w:eastAsia="zh-CN"/>
              </w:rPr>
            </w:pPr>
            <w:r>
              <w:rPr>
                <w:rFonts w:cs="Calibri"/>
                <w:b/>
                <w:sz w:val="20"/>
                <w:szCs w:val="20"/>
                <w:lang w:eastAsia="zh-CN"/>
              </w:rPr>
              <w:t xml:space="preserve">Study type: </w:t>
            </w:r>
            <w:r>
              <w:rPr>
                <w:rFonts w:cs="Calibri"/>
                <w:sz w:val="20"/>
                <w:szCs w:val="20"/>
                <w:lang w:eastAsia="zh-CN"/>
              </w:rPr>
              <w:t>commentary</w:t>
            </w:r>
          </w:p>
          <w:p w14:paraId="39A63B6C">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1691E859">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7B521064">
            <w:pPr>
              <w:rPr>
                <w:rFonts w:cs="Calibri"/>
                <w:b/>
                <w:color w:val="FF0000"/>
                <w:sz w:val="20"/>
                <w:szCs w:val="20"/>
                <w:lang w:eastAsia="zh-CN"/>
              </w:rPr>
            </w:pPr>
            <w:r>
              <w:rPr>
                <w:rFonts w:cs="Calibri"/>
                <w:b/>
                <w:sz w:val="20"/>
                <w:szCs w:val="20"/>
                <w:lang w:eastAsia="zh-CN"/>
              </w:rPr>
              <w:t xml:space="preserve">Objective: </w:t>
            </w:r>
            <w:r>
              <w:rPr>
                <w:rFonts w:cs="Calibri"/>
                <w:sz w:val="20"/>
                <w:szCs w:val="20"/>
                <w:lang w:eastAsia="zh-CN"/>
              </w:rPr>
              <w:t>Commentary for article-</w:t>
            </w:r>
            <w:r>
              <w:rPr>
                <w:rFonts w:cs="Calibri"/>
                <w:sz w:val="20"/>
                <w:szCs w:val="20"/>
              </w:rPr>
              <w:t>Lebl DR, et al, 2011</w:t>
            </w:r>
          </w:p>
        </w:tc>
        <w:tc>
          <w:tcPr>
            <w:tcW w:w="445" w:type="pct"/>
            <w:shd w:val="clear" w:color="auto" w:fill="auto"/>
          </w:tcPr>
          <w:p w14:paraId="22CD9EB2">
            <w:pPr>
              <w:rPr>
                <w:rFonts w:cs="Calibri"/>
                <w:sz w:val="20"/>
                <w:szCs w:val="20"/>
                <w:lang w:eastAsia="zh-CN"/>
              </w:rPr>
            </w:pPr>
            <w:r>
              <w:rPr>
                <w:rFonts w:cs="Calibri"/>
                <w:sz w:val="20"/>
                <w:szCs w:val="20"/>
                <w:lang w:eastAsia="zh-CN"/>
              </w:rPr>
              <w:t>--</w:t>
            </w:r>
          </w:p>
        </w:tc>
        <w:tc>
          <w:tcPr>
            <w:tcW w:w="802" w:type="pct"/>
            <w:shd w:val="clear" w:color="auto" w:fill="auto"/>
          </w:tcPr>
          <w:p w14:paraId="00B8F4AA">
            <w:pPr>
              <w:rPr>
                <w:rFonts w:cs="Calibri"/>
                <w:sz w:val="20"/>
                <w:szCs w:val="20"/>
                <w:lang w:eastAsia="zh-CN"/>
              </w:rPr>
            </w:pPr>
            <w:r>
              <w:rPr>
                <w:rFonts w:cs="Calibri"/>
                <w:sz w:val="20"/>
                <w:szCs w:val="20"/>
                <w:lang w:eastAsia="zh-CN"/>
              </w:rPr>
              <w:t>--</w:t>
            </w:r>
          </w:p>
        </w:tc>
        <w:tc>
          <w:tcPr>
            <w:tcW w:w="834" w:type="pct"/>
          </w:tcPr>
          <w:p w14:paraId="377DD81F">
            <w:pPr>
              <w:widowControl w:val="0"/>
              <w:autoSpaceDE w:val="0"/>
              <w:autoSpaceDN w:val="0"/>
              <w:adjustRightInd w:val="0"/>
              <w:rPr>
                <w:rFonts w:cs="Calibri"/>
                <w:sz w:val="20"/>
                <w:szCs w:val="20"/>
                <w:lang w:eastAsia="zh-CN"/>
              </w:rPr>
            </w:pPr>
            <w:r>
              <w:rPr>
                <w:rFonts w:cs="Calibri"/>
                <w:sz w:val="20"/>
                <w:szCs w:val="20"/>
                <w:lang w:eastAsia="zh-CN"/>
              </w:rPr>
              <w:t>--</w:t>
            </w:r>
          </w:p>
        </w:tc>
      </w:tr>
      <w:tr w14:paraId="544F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2" w:type="pct"/>
            <w:shd w:val="clear" w:color="auto" w:fill="auto"/>
          </w:tcPr>
          <w:p w14:paraId="7176D20C">
            <w:pPr>
              <w:rPr>
                <w:rFonts w:cs="Calibri"/>
                <w:color w:val="FF0000"/>
                <w:sz w:val="20"/>
                <w:szCs w:val="20"/>
                <w:lang w:eastAsia="zh-CN"/>
              </w:rPr>
            </w:pPr>
            <w:r>
              <w:rPr>
                <w:rFonts w:cs="Calibri"/>
                <w:sz w:val="20"/>
                <w:szCs w:val="20"/>
                <w:lang w:eastAsia="zh-CN"/>
              </w:rPr>
              <w:t>Rodrigo, et al. Long-term follow-up of anterior cervical discectomy and fusion with bioabsorbable plates and screws.</w:t>
            </w:r>
          </w:p>
        </w:tc>
        <w:tc>
          <w:tcPr>
            <w:tcW w:w="2166" w:type="pct"/>
            <w:shd w:val="clear" w:color="auto" w:fill="auto"/>
          </w:tcPr>
          <w:p w14:paraId="68A60156">
            <w:pPr>
              <w:rPr>
                <w:rFonts w:cs="Calibri"/>
                <w:sz w:val="20"/>
                <w:szCs w:val="20"/>
                <w:lang w:eastAsia="zh-CN"/>
              </w:rPr>
            </w:pPr>
            <w:r>
              <w:rPr>
                <w:rFonts w:cs="Calibri"/>
                <w:b/>
                <w:sz w:val="20"/>
                <w:szCs w:val="20"/>
                <w:lang w:eastAsia="zh-CN"/>
              </w:rPr>
              <w:t xml:space="preserve">Study type: </w:t>
            </w:r>
            <w:r>
              <w:rPr>
                <w:rFonts w:cs="Calibri"/>
                <w:sz w:val="20"/>
                <w:szCs w:val="20"/>
                <w:lang w:eastAsia="zh-CN"/>
              </w:rPr>
              <w:t>a retrospective descriptive study</w:t>
            </w:r>
          </w:p>
          <w:p w14:paraId="5D09BF8A">
            <w:pPr>
              <w:rPr>
                <w:rFonts w:cs="Calibri"/>
                <w:b/>
                <w:sz w:val="20"/>
                <w:szCs w:val="20"/>
                <w:lang w:eastAsia="zh-CN"/>
              </w:rPr>
            </w:pPr>
            <w:r>
              <w:rPr>
                <w:rFonts w:cs="Calibri"/>
                <w:b/>
                <w:sz w:val="20"/>
                <w:szCs w:val="20"/>
                <w:lang w:eastAsia="zh-CN"/>
              </w:rPr>
              <w:t xml:space="preserve">Product: </w:t>
            </w:r>
            <w:r>
              <w:rPr>
                <w:rFonts w:cs="Calibri"/>
                <w:sz w:val="20"/>
                <w:szCs w:val="20"/>
                <w:lang w:eastAsia="zh-CN"/>
              </w:rPr>
              <w:t>Inion S-1</w:t>
            </w:r>
          </w:p>
          <w:p w14:paraId="09BED48F">
            <w:pPr>
              <w:rPr>
                <w:rFonts w:cs="Calibri"/>
                <w:b/>
                <w:sz w:val="20"/>
                <w:szCs w:val="20"/>
                <w:lang w:eastAsia="zh-CN"/>
              </w:rPr>
            </w:pPr>
            <w:r>
              <w:rPr>
                <w:rFonts w:cs="Calibri"/>
                <w:b/>
                <w:sz w:val="20"/>
                <w:szCs w:val="20"/>
                <w:lang w:eastAsia="zh-CN"/>
              </w:rPr>
              <w:t xml:space="preserve">Indications: </w:t>
            </w:r>
            <w:r>
              <w:rPr>
                <w:rFonts w:cs="Calibri"/>
                <w:sz w:val="20"/>
                <w:szCs w:val="20"/>
                <w:lang w:eastAsia="zh-CN"/>
              </w:rPr>
              <w:t>Anterior cervical</w:t>
            </w:r>
          </w:p>
          <w:p w14:paraId="18A133EB">
            <w:pPr>
              <w:rPr>
                <w:rFonts w:cs="Calibri"/>
                <w:b/>
                <w:color w:val="FF0000"/>
                <w:sz w:val="20"/>
                <w:szCs w:val="20"/>
                <w:lang w:eastAsia="zh-CN"/>
              </w:rPr>
            </w:pPr>
            <w:r>
              <w:rPr>
                <w:rFonts w:cs="Calibri"/>
                <w:b/>
                <w:sz w:val="20"/>
                <w:szCs w:val="20"/>
                <w:lang w:eastAsia="zh-CN"/>
              </w:rPr>
              <w:t xml:space="preserve">Objective: </w:t>
            </w:r>
            <w:r>
              <w:rPr>
                <w:rFonts w:cs="Calibri"/>
                <w:sz w:val="20"/>
                <w:szCs w:val="20"/>
                <w:lang w:eastAsia="zh-CN"/>
              </w:rPr>
              <w:t>to evaluate the long-term clinical results of the ACDF implants made out of bioabsorbablematerials.</w:t>
            </w:r>
          </w:p>
        </w:tc>
        <w:tc>
          <w:tcPr>
            <w:tcW w:w="445" w:type="pct"/>
            <w:shd w:val="clear" w:color="auto" w:fill="auto"/>
          </w:tcPr>
          <w:p w14:paraId="1815A443">
            <w:pPr>
              <w:rPr>
                <w:rFonts w:cs="Calibri"/>
                <w:sz w:val="20"/>
                <w:szCs w:val="20"/>
                <w:lang w:eastAsia="zh-CN"/>
              </w:rPr>
            </w:pPr>
            <w:r>
              <w:rPr>
                <w:rFonts w:cs="Calibri"/>
                <w:sz w:val="20"/>
                <w:szCs w:val="20"/>
                <w:lang w:eastAsia="zh-CN"/>
              </w:rPr>
              <w:t>17</w:t>
            </w:r>
          </w:p>
        </w:tc>
        <w:tc>
          <w:tcPr>
            <w:tcW w:w="802" w:type="pct"/>
            <w:shd w:val="clear" w:color="auto" w:fill="auto"/>
          </w:tcPr>
          <w:p w14:paraId="2D8E795E">
            <w:pPr>
              <w:ind w:left="2" w:leftChars="-14" w:hanging="36" w:hangingChars="18"/>
              <w:rPr>
                <w:rFonts w:cs="Calibri"/>
                <w:sz w:val="20"/>
                <w:szCs w:val="20"/>
                <w:lang w:eastAsia="zh-CN"/>
              </w:rPr>
            </w:pPr>
            <w:r>
              <w:rPr>
                <w:rFonts w:cs="Calibri"/>
                <w:sz w:val="20"/>
                <w:szCs w:val="20"/>
                <w:lang w:eastAsia="zh-CN"/>
              </w:rPr>
              <w:t>5-7 years</w:t>
            </w:r>
          </w:p>
        </w:tc>
        <w:tc>
          <w:tcPr>
            <w:tcW w:w="834" w:type="pct"/>
          </w:tcPr>
          <w:p w14:paraId="11B9DCD4">
            <w:pPr>
              <w:widowControl w:val="0"/>
              <w:numPr>
                <w:ilvl w:val="0"/>
                <w:numId w:val="10"/>
              </w:numPr>
              <w:autoSpaceDE w:val="0"/>
              <w:autoSpaceDN w:val="0"/>
              <w:adjustRightInd w:val="0"/>
              <w:rPr>
                <w:rFonts w:cs="Calibri"/>
                <w:color w:val="FF0000"/>
                <w:sz w:val="20"/>
                <w:szCs w:val="20"/>
                <w:lang w:eastAsia="zh-CN"/>
              </w:rPr>
            </w:pPr>
            <w:r>
              <w:rPr>
                <w:rFonts w:cs="Calibri"/>
                <w:sz w:val="20"/>
                <w:szCs w:val="20"/>
                <w:lang w:eastAsia="zh-CN"/>
              </w:rPr>
              <w:t>No patient had to be reoperated because of extrusion, breach or implant breakage.</w:t>
            </w:r>
          </w:p>
          <w:p w14:paraId="34B2B6C6">
            <w:pPr>
              <w:widowControl w:val="0"/>
              <w:numPr>
                <w:ilvl w:val="0"/>
                <w:numId w:val="10"/>
              </w:numPr>
              <w:autoSpaceDE w:val="0"/>
              <w:autoSpaceDN w:val="0"/>
              <w:adjustRightInd w:val="0"/>
              <w:rPr>
                <w:rFonts w:cs="Calibri"/>
                <w:color w:val="FF0000"/>
                <w:sz w:val="20"/>
                <w:szCs w:val="20"/>
                <w:lang w:eastAsia="zh-CN"/>
              </w:rPr>
            </w:pPr>
            <w:r>
              <w:rPr>
                <w:rFonts w:cs="Calibri"/>
                <w:sz w:val="20"/>
                <w:szCs w:val="20"/>
                <w:lang w:eastAsia="zh-CN"/>
              </w:rPr>
              <w:t>No postoperative hematoma, wound infection, osteomyelitis or recurrent laryngeal paresis.</w:t>
            </w:r>
          </w:p>
          <w:p w14:paraId="3B234FFC">
            <w:pPr>
              <w:widowControl w:val="0"/>
              <w:numPr>
                <w:ilvl w:val="0"/>
                <w:numId w:val="10"/>
              </w:numPr>
              <w:autoSpaceDE w:val="0"/>
              <w:autoSpaceDN w:val="0"/>
              <w:adjustRightInd w:val="0"/>
              <w:rPr>
                <w:rFonts w:cs="Calibri"/>
                <w:color w:val="FF0000"/>
                <w:sz w:val="20"/>
                <w:szCs w:val="20"/>
                <w:lang w:eastAsia="zh-CN"/>
              </w:rPr>
            </w:pPr>
            <w:r>
              <w:rPr>
                <w:rFonts w:cs="Calibri"/>
                <w:sz w:val="20"/>
                <w:szCs w:val="20"/>
                <w:lang w:eastAsia="zh-CN"/>
              </w:rPr>
              <w:t xml:space="preserve">No patient reported fever, chills or itching. </w:t>
            </w:r>
          </w:p>
          <w:p w14:paraId="0F3CB145">
            <w:pPr>
              <w:widowControl w:val="0"/>
              <w:numPr>
                <w:ilvl w:val="0"/>
                <w:numId w:val="10"/>
              </w:numPr>
              <w:autoSpaceDE w:val="0"/>
              <w:autoSpaceDN w:val="0"/>
              <w:adjustRightInd w:val="0"/>
              <w:rPr>
                <w:rFonts w:cs="Calibri"/>
                <w:color w:val="FF0000"/>
                <w:sz w:val="20"/>
                <w:szCs w:val="20"/>
                <w:lang w:eastAsia="zh-CN"/>
              </w:rPr>
            </w:pPr>
            <w:r>
              <w:rPr>
                <w:rFonts w:cs="Calibri"/>
                <w:sz w:val="20"/>
                <w:szCs w:val="20"/>
                <w:lang w:eastAsia="zh-CN"/>
              </w:rPr>
              <w:t>No material-related inflamma-tion was found in our study.</w:t>
            </w:r>
          </w:p>
        </w:tc>
      </w:tr>
    </w:tbl>
    <w:p w14:paraId="49001855">
      <w:pPr>
        <w:autoSpaceDE w:val="0"/>
        <w:autoSpaceDN w:val="0"/>
        <w:adjustRightInd w:val="0"/>
        <w:jc w:val="both"/>
      </w:pPr>
    </w:p>
    <w:p w14:paraId="3D723222">
      <w:pPr>
        <w:autoSpaceDE w:val="0"/>
        <w:autoSpaceDN w:val="0"/>
        <w:adjustRightInd w:val="0"/>
        <w:jc w:val="both"/>
        <w:rPr>
          <w:color w:val="000000"/>
        </w:rPr>
      </w:pPr>
      <w:r>
        <w:rPr>
          <w:color w:val="000000"/>
        </w:rPr>
        <w:t>Franco et al. (2007) conducted a following testing protocol: Cervical fusions with biodegradable Inion plates (16 patients, Group A</w:t>
      </w:r>
      <w:r>
        <w:rPr>
          <w:rFonts w:hint="eastAsia"/>
          <w:color w:val="000000"/>
          <w:lang w:eastAsia="zh-CN"/>
        </w:rPr>
        <w:t>)</w:t>
      </w:r>
      <w:r>
        <w:rPr>
          <w:color w:val="000000"/>
        </w:rPr>
        <w:t xml:space="preserve"> vs. allograft only (13 patients, Group B</w:t>
      </w:r>
      <w:r>
        <w:rPr>
          <w:rFonts w:hint="eastAsia"/>
          <w:color w:val="000000"/>
          <w:lang w:eastAsia="zh-CN"/>
        </w:rPr>
        <w:t>)</w:t>
      </w:r>
      <w:r>
        <w:rPr>
          <w:color w:val="000000"/>
        </w:rPr>
        <w:t xml:space="preserve"> to treat degenerative cervical spondylosis.</w:t>
      </w:r>
      <w:r>
        <w:rPr>
          <w:rFonts w:hint="eastAsia"/>
          <w:color w:val="000000"/>
          <w:lang w:eastAsia="zh-CN"/>
        </w:rPr>
        <w:t xml:space="preserve"> </w:t>
      </w:r>
      <w:r>
        <w:rPr>
          <w:color w:val="000000"/>
          <w:lang w:eastAsia="zh-CN"/>
        </w:rPr>
        <w:t xml:space="preserve">The method and </w:t>
      </w:r>
      <w:r>
        <w:rPr>
          <w:color w:val="000000"/>
        </w:rPr>
        <w:t xml:space="preserve">follow-up are described in 5.1. During the following up time, the postoperative complications including dysphonia, dysphagia, neck and brachial pain and the infection rate was paid particular attention. While for the result, </w:t>
      </w:r>
      <w:r>
        <w:t>no symptoms of local pain and/or swelling were found during the healing.</w:t>
      </w:r>
      <w:r>
        <w:rPr>
          <w:rFonts w:hint="eastAsia"/>
          <w:lang w:eastAsia="zh-CN"/>
        </w:rPr>
        <w:t xml:space="preserve"> </w:t>
      </w:r>
      <w:r>
        <w:rPr>
          <w:lang w:eastAsia="zh-CN"/>
        </w:rPr>
        <w:t>Moreover, d</w:t>
      </w:r>
      <w:r>
        <w:rPr>
          <w:color w:val="000000"/>
        </w:rPr>
        <w:t xml:space="preserve">egradation of the implants was not observed to cause harmful inflammatory response. The reaction of the soft tissues was evaluated by measuring the values of soft tissue space, which were 24.1 mm soon after surgery (range 13-39 mm) and 17.8 mm at the most recent follow-up (range 8-35 mm) in Group A cases, and 22.7 mm (range 13-25 mm) soon after surgery and 17.2 mm (range 7-31 mm) at the last follow-up in Group B cases. These decreased values also confirmed that in the cases analyzed, the resorption of bioresorbable implant was not affected by any adverse reaction. </w:t>
      </w:r>
    </w:p>
    <w:p w14:paraId="217E581B">
      <w:pPr>
        <w:jc w:val="both"/>
        <w:rPr>
          <w:color w:val="000000"/>
        </w:rPr>
      </w:pPr>
    </w:p>
    <w:p w14:paraId="0B1496E9">
      <w:pPr>
        <w:jc w:val="both"/>
      </w:pPr>
      <w:r>
        <w:rPr>
          <w:color w:val="000000"/>
        </w:rPr>
        <w:t>In study by Nabhan et al. (2009) the Inion Spinal Graft Containment System™ (S-1™ System) was successfully used in anterior cervical discectomy and fusion (ACDF). A prospective, randomized, controlled clinical trial was performed with 37 patients in order to compare bioresorbable (n=19) and titanium (n=18) plate fixation in single-level ACDF.</w:t>
      </w:r>
      <w:r>
        <w:t xml:space="preserve"> During the 6 months of following-up, no complications like soft tissue inflammation, swelling and inflammation were observed. </w:t>
      </w:r>
    </w:p>
    <w:p w14:paraId="66079C27">
      <w:pPr>
        <w:jc w:val="both"/>
        <w:rPr>
          <w:lang w:eastAsia="zh-CN"/>
        </w:rPr>
      </w:pPr>
    </w:p>
    <w:p w14:paraId="2F98D6FE">
      <w:pPr>
        <w:jc w:val="both"/>
        <w:rPr>
          <w:color w:val="000000"/>
        </w:rPr>
      </w:pPr>
      <w:r>
        <w:rPr>
          <w:color w:val="000000"/>
        </w:rPr>
        <w:t>In retrospective study by Lebl et al. (2011) the clinical and radiographic outcomes of patients undergoing ACDF with structural allograft for single-level degenerative disorders with Inion S-1 System was compared to patients treated with a conventional metallic plates and titanium mesh cage filled with morzeliced allograft bone. In both groups patients were immobilized postoperatively in a rigid cervical orthosis for 2 weeks. 14 patients underwent ACDF with Inion S-1 and 15 with a metallic plate. The radiographic outcomes at the most recent follow-up demonstrated:</w:t>
      </w:r>
    </w:p>
    <w:p w14:paraId="48B9FE06">
      <w:pPr>
        <w:jc w:val="both"/>
        <w:rPr>
          <w:color w:val="000000"/>
        </w:rPr>
      </w:pPr>
    </w:p>
    <w:p w14:paraId="526A5A60">
      <w:pPr>
        <w:pStyle w:val="60"/>
        <w:numPr>
          <w:ilvl w:val="0"/>
          <w:numId w:val="8"/>
        </w:numPr>
        <w:contextualSpacing/>
        <w:jc w:val="both"/>
      </w:pPr>
      <w:r>
        <w:t>3 with nonunion/extruded graft at 4.5 - 7 months, revision surgery</w:t>
      </w:r>
    </w:p>
    <w:p w14:paraId="2FE76CFD">
      <w:pPr>
        <w:pStyle w:val="60"/>
        <w:numPr>
          <w:ilvl w:val="0"/>
          <w:numId w:val="8"/>
        </w:numPr>
        <w:contextualSpacing/>
        <w:jc w:val="both"/>
      </w:pPr>
      <w:r>
        <w:t>1 dysphagia - return to clinic for sterile fluid collection at 1 month follow up</w:t>
      </w:r>
    </w:p>
    <w:p w14:paraId="0622261C">
      <w:pPr>
        <w:pStyle w:val="60"/>
        <w:numPr>
          <w:ilvl w:val="0"/>
          <w:numId w:val="8"/>
        </w:numPr>
        <w:contextualSpacing/>
        <w:jc w:val="both"/>
      </w:pPr>
      <w:r>
        <w:t>1 intermittent dysphagia</w:t>
      </w:r>
    </w:p>
    <w:p w14:paraId="753EFD91">
      <w:pPr>
        <w:pStyle w:val="60"/>
        <w:numPr>
          <w:ilvl w:val="0"/>
          <w:numId w:val="8"/>
        </w:numPr>
        <w:contextualSpacing/>
        <w:jc w:val="both"/>
      </w:pPr>
      <w:r>
        <w:t>1 delayed union (smoker)</w:t>
      </w:r>
    </w:p>
    <w:p w14:paraId="4D2FA497">
      <w:pPr>
        <w:pStyle w:val="60"/>
        <w:numPr>
          <w:ilvl w:val="0"/>
          <w:numId w:val="8"/>
        </w:numPr>
        <w:contextualSpacing/>
        <w:jc w:val="both"/>
      </w:pPr>
      <w:r>
        <w:t>1 nonunion at 11 months</w:t>
      </w:r>
    </w:p>
    <w:p w14:paraId="75445140">
      <w:pPr>
        <w:pStyle w:val="60"/>
        <w:contextualSpacing/>
        <w:jc w:val="both"/>
      </w:pPr>
    </w:p>
    <w:p w14:paraId="75FEBAEA">
      <w:pPr>
        <w:jc w:val="both"/>
        <w:rPr>
          <w:color w:val="000000"/>
        </w:rPr>
      </w:pPr>
      <w:r>
        <w:rPr>
          <w:color w:val="000000"/>
        </w:rPr>
        <w:t>For the conclusion, authors stated and concluded that continued use of the Inion S-1 System cannot be recommended.</w:t>
      </w:r>
    </w:p>
    <w:p w14:paraId="219FFB04">
      <w:pPr>
        <w:jc w:val="both"/>
        <w:rPr>
          <w:color w:val="000000"/>
        </w:rPr>
      </w:pPr>
    </w:p>
    <w:p w14:paraId="250D80D4">
      <w:pPr>
        <w:jc w:val="both"/>
        <w:rPr>
          <w:color w:val="000000"/>
        </w:rPr>
      </w:pPr>
      <w:r>
        <w:rPr>
          <w:color w:val="000000"/>
        </w:rPr>
        <w:t>Truumees (2011) published his commentary article considering usage of resorbable cervical plates in spine surgery. In this review-type article no new data considering the Inion S-1 system was presented but study by Lebl et al. (2011) mentioned above was referenced. The Trumees and Lebl studies are discussed in more detail above in chapter 5.1. Performance. Concerning safety events in Lebl, there was one case of dysphagia where patient returned to clinic for sterile fluid collection one month postoperatively. It is estimated that this short term tissue reaction is not related to implant degradation, and also other materials which were implanted during this operation may have caused or contributed to the sterile fluid accumulation.</w:t>
      </w:r>
    </w:p>
    <w:p w14:paraId="55D9E8AD">
      <w:pPr>
        <w:jc w:val="both"/>
        <w:rPr>
          <w:lang w:eastAsia="zh-CN"/>
        </w:rPr>
      </w:pPr>
    </w:p>
    <w:p w14:paraId="42734ACD">
      <w:pPr>
        <w:jc w:val="both"/>
      </w:pPr>
      <w:r>
        <w:t>Goal of study by Rodrigo et al. (2015) was to investigate long term effectiveness of Inion S-1™ System for the anterior cervical discectomy and fusion (ACDF) in treatment of cervical spinal degenerative disease. Total of 17 patients (ten women and seven men, age range 30-58 years with mean of 45 years) underwent ACDF using Inion S-1™ resorbable plates and screws. Total of 13 one level and four dual level ACDF were performed. Follow-up up was conducted up to 5-7 years (2006-2013).</w:t>
      </w:r>
      <w:r>
        <w:rPr>
          <w:color w:val="FF0000"/>
        </w:rPr>
        <w:t xml:space="preserve"> </w:t>
      </w:r>
      <w:r>
        <w:t>As results, none of the patients had associated complications such as edema in adjacent tissues or long-term infections. All segments have documented fusion. No patient had to be reoperated due to</w:t>
      </w:r>
      <w:r>
        <w:rPr>
          <w:rFonts w:hint="eastAsia"/>
          <w:lang w:eastAsia="zh-CN"/>
        </w:rPr>
        <w:t xml:space="preserve"> </w:t>
      </w:r>
      <w:r>
        <w:t xml:space="preserve">failure or migration of the implants used in surgery. </w:t>
      </w:r>
    </w:p>
    <w:p w14:paraId="7324B157">
      <w:pPr>
        <w:jc w:val="both"/>
        <w:rPr>
          <w:rFonts w:eastAsia="微软雅黑" w:cs="微软雅黑"/>
          <w:lang w:val="fi-FI" w:eastAsia="zh-CN"/>
        </w:rPr>
      </w:pPr>
    </w:p>
    <w:p w14:paraId="396064AB">
      <w:pPr>
        <w:jc w:val="both"/>
        <w:rPr>
          <w:rFonts w:eastAsia="微软雅黑" w:cs="微软雅黑"/>
          <w:lang w:eastAsia="zh-CN"/>
        </w:rPr>
      </w:pPr>
      <w:r>
        <w:rPr>
          <w:rFonts w:eastAsia="微软雅黑" w:cs="微软雅黑"/>
          <w:lang w:eastAsia="zh-CN"/>
        </w:rPr>
        <w:t>It is noted that although there are no published studies identified with Inion S-2 products (graft containment plates and screws for anterior thoraco-lumbar fusion), they are equivalent products with Inion S-1 products (graft containment plates and screws for anterior cervical fusion) and thereby their safety and performance is evidenced by the safety and performance of the Inion S-1 products. Both subgroups are intended to be used in conjunction with posterior rigid fixation. This similarity of the subsystems is further evidenced by the similar or lower occurrence rate of adverse events and complaints, i.e. there are no cases of post-operative problems with Inion S-2, and all events are related to problems during insertion (please see section 5.3 below).</w:t>
      </w:r>
    </w:p>
    <w:p w14:paraId="1480ECDE">
      <w:pPr>
        <w:jc w:val="both"/>
        <w:rPr>
          <w:rFonts w:eastAsia="微软雅黑" w:cs="微软雅黑"/>
          <w:highlight w:val="yellow"/>
          <w:lang w:eastAsia="zh-CN"/>
        </w:rPr>
      </w:pPr>
    </w:p>
    <w:p w14:paraId="05A96B38">
      <w:pPr>
        <w:jc w:val="both"/>
        <w:rPr>
          <w:rFonts w:eastAsia="微软雅黑" w:cs="微软雅黑"/>
          <w:lang w:eastAsia="zh-CN"/>
        </w:rPr>
      </w:pPr>
      <w:r>
        <w:rPr>
          <w:rFonts w:eastAsia="微软雅黑" w:cs="微软雅黑"/>
          <w:lang w:eastAsia="zh-CN"/>
        </w:rPr>
        <w:t>The equivalency of Inion S-1 and Inion S-2 products is listed herewith:</w:t>
      </w:r>
    </w:p>
    <w:p w14:paraId="4D4FC737">
      <w:pPr>
        <w:jc w:val="both"/>
        <w:rPr>
          <w:rFonts w:eastAsia="微软雅黑" w:cs="微软雅黑"/>
          <w:lang w:eastAsia="zh-CN"/>
        </w:rPr>
      </w:pPr>
    </w:p>
    <w:p w14:paraId="03476DE2">
      <w:pPr>
        <w:numPr>
          <w:ilvl w:val="0"/>
          <w:numId w:val="8"/>
        </w:numPr>
        <w:jc w:val="both"/>
        <w:rPr>
          <w:rFonts w:eastAsia="微软雅黑" w:cs="微软雅黑"/>
          <w:lang w:eastAsia="zh-CN"/>
        </w:rPr>
      </w:pPr>
      <w:r>
        <w:rPr>
          <w:rFonts w:eastAsia="微软雅黑" w:cs="微软雅黑"/>
          <w:lang w:eastAsia="zh-CN"/>
        </w:rPr>
        <w:t>same indications for use, only for different level of application in the spine</w:t>
      </w:r>
    </w:p>
    <w:p w14:paraId="2D07E984">
      <w:pPr>
        <w:numPr>
          <w:ilvl w:val="0"/>
          <w:numId w:val="8"/>
        </w:numPr>
        <w:jc w:val="both"/>
        <w:rPr>
          <w:rFonts w:eastAsia="微软雅黑" w:cs="微软雅黑"/>
          <w:lang w:eastAsia="zh-CN"/>
        </w:rPr>
      </w:pPr>
      <w:r>
        <w:rPr>
          <w:rFonts w:eastAsia="微软雅黑" w:cs="微软雅黑"/>
          <w:lang w:eastAsia="zh-CN"/>
        </w:rPr>
        <w:t>same material</w:t>
      </w:r>
    </w:p>
    <w:p w14:paraId="0D03635C">
      <w:pPr>
        <w:numPr>
          <w:ilvl w:val="0"/>
          <w:numId w:val="8"/>
        </w:numPr>
        <w:rPr>
          <w:rFonts w:eastAsia="微软雅黑" w:cs="微软雅黑"/>
          <w:lang w:eastAsia="zh-CN"/>
        </w:rPr>
      </w:pPr>
      <w:r>
        <w:rPr>
          <w:rFonts w:eastAsia="微软雅黑" w:cs="微软雅黑"/>
          <w:lang w:eastAsia="zh-CN"/>
        </w:rPr>
        <w:t>same manufacturing method, equipment and facility</w:t>
      </w:r>
    </w:p>
    <w:p w14:paraId="79F3505A">
      <w:pPr>
        <w:numPr>
          <w:ilvl w:val="0"/>
          <w:numId w:val="8"/>
        </w:numPr>
        <w:rPr>
          <w:rFonts w:eastAsia="微软雅黑" w:cs="微软雅黑"/>
          <w:lang w:eastAsia="zh-CN"/>
        </w:rPr>
      </w:pPr>
      <w:r>
        <w:rPr>
          <w:rFonts w:eastAsia="微软雅黑" w:cs="微软雅黑"/>
          <w:lang w:eastAsia="zh-CN"/>
        </w:rPr>
        <w:t>same principle of operation</w:t>
      </w:r>
    </w:p>
    <w:p w14:paraId="1E99C901">
      <w:pPr>
        <w:numPr>
          <w:ilvl w:val="0"/>
          <w:numId w:val="8"/>
        </w:numPr>
        <w:rPr>
          <w:rFonts w:eastAsia="微软雅黑" w:cs="微软雅黑"/>
          <w:lang w:eastAsia="zh-CN"/>
        </w:rPr>
      </w:pPr>
      <w:r>
        <w:rPr>
          <w:rFonts w:eastAsia="微软雅黑" w:cs="微软雅黑"/>
          <w:lang w:eastAsia="zh-CN"/>
        </w:rPr>
        <w:t>similar geometry/design</w:t>
      </w:r>
    </w:p>
    <w:p w14:paraId="1470A5CE">
      <w:pPr>
        <w:numPr>
          <w:ilvl w:val="0"/>
          <w:numId w:val="8"/>
        </w:numPr>
        <w:rPr>
          <w:rFonts w:eastAsia="微软雅黑" w:cs="微软雅黑"/>
          <w:lang w:eastAsia="zh-CN"/>
        </w:rPr>
      </w:pPr>
      <w:r>
        <w:rPr>
          <w:rFonts w:eastAsia="微软雅黑" w:cs="微软雅黑"/>
          <w:lang w:eastAsia="zh-CN"/>
        </w:rPr>
        <w:t>similar instrumentation.</w:t>
      </w:r>
    </w:p>
    <w:p w14:paraId="5D5DC529">
      <w:pPr>
        <w:jc w:val="both"/>
        <w:rPr>
          <w:rFonts w:eastAsia="微软雅黑" w:cs="微软雅黑"/>
          <w:lang w:eastAsia="zh-CN"/>
        </w:rPr>
      </w:pPr>
    </w:p>
    <w:p w14:paraId="691F27C3">
      <w:pPr>
        <w:jc w:val="both"/>
        <w:rPr>
          <w:lang w:eastAsia="fi-FI"/>
        </w:rPr>
      </w:pPr>
      <w:r>
        <w:rPr>
          <w:lang w:eastAsia="fi-FI"/>
        </w:rPr>
        <w:t xml:space="preserve">No new safety risks have been discovered during this evaluation. In addition, the risk analysis, verification and validation processes ensure that </w:t>
      </w:r>
      <w:r>
        <w:t>Inion Spinal Graft Containment System™</w:t>
      </w:r>
      <w:r>
        <w:rPr>
          <w:lang w:eastAsia="fi-FI"/>
        </w:rPr>
        <w:t xml:space="preserve"> complies with the safety requirements.</w:t>
      </w:r>
    </w:p>
    <w:p w14:paraId="072DC786">
      <w:pPr>
        <w:jc w:val="both"/>
        <w:rPr>
          <w:lang w:eastAsia="fi-FI"/>
        </w:rPr>
      </w:pPr>
      <w:r>
        <w:rPr>
          <w:lang w:eastAsia="fi-FI"/>
        </w:rPr>
        <w:br w:type="page"/>
      </w:r>
    </w:p>
    <w:p w14:paraId="15AE88C2">
      <w:pPr>
        <w:pStyle w:val="3"/>
        <w:rPr>
          <w:lang w:eastAsia="fi-FI"/>
        </w:rPr>
      </w:pPr>
      <w:bookmarkStart w:id="62" w:name="_Toc463004123"/>
      <w:bookmarkStart w:id="63" w:name="_Toc480979569"/>
      <w:r>
        <w:rPr>
          <w:lang w:eastAsia="fi-FI"/>
        </w:rPr>
        <w:t>PMS data</w:t>
      </w:r>
      <w:bookmarkEnd w:id="62"/>
      <w:bookmarkEnd w:id="63"/>
    </w:p>
    <w:p w14:paraId="7829E324">
      <w:pPr>
        <w:jc w:val="both"/>
      </w:pPr>
      <w:r>
        <w:t>Inion S-1</w:t>
      </w:r>
      <w:r>
        <w:rPr>
          <w:vertAlign w:val="superscript"/>
        </w:rPr>
        <w:t>TM</w:t>
      </w:r>
      <w:r>
        <w:rPr>
          <w:rFonts w:cs="Calibri"/>
        </w:rPr>
        <w:t xml:space="preserve"> has been in clinical use for 12 years</w:t>
      </w:r>
      <w:r>
        <w:rPr>
          <w:rFonts w:hint="eastAsia" w:cs="Calibri"/>
          <w:lang w:eastAsia="zh-CN"/>
        </w:rPr>
        <w:t>, and more than</w:t>
      </w:r>
      <w:r>
        <w:rPr>
          <w:rFonts w:cs="Calibri"/>
        </w:rPr>
        <w:t xml:space="preserve"> </w:t>
      </w:r>
      <w:r>
        <w:rPr>
          <w:rFonts w:eastAsia="Times New Roman" w:cs="Calibri"/>
          <w:lang w:eastAsia="zh-TW"/>
        </w:rPr>
        <w:t>1500</w:t>
      </w:r>
      <w:r>
        <w:rPr>
          <w:rFonts w:cs="Calibri"/>
        </w:rPr>
        <w:t xml:space="preserve"> operations</w:t>
      </w:r>
      <w:r>
        <w:rPr>
          <w:rFonts w:hint="eastAsia" w:cs="Calibri"/>
          <w:lang w:eastAsia="zh-CN"/>
        </w:rPr>
        <w:t xml:space="preserve"> have been conducted with these products. </w:t>
      </w:r>
      <w:r>
        <w:t>Inion S-2</w:t>
      </w:r>
      <w:r>
        <w:rPr>
          <w:vertAlign w:val="superscript"/>
        </w:rPr>
        <w:t>TM</w:t>
      </w:r>
      <w:r>
        <w:rPr>
          <w:rFonts w:cs="Calibri"/>
        </w:rPr>
        <w:t xml:space="preserve"> was introduced in 2007, and the use of these implants has started to increase only recently, during 2015-2016. Approximately 200 operations</w:t>
      </w:r>
      <w:r>
        <w:rPr>
          <w:rFonts w:hint="eastAsia" w:cs="Calibri"/>
          <w:lang w:eastAsia="zh-CN"/>
        </w:rPr>
        <w:t xml:space="preserve"> have been conducted with </w:t>
      </w:r>
      <w:r>
        <w:rPr>
          <w:rFonts w:cs="Calibri"/>
          <w:lang w:eastAsia="zh-CN"/>
        </w:rPr>
        <w:t>the 2-hole plates which were introduced as a line extension</w:t>
      </w:r>
      <w:r>
        <w:rPr>
          <w:rFonts w:hint="eastAsia" w:cs="Calibri"/>
          <w:lang w:eastAsia="zh-CN"/>
        </w:rPr>
        <w:t>.</w:t>
      </w:r>
      <w:r>
        <w:rPr>
          <w:rFonts w:cs="Calibri"/>
          <w:lang w:eastAsia="zh-CN"/>
        </w:rPr>
        <w:t xml:space="preserve"> </w:t>
      </w:r>
      <w:r>
        <w:rPr>
          <w:rFonts w:hint="eastAsia" w:cs="Calibri"/>
          <w:lang w:eastAsia="zh-CN"/>
        </w:rPr>
        <w:t>T</w:t>
      </w:r>
      <w:r>
        <w:rPr>
          <w:rFonts w:hint="eastAsia"/>
        </w:rPr>
        <w:t>he</w:t>
      </w:r>
      <w:r>
        <w:t xml:space="preserve"> post-market clinical follow-up data</w:t>
      </w:r>
      <w:r>
        <w:rPr>
          <w:rFonts w:hint="eastAsia"/>
        </w:rPr>
        <w:t xml:space="preserve"> </w:t>
      </w:r>
      <w:r>
        <w:t>is analyzed through sales vs. complaints data, customer feedback investigations, adverse event reports and clinical literature evaluation.</w:t>
      </w:r>
    </w:p>
    <w:p w14:paraId="6B9B887E">
      <w:pPr>
        <w:jc w:val="both"/>
        <w:rPr>
          <w:rFonts w:cs="Calibri"/>
          <w:lang w:eastAsia="fi-FI"/>
        </w:rPr>
      </w:pPr>
    </w:p>
    <w:p w14:paraId="0AAB63E8">
      <w:pPr>
        <w:jc w:val="both"/>
        <w:rPr>
          <w:rFonts w:cs="Calibri"/>
          <w:b/>
          <w:lang w:eastAsia="fi-FI"/>
        </w:rPr>
      </w:pPr>
      <w:r>
        <w:rPr>
          <w:rFonts w:hint="eastAsia" w:cs="Calibri"/>
          <w:b/>
          <w:lang w:eastAsia="zh-CN"/>
        </w:rPr>
        <w:t>5.3</w:t>
      </w:r>
      <w:r>
        <w:rPr>
          <w:rFonts w:eastAsia="PMingLiU" w:cs="Calibri"/>
          <w:b/>
          <w:lang w:eastAsia="zh-TW"/>
        </w:rPr>
        <w:t>.1 Sales Information</w:t>
      </w:r>
    </w:p>
    <w:p w14:paraId="3ECA3BF6">
      <w:pPr>
        <w:jc w:val="both"/>
        <w:rPr>
          <w:rFonts w:cs="Calibri"/>
          <w:lang w:eastAsia="zh-CN"/>
        </w:rPr>
      </w:pPr>
    </w:p>
    <w:p w14:paraId="71B605A9">
      <w:pPr>
        <w:jc w:val="both"/>
        <w:rPr>
          <w:rFonts w:cs="Calibri"/>
          <w:lang w:eastAsia="zh-CN"/>
        </w:rPr>
      </w:pPr>
      <w:r>
        <w:rPr>
          <w:rFonts w:cs="Calibri"/>
          <w:lang w:eastAsia="zh-CN"/>
        </w:rPr>
        <w:t>The sales numbers, reported incidents, and occurrence rates of (any type of) patient harm are presented in Tables 17 and 18 below.</w:t>
      </w:r>
    </w:p>
    <w:p w14:paraId="648687AD">
      <w:pPr>
        <w:jc w:val="both"/>
        <w:rPr>
          <w:rFonts w:cs="Calibri"/>
          <w:lang w:eastAsia="zh-CN"/>
        </w:rPr>
      </w:pPr>
    </w:p>
    <w:p w14:paraId="4F2B316D">
      <w:pPr>
        <w:pStyle w:val="14"/>
        <w:rPr>
          <w:rFonts w:ascii="Calibri" w:hAnsi="Calibri"/>
        </w:rPr>
      </w:pPr>
      <w:bookmarkStart w:id="64" w:name="_Toc480979596"/>
      <w:r>
        <w:rPr>
          <w:rFonts w:ascii="Calibri" w:hAnsi="Calibri"/>
        </w:rPr>
        <w:t>Table 17. Inion S-1: Sales and risk occurrence rate, long term</w:t>
      </w:r>
      <w:bookmarkEnd w:id="64"/>
    </w:p>
    <w:p w14:paraId="38C97D9C">
      <w:pPr>
        <w:pStyle w:val="14"/>
        <w:rPr>
          <w:rFonts w:cs="Calibri"/>
          <w:lang w:eastAsia="zh-CN"/>
        </w:rPr>
      </w:pPr>
    </w:p>
    <w:tbl>
      <w:tblPr>
        <w:tblStyle w:val="26"/>
        <w:tblW w:w="5000" w:type="pct"/>
        <w:tblInd w:w="0" w:type="dxa"/>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autofit"/>
        <w:tblCellMar>
          <w:top w:w="0" w:type="dxa"/>
          <w:left w:w="108" w:type="dxa"/>
          <w:bottom w:w="0" w:type="dxa"/>
          <w:right w:w="108" w:type="dxa"/>
        </w:tblCellMar>
      </w:tblPr>
      <w:tblGrid>
        <w:gridCol w:w="5071"/>
        <w:gridCol w:w="3791"/>
      </w:tblGrid>
      <w:tr w14:paraId="668CAA8C">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20" w:hRule="atLeast"/>
        </w:trPr>
        <w:tc>
          <w:tcPr>
            <w:tcW w:w="2861" w:type="pct"/>
            <w:tcBorders>
              <w:top w:val="single" w:color="A5A5A5" w:sz="4" w:space="0"/>
              <w:left w:val="single" w:color="A5A5A5" w:sz="4" w:space="0"/>
              <w:bottom w:val="single" w:color="A5A5A5" w:sz="4" w:space="0"/>
              <w:right w:val="nil"/>
            </w:tcBorders>
            <w:shd w:val="clear" w:color="auto" w:fill="DDD9C3"/>
            <w:noWrap/>
          </w:tcPr>
          <w:p w14:paraId="72FC0C8B">
            <w:pPr>
              <w:rPr>
                <w:rFonts w:eastAsia="PMingLiU" w:cs="Calibri"/>
                <w:b/>
                <w:bCs/>
                <w:color w:val="000000"/>
                <w:kern w:val="2"/>
                <w:lang w:eastAsia="zh-TW"/>
              </w:rPr>
            </w:pPr>
            <w:r>
              <w:rPr>
                <w:rFonts w:eastAsia="PMingLiU" w:cs="Calibri"/>
                <w:b/>
                <w:bCs/>
                <w:color w:val="000000"/>
                <w:kern w:val="2"/>
                <w:lang w:eastAsia="zh-TW"/>
              </w:rPr>
              <w:t xml:space="preserve">Inion S-1 </w:t>
            </w:r>
          </w:p>
        </w:tc>
        <w:tc>
          <w:tcPr>
            <w:tcW w:w="2139" w:type="pct"/>
            <w:tcBorders>
              <w:top w:val="single" w:color="A5A5A5" w:sz="4" w:space="0"/>
              <w:left w:val="nil"/>
              <w:bottom w:val="single" w:color="A5A5A5" w:sz="4" w:space="0"/>
              <w:right w:val="single" w:color="A5A5A5" w:sz="4" w:space="0"/>
            </w:tcBorders>
            <w:shd w:val="clear" w:color="auto" w:fill="DDD9C3"/>
            <w:noWrap/>
          </w:tcPr>
          <w:p w14:paraId="3A3E13F1">
            <w:pPr>
              <w:jc w:val="center"/>
              <w:rPr>
                <w:rFonts w:eastAsia="PMingLiU" w:cs="Calibri"/>
                <w:b/>
                <w:bCs/>
                <w:color w:val="000000"/>
                <w:kern w:val="2"/>
                <w:lang w:eastAsia="zh-TW"/>
              </w:rPr>
            </w:pPr>
            <w:r>
              <w:rPr>
                <w:rFonts w:eastAsia="PMingLiU" w:cs="Calibri"/>
                <w:b/>
                <w:bCs/>
                <w:color w:val="000000"/>
                <w:kern w:val="2"/>
                <w:lang w:eastAsia="zh-TW"/>
              </w:rPr>
              <w:t>2005-2016</w:t>
            </w:r>
          </w:p>
        </w:tc>
      </w:tr>
      <w:tr w14:paraId="453BAF3E">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340" w:hRule="atLeast"/>
        </w:trPr>
        <w:tc>
          <w:tcPr>
            <w:tcW w:w="2861" w:type="pct"/>
            <w:shd w:val="clear" w:color="auto" w:fill="FFFFFF"/>
            <w:noWrap/>
            <w:vAlign w:val="center"/>
          </w:tcPr>
          <w:p w14:paraId="685313DB">
            <w:pPr>
              <w:jc w:val="both"/>
              <w:rPr>
                <w:rFonts w:eastAsia="PMingLiU" w:cs="Calibri"/>
                <w:b/>
                <w:bCs/>
                <w:color w:val="000000"/>
                <w:kern w:val="2"/>
                <w:lang w:eastAsia="zh-TW"/>
              </w:rPr>
            </w:pPr>
            <w:r>
              <w:rPr>
                <w:rFonts w:eastAsia="PMingLiU" w:cs="Calibri"/>
                <w:b/>
                <w:bCs/>
                <w:color w:val="000000"/>
                <w:kern w:val="2"/>
                <w:lang w:eastAsia="zh-TW"/>
              </w:rPr>
              <w:t>Total units sold (screws and plates)</w:t>
            </w:r>
          </w:p>
        </w:tc>
        <w:tc>
          <w:tcPr>
            <w:tcW w:w="2139" w:type="pct"/>
            <w:shd w:val="clear" w:color="auto" w:fill="FFFFFF"/>
            <w:noWrap/>
            <w:vAlign w:val="center"/>
          </w:tcPr>
          <w:p w14:paraId="187B285C">
            <w:pPr>
              <w:jc w:val="center"/>
              <w:rPr>
                <w:rFonts w:eastAsia="PMingLiU" w:cs="Calibri"/>
                <w:color w:val="000000"/>
                <w:kern w:val="2"/>
                <w:lang w:eastAsia="zh-TW"/>
              </w:rPr>
            </w:pPr>
            <w:r>
              <w:rPr>
                <w:rFonts w:eastAsia="PMingLiU" w:cs="Calibri"/>
                <w:color w:val="000000"/>
                <w:kern w:val="2"/>
                <w:lang w:eastAsia="zh-TW"/>
              </w:rPr>
              <w:t>6727</w:t>
            </w:r>
          </w:p>
        </w:tc>
      </w:tr>
      <w:tr w14:paraId="548073DB">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20" w:hRule="atLeast"/>
        </w:trPr>
        <w:tc>
          <w:tcPr>
            <w:tcW w:w="2861" w:type="pct"/>
            <w:shd w:val="clear" w:color="auto" w:fill="auto"/>
            <w:noWrap/>
            <w:vAlign w:val="center"/>
          </w:tcPr>
          <w:p w14:paraId="74DAE253">
            <w:pPr>
              <w:rPr>
                <w:rFonts w:eastAsia="PMingLiU" w:cs="Calibri"/>
                <w:b/>
                <w:bCs/>
                <w:color w:val="000000"/>
                <w:kern w:val="2"/>
                <w:lang w:eastAsia="zh-TW"/>
              </w:rPr>
            </w:pPr>
            <w:r>
              <w:rPr>
                <w:rFonts w:eastAsia="PMingLiU" w:cs="Calibri"/>
                <w:b/>
                <w:bCs/>
                <w:color w:val="000000"/>
                <w:kern w:val="2"/>
                <w:lang w:eastAsia="zh-TW"/>
              </w:rPr>
              <w:t>Estimated No. of operations</w:t>
            </w:r>
          </w:p>
        </w:tc>
        <w:tc>
          <w:tcPr>
            <w:tcW w:w="2139" w:type="pct"/>
            <w:shd w:val="clear" w:color="auto" w:fill="auto"/>
            <w:noWrap/>
            <w:vAlign w:val="center"/>
          </w:tcPr>
          <w:p w14:paraId="4023B753">
            <w:pPr>
              <w:jc w:val="center"/>
              <w:rPr>
                <w:rFonts w:eastAsia="PMingLiU" w:cs="Calibri"/>
                <w:color w:val="000000"/>
                <w:kern w:val="2"/>
                <w:lang w:eastAsia="zh-TW"/>
              </w:rPr>
            </w:pPr>
            <w:r>
              <w:rPr>
                <w:rFonts w:eastAsia="PMingLiU" w:cs="Calibri"/>
                <w:color w:val="000000"/>
                <w:kern w:val="2"/>
                <w:lang w:eastAsia="zh-TW"/>
              </w:rPr>
              <w:t>1543</w:t>
            </w:r>
          </w:p>
        </w:tc>
      </w:tr>
      <w:tr w14:paraId="48920207">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20" w:hRule="atLeast"/>
        </w:trPr>
        <w:tc>
          <w:tcPr>
            <w:tcW w:w="2861" w:type="pct"/>
            <w:shd w:val="clear" w:color="auto" w:fill="auto"/>
            <w:noWrap/>
            <w:vAlign w:val="center"/>
          </w:tcPr>
          <w:p w14:paraId="7A40C4B7">
            <w:pPr>
              <w:rPr>
                <w:rFonts w:eastAsia="PMingLiU" w:cs="Calibri"/>
                <w:b/>
                <w:bCs/>
                <w:color w:val="000000"/>
                <w:kern w:val="2"/>
                <w:lang w:eastAsia="zh-TW"/>
              </w:rPr>
            </w:pPr>
            <w:r>
              <w:rPr>
                <w:rFonts w:eastAsia="PMingLiU" w:cs="Calibri"/>
                <w:b/>
                <w:bCs/>
                <w:color w:val="000000"/>
                <w:kern w:val="2"/>
                <w:lang w:eastAsia="zh-TW"/>
              </w:rPr>
              <w:t>Occurrence of any patient harm</w:t>
            </w:r>
          </w:p>
        </w:tc>
        <w:tc>
          <w:tcPr>
            <w:tcW w:w="2139" w:type="pct"/>
            <w:shd w:val="clear" w:color="auto" w:fill="auto"/>
            <w:noWrap/>
            <w:vAlign w:val="center"/>
          </w:tcPr>
          <w:p w14:paraId="5FC630AE">
            <w:pPr>
              <w:jc w:val="center"/>
              <w:rPr>
                <w:rFonts w:eastAsia="PMingLiU" w:cs="Calibri"/>
                <w:color w:val="000000"/>
                <w:kern w:val="2"/>
                <w:lang w:eastAsia="zh-TW"/>
              </w:rPr>
            </w:pPr>
            <w:r>
              <w:rPr>
                <w:rFonts w:eastAsia="PMingLiU" w:cs="Calibri"/>
                <w:color w:val="000000"/>
                <w:kern w:val="2"/>
                <w:lang w:eastAsia="zh-TW"/>
              </w:rPr>
              <w:t>24</w:t>
            </w:r>
          </w:p>
        </w:tc>
      </w:tr>
      <w:tr w14:paraId="7A904583">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20" w:hRule="atLeast"/>
        </w:trPr>
        <w:tc>
          <w:tcPr>
            <w:tcW w:w="2861" w:type="pct"/>
            <w:shd w:val="clear" w:color="auto" w:fill="auto"/>
            <w:noWrap/>
            <w:vAlign w:val="center"/>
          </w:tcPr>
          <w:p w14:paraId="6F90DC52">
            <w:pPr>
              <w:jc w:val="both"/>
              <w:rPr>
                <w:rFonts w:eastAsia="PMingLiU" w:cs="Calibri"/>
                <w:b/>
                <w:bCs/>
                <w:color w:val="000000"/>
                <w:kern w:val="2"/>
                <w:lang w:eastAsia="zh-TW"/>
              </w:rPr>
            </w:pPr>
            <w:r>
              <w:rPr>
                <w:rFonts w:eastAsia="PMingLiU" w:cs="Calibri"/>
                <w:b/>
                <w:bCs/>
                <w:color w:val="000000"/>
                <w:kern w:val="2"/>
                <w:lang w:eastAsia="zh-TW"/>
              </w:rPr>
              <w:t xml:space="preserve">Reported incidents </w:t>
            </w:r>
          </w:p>
        </w:tc>
        <w:tc>
          <w:tcPr>
            <w:tcW w:w="2139" w:type="pct"/>
            <w:shd w:val="clear" w:color="auto" w:fill="auto"/>
            <w:noWrap/>
            <w:vAlign w:val="center"/>
          </w:tcPr>
          <w:p w14:paraId="6B21325B">
            <w:pPr>
              <w:jc w:val="center"/>
              <w:rPr>
                <w:rFonts w:eastAsia="PMingLiU" w:cs="Calibri"/>
                <w:color w:val="000000"/>
                <w:kern w:val="2"/>
                <w:lang w:eastAsia="zh-TW"/>
              </w:rPr>
            </w:pPr>
            <w:r>
              <w:rPr>
                <w:rFonts w:eastAsia="PMingLiU" w:cs="Calibri"/>
                <w:color w:val="000000"/>
                <w:kern w:val="2"/>
                <w:lang w:eastAsia="zh-TW"/>
              </w:rPr>
              <w:t>4</w:t>
            </w:r>
          </w:p>
        </w:tc>
      </w:tr>
      <w:tr w14:paraId="1CBCC239">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20" w:hRule="atLeast"/>
        </w:trPr>
        <w:tc>
          <w:tcPr>
            <w:tcW w:w="2861" w:type="pct"/>
            <w:shd w:val="clear" w:color="auto" w:fill="EDEDED"/>
            <w:noWrap/>
          </w:tcPr>
          <w:p w14:paraId="7D073321">
            <w:pPr>
              <w:rPr>
                <w:rFonts w:eastAsia="PMingLiU" w:cs="Calibri"/>
                <w:b/>
                <w:bCs/>
                <w:color w:val="000000"/>
                <w:kern w:val="2"/>
                <w:lang w:eastAsia="zh-TW"/>
              </w:rPr>
            </w:pPr>
            <w:r>
              <w:rPr>
                <w:rFonts w:eastAsia="PMingLiU" w:cs="Calibri"/>
                <w:b/>
                <w:bCs/>
                <w:color w:val="000000"/>
                <w:kern w:val="2"/>
                <w:lang w:eastAsia="zh-TW"/>
              </w:rPr>
              <w:t xml:space="preserve">Occurrence rate: </w:t>
            </w:r>
          </w:p>
        </w:tc>
        <w:tc>
          <w:tcPr>
            <w:tcW w:w="2139" w:type="pct"/>
            <w:shd w:val="clear" w:color="auto" w:fill="EDEDED"/>
            <w:noWrap/>
            <w:vAlign w:val="center"/>
          </w:tcPr>
          <w:p w14:paraId="23CAE098">
            <w:pPr>
              <w:jc w:val="center"/>
              <w:rPr>
                <w:rFonts w:eastAsia="PMingLiU" w:cs="Calibri"/>
                <w:color w:val="000000"/>
                <w:kern w:val="2"/>
                <w:lang w:eastAsia="zh-TW"/>
              </w:rPr>
            </w:pPr>
            <w:r>
              <w:rPr>
                <w:rFonts w:eastAsia="PMingLiU" w:cs="Calibri"/>
                <w:color w:val="000000"/>
                <w:kern w:val="2"/>
                <w:lang w:eastAsia="zh-TW"/>
              </w:rPr>
              <w:t>1.6%</w:t>
            </w:r>
          </w:p>
        </w:tc>
      </w:tr>
    </w:tbl>
    <w:p w14:paraId="045E3D4D">
      <w:pPr>
        <w:pStyle w:val="14"/>
        <w:rPr>
          <w:rFonts w:ascii="Calibri" w:hAnsi="Calibri"/>
        </w:rPr>
      </w:pPr>
      <w:r>
        <w:rPr>
          <w:rFonts w:cs="Calibri"/>
          <w:strike/>
          <w:szCs w:val="20"/>
          <w:lang w:eastAsia="zh-TW"/>
        </w:rPr>
        <w:br w:type="page"/>
      </w:r>
      <w:bookmarkStart w:id="65" w:name="_Toc480979597"/>
      <w:r>
        <w:rPr>
          <w:rFonts w:ascii="Calibri" w:hAnsi="Calibri"/>
        </w:rPr>
        <w:t>Table 18. Inion S-2: Sales and risk occurrence rate, long term</w:t>
      </w:r>
      <w:bookmarkEnd w:id="65"/>
    </w:p>
    <w:p w14:paraId="22F73E62">
      <w:pPr>
        <w:pStyle w:val="14"/>
        <w:rPr>
          <w:rFonts w:ascii="Calibri" w:hAnsi="Calibri"/>
        </w:rPr>
      </w:pPr>
    </w:p>
    <w:tbl>
      <w:tblPr>
        <w:tblStyle w:val="26"/>
        <w:tblpPr w:leftFromText="180" w:rightFromText="180" w:vertAnchor="text" w:horzAnchor="margin" w:tblpXSpec="center" w:tblpY="163"/>
        <w:tblW w:w="0" w:type="auto"/>
        <w:tblInd w:w="0" w:type="dxa"/>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Layout w:type="fixed"/>
        <w:tblCellMar>
          <w:top w:w="0" w:type="dxa"/>
          <w:left w:w="108" w:type="dxa"/>
          <w:bottom w:w="0" w:type="dxa"/>
          <w:right w:w="108" w:type="dxa"/>
        </w:tblCellMar>
      </w:tblPr>
      <w:tblGrid>
        <w:gridCol w:w="5353"/>
        <w:gridCol w:w="3509"/>
      </w:tblGrid>
      <w:tr w14:paraId="7E52002B">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330" w:hRule="atLeast"/>
        </w:trPr>
        <w:tc>
          <w:tcPr>
            <w:tcW w:w="5353" w:type="dxa"/>
            <w:tcBorders>
              <w:top w:val="single" w:color="A5A5A5" w:sz="4" w:space="0"/>
              <w:left w:val="single" w:color="A5A5A5" w:sz="4" w:space="0"/>
              <w:bottom w:val="single" w:color="A5A5A5" w:sz="4" w:space="0"/>
              <w:right w:val="nil"/>
            </w:tcBorders>
            <w:shd w:val="clear" w:color="auto" w:fill="DDD9C3"/>
            <w:noWrap/>
          </w:tcPr>
          <w:p w14:paraId="2AF1E312">
            <w:pPr>
              <w:rPr>
                <w:rFonts w:eastAsia="PMingLiU" w:cs="Calibri"/>
                <w:b/>
                <w:bCs/>
                <w:color w:val="000000"/>
                <w:kern w:val="2"/>
                <w:lang w:eastAsia="zh-TW"/>
              </w:rPr>
            </w:pPr>
            <w:r>
              <w:rPr>
                <w:rFonts w:eastAsia="PMingLiU" w:cs="Calibri"/>
                <w:b/>
                <w:bCs/>
                <w:color w:val="000000"/>
                <w:kern w:val="2"/>
                <w:lang w:eastAsia="zh-TW"/>
              </w:rPr>
              <w:t xml:space="preserve"> Inion S-2</w:t>
            </w:r>
          </w:p>
        </w:tc>
        <w:tc>
          <w:tcPr>
            <w:tcW w:w="3509" w:type="dxa"/>
            <w:tcBorders>
              <w:top w:val="single" w:color="A5A5A5" w:sz="4" w:space="0"/>
              <w:left w:val="nil"/>
              <w:bottom w:val="single" w:color="A5A5A5" w:sz="4" w:space="0"/>
              <w:right w:val="single" w:color="A5A5A5" w:sz="4" w:space="0"/>
            </w:tcBorders>
            <w:shd w:val="clear" w:color="auto" w:fill="DDD9C3"/>
            <w:noWrap/>
          </w:tcPr>
          <w:p w14:paraId="7475D37A">
            <w:pPr>
              <w:jc w:val="center"/>
              <w:rPr>
                <w:rFonts w:eastAsia="PMingLiU" w:cs="Calibri"/>
                <w:b/>
                <w:bCs/>
                <w:color w:val="000000"/>
                <w:kern w:val="2"/>
                <w:lang w:eastAsia="zh-TW"/>
              </w:rPr>
            </w:pPr>
            <w:r>
              <w:rPr>
                <w:rFonts w:eastAsia="PMingLiU" w:cs="Calibri"/>
                <w:b/>
                <w:bCs/>
                <w:color w:val="000000"/>
                <w:kern w:val="2"/>
                <w:lang w:eastAsia="zh-TW"/>
              </w:rPr>
              <w:t>2007-2016</w:t>
            </w:r>
          </w:p>
        </w:tc>
      </w:tr>
      <w:tr w14:paraId="0F2D3CFA">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330" w:hRule="atLeast"/>
        </w:trPr>
        <w:tc>
          <w:tcPr>
            <w:tcW w:w="5353" w:type="dxa"/>
            <w:shd w:val="clear" w:color="auto" w:fill="FFFFFF"/>
            <w:noWrap/>
          </w:tcPr>
          <w:p w14:paraId="2B3F9B9C">
            <w:pPr>
              <w:rPr>
                <w:rFonts w:eastAsia="PMingLiU" w:cs="Calibri"/>
                <w:b/>
                <w:bCs/>
                <w:color w:val="000000"/>
                <w:kern w:val="2"/>
                <w:lang w:eastAsia="zh-TW"/>
              </w:rPr>
            </w:pPr>
            <w:r>
              <w:rPr>
                <w:rFonts w:eastAsia="PMingLiU" w:cs="Calibri"/>
                <w:b/>
                <w:bCs/>
                <w:color w:val="000000"/>
                <w:kern w:val="2"/>
                <w:lang w:eastAsia="zh-TW"/>
              </w:rPr>
              <w:t>Total units sold (screws and plates)</w:t>
            </w:r>
          </w:p>
        </w:tc>
        <w:tc>
          <w:tcPr>
            <w:tcW w:w="3509" w:type="dxa"/>
            <w:shd w:val="clear" w:color="auto" w:fill="FFFFFF"/>
            <w:noWrap/>
            <w:vAlign w:val="center"/>
          </w:tcPr>
          <w:p w14:paraId="5322764D">
            <w:pPr>
              <w:jc w:val="center"/>
              <w:rPr>
                <w:rFonts w:eastAsia="PMingLiU" w:cs="Calibri"/>
                <w:color w:val="000000"/>
                <w:kern w:val="2"/>
                <w:lang w:eastAsia="zh-TW"/>
              </w:rPr>
            </w:pPr>
            <w:r>
              <w:rPr>
                <w:rFonts w:eastAsia="PMingLiU" w:cs="Calibri"/>
                <w:color w:val="000000"/>
                <w:kern w:val="2"/>
                <w:lang w:eastAsia="zh-TW"/>
              </w:rPr>
              <w:t>557</w:t>
            </w:r>
          </w:p>
        </w:tc>
      </w:tr>
      <w:tr w14:paraId="465740D6">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330" w:hRule="atLeast"/>
        </w:trPr>
        <w:tc>
          <w:tcPr>
            <w:tcW w:w="5353" w:type="dxa"/>
            <w:shd w:val="clear" w:color="auto" w:fill="auto"/>
            <w:noWrap/>
            <w:vAlign w:val="center"/>
          </w:tcPr>
          <w:p w14:paraId="752A8DA7">
            <w:pPr>
              <w:rPr>
                <w:rFonts w:eastAsia="PMingLiU" w:cs="Calibri"/>
                <w:b/>
                <w:bCs/>
                <w:color w:val="000000"/>
                <w:kern w:val="2"/>
                <w:lang w:eastAsia="zh-TW"/>
              </w:rPr>
            </w:pPr>
            <w:r>
              <w:rPr>
                <w:rFonts w:eastAsia="PMingLiU" w:cs="Calibri"/>
                <w:b/>
                <w:bCs/>
                <w:color w:val="000000"/>
                <w:kern w:val="2"/>
                <w:lang w:eastAsia="zh-TW"/>
              </w:rPr>
              <w:t>Estimated No. of operations</w:t>
            </w:r>
          </w:p>
        </w:tc>
        <w:tc>
          <w:tcPr>
            <w:tcW w:w="3509" w:type="dxa"/>
            <w:shd w:val="clear" w:color="auto" w:fill="auto"/>
            <w:noWrap/>
            <w:vAlign w:val="center"/>
          </w:tcPr>
          <w:p w14:paraId="4E296447">
            <w:pPr>
              <w:jc w:val="center"/>
              <w:rPr>
                <w:rFonts w:eastAsia="PMingLiU" w:cs="Calibri"/>
                <w:color w:val="000000"/>
                <w:kern w:val="2"/>
                <w:lang w:eastAsia="zh-TW"/>
              </w:rPr>
            </w:pPr>
            <w:r>
              <w:rPr>
                <w:rFonts w:eastAsia="PMingLiU" w:cs="Calibri"/>
                <w:color w:val="000000"/>
                <w:kern w:val="2"/>
                <w:lang w:eastAsia="zh-TW"/>
              </w:rPr>
              <w:t>214</w:t>
            </w:r>
          </w:p>
        </w:tc>
      </w:tr>
      <w:tr w14:paraId="4C51504E">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330" w:hRule="atLeast"/>
        </w:trPr>
        <w:tc>
          <w:tcPr>
            <w:tcW w:w="5353" w:type="dxa"/>
            <w:shd w:val="clear" w:color="auto" w:fill="FFFFFF"/>
            <w:noWrap/>
            <w:vAlign w:val="center"/>
          </w:tcPr>
          <w:p w14:paraId="0396EF60">
            <w:pPr>
              <w:rPr>
                <w:rFonts w:eastAsia="PMingLiU" w:cs="Calibri"/>
                <w:b/>
                <w:bCs/>
                <w:color w:val="000000"/>
                <w:kern w:val="2"/>
                <w:lang w:eastAsia="zh-TW"/>
              </w:rPr>
            </w:pPr>
            <w:r>
              <w:rPr>
                <w:rFonts w:eastAsia="PMingLiU" w:cs="Calibri"/>
                <w:b/>
                <w:bCs/>
                <w:color w:val="000000"/>
                <w:kern w:val="2"/>
                <w:lang w:eastAsia="zh-TW"/>
              </w:rPr>
              <w:t>Occurrence of any patient harm</w:t>
            </w:r>
          </w:p>
        </w:tc>
        <w:tc>
          <w:tcPr>
            <w:tcW w:w="3509" w:type="dxa"/>
            <w:shd w:val="clear" w:color="auto" w:fill="FFFFFF"/>
            <w:noWrap/>
            <w:vAlign w:val="center"/>
          </w:tcPr>
          <w:p w14:paraId="6C686A25">
            <w:pPr>
              <w:jc w:val="center"/>
              <w:rPr>
                <w:rFonts w:eastAsia="PMingLiU" w:cs="Calibri"/>
                <w:color w:val="000000"/>
                <w:kern w:val="2"/>
                <w:lang w:eastAsia="zh-TW"/>
              </w:rPr>
            </w:pPr>
            <w:r>
              <w:rPr>
                <w:rFonts w:eastAsia="PMingLiU" w:cs="Calibri"/>
                <w:color w:val="000000"/>
                <w:kern w:val="2"/>
                <w:lang w:eastAsia="zh-TW"/>
              </w:rPr>
              <w:t>1</w:t>
            </w:r>
          </w:p>
        </w:tc>
      </w:tr>
      <w:tr w14:paraId="3B70038C">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330" w:hRule="atLeast"/>
        </w:trPr>
        <w:tc>
          <w:tcPr>
            <w:tcW w:w="5353" w:type="dxa"/>
            <w:shd w:val="clear" w:color="auto" w:fill="auto"/>
            <w:noWrap/>
          </w:tcPr>
          <w:p w14:paraId="3A0A6E08">
            <w:pPr>
              <w:rPr>
                <w:rFonts w:eastAsia="PMingLiU" w:cs="Calibri"/>
                <w:b/>
                <w:bCs/>
                <w:color w:val="000000"/>
                <w:kern w:val="2"/>
                <w:lang w:eastAsia="zh-TW"/>
              </w:rPr>
            </w:pPr>
            <w:r>
              <w:rPr>
                <w:rFonts w:eastAsia="PMingLiU" w:cs="Calibri"/>
                <w:b/>
                <w:bCs/>
                <w:color w:val="000000"/>
                <w:kern w:val="2"/>
                <w:lang w:eastAsia="zh-TW"/>
              </w:rPr>
              <w:t xml:space="preserve">Reported incidents </w:t>
            </w:r>
          </w:p>
        </w:tc>
        <w:tc>
          <w:tcPr>
            <w:tcW w:w="3509" w:type="dxa"/>
            <w:shd w:val="clear" w:color="auto" w:fill="auto"/>
            <w:noWrap/>
            <w:vAlign w:val="center"/>
          </w:tcPr>
          <w:p w14:paraId="7FD9A9DD">
            <w:pPr>
              <w:jc w:val="center"/>
              <w:rPr>
                <w:rFonts w:eastAsia="PMingLiU" w:cs="Calibri"/>
                <w:color w:val="000000"/>
                <w:kern w:val="2"/>
                <w:lang w:eastAsia="zh-TW"/>
              </w:rPr>
            </w:pPr>
            <w:r>
              <w:rPr>
                <w:rFonts w:eastAsia="PMingLiU" w:cs="Calibri"/>
                <w:color w:val="000000"/>
                <w:kern w:val="2"/>
                <w:lang w:eastAsia="zh-TW"/>
              </w:rPr>
              <w:t>0</w:t>
            </w:r>
          </w:p>
        </w:tc>
      </w:tr>
      <w:tr w14:paraId="7BBA11BC">
        <w:tblPrEx>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Ex>
        <w:trPr>
          <w:trHeight w:val="330" w:hRule="atLeast"/>
        </w:trPr>
        <w:tc>
          <w:tcPr>
            <w:tcW w:w="5353" w:type="dxa"/>
            <w:shd w:val="clear" w:color="auto" w:fill="EDEDED"/>
            <w:noWrap/>
          </w:tcPr>
          <w:p w14:paraId="1998B865">
            <w:pPr>
              <w:rPr>
                <w:rFonts w:eastAsia="PMingLiU" w:cs="Calibri"/>
                <w:b/>
                <w:bCs/>
                <w:color w:val="000000"/>
                <w:kern w:val="2"/>
                <w:lang w:eastAsia="zh-TW"/>
              </w:rPr>
            </w:pPr>
            <w:r>
              <w:rPr>
                <w:rFonts w:eastAsia="PMingLiU" w:cs="Calibri"/>
                <w:b/>
                <w:bCs/>
                <w:color w:val="000000"/>
                <w:kern w:val="2"/>
                <w:lang w:eastAsia="zh-TW"/>
              </w:rPr>
              <w:t>Occurrence rate:</w:t>
            </w:r>
          </w:p>
        </w:tc>
        <w:tc>
          <w:tcPr>
            <w:tcW w:w="3509" w:type="dxa"/>
            <w:shd w:val="clear" w:color="auto" w:fill="EDEDED"/>
            <w:noWrap/>
            <w:vAlign w:val="center"/>
          </w:tcPr>
          <w:p w14:paraId="6B7B9594">
            <w:pPr>
              <w:jc w:val="center"/>
              <w:rPr>
                <w:rFonts w:eastAsia="PMingLiU" w:cs="Calibri"/>
                <w:color w:val="000000"/>
                <w:kern w:val="2"/>
                <w:lang w:eastAsia="zh-TW"/>
              </w:rPr>
            </w:pPr>
            <w:r>
              <w:rPr>
                <w:rFonts w:eastAsia="PMingLiU" w:cs="Calibri"/>
                <w:color w:val="000000"/>
                <w:kern w:val="2"/>
                <w:lang w:eastAsia="zh-TW"/>
              </w:rPr>
              <w:t>0.5%</w:t>
            </w:r>
          </w:p>
        </w:tc>
      </w:tr>
    </w:tbl>
    <w:p w14:paraId="78779522">
      <w:pPr>
        <w:pStyle w:val="14"/>
        <w:tabs>
          <w:tab w:val="left" w:pos="6324"/>
        </w:tabs>
        <w:rPr>
          <w:rFonts w:ascii="Calibri" w:hAnsi="Calibri"/>
        </w:rPr>
      </w:pPr>
    </w:p>
    <w:p w14:paraId="2A3F9DDD">
      <w:pPr>
        <w:jc w:val="both"/>
        <w:rPr>
          <w:rFonts w:cs="Calibri"/>
          <w:lang w:eastAsia="zh-CN"/>
        </w:rPr>
      </w:pPr>
      <w:r>
        <w:rPr>
          <w:rFonts w:cs="Calibri"/>
          <w:lang w:eastAsia="zh-CN"/>
        </w:rPr>
        <w:t>The long term ratio of patient related complaints/sales has been constant and continuously low: 1.6% for Inion S-1 and 0.5% for Inion S-2, since the products were launched to the market. There is no clinically relevant change in the trend over time.</w:t>
      </w:r>
    </w:p>
    <w:p w14:paraId="2BFAC69C">
      <w:pPr>
        <w:pStyle w:val="14"/>
        <w:tabs>
          <w:tab w:val="left" w:pos="6324"/>
        </w:tabs>
        <w:rPr>
          <w:rFonts w:ascii="Calibri" w:hAnsi="Calibri"/>
        </w:rPr>
      </w:pPr>
      <w:r>
        <w:rPr>
          <w:rFonts w:ascii="Calibri" w:hAnsi="Calibri"/>
        </w:rPr>
        <w:tab/>
      </w:r>
    </w:p>
    <w:p w14:paraId="7858AEE5">
      <w:pPr>
        <w:jc w:val="both"/>
        <w:rPr>
          <w:rFonts w:eastAsia="PMingLiU" w:cs="Calibri"/>
          <w:b/>
          <w:lang w:eastAsia="zh-TW"/>
        </w:rPr>
      </w:pPr>
      <w:r>
        <w:rPr>
          <w:rFonts w:hint="eastAsia" w:cs="Calibri"/>
          <w:b/>
          <w:lang w:eastAsia="zh-CN"/>
        </w:rPr>
        <w:t>5.3</w:t>
      </w:r>
      <w:r>
        <w:rPr>
          <w:rFonts w:eastAsia="PMingLiU" w:cs="Calibri"/>
          <w:b/>
          <w:lang w:eastAsia="zh-TW"/>
        </w:rPr>
        <w:t>.2 Adverse events and recalls</w:t>
      </w:r>
    </w:p>
    <w:p w14:paraId="6960BF23">
      <w:pPr>
        <w:jc w:val="both"/>
        <w:rPr>
          <w:rFonts w:eastAsia="PMingLiU" w:cs="Calibri"/>
          <w:b/>
          <w:lang w:eastAsia="zh-TW"/>
        </w:rPr>
      </w:pPr>
    </w:p>
    <w:p w14:paraId="794C5356">
      <w:pPr>
        <w:widowControl w:val="0"/>
        <w:autoSpaceDE w:val="0"/>
        <w:autoSpaceDN w:val="0"/>
        <w:adjustRightInd w:val="0"/>
        <w:jc w:val="both"/>
        <w:rPr>
          <w:rFonts w:eastAsia="PMingLiU" w:cs="Calibri"/>
          <w:lang w:eastAsia="zh-TW"/>
        </w:rPr>
      </w:pPr>
      <w:r>
        <w:rPr>
          <w:rFonts w:eastAsia="PMingLiU" w:cs="Calibri"/>
          <w:color w:val="222222"/>
          <w:lang w:eastAsia="zh-TW"/>
        </w:rPr>
        <w:t xml:space="preserve">There have been no recalls or field safety corrective actions concerning the Inion Spinal Graft Containment System products. A search was made in Inion QMS CAPA records as well as FDA Total Product Life Cycle database (TPLC). The recalls were searched by using keywords “Inion S-1”, “Inion S-2” and FDA product code “OJB”. </w:t>
      </w:r>
    </w:p>
    <w:p w14:paraId="7C3F9E54">
      <w:pPr>
        <w:widowControl w:val="0"/>
        <w:autoSpaceDE w:val="0"/>
        <w:autoSpaceDN w:val="0"/>
        <w:adjustRightInd w:val="0"/>
        <w:jc w:val="both"/>
        <w:rPr>
          <w:rFonts w:eastAsia="PMingLiU" w:cs="Calibri"/>
          <w:lang w:eastAsia="zh-TW"/>
        </w:rPr>
      </w:pPr>
    </w:p>
    <w:p w14:paraId="5A40B0DE">
      <w:pPr>
        <w:jc w:val="both"/>
      </w:pPr>
      <w:r>
        <w:rPr>
          <w:lang w:eastAsia="fi-FI"/>
        </w:rPr>
        <w:t xml:space="preserve">Reported adverse events for the </w:t>
      </w:r>
      <w:r>
        <w:rPr>
          <w:lang w:eastAsia="zh-TW"/>
        </w:rPr>
        <w:t>Inion Spinal Graft Containment System</w:t>
      </w:r>
      <w:r>
        <w:rPr>
          <w:lang w:eastAsia="fi-FI"/>
        </w:rPr>
        <w:t xml:space="preserve"> were searched from </w:t>
      </w:r>
      <w:r>
        <w:t>FDA Manufacturer and User Facility Device Experience (FDA Maude) database</w:t>
      </w:r>
      <w:r>
        <w:rPr>
          <w:lang w:eastAsia="fi-FI"/>
        </w:rPr>
        <w:t xml:space="preserve"> </w:t>
      </w:r>
      <w:r>
        <w:rPr>
          <w:color w:val="222222"/>
          <w:lang w:eastAsia="zh-TW"/>
        </w:rPr>
        <w:t xml:space="preserve">from 2005 onwards. Six reports were identified related to Inion S-1, of which number 1 and 2 represent the same event, reported by both Inion and surgeon. Number 5 is reported by the surgeon while Inion has evaluated that this is not a reportable adverse event.  No reported events were identified related to Inion S-2 (Table 19). </w:t>
      </w:r>
      <w:r>
        <w:rPr>
          <w:lang w:eastAsia="zh-TW"/>
        </w:rPr>
        <w:t>These reports match with the records of Inion QMS Complaint records i.e. all issues have been formally evaluated during Inion complaint handling process.</w:t>
      </w:r>
    </w:p>
    <w:p w14:paraId="6DBE815D">
      <w:pPr>
        <w:jc w:val="both"/>
      </w:pPr>
    </w:p>
    <w:p w14:paraId="45440A72">
      <w:pPr>
        <w:pStyle w:val="14"/>
        <w:rPr>
          <w:rFonts w:ascii="Calibri" w:hAnsi="Calibri"/>
        </w:rPr>
      </w:pPr>
      <w:bookmarkStart w:id="66" w:name="_Toc480979598"/>
      <w:bookmarkStart w:id="67" w:name="_Toc474757762"/>
      <w:r>
        <w:rPr>
          <w:rFonts w:ascii="Calibri" w:hAnsi="Calibri"/>
        </w:rPr>
        <w:t>Table 19. Adverse events from the FDA Maude and TPLC databases (2005-2016).</w:t>
      </w:r>
      <w:bookmarkEnd w:id="66"/>
    </w:p>
    <w:p w14:paraId="5ACB153C">
      <w:pPr>
        <w:widowControl w:val="0"/>
        <w:autoSpaceDE w:val="0"/>
        <w:autoSpaceDN w:val="0"/>
        <w:adjustRightInd w:val="0"/>
        <w:jc w:val="both"/>
        <w:rPr>
          <w:rFonts w:cs="Calibri"/>
          <w:color w:val="FF0000"/>
          <w:lang w:eastAsia="zh-CN"/>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924"/>
        <w:gridCol w:w="1473"/>
        <w:gridCol w:w="1197"/>
        <w:gridCol w:w="3458"/>
        <w:gridCol w:w="1301"/>
      </w:tblGrid>
      <w:tr w14:paraId="5822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shd w:val="clear" w:color="auto" w:fill="auto"/>
            <w:vAlign w:val="bottom"/>
          </w:tcPr>
          <w:p w14:paraId="75377B20">
            <w:pPr>
              <w:jc w:val="center"/>
              <w:rPr>
                <w:rFonts w:eastAsia="PMingLiU" w:cs="Calibri"/>
                <w:b/>
                <w:bCs/>
                <w:sz w:val="20"/>
                <w:szCs w:val="20"/>
                <w:lang w:eastAsia="zh-TW"/>
              </w:rPr>
            </w:pPr>
            <w:r>
              <w:br w:type="page"/>
            </w:r>
            <w:r>
              <w:rPr>
                <w:rFonts w:cs="Calibri"/>
                <w:lang w:eastAsia="zh-CN"/>
              </w:rPr>
              <w:br w:type="page"/>
            </w:r>
            <w:r>
              <w:rPr>
                <w:rFonts w:cs="Calibri"/>
                <w:lang w:eastAsia="zh-CN"/>
              </w:rPr>
              <w:br w:type="page"/>
            </w:r>
            <w:r>
              <w:rPr>
                <w:rFonts w:eastAsia="PMingLiU" w:cs="Calibri"/>
                <w:b/>
                <w:bCs/>
                <w:sz w:val="20"/>
                <w:szCs w:val="20"/>
                <w:lang w:eastAsia="zh-TW"/>
              </w:rPr>
              <w:t>No.</w:t>
            </w:r>
          </w:p>
        </w:tc>
        <w:tc>
          <w:tcPr>
            <w:tcW w:w="417" w:type="pct"/>
            <w:shd w:val="clear" w:color="auto" w:fill="auto"/>
            <w:vAlign w:val="bottom"/>
          </w:tcPr>
          <w:p w14:paraId="4F142043">
            <w:pPr>
              <w:jc w:val="center"/>
              <w:rPr>
                <w:rFonts w:eastAsia="PMingLiU" w:cs="Calibri"/>
                <w:b/>
                <w:bCs/>
                <w:sz w:val="20"/>
                <w:szCs w:val="20"/>
                <w:lang w:eastAsia="zh-TW"/>
              </w:rPr>
            </w:pPr>
            <w:r>
              <w:rPr>
                <w:rFonts w:eastAsia="PMingLiU" w:cs="Calibri"/>
                <w:b/>
                <w:bCs/>
                <w:sz w:val="20"/>
                <w:szCs w:val="20"/>
                <w:lang w:eastAsia="zh-TW"/>
              </w:rPr>
              <w:t>Report received by FDA</w:t>
            </w:r>
          </w:p>
        </w:tc>
        <w:tc>
          <w:tcPr>
            <w:tcW w:w="1000" w:type="pct"/>
            <w:shd w:val="clear" w:color="auto" w:fill="auto"/>
            <w:vAlign w:val="bottom"/>
          </w:tcPr>
          <w:p w14:paraId="34BA5D96">
            <w:pPr>
              <w:jc w:val="center"/>
              <w:rPr>
                <w:rFonts w:eastAsia="PMingLiU" w:cs="Calibri"/>
                <w:b/>
                <w:bCs/>
                <w:sz w:val="20"/>
                <w:szCs w:val="20"/>
                <w:lang w:eastAsia="zh-TW"/>
              </w:rPr>
            </w:pPr>
            <w:r>
              <w:rPr>
                <w:rFonts w:eastAsia="PMingLiU" w:cs="Calibri"/>
                <w:b/>
                <w:bCs/>
                <w:sz w:val="20"/>
                <w:szCs w:val="20"/>
                <w:lang w:eastAsia="zh-TW"/>
              </w:rPr>
              <w:t>Device</w:t>
            </w:r>
          </w:p>
        </w:tc>
        <w:tc>
          <w:tcPr>
            <w:tcW w:w="500" w:type="pct"/>
            <w:shd w:val="clear" w:color="auto" w:fill="auto"/>
            <w:vAlign w:val="bottom"/>
          </w:tcPr>
          <w:p w14:paraId="21E606F7">
            <w:pPr>
              <w:jc w:val="center"/>
              <w:rPr>
                <w:rFonts w:eastAsia="PMingLiU" w:cs="Calibri"/>
                <w:b/>
                <w:bCs/>
                <w:sz w:val="20"/>
                <w:szCs w:val="20"/>
                <w:lang w:eastAsia="zh-TW"/>
              </w:rPr>
            </w:pPr>
            <w:r>
              <w:rPr>
                <w:rFonts w:eastAsia="PMingLiU" w:cs="Calibri"/>
                <w:b/>
                <w:bCs/>
                <w:sz w:val="20"/>
                <w:szCs w:val="20"/>
                <w:lang w:eastAsia="zh-TW"/>
              </w:rPr>
              <w:t>Event Type</w:t>
            </w:r>
          </w:p>
        </w:tc>
        <w:tc>
          <w:tcPr>
            <w:tcW w:w="2166" w:type="pct"/>
            <w:shd w:val="clear" w:color="auto" w:fill="auto"/>
            <w:vAlign w:val="bottom"/>
          </w:tcPr>
          <w:p w14:paraId="1692F8FF">
            <w:pPr>
              <w:jc w:val="center"/>
              <w:rPr>
                <w:rFonts w:eastAsia="PMingLiU" w:cs="Calibri"/>
                <w:b/>
                <w:bCs/>
                <w:sz w:val="20"/>
                <w:szCs w:val="20"/>
                <w:lang w:eastAsia="zh-TW"/>
              </w:rPr>
            </w:pPr>
            <w:r>
              <w:rPr>
                <w:rFonts w:eastAsia="PMingLiU" w:cs="Calibri"/>
                <w:b/>
                <w:bCs/>
                <w:sz w:val="20"/>
                <w:szCs w:val="20"/>
                <w:lang w:eastAsia="zh-TW"/>
              </w:rPr>
              <w:t xml:space="preserve"> Event Description summary</w:t>
            </w:r>
          </w:p>
        </w:tc>
        <w:tc>
          <w:tcPr>
            <w:tcW w:w="583" w:type="pct"/>
            <w:shd w:val="clear" w:color="auto" w:fill="auto"/>
            <w:vAlign w:val="bottom"/>
          </w:tcPr>
          <w:p w14:paraId="0F355C5B">
            <w:pPr>
              <w:jc w:val="center"/>
              <w:rPr>
                <w:rFonts w:eastAsia="PMingLiU" w:cs="Calibri"/>
                <w:b/>
                <w:bCs/>
                <w:sz w:val="20"/>
                <w:szCs w:val="20"/>
                <w:lang w:eastAsia="zh-TW"/>
              </w:rPr>
            </w:pPr>
            <w:r>
              <w:rPr>
                <w:rFonts w:eastAsia="PMingLiU" w:cs="Calibri"/>
                <w:b/>
                <w:bCs/>
                <w:sz w:val="20"/>
                <w:szCs w:val="20"/>
                <w:lang w:eastAsia="zh-TW"/>
              </w:rPr>
              <w:t>Hazard/Risks</w:t>
            </w:r>
          </w:p>
        </w:tc>
      </w:tr>
      <w:tr w14:paraId="225A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shd w:val="clear" w:color="auto" w:fill="auto"/>
            <w:vAlign w:val="center"/>
          </w:tcPr>
          <w:p w14:paraId="7B69D114">
            <w:pPr>
              <w:jc w:val="center"/>
              <w:rPr>
                <w:rFonts w:eastAsia="PMingLiU" w:cs="Calibri"/>
                <w:bCs/>
                <w:sz w:val="20"/>
                <w:szCs w:val="20"/>
                <w:lang w:eastAsia="zh-TW"/>
              </w:rPr>
            </w:pPr>
            <w:r>
              <w:rPr>
                <w:rFonts w:hint="eastAsia" w:eastAsia="PMingLiU" w:cs="Calibri"/>
                <w:bCs/>
                <w:sz w:val="20"/>
                <w:szCs w:val="20"/>
                <w:lang w:eastAsia="zh-TW"/>
              </w:rPr>
              <w:t>1</w:t>
            </w:r>
          </w:p>
        </w:tc>
        <w:tc>
          <w:tcPr>
            <w:tcW w:w="417" w:type="pct"/>
            <w:shd w:val="clear" w:color="auto" w:fill="auto"/>
            <w:vAlign w:val="center"/>
          </w:tcPr>
          <w:p w14:paraId="7B59A51D">
            <w:pPr>
              <w:jc w:val="center"/>
              <w:rPr>
                <w:rFonts w:eastAsia="PMingLiU" w:cs="Calibri"/>
                <w:bCs/>
                <w:sz w:val="20"/>
                <w:szCs w:val="20"/>
                <w:lang w:eastAsia="zh-TW"/>
              </w:rPr>
            </w:pPr>
            <w:r>
              <w:rPr>
                <w:rFonts w:eastAsia="PMingLiU" w:cs="Calibri"/>
                <w:bCs/>
                <w:sz w:val="20"/>
                <w:szCs w:val="20"/>
                <w:lang w:eastAsia="zh-TW"/>
              </w:rPr>
              <w:t>2009</w:t>
            </w:r>
          </w:p>
        </w:tc>
        <w:tc>
          <w:tcPr>
            <w:tcW w:w="1000" w:type="pct"/>
            <w:shd w:val="clear" w:color="auto" w:fill="auto"/>
            <w:vAlign w:val="center"/>
          </w:tcPr>
          <w:p w14:paraId="16D655D5">
            <w:pPr>
              <w:rPr>
                <w:rFonts w:eastAsia="PMingLiU" w:cs="Calibri"/>
                <w:sz w:val="20"/>
                <w:szCs w:val="20"/>
                <w:lang w:eastAsia="zh-TW"/>
              </w:rPr>
            </w:pPr>
            <w:r>
              <w:rPr>
                <w:rFonts w:eastAsia="PMingLiU" w:cs="Calibri"/>
                <w:sz w:val="20"/>
                <w:szCs w:val="20"/>
                <w:lang w:eastAsia="zh-TW"/>
              </w:rPr>
              <w:t>INION S-1 GRAFT CONTAINMENT SYSTEM PLATE</w:t>
            </w:r>
          </w:p>
          <w:p w14:paraId="2EACA514">
            <w:pPr>
              <w:rPr>
                <w:rFonts w:eastAsia="PMingLiU" w:cs="Calibri"/>
                <w:sz w:val="20"/>
                <w:szCs w:val="20"/>
                <w:lang w:eastAsia="zh-TW"/>
              </w:rPr>
            </w:pPr>
            <w:r>
              <w:rPr>
                <w:rFonts w:eastAsia="PMingLiU" w:cs="Calibri"/>
                <w:sz w:val="20"/>
                <w:szCs w:val="20"/>
                <w:lang w:eastAsia="zh-TW"/>
              </w:rPr>
              <w:t>(Inion CFI No. CFI-09-002)</w:t>
            </w:r>
          </w:p>
        </w:tc>
        <w:tc>
          <w:tcPr>
            <w:tcW w:w="500" w:type="pct"/>
            <w:shd w:val="clear" w:color="auto" w:fill="auto"/>
            <w:vAlign w:val="center"/>
          </w:tcPr>
          <w:p w14:paraId="6E593D92">
            <w:pPr>
              <w:jc w:val="center"/>
              <w:rPr>
                <w:rFonts w:eastAsia="PMingLiU" w:cs="Calibri"/>
                <w:bCs/>
                <w:sz w:val="20"/>
                <w:szCs w:val="20"/>
                <w:lang w:eastAsia="zh-TW"/>
              </w:rPr>
            </w:pPr>
            <w:r>
              <w:rPr>
                <w:rFonts w:eastAsia="PMingLiU" w:cs="Calibri"/>
                <w:sz w:val="20"/>
                <w:szCs w:val="20"/>
                <w:lang w:eastAsia="zh-TW"/>
              </w:rPr>
              <w:t>Injury</w:t>
            </w:r>
          </w:p>
        </w:tc>
        <w:tc>
          <w:tcPr>
            <w:tcW w:w="2166" w:type="pct"/>
            <w:shd w:val="clear" w:color="auto" w:fill="auto"/>
            <w:vAlign w:val="center"/>
          </w:tcPr>
          <w:p w14:paraId="60B1CE84">
            <w:pPr>
              <w:jc w:val="both"/>
              <w:rPr>
                <w:rFonts w:eastAsia="PMingLiU" w:cs="Calibri"/>
                <w:bCs/>
                <w:sz w:val="20"/>
                <w:szCs w:val="20"/>
                <w:lang w:eastAsia="zh-TW"/>
              </w:rPr>
            </w:pPr>
            <w:r>
              <w:rPr>
                <w:rFonts w:eastAsia="PMingLiU" w:cs="Calibri"/>
                <w:bCs/>
                <w:sz w:val="20"/>
                <w:szCs w:val="20"/>
                <w:lang w:eastAsia="zh-TW"/>
              </w:rPr>
              <w:t xml:space="preserve">About 8 months after surgery, a patient appeared to have some resorption of bone related to bioresorbable plate and screws. Patient did not require re-operation but is only now starting to fuse more solidly. A second patient had a stable fusion but a cystic mass at the site of the plate that had to be removed due to swallowing difficulties. Possibly a third case with evidence on mri of both inadequate bone growth and cystic mass at the site of the plate. </w:t>
            </w:r>
          </w:p>
        </w:tc>
        <w:tc>
          <w:tcPr>
            <w:tcW w:w="583" w:type="pct"/>
            <w:shd w:val="clear" w:color="auto" w:fill="auto"/>
            <w:vAlign w:val="center"/>
          </w:tcPr>
          <w:p w14:paraId="5BC1DC61">
            <w:pPr>
              <w:jc w:val="center"/>
              <w:rPr>
                <w:rFonts w:eastAsia="PMingLiU" w:cs="Calibri"/>
                <w:sz w:val="20"/>
                <w:szCs w:val="22"/>
                <w:lang w:eastAsia="zh-TW"/>
              </w:rPr>
            </w:pPr>
            <w:r>
              <w:rPr>
                <w:rFonts w:eastAsia="PMingLiU" w:cs="Calibri"/>
                <w:sz w:val="20"/>
                <w:szCs w:val="22"/>
                <w:lang w:eastAsia="zh-TW"/>
              </w:rPr>
              <w:t>tissue reaction</w:t>
            </w:r>
          </w:p>
        </w:tc>
      </w:tr>
      <w:tr w14:paraId="52E2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shd w:val="clear" w:color="auto" w:fill="auto"/>
            <w:vAlign w:val="center"/>
          </w:tcPr>
          <w:p w14:paraId="2DF35739">
            <w:pPr>
              <w:jc w:val="center"/>
              <w:rPr>
                <w:rFonts w:eastAsia="PMingLiU" w:cs="Calibri"/>
                <w:sz w:val="20"/>
                <w:szCs w:val="20"/>
                <w:lang w:eastAsia="zh-TW"/>
              </w:rPr>
            </w:pPr>
            <w:r>
              <w:rPr>
                <w:rFonts w:eastAsia="PMingLiU" w:cs="Calibri"/>
                <w:sz w:val="20"/>
                <w:szCs w:val="20"/>
                <w:lang w:eastAsia="zh-TW"/>
              </w:rPr>
              <w:t>2</w:t>
            </w:r>
          </w:p>
        </w:tc>
        <w:tc>
          <w:tcPr>
            <w:tcW w:w="417" w:type="pct"/>
            <w:shd w:val="clear" w:color="auto" w:fill="auto"/>
            <w:vAlign w:val="center"/>
          </w:tcPr>
          <w:p w14:paraId="64E4734F">
            <w:pPr>
              <w:rPr>
                <w:rFonts w:eastAsia="PMingLiU" w:cs="Calibri"/>
                <w:sz w:val="20"/>
                <w:szCs w:val="20"/>
                <w:lang w:eastAsia="zh-TW"/>
              </w:rPr>
            </w:pPr>
            <w:r>
              <w:rPr>
                <w:rFonts w:eastAsia="PMingLiU" w:cs="Calibri"/>
                <w:sz w:val="20"/>
                <w:szCs w:val="20"/>
                <w:lang w:eastAsia="zh-TW"/>
              </w:rPr>
              <w:t>2009</w:t>
            </w:r>
          </w:p>
        </w:tc>
        <w:tc>
          <w:tcPr>
            <w:tcW w:w="1000" w:type="pct"/>
            <w:shd w:val="clear" w:color="auto" w:fill="auto"/>
            <w:vAlign w:val="center"/>
          </w:tcPr>
          <w:p w14:paraId="70458BE3">
            <w:pPr>
              <w:rPr>
                <w:rFonts w:eastAsia="PMingLiU" w:cs="Calibri"/>
                <w:sz w:val="20"/>
                <w:szCs w:val="20"/>
                <w:lang w:eastAsia="zh-TW"/>
              </w:rPr>
            </w:pPr>
            <w:r>
              <w:rPr>
                <w:rFonts w:eastAsia="PMingLiU" w:cs="Calibri"/>
                <w:sz w:val="20"/>
                <w:szCs w:val="20"/>
                <w:lang w:eastAsia="zh-TW"/>
              </w:rPr>
              <w:t>INION S-1 GRAFT CONTAINMENT SYSTEM PLATE</w:t>
            </w:r>
          </w:p>
          <w:p w14:paraId="72C5276D">
            <w:pPr>
              <w:rPr>
                <w:rFonts w:eastAsia="PMingLiU" w:cs="Calibri"/>
                <w:sz w:val="20"/>
                <w:szCs w:val="20"/>
                <w:lang w:eastAsia="zh-TW"/>
              </w:rPr>
            </w:pPr>
            <w:r>
              <w:rPr>
                <w:rFonts w:eastAsia="PMingLiU" w:cs="Calibri"/>
                <w:sz w:val="20"/>
                <w:szCs w:val="20"/>
                <w:lang w:eastAsia="zh-TW"/>
              </w:rPr>
              <w:t>(Inion CFI No. CFI-09-002)</w:t>
            </w:r>
          </w:p>
        </w:tc>
        <w:tc>
          <w:tcPr>
            <w:tcW w:w="500" w:type="pct"/>
            <w:shd w:val="clear" w:color="auto" w:fill="auto"/>
            <w:vAlign w:val="center"/>
          </w:tcPr>
          <w:p w14:paraId="5FCDE3D5">
            <w:pPr>
              <w:jc w:val="center"/>
              <w:rPr>
                <w:rFonts w:eastAsia="PMingLiU" w:cs="Calibri"/>
                <w:sz w:val="20"/>
                <w:szCs w:val="20"/>
                <w:lang w:eastAsia="zh-TW"/>
              </w:rPr>
            </w:pPr>
            <w:r>
              <w:rPr>
                <w:rFonts w:eastAsia="PMingLiU" w:cs="Calibri"/>
                <w:sz w:val="20"/>
                <w:szCs w:val="20"/>
                <w:lang w:eastAsia="zh-TW"/>
              </w:rPr>
              <w:t>Injury</w:t>
            </w:r>
          </w:p>
        </w:tc>
        <w:tc>
          <w:tcPr>
            <w:tcW w:w="2166" w:type="pct"/>
            <w:shd w:val="clear" w:color="auto" w:fill="auto"/>
            <w:vAlign w:val="center"/>
          </w:tcPr>
          <w:p w14:paraId="28DBD0A9">
            <w:pPr>
              <w:jc w:val="both"/>
              <w:rPr>
                <w:rFonts w:eastAsia="PMingLiU" w:cs="Calibri"/>
                <w:sz w:val="20"/>
                <w:szCs w:val="20"/>
                <w:lang w:eastAsia="zh-TW"/>
              </w:rPr>
            </w:pPr>
            <w:r>
              <w:rPr>
                <w:rFonts w:eastAsia="PMingLiU" w:cs="Calibri"/>
                <w:sz w:val="20"/>
                <w:szCs w:val="20"/>
                <w:lang w:eastAsia="zh-TW"/>
              </w:rPr>
              <w:t>Acdf, c5-6. Solid fusion, but swallowing difficulties, abnormal cystic mass (same shape and size as the plate) and liquid formation 1. 5 years post-operatively. Re-operation performed for cyst removal (inflammatory tissue). Patient is fine.</w:t>
            </w:r>
          </w:p>
        </w:tc>
        <w:tc>
          <w:tcPr>
            <w:tcW w:w="583" w:type="pct"/>
            <w:shd w:val="clear" w:color="auto" w:fill="auto"/>
            <w:vAlign w:val="center"/>
          </w:tcPr>
          <w:p w14:paraId="19C1A270">
            <w:pPr>
              <w:rPr>
                <w:rFonts w:eastAsia="PMingLiU" w:cs="Calibri"/>
                <w:sz w:val="20"/>
                <w:szCs w:val="22"/>
                <w:lang w:eastAsia="zh-TW"/>
              </w:rPr>
            </w:pPr>
            <w:r>
              <w:rPr>
                <w:rFonts w:eastAsia="PMingLiU" w:cs="Calibri"/>
                <w:sz w:val="20"/>
                <w:szCs w:val="22"/>
                <w:lang w:eastAsia="zh-TW"/>
              </w:rPr>
              <w:t>tissue reaction</w:t>
            </w:r>
          </w:p>
        </w:tc>
      </w:tr>
      <w:tr w14:paraId="0A83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shd w:val="clear" w:color="auto" w:fill="auto"/>
            <w:vAlign w:val="center"/>
          </w:tcPr>
          <w:p w14:paraId="5B788C81">
            <w:pPr>
              <w:jc w:val="center"/>
              <w:rPr>
                <w:rFonts w:eastAsia="PMingLiU" w:cs="Calibri"/>
                <w:sz w:val="20"/>
                <w:szCs w:val="20"/>
                <w:lang w:eastAsia="zh-TW"/>
              </w:rPr>
            </w:pPr>
            <w:r>
              <w:rPr>
                <w:rFonts w:eastAsia="PMingLiU" w:cs="Calibri"/>
                <w:sz w:val="20"/>
                <w:szCs w:val="20"/>
                <w:lang w:eastAsia="zh-TW"/>
              </w:rPr>
              <w:t>3</w:t>
            </w:r>
          </w:p>
        </w:tc>
        <w:tc>
          <w:tcPr>
            <w:tcW w:w="417" w:type="pct"/>
            <w:shd w:val="clear" w:color="auto" w:fill="auto"/>
            <w:vAlign w:val="center"/>
          </w:tcPr>
          <w:p w14:paraId="2DDB63B3">
            <w:pPr>
              <w:rPr>
                <w:rFonts w:eastAsia="PMingLiU" w:cs="Calibri"/>
                <w:sz w:val="20"/>
                <w:szCs w:val="20"/>
                <w:lang w:eastAsia="zh-TW"/>
              </w:rPr>
            </w:pPr>
            <w:r>
              <w:rPr>
                <w:rFonts w:eastAsia="PMingLiU" w:cs="Calibri"/>
                <w:sz w:val="20"/>
                <w:szCs w:val="20"/>
                <w:lang w:eastAsia="zh-TW"/>
              </w:rPr>
              <w:t>2011</w:t>
            </w:r>
          </w:p>
        </w:tc>
        <w:tc>
          <w:tcPr>
            <w:tcW w:w="1000" w:type="pct"/>
            <w:shd w:val="clear" w:color="auto" w:fill="auto"/>
            <w:vAlign w:val="center"/>
          </w:tcPr>
          <w:p w14:paraId="10A07901">
            <w:pPr>
              <w:rPr>
                <w:rFonts w:eastAsia="PMingLiU" w:cs="Calibri"/>
                <w:sz w:val="20"/>
                <w:szCs w:val="20"/>
                <w:lang w:eastAsia="zh-TW"/>
              </w:rPr>
            </w:pPr>
            <w:r>
              <w:rPr>
                <w:rFonts w:eastAsia="PMingLiU" w:cs="Calibri"/>
                <w:sz w:val="20"/>
                <w:szCs w:val="20"/>
                <w:lang w:eastAsia="zh-TW"/>
              </w:rPr>
              <w:t>INION S-1 BIODEGR. GRAFT CONTAINMENT PLATE</w:t>
            </w:r>
          </w:p>
          <w:p w14:paraId="459784F6">
            <w:pPr>
              <w:rPr>
                <w:rFonts w:eastAsia="PMingLiU" w:cs="Calibri"/>
                <w:sz w:val="20"/>
                <w:szCs w:val="20"/>
                <w:lang w:eastAsia="zh-TW"/>
              </w:rPr>
            </w:pPr>
            <w:r>
              <w:rPr>
                <w:rFonts w:eastAsia="PMingLiU" w:cs="Calibri"/>
                <w:sz w:val="20"/>
                <w:szCs w:val="20"/>
                <w:lang w:eastAsia="zh-TW"/>
              </w:rPr>
              <w:t>(Inion CFI No. CFI-11-015 USA)</w:t>
            </w:r>
          </w:p>
        </w:tc>
        <w:tc>
          <w:tcPr>
            <w:tcW w:w="500" w:type="pct"/>
            <w:shd w:val="clear" w:color="auto" w:fill="auto"/>
            <w:vAlign w:val="center"/>
          </w:tcPr>
          <w:p w14:paraId="41E59255">
            <w:pPr>
              <w:jc w:val="center"/>
              <w:rPr>
                <w:rFonts w:eastAsia="PMingLiU" w:cs="Calibri"/>
                <w:sz w:val="20"/>
                <w:szCs w:val="20"/>
                <w:lang w:eastAsia="zh-TW"/>
              </w:rPr>
            </w:pPr>
            <w:r>
              <w:rPr>
                <w:rFonts w:eastAsia="PMingLiU" w:cs="Calibri"/>
                <w:sz w:val="20"/>
                <w:szCs w:val="20"/>
                <w:lang w:eastAsia="zh-TW"/>
              </w:rPr>
              <w:t>Injury</w:t>
            </w:r>
          </w:p>
        </w:tc>
        <w:tc>
          <w:tcPr>
            <w:tcW w:w="2166" w:type="pct"/>
            <w:shd w:val="clear" w:color="auto" w:fill="auto"/>
            <w:vAlign w:val="center"/>
          </w:tcPr>
          <w:p w14:paraId="7DA11DA6">
            <w:pPr>
              <w:jc w:val="both"/>
              <w:rPr>
                <w:rFonts w:eastAsia="PMingLiU" w:cs="Calibri"/>
                <w:sz w:val="20"/>
                <w:szCs w:val="20"/>
                <w:lang w:eastAsia="zh-TW"/>
              </w:rPr>
            </w:pPr>
            <w:r>
              <w:rPr>
                <w:rFonts w:eastAsia="PMingLiU" w:cs="Calibri"/>
                <w:sz w:val="20"/>
                <w:szCs w:val="20"/>
                <w:lang w:eastAsia="zh-TW"/>
              </w:rPr>
              <w:t xml:space="preserve">Patient had a c5-c7 inion plate for an acdf. The patient developed loss of her lordotic curvature after the surgery on f/u films: reversal of lordosis at c5-7. Partial collapse of c4/5 also. In the revision surgery the inion plate and screws were removed. The screw heads were found loose which according to surgeon may or may not have occurred during dissecting fibrous tissue off the plate. The plate cracked into two during removal. Surgeon conclusion is loss of bone structure. The patient had been in motor vehicle accident prior to the operation. </w:t>
            </w:r>
          </w:p>
        </w:tc>
        <w:tc>
          <w:tcPr>
            <w:tcW w:w="583" w:type="pct"/>
            <w:shd w:val="clear" w:color="auto" w:fill="auto"/>
            <w:vAlign w:val="center"/>
          </w:tcPr>
          <w:p w14:paraId="391BF59E">
            <w:pPr>
              <w:rPr>
                <w:rFonts w:eastAsia="PMingLiU" w:cs="Calibri"/>
                <w:sz w:val="20"/>
                <w:szCs w:val="20"/>
                <w:lang w:eastAsia="zh-TW"/>
              </w:rPr>
            </w:pPr>
            <w:r>
              <w:rPr>
                <w:rFonts w:eastAsia="PMingLiU" w:cs="Calibri"/>
                <w:sz w:val="20"/>
                <w:szCs w:val="20"/>
                <w:lang w:eastAsia="zh-TW"/>
              </w:rPr>
              <w:t>Fixation failure, non-union, malunion</w:t>
            </w:r>
          </w:p>
        </w:tc>
      </w:tr>
      <w:tr w14:paraId="3B9C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333" w:type="pct"/>
            <w:shd w:val="clear" w:color="auto" w:fill="auto"/>
            <w:vAlign w:val="center"/>
          </w:tcPr>
          <w:p w14:paraId="2606B21F">
            <w:pPr>
              <w:jc w:val="center"/>
              <w:rPr>
                <w:rFonts w:eastAsia="PMingLiU" w:cs="Calibri"/>
                <w:sz w:val="20"/>
                <w:szCs w:val="20"/>
                <w:lang w:eastAsia="zh-TW"/>
              </w:rPr>
            </w:pPr>
            <w:r>
              <w:rPr>
                <w:rFonts w:eastAsia="PMingLiU" w:cs="Calibri"/>
                <w:sz w:val="20"/>
                <w:szCs w:val="20"/>
                <w:lang w:eastAsia="zh-TW"/>
              </w:rPr>
              <w:t>4</w:t>
            </w:r>
          </w:p>
        </w:tc>
        <w:tc>
          <w:tcPr>
            <w:tcW w:w="417" w:type="pct"/>
            <w:shd w:val="clear" w:color="auto" w:fill="auto"/>
            <w:vAlign w:val="center"/>
          </w:tcPr>
          <w:p w14:paraId="5DB91880">
            <w:pPr>
              <w:rPr>
                <w:rFonts w:eastAsia="PMingLiU" w:cs="Calibri"/>
                <w:sz w:val="20"/>
                <w:szCs w:val="20"/>
                <w:lang w:eastAsia="zh-TW"/>
              </w:rPr>
            </w:pPr>
            <w:r>
              <w:rPr>
                <w:rFonts w:eastAsia="PMingLiU" w:cs="Calibri"/>
                <w:sz w:val="20"/>
                <w:szCs w:val="20"/>
                <w:lang w:eastAsia="zh-TW"/>
              </w:rPr>
              <w:t>2011</w:t>
            </w:r>
          </w:p>
        </w:tc>
        <w:tc>
          <w:tcPr>
            <w:tcW w:w="1000" w:type="pct"/>
            <w:shd w:val="clear" w:color="auto" w:fill="auto"/>
            <w:vAlign w:val="center"/>
          </w:tcPr>
          <w:p w14:paraId="55C18644">
            <w:pPr>
              <w:rPr>
                <w:rFonts w:eastAsia="PMingLiU" w:cs="Calibri"/>
                <w:sz w:val="20"/>
                <w:szCs w:val="20"/>
                <w:lang w:eastAsia="zh-TW"/>
              </w:rPr>
            </w:pPr>
            <w:r>
              <w:rPr>
                <w:rFonts w:eastAsia="PMingLiU" w:cs="Calibri"/>
                <w:sz w:val="20"/>
                <w:szCs w:val="20"/>
                <w:lang w:eastAsia="zh-TW"/>
              </w:rPr>
              <w:t>INION S-1 BIODEGR. GRAFT CONTAINMENT PLATE</w:t>
            </w:r>
          </w:p>
          <w:p w14:paraId="07250F27">
            <w:pPr>
              <w:rPr>
                <w:rFonts w:eastAsia="PMingLiU" w:cs="Calibri"/>
                <w:sz w:val="20"/>
                <w:szCs w:val="20"/>
                <w:lang w:eastAsia="zh-TW"/>
              </w:rPr>
            </w:pPr>
            <w:r>
              <w:rPr>
                <w:rFonts w:eastAsia="PMingLiU" w:cs="Calibri"/>
                <w:sz w:val="20"/>
                <w:szCs w:val="20"/>
                <w:lang w:eastAsia="zh-TW"/>
              </w:rPr>
              <w:t>(Inion CFI No. CFI-11-017)</w:t>
            </w:r>
          </w:p>
        </w:tc>
        <w:tc>
          <w:tcPr>
            <w:tcW w:w="500" w:type="pct"/>
            <w:shd w:val="clear" w:color="auto" w:fill="auto"/>
            <w:vAlign w:val="center"/>
          </w:tcPr>
          <w:p w14:paraId="245EEB6B">
            <w:pPr>
              <w:jc w:val="center"/>
              <w:rPr>
                <w:rFonts w:eastAsia="PMingLiU" w:cs="Calibri"/>
                <w:sz w:val="20"/>
                <w:szCs w:val="20"/>
                <w:lang w:eastAsia="zh-TW"/>
              </w:rPr>
            </w:pPr>
            <w:r>
              <w:rPr>
                <w:rFonts w:eastAsia="PMingLiU" w:cs="Calibri"/>
                <w:sz w:val="20"/>
                <w:szCs w:val="20"/>
                <w:lang w:eastAsia="zh-TW"/>
              </w:rPr>
              <w:t>Injury</w:t>
            </w:r>
          </w:p>
        </w:tc>
        <w:tc>
          <w:tcPr>
            <w:tcW w:w="2166" w:type="pct"/>
            <w:shd w:val="clear" w:color="auto" w:fill="auto"/>
            <w:vAlign w:val="center"/>
          </w:tcPr>
          <w:p w14:paraId="02F70AD2">
            <w:pPr>
              <w:jc w:val="both"/>
              <w:rPr>
                <w:rFonts w:eastAsia="PMingLiU" w:cs="Calibri"/>
                <w:sz w:val="20"/>
                <w:szCs w:val="20"/>
                <w:lang w:eastAsia="zh-TW"/>
              </w:rPr>
            </w:pPr>
            <w:r>
              <w:rPr>
                <w:rFonts w:eastAsia="PMingLiU" w:cs="Calibri"/>
                <w:sz w:val="20"/>
                <w:szCs w:val="20"/>
                <w:lang w:eastAsia="zh-TW"/>
              </w:rPr>
              <w:t>After a c5/6 acdf surgery, debridement and antibiotics 2 weeks post operative. Revision surgery of soft tissue abscess and implant removal 3 months post op. Observations: scar tissue in neck, no infection. Plate intact. Collapse of c5 onto cage seen in (b)(6) 2011 film (before the revision). Patient condition is reported good.</w:t>
            </w:r>
          </w:p>
        </w:tc>
        <w:tc>
          <w:tcPr>
            <w:tcW w:w="583" w:type="pct"/>
            <w:shd w:val="clear" w:color="auto" w:fill="auto"/>
            <w:vAlign w:val="center"/>
          </w:tcPr>
          <w:p w14:paraId="2581E3E1">
            <w:pPr>
              <w:rPr>
                <w:rFonts w:eastAsia="PMingLiU" w:cs="Calibri"/>
                <w:sz w:val="20"/>
                <w:szCs w:val="20"/>
                <w:lang w:eastAsia="zh-TW"/>
              </w:rPr>
            </w:pPr>
            <w:r>
              <w:rPr>
                <w:rFonts w:eastAsia="PMingLiU" w:cs="Calibri"/>
                <w:sz w:val="20"/>
                <w:szCs w:val="20"/>
                <w:lang w:eastAsia="zh-TW"/>
              </w:rPr>
              <w:t>Fixation failure, non-union, malunion</w:t>
            </w:r>
          </w:p>
        </w:tc>
      </w:tr>
      <w:tr w14:paraId="1B90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shd w:val="clear" w:color="auto" w:fill="auto"/>
            <w:vAlign w:val="center"/>
          </w:tcPr>
          <w:p w14:paraId="786F378F">
            <w:pPr>
              <w:jc w:val="center"/>
              <w:rPr>
                <w:rFonts w:eastAsia="PMingLiU" w:cs="Calibri"/>
                <w:sz w:val="20"/>
                <w:szCs w:val="20"/>
                <w:lang w:eastAsia="zh-TW"/>
              </w:rPr>
            </w:pPr>
            <w:r>
              <w:rPr>
                <w:rFonts w:hint="eastAsia" w:eastAsia="PMingLiU" w:cs="Calibri"/>
                <w:sz w:val="20"/>
                <w:szCs w:val="20"/>
                <w:lang w:eastAsia="zh-TW"/>
              </w:rPr>
              <w:t>5</w:t>
            </w:r>
          </w:p>
        </w:tc>
        <w:tc>
          <w:tcPr>
            <w:tcW w:w="417" w:type="pct"/>
            <w:shd w:val="clear" w:color="auto" w:fill="auto"/>
            <w:vAlign w:val="center"/>
          </w:tcPr>
          <w:p w14:paraId="74D57DC9">
            <w:pPr>
              <w:rPr>
                <w:rFonts w:eastAsia="PMingLiU" w:cs="Calibri"/>
                <w:sz w:val="20"/>
                <w:szCs w:val="20"/>
                <w:lang w:eastAsia="zh-TW"/>
              </w:rPr>
            </w:pPr>
            <w:r>
              <w:rPr>
                <w:rFonts w:hint="eastAsia" w:eastAsia="PMingLiU" w:cs="Calibri"/>
                <w:sz w:val="20"/>
                <w:szCs w:val="20"/>
                <w:lang w:eastAsia="zh-TW"/>
              </w:rPr>
              <w:t>2014</w:t>
            </w:r>
          </w:p>
        </w:tc>
        <w:tc>
          <w:tcPr>
            <w:tcW w:w="1000" w:type="pct"/>
            <w:shd w:val="clear" w:color="auto" w:fill="auto"/>
            <w:vAlign w:val="center"/>
          </w:tcPr>
          <w:p w14:paraId="19787697">
            <w:pPr>
              <w:rPr>
                <w:rFonts w:eastAsia="PMingLiU" w:cs="Calibri"/>
                <w:sz w:val="20"/>
                <w:szCs w:val="20"/>
                <w:lang w:eastAsia="zh-TW"/>
              </w:rPr>
            </w:pPr>
            <w:r>
              <w:rPr>
                <w:rFonts w:eastAsia="PMingLiU" w:cs="Calibri"/>
                <w:sz w:val="20"/>
                <w:szCs w:val="20"/>
                <w:lang w:eastAsia="zh-TW"/>
              </w:rPr>
              <w:t>INION S-1 BIODEGR. GRAFT CONTAINMENT PLATE</w:t>
            </w:r>
          </w:p>
          <w:p w14:paraId="4B2A6696">
            <w:pPr>
              <w:rPr>
                <w:rFonts w:eastAsia="PMingLiU" w:cs="Calibri"/>
                <w:sz w:val="20"/>
                <w:szCs w:val="20"/>
                <w:lang w:eastAsia="zh-TW"/>
              </w:rPr>
            </w:pPr>
            <w:r>
              <w:rPr>
                <w:rFonts w:eastAsia="PMingLiU" w:cs="Calibri"/>
                <w:sz w:val="20"/>
                <w:szCs w:val="20"/>
                <w:lang w:eastAsia="zh-TW"/>
              </w:rPr>
              <w:t>(Inion CFI No. CFI-14-010)</w:t>
            </w:r>
          </w:p>
        </w:tc>
        <w:tc>
          <w:tcPr>
            <w:tcW w:w="500" w:type="pct"/>
            <w:shd w:val="clear" w:color="auto" w:fill="auto"/>
            <w:vAlign w:val="center"/>
          </w:tcPr>
          <w:p w14:paraId="03DB521C">
            <w:pPr>
              <w:jc w:val="center"/>
              <w:rPr>
                <w:rFonts w:eastAsia="PMingLiU" w:cs="Calibri"/>
                <w:sz w:val="20"/>
                <w:szCs w:val="20"/>
                <w:lang w:eastAsia="zh-TW"/>
              </w:rPr>
            </w:pPr>
            <w:r>
              <w:rPr>
                <w:rFonts w:hint="eastAsia" w:eastAsia="PMingLiU" w:cs="Calibri"/>
                <w:sz w:val="20"/>
                <w:szCs w:val="20"/>
                <w:lang w:eastAsia="zh-TW"/>
              </w:rPr>
              <w:t>m</w:t>
            </w:r>
            <w:r>
              <w:rPr>
                <w:rFonts w:eastAsia="PMingLiU" w:cs="Calibri"/>
                <w:sz w:val="20"/>
                <w:szCs w:val="20"/>
                <w:lang w:eastAsia="zh-TW"/>
              </w:rPr>
              <w:t>alfunction</w:t>
            </w:r>
          </w:p>
        </w:tc>
        <w:tc>
          <w:tcPr>
            <w:tcW w:w="2166" w:type="pct"/>
            <w:shd w:val="clear" w:color="auto" w:fill="auto"/>
            <w:vAlign w:val="center"/>
          </w:tcPr>
          <w:p w14:paraId="43CB1B24">
            <w:pPr>
              <w:jc w:val="both"/>
              <w:rPr>
                <w:rFonts w:eastAsia="PMingLiU" w:cs="Calibri"/>
                <w:sz w:val="20"/>
                <w:szCs w:val="20"/>
                <w:lang w:eastAsia="zh-TW"/>
              </w:rPr>
            </w:pPr>
            <w:r>
              <w:rPr>
                <w:rFonts w:eastAsia="PMingLiU" w:cs="Calibri"/>
                <w:sz w:val="20"/>
                <w:szCs w:val="20"/>
                <w:lang w:eastAsia="zh-TW"/>
              </w:rPr>
              <w:t>Patient in surgery for anterior cervical discectomy with fusion. During surgery, 3 inion cervical plates cracked while surgeon was posting them to the patient's cervical vertebrae. It appears the correct temperature of the water may not have been met.</w:t>
            </w:r>
          </w:p>
        </w:tc>
        <w:tc>
          <w:tcPr>
            <w:tcW w:w="583" w:type="pct"/>
            <w:shd w:val="clear" w:color="auto" w:fill="auto"/>
            <w:vAlign w:val="center"/>
          </w:tcPr>
          <w:p w14:paraId="0BEF0F65">
            <w:pPr>
              <w:rPr>
                <w:rFonts w:eastAsia="PMingLiU" w:cs="Calibri"/>
                <w:sz w:val="20"/>
                <w:szCs w:val="22"/>
                <w:lang w:eastAsia="zh-TW"/>
              </w:rPr>
            </w:pPr>
            <w:r>
              <w:rPr>
                <w:rFonts w:eastAsia="PMingLiU" w:cs="Calibri"/>
                <w:sz w:val="20"/>
                <w:szCs w:val="22"/>
                <w:lang w:eastAsia="zh-TW"/>
              </w:rPr>
              <w:t>Problems during insertion</w:t>
            </w:r>
          </w:p>
        </w:tc>
      </w:tr>
      <w:tr w14:paraId="7EAE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shd w:val="clear" w:color="auto" w:fill="auto"/>
            <w:vAlign w:val="center"/>
          </w:tcPr>
          <w:p w14:paraId="31F51483">
            <w:pPr>
              <w:jc w:val="center"/>
              <w:rPr>
                <w:rFonts w:eastAsia="PMingLiU" w:cs="Calibri"/>
                <w:sz w:val="20"/>
                <w:szCs w:val="20"/>
                <w:lang w:eastAsia="zh-TW"/>
              </w:rPr>
            </w:pPr>
            <w:r>
              <w:rPr>
                <w:rFonts w:hint="eastAsia" w:eastAsia="PMingLiU" w:cs="Calibri"/>
                <w:sz w:val="20"/>
                <w:szCs w:val="20"/>
                <w:lang w:eastAsia="zh-TW"/>
              </w:rPr>
              <w:t>6</w:t>
            </w:r>
          </w:p>
        </w:tc>
        <w:tc>
          <w:tcPr>
            <w:tcW w:w="417" w:type="pct"/>
            <w:shd w:val="clear" w:color="auto" w:fill="auto"/>
            <w:vAlign w:val="center"/>
          </w:tcPr>
          <w:p w14:paraId="5AA41ACE">
            <w:pPr>
              <w:rPr>
                <w:rFonts w:eastAsia="PMingLiU" w:cs="Calibri"/>
                <w:sz w:val="20"/>
                <w:szCs w:val="20"/>
                <w:lang w:eastAsia="zh-TW"/>
              </w:rPr>
            </w:pPr>
            <w:r>
              <w:rPr>
                <w:rFonts w:hint="eastAsia" w:eastAsia="PMingLiU" w:cs="Calibri"/>
                <w:sz w:val="20"/>
                <w:szCs w:val="20"/>
                <w:lang w:eastAsia="zh-TW"/>
              </w:rPr>
              <w:t>2015</w:t>
            </w:r>
          </w:p>
        </w:tc>
        <w:tc>
          <w:tcPr>
            <w:tcW w:w="1000" w:type="pct"/>
            <w:shd w:val="clear" w:color="auto" w:fill="auto"/>
            <w:vAlign w:val="center"/>
          </w:tcPr>
          <w:p w14:paraId="488CEB47">
            <w:pPr>
              <w:rPr>
                <w:rFonts w:eastAsia="PMingLiU" w:cs="Calibri"/>
                <w:sz w:val="20"/>
                <w:szCs w:val="20"/>
                <w:lang w:eastAsia="zh-TW"/>
              </w:rPr>
            </w:pPr>
            <w:r>
              <w:rPr>
                <w:rFonts w:eastAsia="PMingLiU" w:cs="Calibri"/>
                <w:sz w:val="20"/>
                <w:szCs w:val="20"/>
                <w:lang w:eastAsia="zh-TW"/>
              </w:rPr>
              <w:t>INION S-1 BIODEGR. GRAFT CONTAINMENT PLATE</w:t>
            </w:r>
          </w:p>
          <w:p w14:paraId="26313EC7">
            <w:pPr>
              <w:rPr>
                <w:rFonts w:eastAsia="PMingLiU" w:cs="Calibri"/>
                <w:color w:val="FF0000"/>
                <w:sz w:val="20"/>
                <w:szCs w:val="20"/>
                <w:lang w:eastAsia="zh-TW"/>
              </w:rPr>
            </w:pPr>
            <w:r>
              <w:rPr>
                <w:rFonts w:eastAsia="PMingLiU" w:cs="Calibri"/>
                <w:sz w:val="20"/>
                <w:szCs w:val="20"/>
                <w:lang w:eastAsia="zh-TW"/>
              </w:rPr>
              <w:t>(Inion CFI No. CFI-15-015)</w:t>
            </w:r>
          </w:p>
        </w:tc>
        <w:tc>
          <w:tcPr>
            <w:tcW w:w="500" w:type="pct"/>
            <w:shd w:val="clear" w:color="auto" w:fill="auto"/>
            <w:vAlign w:val="center"/>
          </w:tcPr>
          <w:p w14:paraId="5E7BA916">
            <w:pPr>
              <w:jc w:val="center"/>
              <w:rPr>
                <w:rFonts w:eastAsia="PMingLiU" w:cs="Calibri"/>
                <w:sz w:val="20"/>
                <w:szCs w:val="20"/>
                <w:lang w:eastAsia="zh-TW"/>
              </w:rPr>
            </w:pPr>
            <w:r>
              <w:rPr>
                <w:rFonts w:eastAsia="PMingLiU" w:cs="Calibri"/>
                <w:sz w:val="20"/>
                <w:szCs w:val="20"/>
                <w:lang w:eastAsia="zh-TW"/>
              </w:rPr>
              <w:t>Injury</w:t>
            </w:r>
          </w:p>
        </w:tc>
        <w:tc>
          <w:tcPr>
            <w:tcW w:w="2166" w:type="pct"/>
            <w:shd w:val="clear" w:color="auto" w:fill="auto"/>
            <w:vAlign w:val="center"/>
          </w:tcPr>
          <w:p w14:paraId="6A0E7464">
            <w:pPr>
              <w:jc w:val="both"/>
              <w:rPr>
                <w:rFonts w:eastAsia="PMingLiU" w:cs="Calibri"/>
                <w:sz w:val="20"/>
                <w:szCs w:val="20"/>
                <w:lang w:eastAsia="zh-TW"/>
              </w:rPr>
            </w:pPr>
            <w:r>
              <w:rPr>
                <w:rFonts w:eastAsia="PMingLiU" w:cs="Calibri"/>
                <w:sz w:val="20"/>
                <w:szCs w:val="20"/>
                <w:lang w:eastAsia="zh-TW"/>
              </w:rPr>
              <w:t>In the 8 weeks post op x-rays, surgeon observed graft subsidence in connection with acdf procedure, where inion s-1 plate and screws were used as graft containment device. Screws were observed to be broken below the plate from the upper end of the plate. In 2 weeks post-op pictures the fixation had been observed as fine. The patient was wearing a hard collar for 3 weeks after the operation. The patient has not had any symptoms, but a revision surgery was conducted to avoid any complications later.</w:t>
            </w:r>
          </w:p>
        </w:tc>
        <w:tc>
          <w:tcPr>
            <w:tcW w:w="583" w:type="pct"/>
            <w:shd w:val="clear" w:color="auto" w:fill="auto"/>
            <w:vAlign w:val="center"/>
          </w:tcPr>
          <w:p w14:paraId="6C33F264">
            <w:pPr>
              <w:rPr>
                <w:rFonts w:eastAsia="PMingLiU" w:cs="Calibri"/>
                <w:sz w:val="20"/>
                <w:szCs w:val="22"/>
                <w:lang w:eastAsia="zh-TW"/>
              </w:rPr>
            </w:pPr>
            <w:r>
              <w:rPr>
                <w:rFonts w:eastAsia="PMingLiU" w:cs="Calibri"/>
                <w:sz w:val="20"/>
                <w:szCs w:val="22"/>
                <w:lang w:eastAsia="zh-TW"/>
              </w:rPr>
              <w:t>Fixation failure, non-union, malunion</w:t>
            </w:r>
          </w:p>
        </w:tc>
      </w:tr>
      <w:bookmarkEnd w:id="67"/>
    </w:tbl>
    <w:p w14:paraId="44A0C93D">
      <w:pPr>
        <w:pStyle w:val="14"/>
        <w:rPr>
          <w:rFonts w:ascii="Calibri" w:hAnsi="Calibri"/>
        </w:rPr>
      </w:pPr>
      <w:bookmarkStart w:id="68" w:name="_Toc474757763"/>
    </w:p>
    <w:p w14:paraId="76D3B43C">
      <w:pPr>
        <w:jc w:val="both"/>
      </w:pPr>
      <w:r>
        <w:t>The reported adverse events represent the recognized risks in the risk management report of Inion Spinal Graft Containment system. The occurrence of these hazards is presented in Table 20 below.</w:t>
      </w:r>
    </w:p>
    <w:p w14:paraId="4E7EFA46">
      <w:pPr>
        <w:pStyle w:val="14"/>
        <w:rPr>
          <w:rFonts w:ascii="Calibri" w:hAnsi="Calibri"/>
        </w:rPr>
      </w:pPr>
    </w:p>
    <w:p w14:paraId="678C6227">
      <w:pPr>
        <w:pStyle w:val="14"/>
        <w:rPr>
          <w:rFonts w:ascii="Calibri" w:hAnsi="Calibri"/>
        </w:rPr>
      </w:pPr>
      <w:bookmarkStart w:id="69" w:name="_Toc480979599"/>
      <w:r>
        <w:rPr>
          <w:rFonts w:ascii="Calibri" w:hAnsi="Calibri"/>
        </w:rPr>
        <w:t xml:space="preserve">Table 20. </w:t>
      </w:r>
      <w:bookmarkEnd w:id="68"/>
      <w:r>
        <w:rPr>
          <w:rFonts w:ascii="Calibri" w:hAnsi="Calibri"/>
        </w:rPr>
        <w:t>Risk occurrence per hazard type, reported adverse events in FDA Maude</w:t>
      </w:r>
      <w:bookmarkEnd w:id="69"/>
    </w:p>
    <w:p w14:paraId="35BF3464">
      <w:pPr>
        <w:pStyle w:val="14"/>
        <w:rPr>
          <w:rFonts w:ascii="Calibri" w:hAnsi="Calibri"/>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9"/>
        <w:gridCol w:w="1305"/>
        <w:gridCol w:w="2498"/>
      </w:tblGrid>
      <w:tr w14:paraId="0B73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EEECE1"/>
          </w:tcPr>
          <w:p w14:paraId="2D2D4DCE">
            <w:pPr>
              <w:rPr>
                <w:rFonts w:eastAsia="PMingLiU" w:cs="Calibri"/>
                <w:b/>
                <w:lang w:eastAsia="zh-TW"/>
              </w:rPr>
            </w:pPr>
            <w:r>
              <w:rPr>
                <w:rFonts w:eastAsia="PMingLiU" w:cs="Calibri"/>
                <w:b/>
                <w:lang w:eastAsia="zh-TW"/>
              </w:rPr>
              <w:t>Hazard/Risk</w:t>
            </w:r>
          </w:p>
        </w:tc>
        <w:tc>
          <w:tcPr>
            <w:tcW w:w="736" w:type="pct"/>
            <w:shd w:val="clear" w:color="auto" w:fill="EEECE1"/>
          </w:tcPr>
          <w:p w14:paraId="6A06829D">
            <w:pPr>
              <w:rPr>
                <w:rFonts w:eastAsia="PMingLiU" w:cs="Calibri"/>
                <w:b/>
                <w:lang w:eastAsia="zh-TW"/>
              </w:rPr>
            </w:pPr>
            <w:r>
              <w:rPr>
                <w:rFonts w:eastAsia="PMingLiU" w:cs="Calibri"/>
                <w:b/>
                <w:lang w:eastAsia="zh-TW"/>
              </w:rPr>
              <w:t>Total</w:t>
            </w:r>
          </w:p>
        </w:tc>
        <w:tc>
          <w:tcPr>
            <w:tcW w:w="1409" w:type="pct"/>
            <w:shd w:val="clear" w:color="auto" w:fill="EEECE1"/>
          </w:tcPr>
          <w:p w14:paraId="08983ED7">
            <w:pPr>
              <w:rPr>
                <w:rFonts w:eastAsia="PMingLiU" w:cs="Calibri"/>
                <w:b/>
                <w:lang w:eastAsia="zh-TW"/>
              </w:rPr>
            </w:pPr>
            <w:r>
              <w:rPr>
                <w:rFonts w:eastAsia="PMingLiU" w:cs="Calibri"/>
                <w:b/>
                <w:lang w:eastAsia="zh-TW"/>
              </w:rPr>
              <w:t>Percentage of all events</w:t>
            </w:r>
          </w:p>
        </w:tc>
      </w:tr>
      <w:tr w14:paraId="5C27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auto"/>
          </w:tcPr>
          <w:p w14:paraId="73EAF52F">
            <w:pPr>
              <w:autoSpaceDE w:val="0"/>
              <w:autoSpaceDN w:val="0"/>
              <w:adjustRightInd w:val="0"/>
              <w:rPr>
                <w:rFonts w:eastAsia="PMingLiU" w:cs="Arial"/>
                <w:lang w:eastAsia="zh-TW"/>
              </w:rPr>
            </w:pPr>
            <w:r>
              <w:rPr>
                <w:rFonts w:eastAsia="PMingLiU" w:cs="Arial"/>
                <w:lang w:eastAsia="zh-TW"/>
              </w:rPr>
              <w:t>Problems during insertion/implantation</w:t>
            </w:r>
          </w:p>
        </w:tc>
        <w:tc>
          <w:tcPr>
            <w:tcW w:w="736" w:type="pct"/>
            <w:shd w:val="clear" w:color="auto" w:fill="auto"/>
          </w:tcPr>
          <w:p w14:paraId="6DDA1D10">
            <w:pPr>
              <w:rPr>
                <w:rFonts w:eastAsia="PMingLiU" w:cs="Calibri"/>
                <w:lang w:eastAsia="zh-TW"/>
              </w:rPr>
            </w:pPr>
            <w:r>
              <w:rPr>
                <w:rFonts w:eastAsia="PMingLiU" w:cs="Calibri"/>
                <w:lang w:eastAsia="zh-TW"/>
              </w:rPr>
              <w:t>1</w:t>
            </w:r>
          </w:p>
        </w:tc>
        <w:tc>
          <w:tcPr>
            <w:tcW w:w="1409" w:type="pct"/>
            <w:shd w:val="clear" w:color="auto" w:fill="auto"/>
          </w:tcPr>
          <w:p w14:paraId="030479EE">
            <w:pPr>
              <w:rPr>
                <w:rFonts w:eastAsia="PMingLiU" w:cs="Calibri"/>
                <w:lang w:eastAsia="zh-TW"/>
              </w:rPr>
            </w:pPr>
            <w:r>
              <w:rPr>
                <w:rFonts w:eastAsia="PMingLiU" w:cs="Calibri"/>
                <w:lang w:eastAsia="zh-TW"/>
              </w:rPr>
              <w:t>20%</w:t>
            </w:r>
          </w:p>
        </w:tc>
      </w:tr>
      <w:tr w14:paraId="6432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auto"/>
          </w:tcPr>
          <w:p w14:paraId="68ED6195">
            <w:pPr>
              <w:autoSpaceDE w:val="0"/>
              <w:autoSpaceDN w:val="0"/>
              <w:adjustRightInd w:val="0"/>
              <w:rPr>
                <w:rFonts w:cs="Arial"/>
                <w:lang w:eastAsia="fi-FI"/>
              </w:rPr>
            </w:pPr>
            <w:r>
              <w:rPr>
                <w:rFonts w:cs="Arial"/>
                <w:lang w:eastAsia="fi-FI"/>
              </w:rPr>
              <w:t>Implant has toxic or injurious effect</w:t>
            </w:r>
          </w:p>
        </w:tc>
        <w:tc>
          <w:tcPr>
            <w:tcW w:w="736" w:type="pct"/>
            <w:shd w:val="clear" w:color="auto" w:fill="auto"/>
          </w:tcPr>
          <w:p w14:paraId="46D45EF5">
            <w:pPr>
              <w:rPr>
                <w:rFonts w:eastAsia="PMingLiU" w:cs="Calibri"/>
                <w:lang w:eastAsia="zh-TW"/>
              </w:rPr>
            </w:pPr>
            <w:r>
              <w:rPr>
                <w:rFonts w:eastAsia="PMingLiU" w:cs="Calibri"/>
                <w:lang w:eastAsia="zh-TW"/>
              </w:rPr>
              <w:t>0</w:t>
            </w:r>
          </w:p>
        </w:tc>
        <w:tc>
          <w:tcPr>
            <w:tcW w:w="1409" w:type="pct"/>
            <w:shd w:val="clear" w:color="auto" w:fill="auto"/>
          </w:tcPr>
          <w:p w14:paraId="7A3790F3">
            <w:pPr>
              <w:rPr>
                <w:rFonts w:eastAsia="PMingLiU" w:cs="Calibri"/>
                <w:lang w:eastAsia="zh-TW"/>
              </w:rPr>
            </w:pPr>
            <w:r>
              <w:rPr>
                <w:rFonts w:eastAsia="PMingLiU" w:cs="Calibri"/>
                <w:lang w:eastAsia="zh-TW"/>
              </w:rPr>
              <w:t>0%</w:t>
            </w:r>
          </w:p>
        </w:tc>
      </w:tr>
      <w:tr w14:paraId="5260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auto"/>
          </w:tcPr>
          <w:p w14:paraId="48659A39">
            <w:pPr>
              <w:autoSpaceDE w:val="0"/>
              <w:autoSpaceDN w:val="0"/>
              <w:adjustRightInd w:val="0"/>
              <w:rPr>
                <w:rFonts w:cs="Arial"/>
                <w:lang w:eastAsia="fi-FI"/>
              </w:rPr>
            </w:pPr>
            <w:r>
              <w:rPr>
                <w:rFonts w:cs="Arial"/>
                <w:lang w:eastAsia="fi-FI"/>
              </w:rPr>
              <w:t>Infection</w:t>
            </w:r>
          </w:p>
        </w:tc>
        <w:tc>
          <w:tcPr>
            <w:tcW w:w="736" w:type="pct"/>
            <w:shd w:val="clear" w:color="auto" w:fill="auto"/>
          </w:tcPr>
          <w:p w14:paraId="7F4DB8C6">
            <w:pPr>
              <w:rPr>
                <w:rFonts w:eastAsia="PMingLiU" w:cs="Calibri"/>
                <w:lang w:eastAsia="zh-TW"/>
              </w:rPr>
            </w:pPr>
            <w:r>
              <w:rPr>
                <w:rFonts w:eastAsia="PMingLiU" w:cs="Calibri"/>
                <w:lang w:eastAsia="zh-TW"/>
              </w:rPr>
              <w:t>0</w:t>
            </w:r>
          </w:p>
        </w:tc>
        <w:tc>
          <w:tcPr>
            <w:tcW w:w="1409" w:type="pct"/>
            <w:shd w:val="clear" w:color="auto" w:fill="auto"/>
          </w:tcPr>
          <w:p w14:paraId="4FA9352E">
            <w:pPr>
              <w:rPr>
                <w:rFonts w:eastAsia="PMingLiU" w:cs="Calibri"/>
                <w:lang w:eastAsia="zh-TW"/>
              </w:rPr>
            </w:pPr>
            <w:r>
              <w:rPr>
                <w:rFonts w:eastAsia="PMingLiU" w:cs="Calibri"/>
                <w:lang w:eastAsia="zh-TW"/>
              </w:rPr>
              <w:t>0%</w:t>
            </w:r>
          </w:p>
        </w:tc>
      </w:tr>
      <w:tr w14:paraId="3580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auto"/>
          </w:tcPr>
          <w:p w14:paraId="594AA6E6">
            <w:pPr>
              <w:rPr>
                <w:rFonts w:eastAsia="PMingLiU" w:cs="Calibri"/>
                <w:lang w:eastAsia="zh-TW"/>
              </w:rPr>
            </w:pPr>
            <w:r>
              <w:rPr>
                <w:lang w:eastAsia="fi-FI"/>
              </w:rPr>
              <w:t>Tissue reaction</w:t>
            </w:r>
          </w:p>
        </w:tc>
        <w:tc>
          <w:tcPr>
            <w:tcW w:w="736" w:type="pct"/>
            <w:shd w:val="clear" w:color="auto" w:fill="auto"/>
          </w:tcPr>
          <w:p w14:paraId="6F40E244">
            <w:pPr>
              <w:rPr>
                <w:rFonts w:eastAsia="PMingLiU" w:cs="Calibri"/>
                <w:lang w:eastAsia="zh-TW"/>
              </w:rPr>
            </w:pPr>
            <w:r>
              <w:rPr>
                <w:rFonts w:eastAsia="PMingLiU" w:cs="Calibri"/>
                <w:lang w:eastAsia="zh-TW"/>
              </w:rPr>
              <w:t>1</w:t>
            </w:r>
          </w:p>
        </w:tc>
        <w:tc>
          <w:tcPr>
            <w:tcW w:w="1409" w:type="pct"/>
            <w:shd w:val="clear" w:color="auto" w:fill="auto"/>
          </w:tcPr>
          <w:p w14:paraId="57D8216E">
            <w:pPr>
              <w:rPr>
                <w:rFonts w:eastAsia="PMingLiU" w:cs="Calibri"/>
                <w:lang w:eastAsia="zh-TW"/>
              </w:rPr>
            </w:pPr>
            <w:r>
              <w:rPr>
                <w:rFonts w:eastAsia="PMingLiU" w:cs="Calibri"/>
                <w:lang w:eastAsia="zh-TW"/>
              </w:rPr>
              <w:t>20%</w:t>
            </w:r>
          </w:p>
        </w:tc>
      </w:tr>
      <w:tr w14:paraId="459E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auto"/>
          </w:tcPr>
          <w:p w14:paraId="441A32EF">
            <w:pPr>
              <w:rPr>
                <w:rFonts w:eastAsia="PMingLiU" w:cs="Calibri"/>
                <w:lang w:eastAsia="zh-TW"/>
              </w:rPr>
            </w:pPr>
            <w:r>
              <w:rPr>
                <w:lang w:eastAsia="fi-FI"/>
              </w:rPr>
              <w:t>Fixation failure, non-union, malunion</w:t>
            </w:r>
          </w:p>
        </w:tc>
        <w:tc>
          <w:tcPr>
            <w:tcW w:w="736" w:type="pct"/>
            <w:shd w:val="clear" w:color="auto" w:fill="auto"/>
          </w:tcPr>
          <w:p w14:paraId="54DE975A">
            <w:pPr>
              <w:rPr>
                <w:rFonts w:eastAsia="PMingLiU" w:cs="Calibri"/>
                <w:lang w:eastAsia="zh-TW"/>
              </w:rPr>
            </w:pPr>
            <w:r>
              <w:rPr>
                <w:rFonts w:eastAsia="PMingLiU" w:cs="Calibri"/>
                <w:lang w:eastAsia="zh-TW"/>
              </w:rPr>
              <w:t>3</w:t>
            </w:r>
          </w:p>
        </w:tc>
        <w:tc>
          <w:tcPr>
            <w:tcW w:w="1409" w:type="pct"/>
            <w:shd w:val="clear" w:color="auto" w:fill="auto"/>
          </w:tcPr>
          <w:p w14:paraId="306EE4AD">
            <w:pPr>
              <w:rPr>
                <w:rFonts w:eastAsia="PMingLiU" w:cs="Calibri"/>
                <w:highlight w:val="yellow"/>
                <w:lang w:eastAsia="zh-TW"/>
              </w:rPr>
            </w:pPr>
            <w:r>
              <w:rPr>
                <w:rFonts w:eastAsia="PMingLiU" w:cs="Calibri"/>
                <w:lang w:eastAsia="zh-TW"/>
              </w:rPr>
              <w:t>60%</w:t>
            </w:r>
          </w:p>
        </w:tc>
      </w:tr>
      <w:tr w14:paraId="6672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auto"/>
          </w:tcPr>
          <w:p w14:paraId="7B4E2BFE">
            <w:pPr>
              <w:rPr>
                <w:rFonts w:eastAsia="PMingLiU" w:cs="Calibri"/>
                <w:lang w:eastAsia="zh-TW"/>
              </w:rPr>
            </w:pPr>
            <w:r>
              <w:rPr>
                <w:bCs/>
                <w:lang w:eastAsia="fi-FI"/>
              </w:rPr>
              <w:t>Undesirable outcome due to improper use</w:t>
            </w:r>
          </w:p>
        </w:tc>
        <w:tc>
          <w:tcPr>
            <w:tcW w:w="736" w:type="pct"/>
            <w:shd w:val="clear" w:color="auto" w:fill="auto"/>
          </w:tcPr>
          <w:p w14:paraId="41B77181">
            <w:pPr>
              <w:rPr>
                <w:rFonts w:eastAsia="PMingLiU" w:cs="Calibri"/>
                <w:lang w:eastAsia="zh-TW"/>
              </w:rPr>
            </w:pPr>
            <w:r>
              <w:rPr>
                <w:rFonts w:eastAsia="PMingLiU" w:cs="Calibri"/>
                <w:lang w:eastAsia="zh-TW"/>
              </w:rPr>
              <w:t>0</w:t>
            </w:r>
          </w:p>
        </w:tc>
        <w:tc>
          <w:tcPr>
            <w:tcW w:w="1409" w:type="pct"/>
            <w:shd w:val="clear" w:color="auto" w:fill="auto"/>
          </w:tcPr>
          <w:p w14:paraId="5BC12144">
            <w:pPr>
              <w:rPr>
                <w:rFonts w:eastAsia="PMingLiU" w:cs="Calibri"/>
                <w:lang w:eastAsia="zh-TW"/>
              </w:rPr>
            </w:pPr>
            <w:r>
              <w:rPr>
                <w:rFonts w:eastAsia="PMingLiU" w:cs="Calibri"/>
                <w:lang w:eastAsia="zh-TW"/>
              </w:rPr>
              <w:t>0%</w:t>
            </w:r>
          </w:p>
        </w:tc>
      </w:tr>
      <w:tr w14:paraId="2817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pct"/>
            <w:shd w:val="clear" w:color="auto" w:fill="EEECE1"/>
          </w:tcPr>
          <w:p w14:paraId="2EA82B94">
            <w:pPr>
              <w:rPr>
                <w:rFonts w:eastAsia="PMingLiU" w:cs="Calibri"/>
                <w:b/>
                <w:lang w:eastAsia="zh-TW"/>
              </w:rPr>
            </w:pPr>
            <w:r>
              <w:rPr>
                <w:rFonts w:eastAsia="PMingLiU" w:cs="Calibri"/>
                <w:b/>
                <w:lang w:eastAsia="zh-TW"/>
              </w:rPr>
              <w:t>Total</w:t>
            </w:r>
          </w:p>
        </w:tc>
        <w:tc>
          <w:tcPr>
            <w:tcW w:w="736" w:type="pct"/>
            <w:shd w:val="clear" w:color="auto" w:fill="EEECE1"/>
          </w:tcPr>
          <w:p w14:paraId="0200A9D4">
            <w:pPr>
              <w:rPr>
                <w:rFonts w:eastAsia="PMingLiU" w:cs="Calibri"/>
                <w:b/>
                <w:lang w:eastAsia="zh-TW"/>
              </w:rPr>
            </w:pPr>
            <w:r>
              <w:rPr>
                <w:rFonts w:eastAsia="PMingLiU" w:cs="Calibri"/>
                <w:b/>
                <w:lang w:eastAsia="zh-TW"/>
              </w:rPr>
              <w:t>5</w:t>
            </w:r>
          </w:p>
        </w:tc>
        <w:tc>
          <w:tcPr>
            <w:tcW w:w="1409" w:type="pct"/>
            <w:shd w:val="clear" w:color="auto" w:fill="EEECE1"/>
          </w:tcPr>
          <w:p w14:paraId="5993C99C">
            <w:pPr>
              <w:rPr>
                <w:rFonts w:eastAsia="PMingLiU" w:cs="Calibri"/>
                <w:b/>
                <w:lang w:eastAsia="zh-TW"/>
              </w:rPr>
            </w:pPr>
            <w:r>
              <w:rPr>
                <w:rFonts w:eastAsia="PMingLiU" w:cs="Calibri"/>
                <w:b/>
                <w:lang w:eastAsia="zh-TW"/>
              </w:rPr>
              <w:t>100%</w:t>
            </w:r>
          </w:p>
        </w:tc>
      </w:tr>
    </w:tbl>
    <w:p w14:paraId="4A7F53A4">
      <w:pPr>
        <w:jc w:val="both"/>
        <w:rPr>
          <w:rFonts w:cs="Calibri"/>
          <w:lang w:eastAsia="fi-FI"/>
        </w:rPr>
      </w:pPr>
    </w:p>
    <w:p w14:paraId="5B4D77C9">
      <w:pPr>
        <w:rPr>
          <w:b/>
        </w:rPr>
      </w:pPr>
      <w:r>
        <w:rPr>
          <w:rFonts w:hint="eastAsia"/>
          <w:b/>
          <w:lang w:eastAsia="zh-CN"/>
        </w:rPr>
        <w:t>5.3</w:t>
      </w:r>
      <w:r>
        <w:rPr>
          <w:rFonts w:hint="eastAsia"/>
          <w:b/>
        </w:rPr>
        <w:t>.3</w:t>
      </w:r>
      <w:r>
        <w:rPr>
          <w:b/>
        </w:rPr>
        <w:t xml:space="preserve"> Customer complaints and feedback</w:t>
      </w:r>
    </w:p>
    <w:p w14:paraId="7F699E79">
      <w:pPr>
        <w:rPr>
          <w:b/>
        </w:rPr>
      </w:pPr>
    </w:p>
    <w:p w14:paraId="3FE63FD5">
      <w:pPr>
        <w:jc w:val="both"/>
        <w:rPr>
          <w:rFonts w:eastAsia="PMingLiU" w:cs="Calibri"/>
          <w:lang w:eastAsia="zh-TW"/>
        </w:rPr>
      </w:pPr>
      <w:r>
        <w:rPr>
          <w:rFonts w:eastAsia="PMingLiU" w:cs="Calibri"/>
          <w:lang w:eastAsia="zh-TW"/>
        </w:rPr>
        <w:t>The customer complaints and feedback received and investigated by the manufacturer during 2007 - 201</w:t>
      </w:r>
      <w:r>
        <w:rPr>
          <w:rFonts w:hint="eastAsia" w:eastAsia="PMingLiU" w:cs="Calibri"/>
          <w:lang w:eastAsia="zh-TW"/>
        </w:rPr>
        <w:t>6</w:t>
      </w:r>
      <w:r>
        <w:rPr>
          <w:rFonts w:eastAsia="PMingLiU" w:cs="Calibri"/>
          <w:lang w:eastAsia="zh-TW"/>
        </w:rPr>
        <w:t xml:space="preserve"> are </w:t>
      </w:r>
      <w:r>
        <w:rPr>
          <w:rFonts w:cs="Calibri"/>
          <w:lang w:eastAsia="zh-CN"/>
        </w:rPr>
        <w:t>categorized and discussed</w:t>
      </w:r>
      <w:r>
        <w:rPr>
          <w:rFonts w:hint="eastAsia" w:cs="Calibri"/>
          <w:lang w:eastAsia="zh-CN"/>
        </w:rPr>
        <w:t xml:space="preserve"> in</w:t>
      </w:r>
      <w:r>
        <w:rPr>
          <w:rFonts w:eastAsia="PMingLiU" w:cs="Calibri"/>
          <w:lang w:eastAsia="zh-TW"/>
        </w:rPr>
        <w:t xml:space="preserve"> this chapter. </w:t>
      </w:r>
    </w:p>
    <w:p w14:paraId="1E7F6DBF">
      <w:pPr>
        <w:jc w:val="both"/>
        <w:rPr>
          <w:rFonts w:eastAsia="Times New Roman" w:cs="Calibri"/>
          <w:lang w:eastAsia="zh-TW"/>
        </w:rPr>
      </w:pPr>
    </w:p>
    <w:p w14:paraId="3AC19E9D">
      <w:pPr>
        <w:jc w:val="both"/>
      </w:pPr>
      <w:r>
        <w:rPr>
          <w:rFonts w:eastAsia="Times New Roman" w:cs="Calibri"/>
          <w:lang w:eastAsia="zh-TW"/>
        </w:rPr>
        <w:t xml:space="preserve">There have been altogether </w:t>
      </w:r>
      <w:r>
        <w:rPr>
          <w:rFonts w:eastAsia="PMingLiU" w:cs="Calibri"/>
          <w:lang w:eastAsia="zh-TW"/>
        </w:rPr>
        <w:t>27</w:t>
      </w:r>
      <w:r>
        <w:rPr>
          <w:rFonts w:eastAsia="Times New Roman" w:cs="Calibri"/>
          <w:lang w:eastAsia="zh-TW"/>
        </w:rPr>
        <w:t xml:space="preserve"> separate customer feedback investigations during the time period. These include the evaluation of patient cases from the Lebl 2011 study discussed in the clinical data evaluation above. Based on</w:t>
      </w:r>
      <w:r>
        <w:rPr>
          <w:rFonts w:cs="Calibri"/>
        </w:rPr>
        <w:t xml:space="preserve"> the </w:t>
      </w:r>
      <w:r>
        <w:rPr>
          <w:rFonts w:eastAsia="PMingLiU" w:cs="Calibri"/>
          <w:lang w:eastAsia="zh-TW"/>
        </w:rPr>
        <w:t>customer feedback data, the hazard analysis is shown in Tables 21</w:t>
      </w:r>
      <w:r>
        <w:rPr>
          <w:rFonts w:cs="Calibri"/>
          <w:lang w:eastAsia="zh-CN"/>
        </w:rPr>
        <w:t xml:space="preserve"> and 22. Unlike Tables 17 and 18, t</w:t>
      </w:r>
      <w:r>
        <w:rPr>
          <w:rFonts w:eastAsia="Times New Roman" w:cs="Calibri"/>
          <w:lang w:eastAsia="zh-TW"/>
        </w:rPr>
        <w:t>hese tables include also complaints which caused no actual harm to the patient except a slightly longer operation time which is clinically irrelevant (such as implant breakage during insertion, other insertion problems, and instrument related problems).</w:t>
      </w:r>
    </w:p>
    <w:p w14:paraId="0533056B">
      <w:pPr>
        <w:jc w:val="both"/>
        <w:rPr>
          <w:rFonts w:eastAsia="Times New Roman" w:cs="Calibri"/>
          <w:lang w:eastAsia="zh-TW"/>
        </w:rPr>
      </w:pPr>
      <w:r>
        <w:rPr>
          <w:rFonts w:cs="Calibri"/>
          <w:lang w:eastAsia="zh-CN"/>
        </w:rPr>
        <w:t xml:space="preserve"> </w:t>
      </w:r>
    </w:p>
    <w:p w14:paraId="76B8E3CB">
      <w:pPr>
        <w:rPr>
          <w:rFonts w:cs="Calibri"/>
          <w:lang w:eastAsia="zh-CN"/>
        </w:rPr>
      </w:pPr>
      <w:r>
        <w:rPr>
          <w:rFonts w:cs="Calibri"/>
          <w:lang w:eastAsia="zh-CN"/>
        </w:rPr>
        <w:br w:type="page"/>
      </w:r>
    </w:p>
    <w:p w14:paraId="0669C675">
      <w:pPr>
        <w:pStyle w:val="14"/>
        <w:rPr>
          <w:rFonts w:ascii="Calibri" w:hAnsi="Calibri"/>
        </w:rPr>
      </w:pPr>
      <w:bookmarkStart w:id="70" w:name="_Toc480979600"/>
      <w:r>
        <w:rPr>
          <w:rFonts w:ascii="Calibri" w:hAnsi="Calibri"/>
        </w:rPr>
        <w:t>Table 21. Inion S-1: Hazards analysis of customer feedback evaluations</w:t>
      </w:r>
      <w:bookmarkEnd w:id="70"/>
    </w:p>
    <w:p w14:paraId="3EFD8C30">
      <w:pPr>
        <w:pStyle w:val="14"/>
        <w:rPr>
          <w:rFonts w:ascii="Calibri" w:hAnsi="Calibri"/>
        </w:rPr>
      </w:pPr>
    </w:p>
    <w:tbl>
      <w:tblPr>
        <w:tblStyle w:val="26"/>
        <w:tblpPr w:leftFromText="180" w:rightFromText="180" w:vertAnchor="text" w:horzAnchor="page" w:tblpX="1797" w:tblpY="6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5"/>
        <w:gridCol w:w="1095"/>
        <w:gridCol w:w="2652"/>
      </w:tblGrid>
      <w:tr w14:paraId="55A7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886" w:type="pct"/>
            <w:shd w:val="clear" w:color="auto" w:fill="EEECE1"/>
          </w:tcPr>
          <w:p w14:paraId="08224F2C">
            <w:pPr>
              <w:jc w:val="both"/>
              <w:rPr>
                <w:rFonts w:eastAsia="Times New Roman" w:cs="Calibri"/>
                <w:lang w:eastAsia="zh-TW"/>
              </w:rPr>
            </w:pPr>
            <w:bookmarkStart w:id="71" w:name="_Toc474757764"/>
            <w:r>
              <w:rPr>
                <w:rFonts w:eastAsia="Times New Roman" w:cs="Calibri"/>
                <w:lang w:eastAsia="zh-TW"/>
              </w:rPr>
              <w:t>Hazard/Risk</w:t>
            </w:r>
          </w:p>
        </w:tc>
        <w:tc>
          <w:tcPr>
            <w:tcW w:w="618" w:type="pct"/>
            <w:shd w:val="clear" w:color="auto" w:fill="EEECE1"/>
          </w:tcPr>
          <w:p w14:paraId="61CF8D19">
            <w:pPr>
              <w:jc w:val="center"/>
              <w:rPr>
                <w:rFonts w:eastAsia="Times New Roman" w:cs="Calibri"/>
                <w:lang w:eastAsia="zh-TW"/>
              </w:rPr>
            </w:pPr>
            <w:r>
              <w:rPr>
                <w:rFonts w:eastAsia="Times New Roman" w:cs="Calibri"/>
                <w:lang w:eastAsia="zh-TW"/>
              </w:rPr>
              <w:t>Events</w:t>
            </w:r>
          </w:p>
        </w:tc>
        <w:tc>
          <w:tcPr>
            <w:tcW w:w="1496" w:type="pct"/>
            <w:shd w:val="clear" w:color="auto" w:fill="EEECE1"/>
          </w:tcPr>
          <w:p w14:paraId="20E7981F">
            <w:pPr>
              <w:jc w:val="center"/>
              <w:rPr>
                <w:rFonts w:eastAsia="Times New Roman" w:cs="Calibri"/>
                <w:lang w:eastAsia="zh-TW"/>
              </w:rPr>
            </w:pPr>
            <w:r>
              <w:rPr>
                <w:rFonts w:eastAsia="Times New Roman" w:cs="Calibri"/>
                <w:lang w:eastAsia="zh-TW"/>
              </w:rPr>
              <w:t>Occurrence rate</w:t>
            </w:r>
          </w:p>
          <w:p w14:paraId="13312282">
            <w:pPr>
              <w:jc w:val="center"/>
              <w:rPr>
                <w:rFonts w:eastAsia="Times New Roman" w:cs="Calibri"/>
                <w:lang w:eastAsia="zh-TW"/>
              </w:rPr>
            </w:pPr>
            <w:r>
              <w:rPr>
                <w:rFonts w:eastAsia="Times New Roman" w:cs="Calibri"/>
                <w:lang w:eastAsia="zh-TW"/>
              </w:rPr>
              <w:t>(events/total cases)</w:t>
            </w:r>
          </w:p>
        </w:tc>
      </w:tr>
      <w:tr w14:paraId="49E7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7E4D9660">
            <w:pPr>
              <w:jc w:val="both"/>
              <w:rPr>
                <w:rFonts w:eastAsia="Times New Roman" w:cs="Calibri"/>
                <w:lang w:eastAsia="zh-TW"/>
              </w:rPr>
            </w:pPr>
            <w:r>
              <w:rPr>
                <w:rFonts w:eastAsia="Times New Roman" w:cs="Calibri"/>
                <w:lang w:eastAsia="zh-TW"/>
              </w:rPr>
              <w:t>Fixation breakage, nonunion, malunion</w:t>
            </w:r>
          </w:p>
        </w:tc>
        <w:tc>
          <w:tcPr>
            <w:tcW w:w="618" w:type="pct"/>
            <w:shd w:val="clear" w:color="auto" w:fill="auto"/>
          </w:tcPr>
          <w:p w14:paraId="5C2D68D6">
            <w:pPr>
              <w:jc w:val="center"/>
              <w:rPr>
                <w:rFonts w:eastAsia="Times New Roman" w:cs="Calibri"/>
                <w:lang w:eastAsia="zh-TW"/>
              </w:rPr>
            </w:pPr>
            <w:r>
              <w:rPr>
                <w:rFonts w:eastAsia="Times New Roman" w:cs="Calibri"/>
                <w:lang w:eastAsia="zh-TW"/>
              </w:rPr>
              <w:t>12</w:t>
            </w:r>
          </w:p>
        </w:tc>
        <w:tc>
          <w:tcPr>
            <w:tcW w:w="1496" w:type="pct"/>
            <w:shd w:val="clear" w:color="auto" w:fill="auto"/>
            <w:vAlign w:val="center"/>
          </w:tcPr>
          <w:p w14:paraId="3903443F">
            <w:pPr>
              <w:jc w:val="center"/>
              <w:rPr>
                <w:rFonts w:eastAsia="Times New Roman" w:cs="Calibri"/>
                <w:lang w:eastAsia="zh-TW"/>
              </w:rPr>
            </w:pPr>
            <w:r>
              <w:rPr>
                <w:rFonts w:eastAsia="Times New Roman" w:cs="Calibri"/>
                <w:lang w:eastAsia="zh-TW"/>
              </w:rPr>
              <w:t>0,8%</w:t>
            </w:r>
          </w:p>
        </w:tc>
      </w:tr>
      <w:tr w14:paraId="7F3C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27D6C752">
            <w:pPr>
              <w:jc w:val="both"/>
              <w:rPr>
                <w:rFonts w:eastAsia="Times New Roman" w:cs="Calibri"/>
                <w:lang w:eastAsia="zh-TW"/>
              </w:rPr>
            </w:pPr>
            <w:r>
              <w:rPr>
                <w:rFonts w:eastAsia="Times New Roman" w:cs="Calibri"/>
                <w:lang w:eastAsia="zh-TW"/>
              </w:rPr>
              <w:t>Infection, tissue reaction / short term</w:t>
            </w:r>
          </w:p>
        </w:tc>
        <w:tc>
          <w:tcPr>
            <w:tcW w:w="618" w:type="pct"/>
            <w:shd w:val="clear" w:color="auto" w:fill="auto"/>
          </w:tcPr>
          <w:p w14:paraId="288ADD83">
            <w:pPr>
              <w:jc w:val="center"/>
              <w:rPr>
                <w:rFonts w:eastAsia="Times New Roman" w:cs="Calibri"/>
                <w:lang w:eastAsia="zh-TW"/>
              </w:rPr>
            </w:pPr>
            <w:r>
              <w:rPr>
                <w:rFonts w:eastAsia="Times New Roman" w:cs="Calibri"/>
                <w:lang w:eastAsia="zh-TW"/>
              </w:rPr>
              <w:t>1</w:t>
            </w:r>
          </w:p>
        </w:tc>
        <w:tc>
          <w:tcPr>
            <w:tcW w:w="1496" w:type="pct"/>
            <w:shd w:val="clear" w:color="auto" w:fill="auto"/>
            <w:vAlign w:val="center"/>
          </w:tcPr>
          <w:p w14:paraId="4CC1F2C7">
            <w:pPr>
              <w:jc w:val="center"/>
              <w:rPr>
                <w:rFonts w:eastAsia="Times New Roman" w:cs="Calibri"/>
                <w:lang w:eastAsia="zh-TW"/>
              </w:rPr>
            </w:pPr>
            <w:r>
              <w:rPr>
                <w:rFonts w:eastAsia="Times New Roman" w:cs="Calibri"/>
                <w:lang w:eastAsia="zh-TW"/>
              </w:rPr>
              <w:t>0,1%</w:t>
            </w:r>
          </w:p>
        </w:tc>
      </w:tr>
      <w:tr w14:paraId="7953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38FB63B9">
            <w:pPr>
              <w:jc w:val="both"/>
              <w:rPr>
                <w:rFonts w:eastAsia="Times New Roman" w:cs="Calibri"/>
                <w:lang w:eastAsia="zh-TW"/>
              </w:rPr>
            </w:pPr>
            <w:r>
              <w:rPr>
                <w:rFonts w:eastAsia="Times New Roman" w:cs="Calibri"/>
                <w:lang w:eastAsia="zh-TW"/>
              </w:rPr>
              <w:t>Tissue reaction / long term</w:t>
            </w:r>
          </w:p>
        </w:tc>
        <w:tc>
          <w:tcPr>
            <w:tcW w:w="618" w:type="pct"/>
            <w:shd w:val="clear" w:color="auto" w:fill="auto"/>
          </w:tcPr>
          <w:p w14:paraId="0E469027">
            <w:pPr>
              <w:jc w:val="center"/>
              <w:rPr>
                <w:rFonts w:eastAsia="Times New Roman" w:cs="Calibri"/>
                <w:lang w:eastAsia="zh-TW"/>
              </w:rPr>
            </w:pPr>
            <w:r>
              <w:rPr>
                <w:rFonts w:eastAsia="Times New Roman" w:cs="Calibri"/>
                <w:lang w:eastAsia="zh-TW"/>
              </w:rPr>
              <w:t>4</w:t>
            </w:r>
          </w:p>
        </w:tc>
        <w:tc>
          <w:tcPr>
            <w:tcW w:w="1496" w:type="pct"/>
            <w:shd w:val="clear" w:color="auto" w:fill="auto"/>
            <w:vAlign w:val="center"/>
          </w:tcPr>
          <w:p w14:paraId="233FD8E2">
            <w:pPr>
              <w:jc w:val="center"/>
              <w:rPr>
                <w:rFonts w:eastAsia="Times New Roman" w:cs="Calibri"/>
                <w:lang w:eastAsia="zh-TW"/>
              </w:rPr>
            </w:pPr>
            <w:r>
              <w:rPr>
                <w:rFonts w:eastAsia="Times New Roman" w:cs="Calibri"/>
                <w:lang w:eastAsia="zh-TW"/>
              </w:rPr>
              <w:t>0,3%</w:t>
            </w:r>
          </w:p>
        </w:tc>
      </w:tr>
      <w:tr w14:paraId="533E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153B744D">
            <w:pPr>
              <w:jc w:val="both"/>
              <w:rPr>
                <w:rFonts w:eastAsia="Times New Roman" w:cs="Calibri"/>
                <w:lang w:eastAsia="zh-TW"/>
              </w:rPr>
            </w:pPr>
            <w:r>
              <w:rPr>
                <w:rFonts w:eastAsia="Times New Roman" w:cs="Calibri"/>
                <w:lang w:eastAsia="zh-TW"/>
              </w:rPr>
              <w:t>Mechanical irritation</w:t>
            </w:r>
          </w:p>
        </w:tc>
        <w:tc>
          <w:tcPr>
            <w:tcW w:w="618" w:type="pct"/>
            <w:shd w:val="clear" w:color="auto" w:fill="auto"/>
          </w:tcPr>
          <w:p w14:paraId="54627690">
            <w:pPr>
              <w:jc w:val="center"/>
              <w:rPr>
                <w:rFonts w:eastAsia="Times New Roman" w:cs="Calibri"/>
                <w:lang w:eastAsia="zh-TW"/>
              </w:rPr>
            </w:pPr>
            <w:r>
              <w:rPr>
                <w:rFonts w:eastAsia="Times New Roman" w:cs="Calibri"/>
                <w:lang w:eastAsia="zh-TW"/>
              </w:rPr>
              <w:t>0</w:t>
            </w:r>
          </w:p>
        </w:tc>
        <w:tc>
          <w:tcPr>
            <w:tcW w:w="1496" w:type="pct"/>
            <w:shd w:val="clear" w:color="auto" w:fill="auto"/>
            <w:vAlign w:val="center"/>
          </w:tcPr>
          <w:p w14:paraId="7580CB20">
            <w:pPr>
              <w:jc w:val="center"/>
              <w:rPr>
                <w:rFonts w:eastAsia="Times New Roman" w:cs="Calibri"/>
                <w:lang w:eastAsia="zh-TW"/>
              </w:rPr>
            </w:pPr>
            <w:r>
              <w:rPr>
                <w:rFonts w:eastAsia="Times New Roman" w:cs="Calibri"/>
                <w:lang w:eastAsia="zh-TW"/>
              </w:rPr>
              <w:t>0,0%</w:t>
            </w:r>
          </w:p>
        </w:tc>
      </w:tr>
      <w:tr w14:paraId="61E9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76BF986C">
            <w:pPr>
              <w:jc w:val="both"/>
              <w:rPr>
                <w:rFonts w:eastAsia="Times New Roman" w:cs="Calibri"/>
                <w:lang w:eastAsia="zh-TW"/>
              </w:rPr>
            </w:pPr>
            <w:r>
              <w:rPr>
                <w:rFonts w:eastAsia="Times New Roman" w:cs="Calibri"/>
                <w:lang w:eastAsia="zh-TW"/>
              </w:rPr>
              <w:t>Graft subsidence</w:t>
            </w:r>
          </w:p>
        </w:tc>
        <w:tc>
          <w:tcPr>
            <w:tcW w:w="618" w:type="pct"/>
            <w:shd w:val="clear" w:color="auto" w:fill="auto"/>
          </w:tcPr>
          <w:p w14:paraId="17A19765">
            <w:pPr>
              <w:jc w:val="center"/>
              <w:rPr>
                <w:rFonts w:eastAsia="Times New Roman" w:cs="Calibri"/>
                <w:lang w:eastAsia="zh-TW"/>
              </w:rPr>
            </w:pPr>
            <w:r>
              <w:rPr>
                <w:rFonts w:eastAsia="Times New Roman" w:cs="Calibri"/>
                <w:lang w:eastAsia="zh-TW"/>
              </w:rPr>
              <w:t>5</w:t>
            </w:r>
          </w:p>
        </w:tc>
        <w:tc>
          <w:tcPr>
            <w:tcW w:w="1496" w:type="pct"/>
            <w:shd w:val="clear" w:color="auto" w:fill="auto"/>
            <w:vAlign w:val="center"/>
          </w:tcPr>
          <w:p w14:paraId="5C62DF6B">
            <w:pPr>
              <w:jc w:val="center"/>
              <w:rPr>
                <w:rFonts w:eastAsia="Times New Roman" w:cs="Calibri"/>
                <w:lang w:eastAsia="zh-TW"/>
              </w:rPr>
            </w:pPr>
            <w:r>
              <w:rPr>
                <w:rFonts w:eastAsia="Times New Roman" w:cs="Calibri"/>
                <w:lang w:eastAsia="zh-TW"/>
              </w:rPr>
              <w:t>0,3%</w:t>
            </w:r>
          </w:p>
        </w:tc>
      </w:tr>
      <w:tr w14:paraId="3498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637C0EFC">
            <w:pPr>
              <w:rPr>
                <w:rFonts w:eastAsia="Times New Roman" w:cs="Calibri"/>
                <w:lang w:eastAsia="zh-TW"/>
              </w:rPr>
            </w:pPr>
            <w:r>
              <w:rPr>
                <w:rFonts w:eastAsia="Times New Roman" w:cs="Calibri"/>
                <w:lang w:eastAsia="zh-TW"/>
              </w:rPr>
              <w:t>Implant breakage during insertion</w:t>
            </w:r>
          </w:p>
        </w:tc>
        <w:tc>
          <w:tcPr>
            <w:tcW w:w="618" w:type="pct"/>
            <w:shd w:val="clear" w:color="auto" w:fill="auto"/>
          </w:tcPr>
          <w:p w14:paraId="6FE12F9F">
            <w:pPr>
              <w:jc w:val="center"/>
              <w:rPr>
                <w:rFonts w:eastAsia="Times New Roman" w:cs="Calibri"/>
                <w:lang w:eastAsia="zh-TW"/>
              </w:rPr>
            </w:pPr>
            <w:r>
              <w:rPr>
                <w:rFonts w:eastAsia="Times New Roman" w:cs="Calibri"/>
                <w:lang w:eastAsia="zh-TW"/>
              </w:rPr>
              <w:t>9</w:t>
            </w:r>
          </w:p>
        </w:tc>
        <w:tc>
          <w:tcPr>
            <w:tcW w:w="1496" w:type="pct"/>
            <w:shd w:val="clear" w:color="auto" w:fill="auto"/>
            <w:vAlign w:val="center"/>
          </w:tcPr>
          <w:p w14:paraId="1B75E357">
            <w:pPr>
              <w:jc w:val="center"/>
              <w:rPr>
                <w:rFonts w:eastAsia="Times New Roman" w:cs="Calibri"/>
                <w:lang w:eastAsia="zh-TW"/>
              </w:rPr>
            </w:pPr>
            <w:r>
              <w:rPr>
                <w:rFonts w:eastAsia="Times New Roman" w:cs="Calibri"/>
                <w:lang w:eastAsia="zh-TW"/>
              </w:rPr>
              <w:t>0,6%</w:t>
            </w:r>
          </w:p>
        </w:tc>
      </w:tr>
      <w:tr w14:paraId="0E1C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3547B008">
            <w:pPr>
              <w:rPr>
                <w:rFonts w:eastAsia="Times New Roman" w:cs="Calibri"/>
                <w:lang w:eastAsia="zh-TW"/>
              </w:rPr>
            </w:pPr>
            <w:r>
              <w:rPr>
                <w:rFonts w:eastAsia="Times New Roman" w:cs="Calibri"/>
                <w:lang w:eastAsia="zh-TW"/>
              </w:rPr>
              <w:t>Other insertion problems and instrument issues</w:t>
            </w:r>
          </w:p>
        </w:tc>
        <w:tc>
          <w:tcPr>
            <w:tcW w:w="618" w:type="pct"/>
            <w:shd w:val="clear" w:color="auto" w:fill="auto"/>
          </w:tcPr>
          <w:p w14:paraId="6957B6A0">
            <w:pPr>
              <w:jc w:val="center"/>
              <w:rPr>
                <w:rFonts w:eastAsia="Times New Roman" w:cs="Calibri"/>
                <w:lang w:eastAsia="zh-TW"/>
              </w:rPr>
            </w:pPr>
            <w:r>
              <w:rPr>
                <w:rFonts w:eastAsia="Times New Roman" w:cs="Calibri"/>
                <w:lang w:eastAsia="zh-TW"/>
              </w:rPr>
              <w:t>3</w:t>
            </w:r>
          </w:p>
        </w:tc>
        <w:tc>
          <w:tcPr>
            <w:tcW w:w="1496" w:type="pct"/>
            <w:shd w:val="clear" w:color="auto" w:fill="auto"/>
            <w:vAlign w:val="center"/>
          </w:tcPr>
          <w:p w14:paraId="24D6F565">
            <w:pPr>
              <w:jc w:val="center"/>
              <w:rPr>
                <w:rFonts w:eastAsia="Times New Roman" w:cs="Calibri"/>
                <w:lang w:eastAsia="zh-TW"/>
              </w:rPr>
            </w:pPr>
            <w:r>
              <w:rPr>
                <w:rFonts w:eastAsia="Times New Roman" w:cs="Calibri"/>
                <w:lang w:eastAsia="zh-TW"/>
              </w:rPr>
              <w:t>0,2%</w:t>
            </w:r>
          </w:p>
        </w:tc>
      </w:tr>
      <w:tr w14:paraId="285F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886" w:type="pct"/>
            <w:shd w:val="clear" w:color="auto" w:fill="EEECE1"/>
          </w:tcPr>
          <w:p w14:paraId="4612E5BC">
            <w:pPr>
              <w:jc w:val="both"/>
              <w:rPr>
                <w:rFonts w:eastAsia="Times New Roman" w:cs="Calibri"/>
                <w:lang w:eastAsia="zh-TW"/>
              </w:rPr>
            </w:pPr>
            <w:r>
              <w:rPr>
                <w:rFonts w:eastAsia="Times New Roman" w:cs="Calibri"/>
                <w:lang w:eastAsia="zh-TW"/>
              </w:rPr>
              <w:t>Total</w:t>
            </w:r>
          </w:p>
        </w:tc>
        <w:tc>
          <w:tcPr>
            <w:tcW w:w="618" w:type="pct"/>
            <w:shd w:val="clear" w:color="auto" w:fill="EEECE1"/>
          </w:tcPr>
          <w:p w14:paraId="4C7291EE">
            <w:pPr>
              <w:jc w:val="center"/>
              <w:rPr>
                <w:rFonts w:eastAsia="Times New Roman" w:cs="Calibri"/>
                <w:lang w:eastAsia="zh-TW"/>
              </w:rPr>
            </w:pPr>
            <w:r>
              <w:rPr>
                <w:rFonts w:eastAsia="Times New Roman" w:cs="Calibri"/>
                <w:lang w:eastAsia="zh-TW"/>
              </w:rPr>
              <w:t>34</w:t>
            </w:r>
          </w:p>
        </w:tc>
        <w:tc>
          <w:tcPr>
            <w:tcW w:w="1496" w:type="pct"/>
            <w:shd w:val="clear" w:color="auto" w:fill="EEECE1"/>
            <w:vAlign w:val="center"/>
          </w:tcPr>
          <w:p w14:paraId="252C6678">
            <w:pPr>
              <w:jc w:val="center"/>
              <w:rPr>
                <w:rFonts w:eastAsia="Times New Roman" w:cs="Calibri"/>
                <w:lang w:eastAsia="zh-TW"/>
              </w:rPr>
            </w:pPr>
            <w:r>
              <w:rPr>
                <w:rFonts w:eastAsia="Times New Roman" w:cs="Calibri"/>
                <w:lang w:eastAsia="zh-TW"/>
              </w:rPr>
              <w:t>1452</w:t>
            </w:r>
          </w:p>
        </w:tc>
      </w:tr>
      <w:bookmarkEnd w:id="71"/>
    </w:tbl>
    <w:p w14:paraId="6BDA1F62">
      <w:pPr>
        <w:jc w:val="both"/>
        <w:rPr>
          <w:rFonts w:cs="Calibri"/>
          <w:lang w:eastAsia="zh-CN"/>
        </w:rPr>
      </w:pPr>
    </w:p>
    <w:p w14:paraId="42FA5089">
      <w:pPr>
        <w:pStyle w:val="14"/>
        <w:rPr>
          <w:rFonts w:ascii="Calibri" w:hAnsi="Calibri"/>
        </w:rPr>
      </w:pPr>
      <w:bookmarkStart w:id="72" w:name="_Toc480979601"/>
      <w:r>
        <w:rPr>
          <w:rFonts w:ascii="Calibri" w:hAnsi="Calibri"/>
        </w:rPr>
        <w:t>Table 22. Inion S-2: Hazards analysis of customer feedback evaluations</w:t>
      </w:r>
      <w:bookmarkEnd w:id="72"/>
    </w:p>
    <w:p w14:paraId="55BCE7A1">
      <w:pPr>
        <w:jc w:val="both"/>
        <w:rPr>
          <w:rFonts w:cs="Calibri"/>
          <w:lang w:val="en-GB" w:eastAsia="zh-CN"/>
        </w:rPr>
      </w:pPr>
    </w:p>
    <w:tbl>
      <w:tblPr>
        <w:tblStyle w:val="26"/>
        <w:tblpPr w:leftFromText="180" w:rightFromText="180" w:vertAnchor="text" w:horzAnchor="page" w:tblpX="1797" w:tblpY="6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5"/>
        <w:gridCol w:w="1095"/>
        <w:gridCol w:w="2652"/>
      </w:tblGrid>
      <w:tr w14:paraId="229C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886" w:type="pct"/>
            <w:shd w:val="clear" w:color="auto" w:fill="EEECE1"/>
          </w:tcPr>
          <w:p w14:paraId="1E63A272">
            <w:pPr>
              <w:jc w:val="both"/>
              <w:rPr>
                <w:rFonts w:eastAsia="Times New Roman" w:cs="Calibri"/>
                <w:lang w:eastAsia="zh-TW"/>
              </w:rPr>
            </w:pPr>
            <w:r>
              <w:rPr>
                <w:rFonts w:eastAsia="Times New Roman" w:cs="Calibri"/>
                <w:lang w:eastAsia="zh-TW"/>
              </w:rPr>
              <w:t>Hazard/Risk</w:t>
            </w:r>
          </w:p>
        </w:tc>
        <w:tc>
          <w:tcPr>
            <w:tcW w:w="618" w:type="pct"/>
            <w:shd w:val="clear" w:color="auto" w:fill="EEECE1"/>
          </w:tcPr>
          <w:p w14:paraId="3D7CD2A0">
            <w:pPr>
              <w:jc w:val="center"/>
              <w:rPr>
                <w:rFonts w:eastAsia="Times New Roman" w:cs="Calibri"/>
                <w:lang w:eastAsia="zh-TW"/>
              </w:rPr>
            </w:pPr>
            <w:r>
              <w:rPr>
                <w:rFonts w:eastAsia="Times New Roman" w:cs="Calibri"/>
                <w:lang w:eastAsia="zh-TW"/>
              </w:rPr>
              <w:t>Events</w:t>
            </w:r>
          </w:p>
        </w:tc>
        <w:tc>
          <w:tcPr>
            <w:tcW w:w="1496" w:type="pct"/>
            <w:shd w:val="clear" w:color="auto" w:fill="EEECE1"/>
          </w:tcPr>
          <w:p w14:paraId="1738E31B">
            <w:pPr>
              <w:jc w:val="center"/>
              <w:rPr>
                <w:rFonts w:eastAsia="Times New Roman" w:cs="Calibri"/>
                <w:lang w:eastAsia="zh-TW"/>
              </w:rPr>
            </w:pPr>
            <w:r>
              <w:rPr>
                <w:rFonts w:eastAsia="Times New Roman" w:cs="Calibri"/>
                <w:lang w:eastAsia="zh-TW"/>
              </w:rPr>
              <w:t>Occurrence rate</w:t>
            </w:r>
          </w:p>
          <w:p w14:paraId="18E316DF">
            <w:pPr>
              <w:jc w:val="center"/>
              <w:rPr>
                <w:rFonts w:eastAsia="Times New Roman" w:cs="Calibri"/>
                <w:lang w:eastAsia="zh-TW"/>
              </w:rPr>
            </w:pPr>
            <w:r>
              <w:rPr>
                <w:rFonts w:eastAsia="Times New Roman" w:cs="Calibri"/>
                <w:lang w:eastAsia="zh-TW"/>
              </w:rPr>
              <w:t>(events/total cases)</w:t>
            </w:r>
          </w:p>
        </w:tc>
      </w:tr>
      <w:tr w14:paraId="02AD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2D6ED111">
            <w:pPr>
              <w:jc w:val="both"/>
              <w:rPr>
                <w:rFonts w:eastAsia="Times New Roman" w:cs="Calibri"/>
                <w:lang w:eastAsia="zh-TW"/>
              </w:rPr>
            </w:pPr>
            <w:r>
              <w:rPr>
                <w:rFonts w:eastAsia="Times New Roman" w:cs="Calibri"/>
                <w:lang w:eastAsia="zh-TW"/>
              </w:rPr>
              <w:t>Fixation breakage, nonunion, malunion</w:t>
            </w:r>
          </w:p>
        </w:tc>
        <w:tc>
          <w:tcPr>
            <w:tcW w:w="618" w:type="pct"/>
            <w:shd w:val="clear" w:color="auto" w:fill="auto"/>
          </w:tcPr>
          <w:p w14:paraId="76B5FC42">
            <w:pPr>
              <w:jc w:val="center"/>
              <w:rPr>
                <w:rFonts w:eastAsia="Times New Roman" w:cs="Calibri"/>
                <w:lang w:eastAsia="zh-TW"/>
              </w:rPr>
            </w:pPr>
            <w:r>
              <w:rPr>
                <w:rFonts w:eastAsia="Times New Roman" w:cs="Calibri"/>
                <w:lang w:eastAsia="zh-TW"/>
              </w:rPr>
              <w:t>0</w:t>
            </w:r>
          </w:p>
        </w:tc>
        <w:tc>
          <w:tcPr>
            <w:tcW w:w="1496" w:type="pct"/>
            <w:shd w:val="clear" w:color="auto" w:fill="auto"/>
            <w:vAlign w:val="center"/>
          </w:tcPr>
          <w:p w14:paraId="6553AE20">
            <w:pPr>
              <w:jc w:val="center"/>
              <w:rPr>
                <w:rFonts w:eastAsia="Times New Roman" w:cs="Calibri"/>
                <w:lang w:eastAsia="zh-TW"/>
              </w:rPr>
            </w:pPr>
            <w:r>
              <w:rPr>
                <w:rFonts w:eastAsia="Times New Roman" w:cs="Calibri"/>
                <w:lang w:eastAsia="zh-TW"/>
              </w:rPr>
              <w:t>0,0%</w:t>
            </w:r>
          </w:p>
        </w:tc>
      </w:tr>
      <w:tr w14:paraId="670D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7F1D4F5C">
            <w:pPr>
              <w:jc w:val="both"/>
              <w:rPr>
                <w:rFonts w:eastAsia="Times New Roman" w:cs="Calibri"/>
                <w:lang w:eastAsia="zh-TW"/>
              </w:rPr>
            </w:pPr>
            <w:r>
              <w:rPr>
                <w:rFonts w:eastAsia="Times New Roman" w:cs="Calibri"/>
                <w:lang w:eastAsia="zh-TW"/>
              </w:rPr>
              <w:t>Infection, tissue reaction / short term</w:t>
            </w:r>
          </w:p>
        </w:tc>
        <w:tc>
          <w:tcPr>
            <w:tcW w:w="618" w:type="pct"/>
            <w:shd w:val="clear" w:color="auto" w:fill="auto"/>
          </w:tcPr>
          <w:p w14:paraId="457EAE52">
            <w:pPr>
              <w:jc w:val="center"/>
              <w:rPr>
                <w:rFonts w:eastAsia="Times New Roman" w:cs="Calibri"/>
                <w:lang w:eastAsia="zh-TW"/>
              </w:rPr>
            </w:pPr>
            <w:r>
              <w:rPr>
                <w:rFonts w:eastAsia="Times New Roman" w:cs="Calibri"/>
                <w:lang w:eastAsia="zh-TW"/>
              </w:rPr>
              <w:t>1</w:t>
            </w:r>
          </w:p>
        </w:tc>
        <w:tc>
          <w:tcPr>
            <w:tcW w:w="1496" w:type="pct"/>
            <w:shd w:val="clear" w:color="auto" w:fill="auto"/>
            <w:vAlign w:val="center"/>
          </w:tcPr>
          <w:p w14:paraId="5A16EBB0">
            <w:pPr>
              <w:jc w:val="center"/>
              <w:rPr>
                <w:rFonts w:eastAsia="Times New Roman" w:cs="Calibri"/>
                <w:lang w:eastAsia="zh-TW"/>
              </w:rPr>
            </w:pPr>
            <w:r>
              <w:rPr>
                <w:rFonts w:eastAsia="Times New Roman" w:cs="Calibri"/>
                <w:lang w:eastAsia="zh-TW"/>
              </w:rPr>
              <w:t>0,5%</w:t>
            </w:r>
          </w:p>
        </w:tc>
      </w:tr>
      <w:tr w14:paraId="5B43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794F2541">
            <w:pPr>
              <w:jc w:val="both"/>
              <w:rPr>
                <w:rFonts w:eastAsia="Times New Roman" w:cs="Calibri"/>
                <w:lang w:eastAsia="zh-TW"/>
              </w:rPr>
            </w:pPr>
            <w:r>
              <w:rPr>
                <w:rFonts w:eastAsia="Times New Roman" w:cs="Calibri"/>
                <w:lang w:eastAsia="zh-TW"/>
              </w:rPr>
              <w:t>Tissue reaction / long term</w:t>
            </w:r>
          </w:p>
        </w:tc>
        <w:tc>
          <w:tcPr>
            <w:tcW w:w="618" w:type="pct"/>
            <w:shd w:val="clear" w:color="auto" w:fill="auto"/>
          </w:tcPr>
          <w:p w14:paraId="54A81C73">
            <w:pPr>
              <w:jc w:val="center"/>
              <w:rPr>
                <w:rFonts w:eastAsia="Times New Roman" w:cs="Calibri"/>
                <w:lang w:eastAsia="zh-TW"/>
              </w:rPr>
            </w:pPr>
            <w:r>
              <w:rPr>
                <w:rFonts w:eastAsia="Times New Roman" w:cs="Calibri"/>
                <w:lang w:eastAsia="zh-TW"/>
              </w:rPr>
              <w:t>0</w:t>
            </w:r>
          </w:p>
        </w:tc>
        <w:tc>
          <w:tcPr>
            <w:tcW w:w="1496" w:type="pct"/>
            <w:shd w:val="clear" w:color="auto" w:fill="auto"/>
            <w:vAlign w:val="center"/>
          </w:tcPr>
          <w:p w14:paraId="08BD6606">
            <w:pPr>
              <w:jc w:val="center"/>
              <w:rPr>
                <w:rFonts w:eastAsia="Times New Roman" w:cs="Calibri"/>
                <w:lang w:eastAsia="zh-TW"/>
              </w:rPr>
            </w:pPr>
            <w:r>
              <w:rPr>
                <w:rFonts w:eastAsia="Times New Roman" w:cs="Calibri"/>
                <w:lang w:eastAsia="zh-TW"/>
              </w:rPr>
              <w:t>0,0%</w:t>
            </w:r>
          </w:p>
        </w:tc>
      </w:tr>
      <w:tr w14:paraId="5915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2980D47C">
            <w:pPr>
              <w:jc w:val="both"/>
              <w:rPr>
                <w:rFonts w:eastAsia="Times New Roman" w:cs="Calibri"/>
                <w:lang w:eastAsia="zh-TW"/>
              </w:rPr>
            </w:pPr>
            <w:r>
              <w:rPr>
                <w:rFonts w:eastAsia="Times New Roman" w:cs="Calibri"/>
                <w:lang w:eastAsia="zh-TW"/>
              </w:rPr>
              <w:t>Mechanical irritation</w:t>
            </w:r>
          </w:p>
        </w:tc>
        <w:tc>
          <w:tcPr>
            <w:tcW w:w="618" w:type="pct"/>
            <w:shd w:val="clear" w:color="auto" w:fill="auto"/>
          </w:tcPr>
          <w:p w14:paraId="063EE49B">
            <w:pPr>
              <w:jc w:val="center"/>
              <w:rPr>
                <w:rFonts w:eastAsia="Times New Roman" w:cs="Calibri"/>
                <w:lang w:eastAsia="zh-TW"/>
              </w:rPr>
            </w:pPr>
            <w:r>
              <w:rPr>
                <w:rFonts w:eastAsia="Times New Roman" w:cs="Calibri"/>
                <w:lang w:eastAsia="zh-TW"/>
              </w:rPr>
              <w:t>0</w:t>
            </w:r>
          </w:p>
        </w:tc>
        <w:tc>
          <w:tcPr>
            <w:tcW w:w="1496" w:type="pct"/>
            <w:shd w:val="clear" w:color="auto" w:fill="auto"/>
            <w:vAlign w:val="center"/>
          </w:tcPr>
          <w:p w14:paraId="751E675E">
            <w:pPr>
              <w:jc w:val="center"/>
              <w:rPr>
                <w:rFonts w:eastAsia="Times New Roman" w:cs="Calibri"/>
                <w:lang w:eastAsia="zh-TW"/>
              </w:rPr>
            </w:pPr>
            <w:r>
              <w:rPr>
                <w:rFonts w:eastAsia="Times New Roman" w:cs="Calibri"/>
                <w:lang w:eastAsia="zh-TW"/>
              </w:rPr>
              <w:t>0,0%</w:t>
            </w:r>
          </w:p>
        </w:tc>
      </w:tr>
      <w:tr w14:paraId="3AB3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0CF1C8E8">
            <w:pPr>
              <w:jc w:val="both"/>
              <w:rPr>
                <w:rFonts w:eastAsia="Times New Roman" w:cs="Calibri"/>
                <w:lang w:eastAsia="zh-TW"/>
              </w:rPr>
            </w:pPr>
            <w:r>
              <w:rPr>
                <w:rFonts w:eastAsia="Times New Roman" w:cs="Calibri"/>
                <w:lang w:eastAsia="zh-TW"/>
              </w:rPr>
              <w:t>Graft subsidence</w:t>
            </w:r>
          </w:p>
        </w:tc>
        <w:tc>
          <w:tcPr>
            <w:tcW w:w="618" w:type="pct"/>
            <w:shd w:val="clear" w:color="auto" w:fill="auto"/>
          </w:tcPr>
          <w:p w14:paraId="0A8F27B4">
            <w:pPr>
              <w:jc w:val="center"/>
              <w:rPr>
                <w:rFonts w:eastAsia="Times New Roman" w:cs="Calibri"/>
                <w:lang w:eastAsia="zh-TW"/>
              </w:rPr>
            </w:pPr>
            <w:r>
              <w:rPr>
                <w:rFonts w:eastAsia="Times New Roman" w:cs="Calibri"/>
                <w:lang w:eastAsia="zh-TW"/>
              </w:rPr>
              <w:t>0</w:t>
            </w:r>
          </w:p>
        </w:tc>
        <w:tc>
          <w:tcPr>
            <w:tcW w:w="1496" w:type="pct"/>
            <w:shd w:val="clear" w:color="auto" w:fill="auto"/>
            <w:vAlign w:val="center"/>
          </w:tcPr>
          <w:p w14:paraId="69402F46">
            <w:pPr>
              <w:jc w:val="center"/>
              <w:rPr>
                <w:rFonts w:eastAsia="Times New Roman" w:cs="Calibri"/>
                <w:lang w:eastAsia="zh-TW"/>
              </w:rPr>
            </w:pPr>
            <w:r>
              <w:rPr>
                <w:rFonts w:eastAsia="Times New Roman" w:cs="Calibri"/>
                <w:lang w:eastAsia="zh-TW"/>
              </w:rPr>
              <w:t>0,0%</w:t>
            </w:r>
          </w:p>
        </w:tc>
      </w:tr>
      <w:tr w14:paraId="3615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6D50DFFF">
            <w:pPr>
              <w:rPr>
                <w:rFonts w:eastAsia="Times New Roman" w:cs="Calibri"/>
                <w:lang w:eastAsia="zh-TW"/>
              </w:rPr>
            </w:pPr>
            <w:r>
              <w:rPr>
                <w:rFonts w:eastAsia="Times New Roman" w:cs="Calibri"/>
                <w:lang w:eastAsia="zh-TW"/>
              </w:rPr>
              <w:t>Implant breakage during insertion</w:t>
            </w:r>
          </w:p>
        </w:tc>
        <w:tc>
          <w:tcPr>
            <w:tcW w:w="618" w:type="pct"/>
            <w:shd w:val="clear" w:color="auto" w:fill="auto"/>
          </w:tcPr>
          <w:p w14:paraId="3B3F7019">
            <w:pPr>
              <w:jc w:val="center"/>
              <w:rPr>
                <w:rFonts w:eastAsia="Times New Roman" w:cs="Calibri"/>
                <w:lang w:eastAsia="zh-TW"/>
              </w:rPr>
            </w:pPr>
            <w:r>
              <w:rPr>
                <w:rFonts w:eastAsia="Times New Roman" w:cs="Calibri"/>
                <w:lang w:eastAsia="zh-TW"/>
              </w:rPr>
              <w:t>1</w:t>
            </w:r>
          </w:p>
        </w:tc>
        <w:tc>
          <w:tcPr>
            <w:tcW w:w="1496" w:type="pct"/>
            <w:shd w:val="clear" w:color="auto" w:fill="auto"/>
            <w:vAlign w:val="center"/>
          </w:tcPr>
          <w:p w14:paraId="57B2A7F5">
            <w:pPr>
              <w:jc w:val="center"/>
              <w:rPr>
                <w:rFonts w:eastAsia="Times New Roman" w:cs="Calibri"/>
                <w:lang w:eastAsia="zh-TW"/>
              </w:rPr>
            </w:pPr>
            <w:r>
              <w:rPr>
                <w:rFonts w:eastAsia="Times New Roman" w:cs="Calibri"/>
                <w:lang w:eastAsia="zh-TW"/>
              </w:rPr>
              <w:t>0,5%</w:t>
            </w:r>
          </w:p>
        </w:tc>
      </w:tr>
      <w:tr w14:paraId="0404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pct"/>
            <w:shd w:val="clear" w:color="auto" w:fill="auto"/>
          </w:tcPr>
          <w:p w14:paraId="409EA838">
            <w:pPr>
              <w:rPr>
                <w:rFonts w:eastAsia="Times New Roman" w:cs="Calibri"/>
                <w:lang w:eastAsia="zh-TW"/>
              </w:rPr>
            </w:pPr>
            <w:r>
              <w:rPr>
                <w:rFonts w:eastAsia="Times New Roman" w:cs="Calibri"/>
                <w:lang w:eastAsia="zh-TW"/>
              </w:rPr>
              <w:t>Other insertion problems and instrument issues</w:t>
            </w:r>
          </w:p>
        </w:tc>
        <w:tc>
          <w:tcPr>
            <w:tcW w:w="618" w:type="pct"/>
            <w:shd w:val="clear" w:color="auto" w:fill="auto"/>
          </w:tcPr>
          <w:p w14:paraId="01E18F00">
            <w:pPr>
              <w:ind w:left="720" w:hanging="720"/>
              <w:jc w:val="center"/>
              <w:rPr>
                <w:rFonts w:eastAsia="Times New Roman" w:cs="Calibri"/>
                <w:lang w:eastAsia="zh-TW"/>
              </w:rPr>
            </w:pPr>
            <w:r>
              <w:rPr>
                <w:rFonts w:eastAsia="Times New Roman" w:cs="Calibri"/>
                <w:lang w:eastAsia="zh-TW"/>
              </w:rPr>
              <w:t>5</w:t>
            </w:r>
          </w:p>
        </w:tc>
        <w:tc>
          <w:tcPr>
            <w:tcW w:w="1496" w:type="pct"/>
            <w:shd w:val="clear" w:color="auto" w:fill="auto"/>
            <w:vAlign w:val="center"/>
          </w:tcPr>
          <w:p w14:paraId="74B1BF9C">
            <w:pPr>
              <w:jc w:val="center"/>
              <w:rPr>
                <w:rFonts w:eastAsia="Times New Roman" w:cs="Calibri"/>
                <w:lang w:eastAsia="zh-TW"/>
              </w:rPr>
            </w:pPr>
            <w:r>
              <w:rPr>
                <w:rFonts w:eastAsia="Times New Roman" w:cs="Calibri"/>
                <w:lang w:eastAsia="zh-TW"/>
              </w:rPr>
              <w:t>2,3%</w:t>
            </w:r>
          </w:p>
        </w:tc>
      </w:tr>
      <w:tr w14:paraId="4BF8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886" w:type="pct"/>
            <w:shd w:val="clear" w:color="auto" w:fill="EEECE1"/>
          </w:tcPr>
          <w:p w14:paraId="00DC0D8D">
            <w:pPr>
              <w:jc w:val="both"/>
              <w:rPr>
                <w:rFonts w:eastAsia="Times New Roman" w:cs="Calibri"/>
                <w:lang w:eastAsia="zh-TW"/>
              </w:rPr>
            </w:pPr>
            <w:r>
              <w:rPr>
                <w:rFonts w:eastAsia="Times New Roman" w:cs="Calibri"/>
                <w:lang w:eastAsia="zh-TW"/>
              </w:rPr>
              <w:t>Total</w:t>
            </w:r>
          </w:p>
        </w:tc>
        <w:tc>
          <w:tcPr>
            <w:tcW w:w="618" w:type="pct"/>
            <w:shd w:val="clear" w:color="auto" w:fill="EEECE1"/>
          </w:tcPr>
          <w:p w14:paraId="4A8DF4D7">
            <w:pPr>
              <w:jc w:val="center"/>
              <w:rPr>
                <w:rFonts w:eastAsia="Times New Roman" w:cs="Calibri"/>
                <w:lang w:eastAsia="zh-TW"/>
              </w:rPr>
            </w:pPr>
            <w:r>
              <w:rPr>
                <w:rFonts w:eastAsia="Times New Roman" w:cs="Calibri"/>
                <w:lang w:eastAsia="zh-TW"/>
              </w:rPr>
              <w:t>7</w:t>
            </w:r>
          </w:p>
        </w:tc>
        <w:tc>
          <w:tcPr>
            <w:tcW w:w="1496" w:type="pct"/>
            <w:shd w:val="clear" w:color="auto" w:fill="EEECE1"/>
            <w:vAlign w:val="center"/>
          </w:tcPr>
          <w:p w14:paraId="48A018F9">
            <w:pPr>
              <w:jc w:val="center"/>
              <w:rPr>
                <w:rFonts w:eastAsia="Times New Roman" w:cs="Calibri"/>
                <w:lang w:eastAsia="zh-TW"/>
              </w:rPr>
            </w:pPr>
            <w:r>
              <w:rPr>
                <w:rFonts w:eastAsia="Times New Roman" w:cs="Calibri"/>
                <w:lang w:eastAsia="zh-TW"/>
              </w:rPr>
              <w:t>214</w:t>
            </w:r>
          </w:p>
        </w:tc>
      </w:tr>
    </w:tbl>
    <w:p w14:paraId="1F1D14BD">
      <w:pPr>
        <w:jc w:val="both"/>
        <w:rPr>
          <w:rFonts w:cs="Calibri"/>
          <w:lang w:eastAsia="zh-CN"/>
        </w:rPr>
      </w:pPr>
    </w:p>
    <w:p w14:paraId="50DC90FC">
      <w:pPr>
        <w:jc w:val="both"/>
        <w:rPr>
          <w:rFonts w:cs="Calibri"/>
          <w:lang w:eastAsia="fi-FI"/>
        </w:rPr>
      </w:pPr>
      <w:r>
        <w:rPr>
          <w:rFonts w:hint="eastAsia" w:cs="Calibri"/>
          <w:lang w:eastAsia="zh-CN"/>
        </w:rPr>
        <w:t>C</w:t>
      </w:r>
      <w:r>
        <w:rPr>
          <w:rFonts w:eastAsia="PMingLiU" w:cs="Calibri"/>
          <w:lang w:eastAsia="zh-TW"/>
        </w:rPr>
        <w:t xml:space="preserve">ustomer complaints </w:t>
      </w:r>
      <w:r>
        <w:rPr>
          <w:rFonts w:hint="eastAsia" w:cs="Calibri"/>
          <w:lang w:eastAsia="zh-CN"/>
        </w:rPr>
        <w:t>are</w:t>
      </w:r>
      <w:r>
        <w:rPr>
          <w:rFonts w:eastAsia="PMingLiU" w:cs="Calibri"/>
          <w:lang w:eastAsia="zh-TW"/>
        </w:rPr>
        <w:t xml:space="preserve"> usually </w:t>
      </w:r>
      <w:r>
        <w:rPr>
          <w:rFonts w:hint="eastAsia" w:cs="Calibri"/>
          <w:lang w:eastAsia="zh-CN"/>
        </w:rPr>
        <w:t>received</w:t>
      </w:r>
      <w:r>
        <w:rPr>
          <w:rFonts w:eastAsia="PMingLiU" w:cs="Calibri"/>
          <w:lang w:eastAsia="zh-TW"/>
        </w:rPr>
        <w:t xml:space="preserve"> from users (surgeons) or distributors.</w:t>
      </w:r>
      <w:r>
        <w:t xml:space="preserve"> Customer feedback evaluation shows that most of the product problems were related to non-optimal usage technique or implant selection, which refers often to the fact that there is a learning curve when surgical operations are conducted with biodegradable implants instead of titanium implants. Such events tend to decrease as the surgeons gain more experience on the usage of these materials and insertion techniques.</w:t>
      </w:r>
      <w:r>
        <w:rPr>
          <w:rFonts w:cs="Calibri"/>
          <w:lang w:eastAsia="fi-FI"/>
        </w:rPr>
        <w:t xml:space="preserve"> </w:t>
      </w:r>
    </w:p>
    <w:p w14:paraId="7F3DAA0B">
      <w:pPr>
        <w:jc w:val="both"/>
        <w:rPr>
          <w:rFonts w:cs="Calibri"/>
          <w:szCs w:val="20"/>
          <w:lang w:eastAsia="fi-FI"/>
        </w:rPr>
      </w:pPr>
    </w:p>
    <w:p w14:paraId="60E7CEAE">
      <w:pPr>
        <w:jc w:val="both"/>
        <w:rPr>
          <w:rFonts w:cs="Calibri"/>
          <w:szCs w:val="20"/>
          <w:lang w:eastAsia="fi-FI"/>
        </w:rPr>
      </w:pPr>
      <w:r>
        <w:rPr>
          <w:rFonts w:cs="Calibri"/>
          <w:szCs w:val="20"/>
          <w:lang w:eastAsia="fi-FI"/>
        </w:rPr>
        <w:t>Risk of adverse reactions is always present in surgical operations when foreign material is implanted regardless of implant material, size, and operation site.</w:t>
      </w:r>
    </w:p>
    <w:p w14:paraId="2A0C082F">
      <w:pPr>
        <w:rPr>
          <w:rFonts w:cs="Calibri"/>
          <w:lang w:eastAsia="zh-CN"/>
        </w:rPr>
      </w:pPr>
    </w:p>
    <w:p w14:paraId="3575D937">
      <w:pPr>
        <w:pStyle w:val="60"/>
        <w:ind w:left="0"/>
        <w:rPr>
          <w:rFonts w:eastAsia="PMingLiU" w:cs="Calibri"/>
          <w:b/>
          <w:lang w:eastAsia="zh-TW"/>
        </w:rPr>
      </w:pPr>
      <w:r>
        <w:rPr>
          <w:rFonts w:hint="eastAsia" w:cs="Calibri"/>
          <w:b/>
          <w:lang w:eastAsia="zh-CN"/>
        </w:rPr>
        <w:t xml:space="preserve">5.3.4 </w:t>
      </w:r>
      <w:r>
        <w:rPr>
          <w:rFonts w:eastAsia="PMingLiU" w:cs="Calibri"/>
          <w:b/>
          <w:lang w:eastAsia="zh-TW"/>
        </w:rPr>
        <w:t xml:space="preserve">Clinical Application </w:t>
      </w:r>
      <w:r>
        <w:rPr>
          <w:rFonts w:hint="eastAsia" w:cs="Calibri"/>
          <w:b/>
          <w:lang w:eastAsia="zh-CN"/>
        </w:rPr>
        <w:t>in</w:t>
      </w:r>
      <w:r>
        <w:rPr>
          <w:rFonts w:eastAsia="PMingLiU" w:cs="Calibri"/>
          <w:b/>
          <w:lang w:eastAsia="zh-TW"/>
        </w:rPr>
        <w:t xml:space="preserve"> Literatures</w:t>
      </w:r>
    </w:p>
    <w:p w14:paraId="4FB765C3">
      <w:pPr>
        <w:jc w:val="both"/>
        <w:rPr>
          <w:rFonts w:cs="Calibri"/>
          <w:lang w:eastAsia="zh-CN"/>
        </w:rPr>
      </w:pPr>
      <w:r>
        <w:rPr>
          <w:rFonts w:hint="eastAsia" w:cs="Calibri"/>
        </w:rPr>
        <w:t>Related safety rep</w:t>
      </w:r>
      <w:r>
        <w:rPr>
          <w:rFonts w:hint="eastAsia" w:eastAsia="PMingLiU" w:cs="Calibri"/>
          <w:lang w:eastAsia="zh-TW"/>
        </w:rPr>
        <w:t xml:space="preserve">orts are </w:t>
      </w:r>
      <w:r>
        <w:rPr>
          <w:rFonts w:eastAsia="PMingLiU" w:cs="Calibri"/>
          <w:lang w:eastAsia="zh-TW"/>
        </w:rPr>
        <w:t>described</w:t>
      </w:r>
      <w:r>
        <w:rPr>
          <w:rFonts w:hint="eastAsia" w:eastAsia="PMingLiU" w:cs="Calibri"/>
          <w:lang w:eastAsia="zh-TW"/>
        </w:rPr>
        <w:t xml:space="preserve"> in 5.2</w:t>
      </w:r>
      <w:r>
        <w:rPr>
          <w:rFonts w:eastAsia="PMingLiU" w:cs="Calibri"/>
          <w:lang w:eastAsia="zh-TW"/>
        </w:rPr>
        <w:t>.</w:t>
      </w:r>
    </w:p>
    <w:p w14:paraId="1C0B9902">
      <w:pPr>
        <w:jc w:val="both"/>
        <w:rPr>
          <w:rFonts w:cs="Calibri"/>
          <w:iCs/>
          <w:lang w:eastAsia="zh-CN"/>
        </w:rPr>
      </w:pPr>
    </w:p>
    <w:p w14:paraId="38D052B6">
      <w:pPr>
        <w:widowControl w:val="0"/>
        <w:autoSpaceDE w:val="0"/>
        <w:autoSpaceDN w:val="0"/>
        <w:adjustRightInd w:val="0"/>
        <w:jc w:val="both"/>
        <w:rPr>
          <w:rFonts w:cs="Calibri"/>
          <w:lang w:eastAsia="fi-FI"/>
        </w:rPr>
      </w:pPr>
      <w:r>
        <w:rPr>
          <w:iCs/>
        </w:rPr>
        <w:t xml:space="preserve">Inion Spinal Graft Containment System </w:t>
      </w:r>
      <w:r>
        <w:rPr>
          <w:rFonts w:eastAsia="PMingLiU" w:cs="Calibri"/>
          <w:lang w:eastAsia="zh-TW"/>
        </w:rPr>
        <w:t xml:space="preserve">has </w:t>
      </w:r>
      <w:r>
        <w:rPr>
          <w:rFonts w:hint="eastAsia" w:cs="Calibri"/>
          <w:lang w:eastAsia="zh-CN"/>
        </w:rPr>
        <w:t>been on</w:t>
      </w:r>
      <w:r>
        <w:rPr>
          <w:rFonts w:eastAsia="PMingLiU" w:cs="Calibri"/>
          <w:lang w:eastAsia="zh-TW"/>
        </w:rPr>
        <w:t xml:space="preserve"> the market for 10 years, </w:t>
      </w:r>
      <w:r>
        <w:rPr>
          <w:rFonts w:hint="eastAsia" w:cs="Calibri"/>
          <w:lang w:eastAsia="zh-CN"/>
        </w:rPr>
        <w:t>and it</w:t>
      </w:r>
      <w:r>
        <w:rPr>
          <w:rFonts w:eastAsia="PMingLiU" w:cs="Calibri"/>
          <w:lang w:eastAsia="zh-TW"/>
        </w:rPr>
        <w:t xml:space="preserve"> has achieved good results in clinical use. The manufacturing process, materials and insertion accessories feature good biocompatibility; and the structural design of products shows safety and reliability, to meet the needs of clinical use. No new risks </w:t>
      </w:r>
      <w:r>
        <w:rPr>
          <w:rFonts w:hint="eastAsia" w:cs="Calibri"/>
          <w:lang w:eastAsia="zh-CN"/>
        </w:rPr>
        <w:t xml:space="preserve">have been </w:t>
      </w:r>
      <w:r>
        <w:rPr>
          <w:rFonts w:cs="Calibri"/>
          <w:lang w:eastAsia="zh-CN"/>
        </w:rPr>
        <w:t>found</w:t>
      </w:r>
      <w:r>
        <w:rPr>
          <w:rFonts w:hint="eastAsia" w:cs="Calibri"/>
          <w:lang w:eastAsia="zh-CN"/>
        </w:rPr>
        <w:t xml:space="preserve"> </w:t>
      </w:r>
      <w:r>
        <w:rPr>
          <w:rFonts w:eastAsia="PMingLiU" w:cs="Calibri"/>
          <w:lang w:eastAsia="zh-TW"/>
        </w:rPr>
        <w:t>during the clinical use.</w:t>
      </w:r>
    </w:p>
    <w:p w14:paraId="4DEA2480">
      <w:pPr>
        <w:rPr>
          <w:rFonts w:cs="Calibri"/>
        </w:rPr>
      </w:pPr>
    </w:p>
    <w:p w14:paraId="24DA6296">
      <w:pPr>
        <w:pStyle w:val="60"/>
        <w:ind w:left="0"/>
        <w:rPr>
          <w:rFonts w:cs="Calibri"/>
          <w:b/>
        </w:rPr>
      </w:pPr>
      <w:r>
        <w:rPr>
          <w:rFonts w:hint="eastAsia" w:cs="Calibri"/>
          <w:b/>
          <w:lang w:eastAsia="zh-CN"/>
        </w:rPr>
        <w:t xml:space="preserve">5.3.5 </w:t>
      </w:r>
      <w:r>
        <w:rPr>
          <w:rFonts w:cs="Calibri"/>
          <w:b/>
        </w:rPr>
        <w:t>Conclusion on PMS data</w:t>
      </w:r>
    </w:p>
    <w:p w14:paraId="1CC62BBD">
      <w:pPr>
        <w:pStyle w:val="60"/>
        <w:ind w:left="0"/>
        <w:rPr>
          <w:rFonts w:cs="Calibri"/>
          <w:b/>
        </w:rPr>
      </w:pPr>
    </w:p>
    <w:p w14:paraId="5FF36C84">
      <w:pPr>
        <w:widowControl w:val="0"/>
        <w:autoSpaceDE w:val="0"/>
        <w:autoSpaceDN w:val="0"/>
        <w:adjustRightInd w:val="0"/>
        <w:jc w:val="both"/>
        <w:rPr>
          <w:szCs w:val="23"/>
        </w:rPr>
      </w:pPr>
      <w:r>
        <w:t>Based on Inion’s PMS data of the clinical use of Inion S-1</w:t>
      </w:r>
      <w:r>
        <w:rPr>
          <w:vertAlign w:val="superscript"/>
        </w:rPr>
        <w:t>TM</w:t>
      </w:r>
      <w:r>
        <w:rPr>
          <w:rFonts w:hint="eastAsia" w:cs="Calibri"/>
          <w:lang w:eastAsia="zh-CN"/>
        </w:rPr>
        <w:t xml:space="preserve">, </w:t>
      </w:r>
      <w:r>
        <w:t xml:space="preserve">the </w:t>
      </w:r>
      <w:r>
        <w:rPr>
          <w:color w:val="000000"/>
        </w:rPr>
        <w:t>complication/operations rate</w:t>
      </w:r>
      <w:r>
        <w:t xml:space="preserve"> in 10-year follow up (2005-2016) is 1.6%, which is considered low and acceptable.</w:t>
      </w:r>
      <w:r>
        <w:rPr>
          <w:sz w:val="23"/>
          <w:szCs w:val="23"/>
        </w:rPr>
        <w:t xml:space="preserve"> </w:t>
      </w:r>
      <w:r>
        <w:t>Inion’s PMS data of the clinical use of Inion S-2</w:t>
      </w:r>
      <w:r>
        <w:rPr>
          <w:vertAlign w:val="superscript"/>
        </w:rPr>
        <w:t>TM</w:t>
      </w:r>
      <w:r>
        <w:rPr>
          <w:rFonts w:cs="Calibri"/>
          <w:lang w:eastAsia="zh-CN"/>
        </w:rPr>
        <w:t xml:space="preserve"> shows that</w:t>
      </w:r>
      <w:r>
        <w:rPr>
          <w:rFonts w:hint="eastAsia" w:cs="Calibri"/>
          <w:lang w:eastAsia="zh-CN"/>
        </w:rPr>
        <w:t xml:space="preserve"> </w:t>
      </w:r>
      <w:r>
        <w:t xml:space="preserve">the </w:t>
      </w:r>
      <w:r>
        <w:rPr>
          <w:color w:val="000000"/>
        </w:rPr>
        <w:t>complication/operations rate</w:t>
      </w:r>
      <w:r>
        <w:rPr>
          <w:rFonts w:cs="Calibri"/>
          <w:lang w:eastAsia="fi-FI"/>
        </w:rPr>
        <w:t xml:space="preserve"> </w:t>
      </w:r>
      <w:r>
        <w:t>in 9-year follow up (2007-2016) is 0,5% which is considered low and acceptable.</w:t>
      </w:r>
      <w:r>
        <w:rPr>
          <w:sz w:val="23"/>
          <w:szCs w:val="23"/>
        </w:rPr>
        <w:t xml:space="preserve"> </w:t>
      </w:r>
      <w:r>
        <w:rPr>
          <w:szCs w:val="23"/>
        </w:rPr>
        <w:t>The number of events has been reducing over time, as surgeons have gained more experience and knowledge of the insertion techniques, implant selection and patient selection.</w:t>
      </w:r>
    </w:p>
    <w:p w14:paraId="4664613D">
      <w:pPr>
        <w:widowControl w:val="0"/>
        <w:autoSpaceDE w:val="0"/>
        <w:autoSpaceDN w:val="0"/>
        <w:adjustRightInd w:val="0"/>
        <w:jc w:val="both"/>
        <w:rPr>
          <w:iCs/>
          <w:lang w:eastAsia="zh-CN"/>
        </w:rPr>
      </w:pPr>
    </w:p>
    <w:p w14:paraId="7E29AFE5">
      <w:pPr>
        <w:widowControl w:val="0"/>
        <w:autoSpaceDE w:val="0"/>
        <w:autoSpaceDN w:val="0"/>
        <w:adjustRightInd w:val="0"/>
        <w:jc w:val="both"/>
        <w:rPr>
          <w:rFonts w:cs="Calibri"/>
          <w:lang w:eastAsia="zh-CN"/>
        </w:rPr>
      </w:pPr>
      <w:bookmarkStart w:id="73" w:name="_Toc459195993"/>
      <w:r>
        <w:rPr>
          <w:rFonts w:hint="eastAsia"/>
          <w:iCs/>
          <w:lang w:eastAsia="zh-CN"/>
        </w:rPr>
        <w:t xml:space="preserve">All the reported </w:t>
      </w:r>
      <w:r>
        <w:rPr>
          <w:rFonts w:hint="eastAsia" w:cs="Calibri"/>
          <w:lang w:eastAsia="zh-CN"/>
        </w:rPr>
        <w:t xml:space="preserve">adverse events have been anticipated residual risks. Inion has provided </w:t>
      </w:r>
      <w:r>
        <w:rPr>
          <w:rFonts w:cs="Calibri"/>
          <w:lang w:eastAsia="zh-CN"/>
        </w:rPr>
        <w:t>risk control measures</w:t>
      </w:r>
      <w:r>
        <w:rPr>
          <w:rFonts w:hint="eastAsia" w:cs="Calibri"/>
          <w:lang w:eastAsia="zh-CN"/>
        </w:rPr>
        <w:t xml:space="preserve"> to the anticipated residual risks in the Risk Management Report</w:t>
      </w:r>
      <w:r>
        <w:rPr>
          <w:rFonts w:hint="eastAsia"/>
          <w:iCs/>
          <w:lang w:eastAsia="zh-CN"/>
        </w:rPr>
        <w:t xml:space="preserve"> - </w:t>
      </w:r>
      <w:r>
        <w:rPr>
          <w:iCs/>
        </w:rPr>
        <w:t xml:space="preserve">Inion Spinal Graft Containment System </w:t>
      </w:r>
      <w:r>
        <w:rPr>
          <w:rFonts w:hint="eastAsia"/>
          <w:iCs/>
          <w:lang w:eastAsia="zh-CN"/>
        </w:rPr>
        <w:t xml:space="preserve">and Instruction for Use. </w:t>
      </w:r>
      <w:r>
        <w:rPr>
          <w:rFonts w:eastAsia="PMingLiU" w:cs="Calibri"/>
          <w:lang w:eastAsia="zh-TW"/>
        </w:rPr>
        <w:t xml:space="preserve">Analysis of the clinical literature, adverse events and customer complaints data show that the </w:t>
      </w:r>
      <w:r>
        <w:rPr>
          <w:iCs/>
        </w:rPr>
        <w:t xml:space="preserve">Inion Spinal Graft Containment System </w:t>
      </w:r>
      <w:r>
        <w:rPr>
          <w:rFonts w:eastAsia="PMingLiU" w:cs="Calibri"/>
          <w:lang w:eastAsia="zh-TW"/>
        </w:rPr>
        <w:t xml:space="preserve">meets the requirements of clinical </w:t>
      </w:r>
      <w:r>
        <w:rPr>
          <w:rFonts w:hint="eastAsia" w:cs="Calibri"/>
          <w:lang w:eastAsia="zh-CN"/>
        </w:rPr>
        <w:t>evaluation</w:t>
      </w:r>
      <w:r>
        <w:rPr>
          <w:rFonts w:eastAsia="PMingLiU" w:cs="Calibri"/>
          <w:lang w:eastAsia="zh-TW"/>
        </w:rPr>
        <w:t xml:space="preserve"> and verification. </w:t>
      </w:r>
      <w:r>
        <w:rPr>
          <w:rFonts w:cs="Calibri"/>
          <w:lang w:eastAsia="zh-CN"/>
        </w:rPr>
        <w:t>The</w:t>
      </w:r>
      <w:r>
        <w:rPr>
          <w:rFonts w:eastAsia="PMingLiU" w:cs="Calibri"/>
          <w:lang w:eastAsia="zh-TW"/>
        </w:rPr>
        <w:t xml:space="preserve"> risks </w:t>
      </w:r>
      <w:r>
        <w:rPr>
          <w:rFonts w:hint="eastAsia" w:cs="Calibri"/>
          <w:lang w:eastAsia="zh-CN"/>
        </w:rPr>
        <w:t>i</w:t>
      </w:r>
      <w:r>
        <w:rPr>
          <w:rFonts w:eastAsia="PMingLiU" w:cs="Calibri"/>
          <w:lang w:eastAsia="zh-TW"/>
        </w:rPr>
        <w:t>dentified</w:t>
      </w:r>
      <w:r>
        <w:rPr>
          <w:rFonts w:hint="eastAsia" w:cs="Calibri"/>
          <w:lang w:eastAsia="zh-CN"/>
        </w:rPr>
        <w:t xml:space="preserve"> </w:t>
      </w:r>
      <w:r>
        <w:rPr>
          <w:rFonts w:eastAsia="PMingLiU" w:cs="Calibri"/>
          <w:lang w:eastAsia="zh-TW"/>
        </w:rPr>
        <w:t xml:space="preserve">in Risk management document </w:t>
      </w:r>
      <w:r>
        <w:rPr>
          <w:rFonts w:hint="eastAsia" w:cs="Calibri"/>
          <w:lang w:eastAsia="zh-CN"/>
        </w:rPr>
        <w:t>are shown to be in control by the clinical evaluation.</w:t>
      </w:r>
      <w:r>
        <w:rPr>
          <w:rFonts w:eastAsia="PMingLiU" w:cs="Calibri"/>
          <w:lang w:eastAsia="zh-TW"/>
        </w:rPr>
        <w:t xml:space="preserve"> </w:t>
      </w:r>
      <w:r>
        <w:rPr>
          <w:rFonts w:hint="eastAsia" w:cs="Calibri"/>
          <w:lang w:eastAsia="zh-CN"/>
        </w:rPr>
        <w:t xml:space="preserve">The PMS data </w:t>
      </w:r>
      <w:r>
        <w:rPr>
          <w:rFonts w:cs="Calibri"/>
          <w:lang w:eastAsia="zh-CN"/>
        </w:rPr>
        <w:t>demonstrates</w:t>
      </w:r>
      <w:r>
        <w:rPr>
          <w:rFonts w:hint="eastAsia" w:cs="Calibri"/>
          <w:lang w:eastAsia="zh-CN"/>
        </w:rPr>
        <w:t xml:space="preserve"> that the </w:t>
      </w:r>
      <w:r>
        <w:rPr>
          <w:iCs/>
        </w:rPr>
        <w:t xml:space="preserve">Inion Spinal Graft Containment System </w:t>
      </w:r>
      <w:r>
        <w:rPr>
          <w:iCs/>
          <w:lang w:eastAsia="zh-CN"/>
        </w:rPr>
        <w:t>is</w:t>
      </w:r>
      <w:r>
        <w:rPr>
          <w:rFonts w:hint="eastAsia"/>
          <w:iCs/>
          <w:lang w:eastAsia="zh-CN"/>
        </w:rPr>
        <w:t xml:space="preserve"> safe and effective</w:t>
      </w:r>
      <w:r>
        <w:rPr>
          <w:iCs/>
          <w:lang w:eastAsia="zh-CN"/>
        </w:rPr>
        <w:t xml:space="preserve"> in its intended use.</w:t>
      </w:r>
    </w:p>
    <w:p w14:paraId="01523379">
      <w:pPr>
        <w:pStyle w:val="3"/>
        <w:rPr>
          <w:lang w:eastAsia="fi-FI"/>
        </w:rPr>
      </w:pPr>
      <w:bookmarkStart w:id="74" w:name="_Toc480979570"/>
      <w:r>
        <w:rPr>
          <w:lang w:eastAsia="fi-FI"/>
        </w:rPr>
        <w:t>Requirement on acceptable benefit/risk profile</w:t>
      </w:r>
      <w:bookmarkEnd w:id="73"/>
      <w:bookmarkEnd w:id="74"/>
    </w:p>
    <w:p w14:paraId="7E6617F2">
      <w:pPr>
        <w:jc w:val="both"/>
        <w:rPr>
          <w:lang w:eastAsia="fi-FI"/>
        </w:rPr>
      </w:pPr>
      <w:r>
        <w:rPr>
          <w:lang w:eastAsia="fi-FI"/>
        </w:rPr>
        <w:t xml:space="preserve">The Essential Requirement 1 of MDD pertains to the acceptable benefit/risk profile of </w:t>
      </w:r>
      <w:r>
        <w:t>Inion Spinal Graft Containment System™ which is looked at in this evaluation.</w:t>
      </w:r>
    </w:p>
    <w:p w14:paraId="3524549F">
      <w:pPr>
        <w:jc w:val="both"/>
        <w:rPr>
          <w:i/>
          <w:lang w:eastAsia="fi-FI"/>
        </w:rPr>
      </w:pPr>
    </w:p>
    <w:p w14:paraId="62DA2E2D">
      <w:pPr>
        <w:jc w:val="both"/>
      </w:pPr>
      <w:r>
        <w:t>Based on the pertinent clinical data from literature and post-marketing data of Inion Spinal Graft Containment System™ products, it can be concluded that no significant health or safety risk was discovered during this evaluation.  The overall complication rates and risks related to these products remains continuously low and acceptable, and there are no clinically relevant change is detected in the trends over time. Therefore reviewed data provides evidence that complication rates and risks related to Inion Spinal Graft Containment System™ can be justifiable stated to be low and acceptable, and that the Inion Spinal Graft Containment System™ products are and can be expected to be clinically safe and effective for their intended use when used according to their product-specific instructions for use.</w:t>
      </w:r>
    </w:p>
    <w:p w14:paraId="3F385DEA">
      <w:pPr>
        <w:jc w:val="both"/>
        <w:rPr>
          <w:i/>
          <w:lang w:eastAsia="fi-FI"/>
        </w:rPr>
      </w:pPr>
    </w:p>
    <w:p w14:paraId="3BBFA8C2">
      <w:pPr>
        <w:jc w:val="both"/>
        <w:rPr>
          <w:lang w:eastAsia="fi-FI"/>
        </w:rPr>
      </w:pPr>
      <w:r>
        <w:rPr>
          <w:lang w:eastAsia="fi-FI"/>
        </w:rPr>
        <w:t xml:space="preserve">In addition, the risk analysis, verification and validation processes ensure that </w:t>
      </w:r>
      <w:r>
        <w:t>Inion Spinal Graft Containment System™</w:t>
      </w:r>
      <w:r>
        <w:rPr>
          <w:lang w:eastAsia="fi-FI"/>
        </w:rPr>
        <w:t xml:space="preserve"> benefit/risk profile complies with the clinical safety and performance requirements.</w:t>
      </w:r>
    </w:p>
    <w:p w14:paraId="1A4A017E">
      <w:pPr>
        <w:rPr>
          <w:lang w:eastAsia="fi-FI"/>
        </w:rPr>
      </w:pPr>
    </w:p>
    <w:p w14:paraId="63CC2517">
      <w:pPr>
        <w:pStyle w:val="3"/>
      </w:pPr>
      <w:bookmarkStart w:id="75" w:name="_Toc459195994"/>
      <w:bookmarkStart w:id="76" w:name="_Toc480979571"/>
      <w:r>
        <w:t>Requirement on acceptability of side effects</w:t>
      </w:r>
      <w:bookmarkEnd w:id="75"/>
      <w:bookmarkEnd w:id="76"/>
    </w:p>
    <w:p w14:paraId="11044090">
      <w:pPr>
        <w:jc w:val="both"/>
        <w:rPr>
          <w:i/>
          <w:lang w:eastAsia="fi-FI"/>
        </w:rPr>
      </w:pPr>
      <w:r>
        <w:rPr>
          <w:lang w:eastAsia="fi-FI"/>
        </w:rPr>
        <w:t xml:space="preserve">The Essential Requirement 6 of MDD pertains to the acceptability of side effects of </w:t>
      </w:r>
      <w:r>
        <w:t>Inion Spinal Graft Containment System™ which is looked at in this evaluation.</w:t>
      </w:r>
    </w:p>
    <w:p w14:paraId="55A46AE4">
      <w:pPr>
        <w:jc w:val="both"/>
        <w:rPr>
          <w:i/>
          <w:lang w:eastAsia="fi-FI"/>
        </w:rPr>
      </w:pPr>
    </w:p>
    <w:p w14:paraId="523731FA">
      <w:pPr>
        <w:jc w:val="both"/>
      </w:pPr>
      <w:r>
        <w:t>Based on the evaluated clinical data, no</w:t>
      </w:r>
      <w:r>
        <w:rPr>
          <w:lang w:eastAsia="fi-FI"/>
        </w:rPr>
        <w:t xml:space="preserve"> new side effects have been discovered during this evaluation.</w:t>
      </w:r>
      <w:r>
        <w:t xml:space="preserve"> Anticipated residual risks may occur, but the number is low.</w:t>
      </w:r>
      <w:r>
        <w:rPr>
          <w:i/>
          <w:lang w:eastAsia="fi-FI"/>
        </w:rPr>
        <w:t xml:space="preserve"> </w:t>
      </w:r>
      <w:r>
        <w:t>Inion has provided risk control measures to the anticipated residual risks in the Risk Management Report - Inion Spinal Graft Containment System™ and Instruction for Use.</w:t>
      </w:r>
    </w:p>
    <w:p w14:paraId="4D20F17D">
      <w:pPr>
        <w:jc w:val="both"/>
      </w:pPr>
    </w:p>
    <w:p w14:paraId="7F513917">
      <w:pPr>
        <w:jc w:val="both"/>
        <w:rPr>
          <w:lang w:eastAsia="fi-FI"/>
        </w:rPr>
      </w:pPr>
      <w:r>
        <w:rPr>
          <w:lang w:eastAsia="fi-FI"/>
        </w:rPr>
        <w:t xml:space="preserve">Also, the risk analysis and biological safety evaluation ensure that </w:t>
      </w:r>
      <w:r>
        <w:t>Inion Spinal Graft Containment System™</w:t>
      </w:r>
      <w:r>
        <w:rPr>
          <w:iCs/>
        </w:rPr>
        <w:t xml:space="preserve"> </w:t>
      </w:r>
      <w:r>
        <w:rPr>
          <w:lang w:eastAsia="fi-FI"/>
        </w:rPr>
        <w:t>complies with the safety and performance requirements.</w:t>
      </w:r>
    </w:p>
    <w:p w14:paraId="26A1D5F8">
      <w:pPr>
        <w:jc w:val="both"/>
        <w:rPr>
          <w:lang w:eastAsia="fi-FI"/>
        </w:rPr>
      </w:pPr>
    </w:p>
    <w:p w14:paraId="280ACECD">
      <w:pPr>
        <w:pStyle w:val="3"/>
      </w:pPr>
      <w:bookmarkStart w:id="77" w:name="_Toc480979572"/>
      <w:bookmarkStart w:id="78" w:name="_Toc459195995"/>
      <w:r>
        <w:t>Product documentation and instructions for use</w:t>
      </w:r>
      <w:bookmarkEnd w:id="77"/>
      <w:bookmarkEnd w:id="78"/>
    </w:p>
    <w:p w14:paraId="7F3CF60F">
      <w:pPr>
        <w:autoSpaceDE w:val="0"/>
        <w:autoSpaceDN w:val="0"/>
        <w:adjustRightInd w:val="0"/>
        <w:jc w:val="both"/>
        <w:rPr>
          <w:lang w:eastAsia="fi-FI"/>
        </w:rPr>
      </w:pPr>
      <w:r>
        <w:rPr>
          <w:lang w:eastAsia="fi-FI"/>
        </w:rPr>
        <w:t>The manufacturer’s product documentation and instructions for use are well in line and consistent with the clinical data of the device use and indications. The texts cover all the hazards and other clinically relevant information that may impact the use of the device.</w:t>
      </w:r>
    </w:p>
    <w:p w14:paraId="5B380282">
      <w:pPr>
        <w:autoSpaceDE w:val="0"/>
        <w:autoSpaceDN w:val="0"/>
        <w:adjustRightInd w:val="0"/>
        <w:jc w:val="both"/>
        <w:rPr>
          <w:i/>
          <w:lang w:eastAsia="fi-FI"/>
        </w:rPr>
      </w:pPr>
    </w:p>
    <w:p w14:paraId="50BA7552">
      <w:pPr>
        <w:pStyle w:val="2"/>
        <w:tabs>
          <w:tab w:val="left" w:pos="432"/>
        </w:tabs>
        <w:ind w:left="432" w:hanging="432"/>
      </w:pPr>
      <w:bookmarkStart w:id="79" w:name="_Toc459195996"/>
      <w:bookmarkStart w:id="80" w:name="_Toc480979573"/>
      <w:r>
        <w:t>Conclusions</w:t>
      </w:r>
      <w:bookmarkEnd w:id="79"/>
      <w:bookmarkEnd w:id="80"/>
      <w:r>
        <w:t xml:space="preserve"> </w:t>
      </w:r>
    </w:p>
    <w:p w14:paraId="6D17AE8D">
      <w:pPr>
        <w:autoSpaceDE w:val="0"/>
        <w:autoSpaceDN w:val="0"/>
        <w:adjustRightInd w:val="0"/>
        <w:rPr>
          <w:lang w:eastAsia="fi-FI"/>
        </w:rPr>
      </w:pPr>
      <w:r>
        <w:rPr>
          <w:lang w:eastAsia="fi-FI"/>
        </w:rPr>
        <w:t xml:space="preserve">This clinical evaluation complied with the MDD Essential Requirements 1, 3 and 6. </w:t>
      </w:r>
    </w:p>
    <w:p w14:paraId="30272B37">
      <w:pPr>
        <w:autoSpaceDE w:val="0"/>
        <w:autoSpaceDN w:val="0"/>
        <w:adjustRightInd w:val="0"/>
        <w:rPr>
          <w:i/>
          <w:lang w:eastAsia="fi-FI"/>
        </w:rPr>
      </w:pPr>
    </w:p>
    <w:p w14:paraId="6A04525D">
      <w:pPr>
        <w:autoSpaceDE w:val="0"/>
        <w:autoSpaceDN w:val="0"/>
        <w:adjustRightInd w:val="0"/>
        <w:jc w:val="both"/>
      </w:pPr>
      <w:r>
        <w:rPr>
          <w:lang w:eastAsia="fi-FI"/>
        </w:rPr>
        <w:t xml:space="preserve">As a summary of findings about </w:t>
      </w:r>
      <w:r>
        <w:t>Inion Spinal Graft Containment System™</w:t>
      </w:r>
      <w:r>
        <w:rPr>
          <w:lang w:eastAsia="fi-FI"/>
        </w:rPr>
        <w:t xml:space="preserve">’s clinical safety and performance, </w:t>
      </w:r>
      <w:r>
        <w:t>the following conclusions are made:</w:t>
      </w:r>
    </w:p>
    <w:p w14:paraId="28F025FE"/>
    <w:p w14:paraId="06AFA9D4">
      <w:pPr>
        <w:jc w:val="both"/>
      </w:pPr>
      <w:r>
        <w:t>The residual risks identified in the risk management documentation have been addressed by this clinical evaluation. The published literature concerning the actual devices in clinical use provides sufficient data to conclude that Inion Spinal Graft Containment System™ with accessory instruments are clinically safe and efficient for their intended use when used according to their product-specific Instructions for Use.</w:t>
      </w:r>
    </w:p>
    <w:p w14:paraId="3EF07E3D">
      <w:pPr>
        <w:jc w:val="both"/>
      </w:pPr>
    </w:p>
    <w:p w14:paraId="66FBCEAD">
      <w:pPr>
        <w:jc w:val="both"/>
      </w:pPr>
      <w:r>
        <w:t xml:space="preserve">Evidence demonstrates the material safety of </w:t>
      </w:r>
      <w:r>
        <w:rPr>
          <w:lang w:eastAsia="fi-FI"/>
        </w:rPr>
        <w:t>resorbable polylactic acid copolymer P(L/DL)LA</w:t>
      </w:r>
      <w:r>
        <w:t>. The mechanical strength and degradation characteristics of these implants are sufficient and appropriate to maintain the relative position of weak bony tissue such as allografts and autografts, which have been tested and verified.</w:t>
      </w:r>
    </w:p>
    <w:p w14:paraId="1EE20DC1">
      <w:pPr>
        <w:jc w:val="both"/>
      </w:pPr>
    </w:p>
    <w:p w14:paraId="5545061E">
      <w:pPr>
        <w:jc w:val="both"/>
      </w:pPr>
      <w:r>
        <w:t>Possible adverse events include tissue reaction, non-union or malunion. Although tissue reaction is a known risk (adverse event, anticipated risk) which always exists with all biodegradable implants, these reactions typically occur first 1-2 years postoperatively and do not affect bone healing negatively or cause permanent damage or impairment. Tissue reactions are possible when the device degrades, especially when a plate is implanted under a thin soft tissue layer. However, the occurrence rate has been reported to be very low with polylactic acid based implants.</w:t>
      </w:r>
      <w:r>
        <w:rPr>
          <w:rFonts w:hint="eastAsia"/>
          <w:lang w:eastAsia="zh-CN"/>
        </w:rPr>
        <w:t xml:space="preserve"> </w:t>
      </w:r>
      <w:r>
        <w:rPr>
          <w:rFonts w:cs="Calibri"/>
          <w:lang w:eastAsia="zh-CN"/>
        </w:rPr>
        <w:t xml:space="preserve">Risk control measures have been taken to </w:t>
      </w:r>
      <w:r>
        <w:rPr>
          <w:rFonts w:hint="eastAsia" w:cs="Calibri"/>
          <w:lang w:eastAsia="zh-CN"/>
        </w:rPr>
        <w:t xml:space="preserve">the anticipated residual risks </w:t>
      </w:r>
      <w:r>
        <w:rPr>
          <w:rFonts w:cs="Calibri"/>
          <w:lang w:eastAsia="zh-CN"/>
        </w:rPr>
        <w:t>during</w:t>
      </w:r>
      <w:r>
        <w:rPr>
          <w:rFonts w:hint="eastAsia" w:cs="Calibri"/>
          <w:lang w:eastAsia="zh-CN"/>
        </w:rPr>
        <w:t xml:space="preserve"> the </w:t>
      </w:r>
      <w:r>
        <w:rPr>
          <w:rFonts w:cs="Calibri"/>
          <w:lang w:eastAsia="zh-CN"/>
        </w:rPr>
        <w:t>r</w:t>
      </w:r>
      <w:r>
        <w:rPr>
          <w:rFonts w:hint="eastAsia" w:cs="Calibri"/>
          <w:lang w:eastAsia="zh-CN"/>
        </w:rPr>
        <w:t xml:space="preserve">isk </w:t>
      </w:r>
      <w:r>
        <w:rPr>
          <w:rFonts w:cs="Calibri"/>
          <w:lang w:eastAsia="zh-CN"/>
        </w:rPr>
        <w:t>m</w:t>
      </w:r>
      <w:r>
        <w:rPr>
          <w:rFonts w:hint="eastAsia" w:cs="Calibri"/>
          <w:lang w:eastAsia="zh-CN"/>
        </w:rPr>
        <w:t>anagement</w:t>
      </w:r>
      <w:r>
        <w:rPr>
          <w:rFonts w:cs="Calibri"/>
          <w:lang w:eastAsia="zh-CN"/>
        </w:rPr>
        <w:t xml:space="preserve"> process.</w:t>
      </w:r>
    </w:p>
    <w:p w14:paraId="5C2A609F">
      <w:pPr>
        <w:jc w:val="both"/>
        <w:rPr>
          <w:color w:val="FF0000"/>
        </w:rPr>
      </w:pPr>
    </w:p>
    <w:p w14:paraId="543571B3">
      <w:pPr>
        <w:jc w:val="both"/>
      </w:pPr>
      <w:r>
        <w:t>The products represent the current state of the art in spinal fusion procedures as a means to maintain the relative position of weak bony tissue such as allografts or autografts. It can be also justifiable stated that the clinical product-specific benefits can be considered to clearly overweigh the identified product-specific risks.</w:t>
      </w:r>
    </w:p>
    <w:p w14:paraId="0016B78D">
      <w:pPr>
        <w:jc w:val="both"/>
      </w:pPr>
    </w:p>
    <w:p w14:paraId="1C7A387C">
      <w:pPr>
        <w:pStyle w:val="2"/>
      </w:pPr>
      <w:bookmarkStart w:id="81" w:name="_Toc480979574"/>
      <w:r>
        <w:t>Next clinical evaluation</w:t>
      </w:r>
      <w:bookmarkEnd w:id="81"/>
    </w:p>
    <w:p w14:paraId="79CD867D">
      <w:pPr>
        <w:jc w:val="both"/>
      </w:pPr>
      <w:r>
        <w:t xml:space="preserve">As extensively outlined above, the use of Inion Spinal Graft Containment System™ is well-established and the safety profile is well-known without significant risks. Safety and performance of this product has been examined and documented in many clinical studies. Moreover, extensive experience in clinical practice and post-marketing data support the performance and safety profile of Inion Spinal Graft Containment System™ implants and instruments in the claimed indications. Unknown adverse events caused by the Inion Spinal Graft Containment System™ implants and instruments are not expected to occur. Accordingly, if the manufacturer does not receive any new information from Post-Market Surveillance (PMS) that has the potential to change the current evaluation, the clinical evaluation has to be actively updated every 3 years. </w:t>
      </w:r>
    </w:p>
    <w:p w14:paraId="70458B26">
      <w:r>
        <w:br w:type="page"/>
      </w:r>
    </w:p>
    <w:p w14:paraId="5CA5C61D">
      <w:pPr>
        <w:pStyle w:val="2"/>
      </w:pPr>
      <w:bookmarkStart w:id="82" w:name="_Toc480979575"/>
      <w:r>
        <w:t>Dates and signatures</w:t>
      </w:r>
      <w:bookmarkEnd w:id="82"/>
    </w:p>
    <w:p w14:paraId="5A45A074">
      <w:pPr>
        <w:jc w:val="both"/>
        <w:rPr>
          <w:lang w:val="en-GB"/>
        </w:rPr>
      </w:pPr>
      <w:r>
        <w:rPr>
          <w:lang w:val="en-GB"/>
        </w:rPr>
        <w:t>The evaluators declare that, to the best of their knowledge, sufficient effort was made to identify and evaluate relevant literature which allowed a clinical evaluation. Based upon the selected information it was possible to critically evaluate the clinical performance, risks and benefits of the device in question. Potentially negative contributions were not excluded from the evaluation. The evaluators agree with the contents of this report.</w:t>
      </w:r>
    </w:p>
    <w:p w14:paraId="00EBA50A">
      <w:pPr>
        <w:rPr>
          <w:i/>
          <w:lang w:val="en-GB"/>
        </w:rPr>
      </w:pPr>
    </w:p>
    <w:p w14:paraId="242B1BC9">
      <w:pPr>
        <w:rPr>
          <w:i/>
        </w:rPr>
      </w:pPr>
    </w:p>
    <w:p w14:paraId="5AE200BA">
      <w:pPr>
        <w:rPr>
          <w:i/>
        </w:rPr>
      </w:pPr>
      <w:r>
        <w:rPr>
          <w:i/>
        </w:rPr>
        <w:t>NAME</w:t>
      </w:r>
      <w:r>
        <w:rPr>
          <w:i/>
        </w:rPr>
        <w:tab/>
      </w:r>
      <w:r>
        <w:rPr>
          <w:i/>
        </w:rPr>
        <w:tab/>
      </w:r>
      <w:r>
        <w:rPr>
          <w:i/>
        </w:rPr>
        <w:tab/>
      </w:r>
      <w:r>
        <w:rPr>
          <w:i/>
        </w:rPr>
        <w:tab/>
      </w:r>
      <w:r>
        <w:rPr>
          <w:i/>
        </w:rPr>
        <w:tab/>
      </w:r>
      <w:r>
        <w:rPr>
          <w:i/>
        </w:rPr>
        <w:t>SIGNATURE</w:t>
      </w:r>
      <w:r>
        <w:rPr>
          <w:i/>
        </w:rPr>
        <w:tab/>
      </w:r>
      <w:r>
        <w:rPr>
          <w:i/>
        </w:rPr>
        <w:tab/>
      </w:r>
      <w:r>
        <w:rPr>
          <w:i/>
        </w:rPr>
        <w:tab/>
      </w:r>
      <w:r>
        <w:rPr>
          <w:i/>
        </w:rPr>
        <w:tab/>
      </w:r>
      <w:r>
        <w:rPr>
          <w:i/>
        </w:rPr>
        <w:t>DATE</w:t>
      </w:r>
    </w:p>
    <w:p w14:paraId="22D58716">
      <w:pPr>
        <w:rPr>
          <w:i/>
        </w:rPr>
      </w:pPr>
    </w:p>
    <w:p w14:paraId="3615A175">
      <w:pPr>
        <w:rPr>
          <w:b/>
          <w:i/>
          <w:sz w:val="32"/>
          <w:szCs w:val="32"/>
        </w:rPr>
      </w:pPr>
      <w:r>
        <w:rPr>
          <w:b/>
          <w:i/>
          <w:sz w:val="28"/>
          <w:szCs w:val="28"/>
        </w:rPr>
        <w:t>Evaluators</w:t>
      </w:r>
    </w:p>
    <w:p w14:paraId="7BE3533D">
      <w:pPr>
        <w:jc w:val="both"/>
        <w:rPr>
          <w:rStyle w:val="40"/>
          <w:b w:val="0"/>
          <w:i/>
          <w:sz w:val="24"/>
        </w:rPr>
      </w:pPr>
      <w:r>
        <w:rPr>
          <w:rStyle w:val="40"/>
          <w:b w:val="0"/>
          <w:i/>
          <w:sz w:val="24"/>
        </w:rPr>
        <w:tab/>
      </w:r>
      <w:r>
        <w:rPr>
          <w:rStyle w:val="40"/>
          <w:b w:val="0"/>
          <w:i/>
          <w:sz w:val="24"/>
        </w:rPr>
        <w:tab/>
      </w:r>
      <w:r>
        <w:rPr>
          <w:rStyle w:val="40"/>
          <w:b w:val="0"/>
          <w:i/>
          <w:sz w:val="24"/>
        </w:rPr>
        <w:tab/>
      </w:r>
      <w:r>
        <w:rPr>
          <w:rStyle w:val="40"/>
          <w:b w:val="0"/>
          <w:i/>
          <w:sz w:val="24"/>
        </w:rPr>
        <w:tab/>
      </w:r>
      <w:r>
        <w:rPr>
          <w:rStyle w:val="40"/>
          <w:b w:val="0"/>
          <w:i/>
          <w:sz w:val="24"/>
        </w:rPr>
        <w:t>______________________________________________</w:t>
      </w:r>
    </w:p>
    <w:p w14:paraId="1B622ED6">
      <w:pPr>
        <w:jc w:val="both"/>
        <w:rPr>
          <w:rStyle w:val="40"/>
          <w:b w:val="0"/>
          <w:i/>
          <w:sz w:val="24"/>
        </w:rPr>
      </w:pPr>
    </w:p>
    <w:p w14:paraId="33CE60D8">
      <w:pPr>
        <w:jc w:val="both"/>
        <w:rPr>
          <w:rStyle w:val="40"/>
          <w:b w:val="0"/>
          <w:sz w:val="24"/>
        </w:rPr>
      </w:pPr>
      <w:r>
        <w:rPr>
          <w:rStyle w:val="40"/>
          <w:sz w:val="24"/>
        </w:rPr>
        <w:t>J</w:t>
      </w:r>
      <w:r>
        <w:rPr>
          <w:rStyle w:val="40"/>
          <w:b w:val="0"/>
          <w:sz w:val="24"/>
        </w:rPr>
        <w:t xml:space="preserve">anne Nurmi, Clinical Representative (DVM, PhD, Adjunct Professor) </w:t>
      </w:r>
    </w:p>
    <w:p w14:paraId="7A483977">
      <w:pPr>
        <w:jc w:val="both"/>
        <w:rPr>
          <w:rStyle w:val="40"/>
          <w:b w:val="0"/>
          <w:sz w:val="24"/>
        </w:rPr>
      </w:pPr>
      <w:r>
        <w:rPr>
          <w:rStyle w:val="40"/>
          <w:b w:val="0"/>
          <w:sz w:val="24"/>
        </w:rPr>
        <w:t>Sales Director, Inion Oy, Tampere, Finland</w:t>
      </w:r>
    </w:p>
    <w:p w14:paraId="62867ED0">
      <w:pPr>
        <w:rPr>
          <w:i/>
        </w:rPr>
      </w:pPr>
    </w:p>
    <w:p w14:paraId="537F5E22">
      <w:pPr>
        <w:ind w:left="2160" w:firstLine="720"/>
        <w:jc w:val="both"/>
        <w:rPr>
          <w:rStyle w:val="40"/>
          <w:b w:val="0"/>
          <w:i/>
          <w:sz w:val="24"/>
        </w:rPr>
      </w:pPr>
      <w:r>
        <w:rPr>
          <w:rStyle w:val="40"/>
          <w:b w:val="0"/>
          <w:i/>
          <w:sz w:val="24"/>
        </w:rPr>
        <w:t>______________________________________________</w:t>
      </w:r>
    </w:p>
    <w:p w14:paraId="4633813E">
      <w:pPr>
        <w:jc w:val="both"/>
        <w:rPr>
          <w:rStyle w:val="40"/>
          <w:b w:val="0"/>
          <w:i/>
          <w:sz w:val="24"/>
        </w:rPr>
      </w:pPr>
    </w:p>
    <w:p w14:paraId="7AE7E5A9">
      <w:pPr>
        <w:jc w:val="both"/>
        <w:rPr>
          <w:rStyle w:val="40"/>
          <w:b w:val="0"/>
          <w:sz w:val="24"/>
        </w:rPr>
      </w:pPr>
      <w:r>
        <w:t xml:space="preserve">Qinqin Wang, </w:t>
      </w:r>
      <w:r>
        <w:rPr>
          <w:rStyle w:val="40"/>
          <w:b w:val="0"/>
          <w:sz w:val="24"/>
        </w:rPr>
        <w:t xml:space="preserve">Regulatory Affairs Specialist &amp; Material Researcher, </w:t>
      </w:r>
    </w:p>
    <w:p w14:paraId="2930C809">
      <w:pPr>
        <w:jc w:val="both"/>
        <w:rPr>
          <w:rStyle w:val="40"/>
          <w:b w:val="0"/>
          <w:bCs w:val="0"/>
          <w:sz w:val="24"/>
        </w:rPr>
      </w:pPr>
      <w:r>
        <w:rPr>
          <w:rStyle w:val="40"/>
          <w:b w:val="0"/>
          <w:sz w:val="24"/>
        </w:rPr>
        <w:t>Naton Institute of Medical Technology, Beijing, China</w:t>
      </w:r>
    </w:p>
    <w:p w14:paraId="705BE476">
      <w:pPr>
        <w:rPr>
          <w:i/>
        </w:rPr>
      </w:pPr>
    </w:p>
    <w:p w14:paraId="598A047C">
      <w:pPr>
        <w:ind w:left="2160" w:firstLine="720"/>
        <w:jc w:val="both"/>
        <w:rPr>
          <w:rStyle w:val="40"/>
          <w:b w:val="0"/>
          <w:i/>
          <w:sz w:val="24"/>
        </w:rPr>
      </w:pPr>
      <w:r>
        <w:rPr>
          <w:rStyle w:val="40"/>
          <w:b w:val="0"/>
          <w:i/>
          <w:sz w:val="24"/>
        </w:rPr>
        <w:t>______________________________________________</w:t>
      </w:r>
    </w:p>
    <w:p w14:paraId="3E254B4D">
      <w:pPr>
        <w:jc w:val="both"/>
        <w:rPr>
          <w:rStyle w:val="40"/>
          <w:b w:val="0"/>
          <w:i/>
          <w:sz w:val="24"/>
        </w:rPr>
      </w:pPr>
    </w:p>
    <w:p w14:paraId="3916F96F">
      <w:pPr>
        <w:jc w:val="both"/>
        <w:rPr>
          <w:rStyle w:val="40"/>
          <w:b w:val="0"/>
          <w:sz w:val="24"/>
        </w:rPr>
      </w:pPr>
      <w:r>
        <w:rPr>
          <w:rFonts w:hint="eastAsia"/>
        </w:rPr>
        <w:t>Qiyun Zhou</w:t>
      </w:r>
      <w:r>
        <w:t xml:space="preserve">, </w:t>
      </w:r>
      <w:r>
        <w:rPr>
          <w:rStyle w:val="40"/>
          <w:b w:val="0"/>
          <w:sz w:val="24"/>
        </w:rPr>
        <w:t xml:space="preserve">Regulatory Affairs Specialist, </w:t>
      </w:r>
    </w:p>
    <w:p w14:paraId="16C51E6A">
      <w:pPr>
        <w:jc w:val="both"/>
        <w:rPr>
          <w:rStyle w:val="40"/>
          <w:b w:val="0"/>
          <w:bCs w:val="0"/>
          <w:sz w:val="24"/>
        </w:rPr>
      </w:pPr>
      <w:r>
        <w:rPr>
          <w:rStyle w:val="40"/>
          <w:b w:val="0"/>
          <w:sz w:val="24"/>
        </w:rPr>
        <w:t>Naton Institute of Medical Technology, Beijing, China</w:t>
      </w:r>
    </w:p>
    <w:p w14:paraId="04510AC2">
      <w:pPr>
        <w:rPr>
          <w:i/>
        </w:rPr>
      </w:pPr>
    </w:p>
    <w:p w14:paraId="6348DC8C">
      <w:pPr>
        <w:rPr>
          <w:b/>
          <w:i/>
          <w:sz w:val="28"/>
          <w:szCs w:val="28"/>
        </w:rPr>
      </w:pPr>
    </w:p>
    <w:p w14:paraId="0E847A8A">
      <w:pPr>
        <w:rPr>
          <w:lang w:eastAsia="fi-FI"/>
        </w:rPr>
      </w:pPr>
    </w:p>
    <w:p w14:paraId="0543C37F">
      <w:pPr>
        <w:rPr>
          <w:lang w:eastAsia="fi-FI"/>
        </w:rPr>
      </w:pPr>
      <w:r>
        <w:rPr>
          <w:lang w:eastAsia="fi-FI"/>
        </w:rPr>
        <w:t>Final release by the manufacturer is demonstrated by approving and publishing this document in Inion QMS as current document (MULN-7JJCQ2) revision 6.</w:t>
      </w:r>
    </w:p>
    <w:p w14:paraId="536300ED">
      <w:r>
        <w:br w:type="page"/>
      </w:r>
    </w:p>
    <w:p w14:paraId="609D50AC">
      <w:pPr>
        <w:pStyle w:val="2"/>
      </w:pPr>
      <w:bookmarkStart w:id="83" w:name="_Toc472438139"/>
      <w:bookmarkStart w:id="84" w:name="_Toc480979576"/>
      <w:r>
        <w:t>Qualification of the responsible evaluator</w:t>
      </w:r>
      <w:bookmarkEnd w:id="83"/>
      <w:bookmarkEnd w:id="84"/>
    </w:p>
    <w:p w14:paraId="0BC75D61">
      <w:pPr>
        <w:jc w:val="both"/>
      </w:pPr>
      <w:r>
        <w:t>The manufacturer acknowledges that the evaluator of this clinical evaluation has the required qualifications and professional experience to conduct the clinical evaluation of Inion Spinal Graft Containment System™</w:t>
      </w:r>
      <w:r>
        <w:rPr>
          <w:lang w:val="en-GB"/>
        </w:rPr>
        <w:t xml:space="preserve"> implants and instruments.</w:t>
      </w:r>
      <w:r>
        <w:t xml:space="preserve"> The relevant documents on qualification and experience are held by the manufacturer.</w:t>
      </w:r>
    </w:p>
    <w:p w14:paraId="3C7308B4">
      <w:pPr>
        <w:jc w:val="both"/>
      </w:pPr>
    </w:p>
    <w:p w14:paraId="7A659820">
      <w:pPr>
        <w:pStyle w:val="2"/>
      </w:pPr>
      <w:bookmarkStart w:id="85" w:name="_Toc480979577"/>
      <w:bookmarkStart w:id="86" w:name="_Toc472438140"/>
      <w:r>
        <w:t>Declaration of interests</w:t>
      </w:r>
      <w:bookmarkEnd w:id="85"/>
      <w:bookmarkEnd w:id="86"/>
    </w:p>
    <w:p w14:paraId="2EAE5033">
      <w:pPr>
        <w:jc w:val="both"/>
      </w:pPr>
      <w:r>
        <w:t>The Evaluators and Authors have made all effort to provide an objective evaluation in accordance with the clinical evaluation plan. Evaluators and authors are employees of Inion Oy and of the group company Naton Medical Group and its subsidiaries.</w:t>
      </w:r>
    </w:p>
    <w:p w14:paraId="0329D32A">
      <w:pPr>
        <w:pStyle w:val="2"/>
      </w:pPr>
      <w:r>
        <w:br w:type="page"/>
      </w:r>
      <w:bookmarkStart w:id="87" w:name="_Toc480979578"/>
      <w:r>
        <w:t>References</w:t>
      </w:r>
      <w:bookmarkEnd w:id="87"/>
    </w:p>
    <w:p w14:paraId="06A3E8AA">
      <w:r>
        <w:br w:type="page"/>
      </w:r>
    </w:p>
    <w:p w14:paraId="77C9D711"/>
    <w:p w14:paraId="0235F768">
      <w:pPr>
        <w:pStyle w:val="2"/>
      </w:pPr>
      <w:bookmarkStart w:id="88" w:name="_Toc480979579"/>
      <w:r>
        <w:t>Appendices</w:t>
      </w:r>
      <w:bookmarkEnd w:id="88"/>
      <w:r>
        <w:t xml:space="preserve"> </w:t>
      </w:r>
    </w:p>
    <w:p w14:paraId="3A282FAF">
      <w:r>
        <w:t>Appendix 1 - &lt;</w:t>
      </w:r>
      <w:r>
        <w:rPr>
          <w:i/>
        </w:rPr>
        <w:t>Product Name</w:t>
      </w:r>
      <w:r>
        <w:t>&gt; - PubMed raw data</w:t>
      </w:r>
    </w:p>
    <w:p w14:paraId="7C454AB4">
      <w:r>
        <w:t>Appendix 2 - &lt;</w:t>
      </w:r>
      <w:r>
        <w:rPr>
          <w:i/>
        </w:rPr>
        <w:t>Product Name</w:t>
      </w:r>
      <w:r>
        <w:t>&gt; - ScienceDirect raw data</w:t>
      </w:r>
    </w:p>
    <w:p w14:paraId="5E25B1FE">
      <w:r>
        <w:t>Appendix 3 - &lt;</w:t>
      </w:r>
      <w:r>
        <w:rPr>
          <w:i/>
        </w:rPr>
        <w:t>Product Name</w:t>
      </w:r>
      <w:r>
        <w:t>&gt; - Embase raw data</w:t>
      </w:r>
    </w:p>
    <w:p w14:paraId="2CF24A8D">
      <w:r>
        <w:t>Appendix 4 - &lt;</w:t>
      </w:r>
      <w:r>
        <w:rPr>
          <w:i/>
        </w:rPr>
        <w:t>Product Name</w:t>
      </w:r>
      <w:r>
        <w:t>&gt; - Cochrane Reviews raw data</w:t>
      </w:r>
    </w:p>
    <w:p w14:paraId="09F0C484">
      <w:r>
        <w:t>Appendix 5 - &lt;</w:t>
      </w:r>
      <w:r>
        <w:rPr>
          <w:i/>
        </w:rPr>
        <w:t>Product Name</w:t>
      </w:r>
      <w:r>
        <w:t>&gt; - Cochrane Trials raw data</w:t>
      </w:r>
    </w:p>
    <w:p w14:paraId="78B25988">
      <w:pPr>
        <w:ind w:left="5245" w:hanging="5245"/>
      </w:pPr>
      <w:r>
        <w:t>Appendix 6 - &lt;</w:t>
      </w:r>
      <w:r>
        <w:rPr>
          <w:i/>
        </w:rPr>
        <w:t>Product Name</w:t>
      </w:r>
      <w:r>
        <w:t>&gt; - Clinicaltrials.gov and WHO ICTRP raw data</w:t>
      </w:r>
    </w:p>
    <w:p w14:paraId="10F6E7D4">
      <w:pPr>
        <w:ind w:left="3119" w:hanging="3119"/>
      </w:pPr>
      <w:r>
        <w:t>Appendix 7 - &lt;</w:t>
      </w:r>
      <w:r>
        <w:rPr>
          <w:i/>
        </w:rPr>
        <w:t>Product Name</w:t>
      </w:r>
      <w:r>
        <w:t>&gt; – Data search results and data selection and data appraisal</w:t>
      </w:r>
    </w:p>
    <w:p w14:paraId="0C81DBFF">
      <w:r>
        <w:t>Appendix 8 - &lt;</w:t>
      </w:r>
      <w:r>
        <w:rPr>
          <w:i/>
        </w:rPr>
        <w:t>Product Name</w:t>
      </w:r>
      <w:r>
        <w:t>&gt; – FDA Maude raw data</w:t>
      </w:r>
    </w:p>
    <w:p w14:paraId="571F31E3"/>
    <w:p w14:paraId="734851DB">
      <w:pPr>
        <w:pStyle w:val="24"/>
        <w:jc w:val="both"/>
        <w:rPr>
          <w:rFonts w:hint="eastAsia" w:eastAsia="宋体"/>
          <w:lang w:eastAsia="zh-CN"/>
        </w:rPr>
      </w:pPr>
    </w:p>
    <w:p w14:paraId="4DAF5B5C">
      <w:pPr>
        <w:pStyle w:val="24"/>
        <w:jc w:val="center"/>
        <w:rPr>
          <w:rFonts w:hint="eastAsia" w:eastAsia="宋体"/>
          <w:lang w:eastAsia="zh-CN"/>
        </w:rPr>
      </w:pPr>
    </w:p>
    <w:p w14:paraId="0889A6B3">
      <w:pPr>
        <w:pStyle w:val="24"/>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5" name="图片 5" descr="2"/>
            <wp:cNvGraphicFramePr/>
            <a:graphic xmlns:a="http://schemas.openxmlformats.org/drawingml/2006/main">
              <a:graphicData uri="http://schemas.openxmlformats.org/drawingml/2006/picture">
                <pic:pic xmlns:pic="http://schemas.openxmlformats.org/drawingml/2006/picture">
                  <pic:nvPicPr>
                    <pic:cNvPr id="5" name="图片 5" descr="2"/>
                    <pic:cNvPicPr/>
                  </pic:nvPicPr>
                  <pic:blipFill>
                    <a:blip r:embed="rId12"/>
                    <a:stretch>
                      <a:fillRect/>
                    </a:stretch>
                  </pic:blipFill>
                  <pic:spPr>
                    <a:xfrm>
                      <a:off x="0" y="0"/>
                      <a:ext cx="5210175" cy="7343775"/>
                    </a:xfrm>
                    <a:prstGeom prst="rect">
                      <a:avLst/>
                    </a:prstGeom>
                  </pic:spPr>
                </pic:pic>
              </a:graphicData>
            </a:graphic>
          </wp:inline>
        </w:drawing>
      </w:r>
    </w:p>
    <w:sectPr>
      <w:pgSz w:w="12240" w:h="15840"/>
      <w:pgMar w:top="1440" w:right="1797" w:bottom="1440" w:left="1797"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PMingLiU">
    <w:altName w:val="PMingLiU-ExtB"/>
    <w:panose1 w:val="02020500000000000000"/>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Myriad Pro">
    <w:panose1 w:val="020B0503030403020204"/>
    <w:charset w:val="00"/>
    <w:family w:val="swiss"/>
    <w:pitch w:val="default"/>
    <w:sig w:usb0="20000287" w:usb1="00000001"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ONFKMH+TimesNewRoman">
    <w:altName w:val="Times New Roman"/>
    <w:panose1 w:val="00000000000000000000"/>
    <w:charset w:val="00"/>
    <w:family w:val="roman"/>
    <w:pitch w:val="default"/>
    <w:sig w:usb0="00000000" w:usb1="00000000" w:usb2="00000000" w:usb3="00000000" w:csb0="00000001" w:csb1="00000000"/>
  </w:font>
  <w:font w:name="Batang">
    <w:altName w:val="Adobe Myungjo Std M"/>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AdvPSA88A">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850E0">
    <w:pPr>
      <w:pStyle w:val="18"/>
      <w:jc w:val="center"/>
      <w:rPr>
        <w:sz w:val="20"/>
        <w:szCs w:val="20"/>
        <w:lang w:val="fi-FI"/>
      </w:rPr>
    </w:pPr>
    <w:r>
      <w:rPr>
        <w:sz w:val="20"/>
        <w:szCs w:val="20"/>
        <w:lang w:val="fi-FI"/>
      </w:rPr>
      <w:t>Confidential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E3C">
    <w:pPr>
      <w:pStyle w:val="18"/>
      <w:jc w:val="center"/>
      <w:rPr>
        <w:sz w:val="20"/>
        <w:szCs w:val="20"/>
        <w:lang w:val="fi-FI"/>
      </w:rPr>
    </w:pPr>
    <w:r>
      <w:rPr>
        <w:sz w:val="20"/>
        <w:szCs w:val="20"/>
        <w:lang w:val="fi-FI"/>
      </w:rPr>
      <w:t>Confidential</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306D5">
    <w:pPr>
      <w:pStyle w:val="19"/>
      <w:rPr>
        <w:sz w:val="20"/>
        <w:szCs w:val="20"/>
      </w:rPr>
    </w:pPr>
    <w:r>
      <w:rPr>
        <w:sz w:val="20"/>
        <w:szCs w:val="20"/>
      </w:rPr>
      <w:t xml:space="preserve">Inion Oy </w:t>
    </w:r>
    <w:r>
      <w:rPr>
        <w:sz w:val="20"/>
        <w:szCs w:val="20"/>
      </w:rPr>
      <w:tab/>
    </w:r>
    <w:r>
      <w:rPr>
        <w:sz w:val="20"/>
        <w:szCs w:val="20"/>
      </w:rPr>
      <w:t>Clinical Evaluation Report</w:t>
    </w:r>
    <w:r>
      <w:rPr>
        <w:sz w:val="20"/>
        <w:szCs w:val="20"/>
      </w:rPr>
      <w:tab/>
    </w:r>
    <w:r>
      <w:rPr>
        <w:sz w:val="20"/>
        <w:szCs w:val="20"/>
      </w:rPr>
      <w:fldChar w:fldCharType="begin"/>
    </w:r>
    <w:r>
      <w:rPr>
        <w:sz w:val="20"/>
        <w:szCs w:val="20"/>
      </w:rPr>
      <w:instrText xml:space="preserve"> PAGE   \* MERGEFORMAT </w:instrText>
    </w:r>
    <w:r>
      <w:rPr>
        <w:sz w:val="20"/>
        <w:szCs w:val="20"/>
      </w:rPr>
      <w:fldChar w:fldCharType="separate"/>
    </w:r>
    <w:r>
      <w:rPr>
        <w:sz w:val="20"/>
        <w:szCs w:val="20"/>
      </w:rPr>
      <w:t>21</w:t>
    </w:r>
    <w:r>
      <w:rPr>
        <w:sz w:val="20"/>
        <w:szCs w:val="20"/>
      </w:rPr>
      <w:fldChar w:fldCharType="end"/>
    </w:r>
  </w:p>
  <w:p w14:paraId="33E200F9">
    <w:pPr>
      <w:pStyle w:val="19"/>
      <w:rPr>
        <w:sz w:val="20"/>
        <w:szCs w:val="20"/>
      </w:rPr>
    </w:pPr>
    <w:r>
      <w:rPr>
        <w:sz w:val="20"/>
        <w:szCs w:val="20"/>
      </w:rPr>
      <w:tab/>
    </w:r>
    <w:r>
      <w:rPr>
        <w:sz w:val="20"/>
        <w:szCs w:val="20"/>
      </w:rPr>
      <w:t>Inion Spinal Graft Containment System (S-1</w:t>
    </w:r>
    <w:r>
      <w:rPr>
        <w:sz w:val="20"/>
        <w:szCs w:val="20"/>
        <w:vertAlign w:val="superscript"/>
      </w:rPr>
      <w:t>TM</w:t>
    </w:r>
    <w:r>
      <w:rPr>
        <w:sz w:val="20"/>
        <w:szCs w:val="20"/>
      </w:rPr>
      <w:t>/S-2</w:t>
    </w:r>
    <w:r>
      <w:rPr>
        <w:sz w:val="20"/>
        <w:szCs w:val="20"/>
        <w:vertAlign w:val="superscript"/>
      </w:rPr>
      <w:t>TM</w:t>
    </w:r>
    <w:r>
      <w:rPr>
        <w:sz w:val="20"/>
        <w:szCs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C66BE">
    <w:pPr>
      <w:pStyle w:val="19"/>
      <w:rPr>
        <w:sz w:val="20"/>
        <w:szCs w:val="20"/>
      </w:rPr>
    </w:pPr>
    <w:r>
      <w:rPr>
        <w:i/>
        <w:sz w:val="20"/>
        <w:szCs w:val="20"/>
      </w:rPr>
      <w:t>&lt;Company Name&gt;</w:t>
    </w:r>
    <w:r>
      <w:rPr>
        <w:sz w:val="20"/>
        <w:szCs w:val="20"/>
      </w:rPr>
      <w:tab/>
    </w:r>
    <w:r>
      <w:rPr>
        <w:sz w:val="20"/>
        <w:szCs w:val="20"/>
      </w:rPr>
      <w:t>Clinical Evaluation Report</w:t>
    </w:r>
    <w:r>
      <w:rPr>
        <w:sz w:val="20"/>
        <w:szCs w:val="20"/>
      </w:rPr>
      <w:tab/>
    </w: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p w14:paraId="7C0F3C4E">
    <w:pPr>
      <w:pStyle w:val="19"/>
      <w:jc w:val="center"/>
      <w:rPr>
        <w:i/>
        <w:sz w:val="20"/>
        <w:szCs w:val="20"/>
        <w:lang w:eastAsia="zh-CN"/>
      </w:rPr>
    </w:pPr>
    <w:r>
      <w:rPr>
        <w:rFonts w:hint="eastAsia"/>
        <w:i/>
        <w:sz w:val="20"/>
        <w:szCs w:val="20"/>
        <w:lang w:eastAsia="zh-CN"/>
      </w:rPr>
      <w:t>&lt;Product Name&gt;</w:t>
    </w:r>
  </w:p>
  <w:p w14:paraId="50389F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A46F3"/>
    <w:multiLevelType w:val="multilevel"/>
    <w:tmpl w:val="022A46F3"/>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49C72AC"/>
    <w:multiLevelType w:val="multilevel"/>
    <w:tmpl w:val="049C72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5B63E51"/>
    <w:multiLevelType w:val="multilevel"/>
    <w:tmpl w:val="05B63E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6313573"/>
    <w:multiLevelType w:val="multilevel"/>
    <w:tmpl w:val="06313573"/>
    <w:lvl w:ilvl="0" w:tentative="0">
      <w:start w:val="1"/>
      <w:numFmt w:val="decimal"/>
      <w:suff w:val="space"/>
      <w:lvlText w:val="%1."/>
      <w:lvlJc w:val="left"/>
      <w:pPr>
        <w:ind w:left="0" w:firstLine="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3B5360B"/>
    <w:multiLevelType w:val="multilevel"/>
    <w:tmpl w:val="13B5360B"/>
    <w:lvl w:ilvl="0" w:tentative="0">
      <w:start w:val="1"/>
      <w:numFmt w:val="decimal"/>
      <w:pStyle w:val="2"/>
      <w:lvlText w:val="%1."/>
      <w:lvlJc w:val="left"/>
      <w:pPr>
        <w:ind w:left="360" w:hanging="360"/>
      </w:pPr>
      <w:rPr>
        <w:rFonts w:hint="default"/>
        <w:i w:val="0"/>
      </w:rPr>
    </w:lvl>
    <w:lvl w:ilvl="1" w:tentative="0">
      <w:start w:val="1"/>
      <w:numFmt w:val="decimal"/>
      <w:pStyle w:val="3"/>
      <w:lvlText w:val="%1.%2"/>
      <w:lvlJc w:val="left"/>
      <w:pPr>
        <w:tabs>
          <w:tab w:val="left" w:pos="576"/>
        </w:tabs>
        <w:ind w:left="576" w:hanging="576"/>
      </w:pPr>
      <w:rPr>
        <w:rFonts w:hint="default"/>
        <w:i w:val="0"/>
      </w:rPr>
    </w:lvl>
    <w:lvl w:ilvl="2" w:tentative="0">
      <w:start w:val="1"/>
      <w:numFmt w:val="decimal"/>
      <w:pStyle w:val="4"/>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5">
    <w:nsid w:val="3E2D08BD"/>
    <w:multiLevelType w:val="multilevel"/>
    <w:tmpl w:val="3E2D08BD"/>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EE3224A"/>
    <w:multiLevelType w:val="multilevel"/>
    <w:tmpl w:val="4EE3224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4C4615"/>
    <w:multiLevelType w:val="multilevel"/>
    <w:tmpl w:val="534C461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47627F5"/>
    <w:multiLevelType w:val="multilevel"/>
    <w:tmpl w:val="747627F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78E54328"/>
    <w:multiLevelType w:val="multilevel"/>
    <w:tmpl w:val="78E54328"/>
    <w:lvl w:ilvl="0" w:tentative="0">
      <w:start w:val="1"/>
      <w:numFmt w:val="decimal"/>
      <w:suff w:val="space"/>
      <w:lvlText w:val="%1."/>
      <w:lvlJc w:val="left"/>
      <w:pPr>
        <w:ind w:left="0" w:firstLine="0"/>
      </w:pPr>
      <w:rPr>
        <w:rFonts w:ascii="Calibri" w:hAnsi="Calibri" w:eastAsia="宋体" w:cs="Calibri"/>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8"/>
  </w:num>
  <w:num w:numId="3">
    <w:abstractNumId w:val="7"/>
  </w:num>
  <w:num w:numId="4">
    <w:abstractNumId w:val="0"/>
  </w:num>
  <w:num w:numId="5">
    <w:abstractNumId w:val="1"/>
  </w:num>
  <w:num w:numId="6">
    <w:abstractNumId w:val="2"/>
  </w:num>
  <w:num w:numId="7">
    <w:abstractNumId w:val="6"/>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DEC"/>
    <w:rsid w:val="00165578"/>
    <w:rsid w:val="00302D79"/>
    <w:rsid w:val="00385000"/>
    <w:rsid w:val="005048C1"/>
    <w:rsid w:val="006B74F2"/>
    <w:rsid w:val="007204EB"/>
    <w:rsid w:val="00734104"/>
    <w:rsid w:val="00A95DEC"/>
    <w:rsid w:val="00AD145E"/>
    <w:rsid w:val="00AE5F66"/>
    <w:rsid w:val="00B27097"/>
    <w:rsid w:val="00E35821"/>
    <w:rsid w:val="00F218D6"/>
    <w:rsid w:val="5C387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nhideWhenUsed="0" w:uiPriority="99" w:semiHidden="0" w:name="header"/>
    <w:lsdException w:unhideWhenUsed="0"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kern w:val="0"/>
      <w:sz w:val="24"/>
      <w:szCs w:val="24"/>
      <w:lang w:val="en-US" w:eastAsia="en-US" w:bidi="ar-SA"/>
    </w:rPr>
  </w:style>
  <w:style w:type="paragraph" w:styleId="2">
    <w:name w:val="heading 1"/>
    <w:basedOn w:val="1"/>
    <w:next w:val="1"/>
    <w:link w:val="35"/>
    <w:qFormat/>
    <w:uiPriority w:val="0"/>
    <w:pPr>
      <w:keepNext/>
      <w:numPr>
        <w:ilvl w:val="0"/>
        <w:numId w:val="1"/>
      </w:numPr>
      <w:spacing w:before="240" w:after="60"/>
      <w:outlineLvl w:val="0"/>
    </w:pPr>
    <w:rPr>
      <w:rFonts w:cs="Arial"/>
      <w:b/>
      <w:bCs/>
      <w:kern w:val="32"/>
      <w:sz w:val="32"/>
      <w:szCs w:val="32"/>
    </w:rPr>
  </w:style>
  <w:style w:type="paragraph" w:styleId="3">
    <w:name w:val="heading 2"/>
    <w:basedOn w:val="1"/>
    <w:next w:val="1"/>
    <w:link w:val="36"/>
    <w:qFormat/>
    <w:uiPriority w:val="0"/>
    <w:pPr>
      <w:keepNext/>
      <w:numPr>
        <w:ilvl w:val="1"/>
        <w:numId w:val="1"/>
      </w:numPr>
      <w:spacing w:before="240" w:after="60"/>
      <w:outlineLvl w:val="1"/>
    </w:pPr>
    <w:rPr>
      <w:rFonts w:cs="Arial"/>
      <w:b/>
      <w:bCs/>
      <w:iCs/>
      <w:sz w:val="28"/>
      <w:szCs w:val="28"/>
    </w:rPr>
  </w:style>
  <w:style w:type="paragraph" w:styleId="4">
    <w:name w:val="heading 3"/>
    <w:basedOn w:val="1"/>
    <w:next w:val="1"/>
    <w:link w:val="37"/>
    <w:qFormat/>
    <w:uiPriority w:val="0"/>
    <w:pPr>
      <w:keepNext/>
      <w:numPr>
        <w:ilvl w:val="2"/>
        <w:numId w:val="1"/>
      </w:numPr>
      <w:spacing w:before="240" w:after="60"/>
      <w:outlineLvl w:val="2"/>
    </w:pPr>
    <w:rPr>
      <w:rFonts w:cs="Arial"/>
      <w:b/>
      <w:bCs/>
      <w:szCs w:val="26"/>
    </w:rPr>
  </w:style>
  <w:style w:type="paragraph" w:styleId="5">
    <w:name w:val="heading 4"/>
    <w:basedOn w:val="1"/>
    <w:next w:val="1"/>
    <w:link w:val="38"/>
    <w:qFormat/>
    <w:uiPriority w:val="0"/>
    <w:pPr>
      <w:keepNext/>
      <w:spacing w:before="240" w:after="60"/>
      <w:outlineLvl w:val="3"/>
    </w:pPr>
    <w:rPr>
      <w:b/>
      <w:bCs/>
      <w:sz w:val="28"/>
      <w:szCs w:val="28"/>
    </w:rPr>
  </w:style>
  <w:style w:type="paragraph" w:styleId="6">
    <w:name w:val="heading 5"/>
    <w:basedOn w:val="1"/>
    <w:next w:val="1"/>
    <w:link w:val="39"/>
    <w:qFormat/>
    <w:uiPriority w:val="0"/>
    <w:pPr>
      <w:numPr>
        <w:ilvl w:val="4"/>
        <w:numId w:val="1"/>
      </w:numPr>
      <w:spacing w:before="240" w:after="60"/>
      <w:outlineLvl w:val="4"/>
    </w:pPr>
    <w:rPr>
      <w:b/>
      <w:bCs/>
      <w:i/>
      <w:iCs/>
      <w:sz w:val="26"/>
      <w:szCs w:val="26"/>
    </w:rPr>
  </w:style>
  <w:style w:type="paragraph" w:styleId="7">
    <w:name w:val="heading 6"/>
    <w:basedOn w:val="1"/>
    <w:next w:val="1"/>
    <w:link w:val="40"/>
    <w:qFormat/>
    <w:uiPriority w:val="0"/>
    <w:pPr>
      <w:numPr>
        <w:ilvl w:val="5"/>
        <w:numId w:val="1"/>
      </w:numPr>
      <w:spacing w:before="240" w:after="60"/>
      <w:outlineLvl w:val="5"/>
    </w:pPr>
    <w:rPr>
      <w:b/>
      <w:bCs/>
      <w:sz w:val="22"/>
      <w:szCs w:val="22"/>
    </w:rPr>
  </w:style>
  <w:style w:type="paragraph" w:styleId="8">
    <w:name w:val="heading 7"/>
    <w:basedOn w:val="1"/>
    <w:next w:val="1"/>
    <w:link w:val="41"/>
    <w:qFormat/>
    <w:uiPriority w:val="0"/>
    <w:pPr>
      <w:numPr>
        <w:ilvl w:val="6"/>
        <w:numId w:val="1"/>
      </w:numPr>
      <w:spacing w:before="240" w:after="60"/>
      <w:outlineLvl w:val="6"/>
    </w:pPr>
  </w:style>
  <w:style w:type="paragraph" w:styleId="9">
    <w:name w:val="heading 8"/>
    <w:basedOn w:val="1"/>
    <w:next w:val="1"/>
    <w:link w:val="42"/>
    <w:qFormat/>
    <w:uiPriority w:val="0"/>
    <w:pPr>
      <w:numPr>
        <w:ilvl w:val="7"/>
        <w:numId w:val="1"/>
      </w:numPr>
      <w:spacing w:before="240" w:after="60"/>
      <w:outlineLvl w:val="7"/>
    </w:pPr>
    <w:rPr>
      <w:i/>
      <w:iCs/>
    </w:rPr>
  </w:style>
  <w:style w:type="paragraph" w:styleId="10">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caption"/>
    <w:basedOn w:val="1"/>
    <w:next w:val="1"/>
    <w:qFormat/>
    <w:uiPriority w:val="0"/>
    <w:pPr>
      <w:spacing w:before="120" w:after="120"/>
    </w:pPr>
    <w:rPr>
      <w:b/>
      <w:bCs/>
      <w:sz w:val="20"/>
      <w:szCs w:val="20"/>
    </w:rPr>
  </w:style>
  <w:style w:type="paragraph" w:styleId="12">
    <w:name w:val="annotation text"/>
    <w:basedOn w:val="1"/>
    <w:link w:val="62"/>
    <w:semiHidden/>
    <w:unhideWhenUsed/>
    <w:qFormat/>
    <w:uiPriority w:val="99"/>
    <w:rPr>
      <w:sz w:val="20"/>
      <w:szCs w:val="20"/>
    </w:rPr>
  </w:style>
  <w:style w:type="paragraph" w:styleId="13">
    <w:name w:val="Body Text Indent"/>
    <w:basedOn w:val="1"/>
    <w:link w:val="66"/>
    <w:semiHidden/>
    <w:unhideWhenUsed/>
    <w:uiPriority w:val="99"/>
    <w:pPr>
      <w:spacing w:after="120"/>
      <w:ind w:left="420" w:leftChars="200"/>
    </w:pPr>
  </w:style>
  <w:style w:type="paragraph" w:styleId="14">
    <w:name w:val="Block Text"/>
    <w:basedOn w:val="1"/>
    <w:qFormat/>
    <w:uiPriority w:val="0"/>
    <w:pPr>
      <w:ind w:right="-694"/>
    </w:pPr>
    <w:rPr>
      <w:rFonts w:ascii="Times New Roman" w:hAnsi="Times New Roman" w:eastAsia="Times New Roman"/>
      <w:lang w:val="en-GB"/>
    </w:rPr>
  </w:style>
  <w:style w:type="paragraph" w:styleId="15">
    <w:name w:val="toc 3"/>
    <w:basedOn w:val="1"/>
    <w:next w:val="1"/>
    <w:autoRedefine/>
    <w:qFormat/>
    <w:uiPriority w:val="39"/>
    <w:pPr>
      <w:ind w:left="480"/>
    </w:pPr>
  </w:style>
  <w:style w:type="paragraph" w:styleId="16">
    <w:name w:val="Plain Text"/>
    <w:basedOn w:val="1"/>
    <w:link w:val="64"/>
    <w:qFormat/>
    <w:uiPriority w:val="0"/>
    <w:pPr>
      <w:overflowPunct w:val="0"/>
      <w:autoSpaceDE w:val="0"/>
      <w:autoSpaceDN w:val="0"/>
      <w:adjustRightInd w:val="0"/>
      <w:textAlignment w:val="baseline"/>
    </w:pPr>
    <w:rPr>
      <w:rFonts w:ascii="Courier New" w:hAnsi="Courier New"/>
      <w:sz w:val="20"/>
      <w:szCs w:val="20"/>
      <w:lang w:val="en-GB"/>
    </w:rPr>
  </w:style>
  <w:style w:type="paragraph" w:styleId="17">
    <w:name w:val="Balloon Text"/>
    <w:basedOn w:val="1"/>
    <w:link w:val="61"/>
    <w:semiHidden/>
    <w:unhideWhenUsed/>
    <w:qFormat/>
    <w:uiPriority w:val="99"/>
    <w:rPr>
      <w:rFonts w:ascii="Tahoma" w:hAnsi="Tahoma" w:cs="Tahoma"/>
      <w:sz w:val="16"/>
      <w:szCs w:val="16"/>
    </w:rPr>
  </w:style>
  <w:style w:type="paragraph" w:styleId="18">
    <w:name w:val="footer"/>
    <w:basedOn w:val="1"/>
    <w:link w:val="46"/>
    <w:uiPriority w:val="99"/>
    <w:pPr>
      <w:tabs>
        <w:tab w:val="center" w:pos="4320"/>
        <w:tab w:val="right" w:pos="8640"/>
      </w:tabs>
    </w:pPr>
  </w:style>
  <w:style w:type="paragraph" w:styleId="19">
    <w:name w:val="header"/>
    <w:basedOn w:val="1"/>
    <w:link w:val="45"/>
    <w:uiPriority w:val="99"/>
    <w:pPr>
      <w:tabs>
        <w:tab w:val="center" w:pos="4320"/>
        <w:tab w:val="right" w:pos="8640"/>
      </w:tabs>
    </w:pPr>
  </w:style>
  <w:style w:type="paragraph" w:styleId="20">
    <w:name w:val="toc 1"/>
    <w:basedOn w:val="1"/>
    <w:next w:val="1"/>
    <w:autoRedefine/>
    <w:uiPriority w:val="39"/>
  </w:style>
  <w:style w:type="paragraph" w:styleId="21">
    <w:name w:val="Body Text Indent 3"/>
    <w:basedOn w:val="1"/>
    <w:link w:val="47"/>
    <w:qFormat/>
    <w:uiPriority w:val="0"/>
    <w:pPr>
      <w:ind w:left="720"/>
      <w:jc w:val="both"/>
    </w:pPr>
    <w:rPr>
      <w:color w:val="FF0000"/>
      <w:lang w:val="en-GB"/>
    </w:rPr>
  </w:style>
  <w:style w:type="paragraph" w:styleId="22">
    <w:name w:val="table of figures"/>
    <w:basedOn w:val="1"/>
    <w:next w:val="1"/>
    <w:unhideWhenUsed/>
    <w:qFormat/>
    <w:uiPriority w:val="99"/>
  </w:style>
  <w:style w:type="paragraph" w:styleId="23">
    <w:name w:val="toc 2"/>
    <w:basedOn w:val="1"/>
    <w:next w:val="1"/>
    <w:autoRedefine/>
    <w:uiPriority w:val="39"/>
    <w:pPr>
      <w:tabs>
        <w:tab w:val="left" w:pos="960"/>
        <w:tab w:val="right" w:leader="dot" w:pos="8636"/>
      </w:tabs>
      <w:ind w:left="240"/>
    </w:pPr>
  </w:style>
  <w:style w:type="paragraph" w:styleId="24">
    <w:name w:val="Title"/>
    <w:basedOn w:val="1"/>
    <w:link w:val="44"/>
    <w:qFormat/>
    <w:uiPriority w:val="0"/>
    <w:pPr>
      <w:spacing w:before="240" w:after="60"/>
      <w:jc w:val="center"/>
      <w:outlineLvl w:val="0"/>
    </w:pPr>
    <w:rPr>
      <w:rFonts w:ascii="Arial" w:hAnsi="Arial" w:cs="Arial"/>
      <w:b/>
      <w:bCs/>
      <w:kern w:val="28"/>
      <w:sz w:val="32"/>
      <w:szCs w:val="32"/>
    </w:rPr>
  </w:style>
  <w:style w:type="paragraph" w:styleId="25">
    <w:name w:val="annotation subject"/>
    <w:basedOn w:val="12"/>
    <w:next w:val="12"/>
    <w:link w:val="63"/>
    <w:semiHidden/>
    <w:unhideWhenUsed/>
    <w:qFormat/>
    <w:uiPriority w:val="99"/>
    <w:rPr>
      <w:b/>
      <w:bCs/>
    </w:rPr>
  </w:style>
  <w:style w:type="table" w:styleId="27">
    <w:name w:val="Table Grid"/>
    <w:basedOn w:val="26"/>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basedOn w:val="28"/>
    <w:uiPriority w:val="0"/>
  </w:style>
  <w:style w:type="character" w:styleId="31">
    <w:name w:val="FollowedHyperlink"/>
    <w:uiPriority w:val="0"/>
    <w:rPr>
      <w:color w:val="800080"/>
      <w:u w:val="single"/>
    </w:rPr>
  </w:style>
  <w:style w:type="character" w:styleId="32">
    <w:name w:val="Emphasis"/>
    <w:qFormat/>
    <w:uiPriority w:val="20"/>
    <w:rPr>
      <w:i/>
      <w:iCs/>
    </w:rPr>
  </w:style>
  <w:style w:type="character" w:styleId="33">
    <w:name w:val="Hyperlink"/>
    <w:uiPriority w:val="99"/>
    <w:rPr>
      <w:color w:val="0000FF"/>
      <w:u w:val="single"/>
    </w:rPr>
  </w:style>
  <w:style w:type="character" w:styleId="34">
    <w:name w:val="annotation reference"/>
    <w:semiHidden/>
    <w:unhideWhenUsed/>
    <w:uiPriority w:val="99"/>
    <w:rPr>
      <w:sz w:val="16"/>
      <w:szCs w:val="16"/>
    </w:rPr>
  </w:style>
  <w:style w:type="character" w:customStyle="1" w:styleId="35">
    <w:name w:val="标题 1 Char"/>
    <w:basedOn w:val="28"/>
    <w:link w:val="2"/>
    <w:uiPriority w:val="0"/>
    <w:rPr>
      <w:rFonts w:ascii="Calibri" w:hAnsi="Calibri" w:eastAsia="宋体" w:cs="Arial"/>
      <w:b/>
      <w:bCs/>
      <w:kern w:val="32"/>
      <w:sz w:val="32"/>
      <w:szCs w:val="32"/>
      <w:lang w:eastAsia="en-US"/>
    </w:rPr>
  </w:style>
  <w:style w:type="character" w:customStyle="1" w:styleId="36">
    <w:name w:val="标题 2 Char"/>
    <w:basedOn w:val="28"/>
    <w:link w:val="3"/>
    <w:qFormat/>
    <w:uiPriority w:val="0"/>
    <w:rPr>
      <w:rFonts w:ascii="Calibri" w:hAnsi="Calibri" w:eastAsia="宋体" w:cs="Arial"/>
      <w:b/>
      <w:bCs/>
      <w:iCs/>
      <w:kern w:val="0"/>
      <w:sz w:val="28"/>
      <w:szCs w:val="28"/>
      <w:lang w:eastAsia="en-US"/>
    </w:rPr>
  </w:style>
  <w:style w:type="character" w:customStyle="1" w:styleId="37">
    <w:name w:val="标题 3 Char"/>
    <w:basedOn w:val="28"/>
    <w:link w:val="4"/>
    <w:uiPriority w:val="0"/>
    <w:rPr>
      <w:rFonts w:ascii="Calibri" w:hAnsi="Calibri" w:eastAsia="宋体" w:cs="Arial"/>
      <w:b/>
      <w:bCs/>
      <w:kern w:val="0"/>
      <w:sz w:val="24"/>
      <w:szCs w:val="26"/>
      <w:lang w:eastAsia="en-US"/>
    </w:rPr>
  </w:style>
  <w:style w:type="character" w:customStyle="1" w:styleId="38">
    <w:name w:val="标题 4 Char"/>
    <w:basedOn w:val="28"/>
    <w:link w:val="5"/>
    <w:qFormat/>
    <w:uiPriority w:val="0"/>
    <w:rPr>
      <w:rFonts w:ascii="Calibri" w:hAnsi="Calibri" w:eastAsia="宋体" w:cs="Times New Roman"/>
      <w:b/>
      <w:bCs/>
      <w:kern w:val="0"/>
      <w:sz w:val="28"/>
      <w:szCs w:val="28"/>
      <w:lang w:eastAsia="en-US"/>
    </w:rPr>
  </w:style>
  <w:style w:type="character" w:customStyle="1" w:styleId="39">
    <w:name w:val="标题 5 Char"/>
    <w:basedOn w:val="28"/>
    <w:link w:val="6"/>
    <w:uiPriority w:val="0"/>
    <w:rPr>
      <w:rFonts w:ascii="Calibri" w:hAnsi="Calibri" w:eastAsia="宋体" w:cs="Times New Roman"/>
      <w:b/>
      <w:bCs/>
      <w:i/>
      <w:iCs/>
      <w:kern w:val="0"/>
      <w:sz w:val="26"/>
      <w:szCs w:val="26"/>
      <w:lang w:eastAsia="en-US"/>
    </w:rPr>
  </w:style>
  <w:style w:type="character" w:customStyle="1" w:styleId="40">
    <w:name w:val="标题 6 Char"/>
    <w:basedOn w:val="28"/>
    <w:link w:val="7"/>
    <w:uiPriority w:val="0"/>
    <w:rPr>
      <w:rFonts w:ascii="Calibri" w:hAnsi="Calibri" w:eastAsia="宋体" w:cs="Times New Roman"/>
      <w:b/>
      <w:bCs/>
      <w:kern w:val="0"/>
      <w:sz w:val="22"/>
      <w:lang w:eastAsia="en-US"/>
    </w:rPr>
  </w:style>
  <w:style w:type="character" w:customStyle="1" w:styleId="41">
    <w:name w:val="标题 7 Char"/>
    <w:basedOn w:val="28"/>
    <w:link w:val="8"/>
    <w:qFormat/>
    <w:uiPriority w:val="0"/>
    <w:rPr>
      <w:rFonts w:ascii="Calibri" w:hAnsi="Calibri" w:eastAsia="宋体" w:cs="Times New Roman"/>
      <w:kern w:val="0"/>
      <w:sz w:val="24"/>
      <w:szCs w:val="24"/>
      <w:lang w:eastAsia="en-US"/>
    </w:rPr>
  </w:style>
  <w:style w:type="character" w:customStyle="1" w:styleId="42">
    <w:name w:val="标题 8 Char"/>
    <w:basedOn w:val="28"/>
    <w:link w:val="9"/>
    <w:uiPriority w:val="0"/>
    <w:rPr>
      <w:rFonts w:ascii="Calibri" w:hAnsi="Calibri" w:eastAsia="宋体" w:cs="Times New Roman"/>
      <w:i/>
      <w:iCs/>
      <w:kern w:val="0"/>
      <w:sz w:val="24"/>
      <w:szCs w:val="24"/>
      <w:lang w:eastAsia="en-US"/>
    </w:rPr>
  </w:style>
  <w:style w:type="character" w:customStyle="1" w:styleId="43">
    <w:name w:val="标题 9 Char"/>
    <w:basedOn w:val="28"/>
    <w:link w:val="10"/>
    <w:qFormat/>
    <w:uiPriority w:val="0"/>
    <w:rPr>
      <w:rFonts w:ascii="Arial" w:hAnsi="Arial" w:eastAsia="宋体" w:cs="Arial"/>
      <w:kern w:val="0"/>
      <w:sz w:val="22"/>
      <w:lang w:eastAsia="en-US"/>
    </w:rPr>
  </w:style>
  <w:style w:type="character" w:customStyle="1" w:styleId="44">
    <w:name w:val="标题 Char"/>
    <w:basedOn w:val="28"/>
    <w:link w:val="24"/>
    <w:uiPriority w:val="0"/>
    <w:rPr>
      <w:rFonts w:ascii="Arial" w:hAnsi="Arial" w:eastAsia="宋体" w:cs="Arial"/>
      <w:b/>
      <w:bCs/>
      <w:kern w:val="28"/>
      <w:sz w:val="32"/>
      <w:szCs w:val="32"/>
      <w:lang w:eastAsia="en-US"/>
    </w:rPr>
  </w:style>
  <w:style w:type="character" w:customStyle="1" w:styleId="45">
    <w:name w:val="页眉 Char"/>
    <w:basedOn w:val="28"/>
    <w:link w:val="19"/>
    <w:uiPriority w:val="99"/>
    <w:rPr>
      <w:rFonts w:ascii="Calibri" w:hAnsi="Calibri" w:eastAsia="宋体" w:cs="Times New Roman"/>
      <w:kern w:val="0"/>
      <w:sz w:val="24"/>
      <w:szCs w:val="24"/>
      <w:lang w:eastAsia="en-US"/>
    </w:rPr>
  </w:style>
  <w:style w:type="character" w:customStyle="1" w:styleId="46">
    <w:name w:val="页脚 Char"/>
    <w:basedOn w:val="28"/>
    <w:link w:val="18"/>
    <w:uiPriority w:val="99"/>
    <w:rPr>
      <w:rFonts w:ascii="Calibri" w:hAnsi="Calibri" w:eastAsia="宋体" w:cs="Times New Roman"/>
      <w:kern w:val="0"/>
      <w:sz w:val="24"/>
      <w:szCs w:val="24"/>
      <w:lang w:eastAsia="en-US"/>
    </w:rPr>
  </w:style>
  <w:style w:type="character" w:customStyle="1" w:styleId="47">
    <w:name w:val="正文文本缩进 3 Char"/>
    <w:basedOn w:val="28"/>
    <w:link w:val="21"/>
    <w:qFormat/>
    <w:uiPriority w:val="0"/>
    <w:rPr>
      <w:rFonts w:ascii="Calibri" w:hAnsi="Calibri" w:eastAsia="宋体" w:cs="Times New Roman"/>
      <w:color w:val="FF0000"/>
      <w:kern w:val="0"/>
      <w:sz w:val="24"/>
      <w:szCs w:val="24"/>
      <w:lang w:val="en-GB" w:eastAsia="en-US"/>
    </w:rPr>
  </w:style>
  <w:style w:type="paragraph" w:customStyle="1" w:styleId="48">
    <w:name w:val="ej-featured-article-author"/>
    <w:basedOn w:val="1"/>
    <w:qFormat/>
    <w:uiPriority w:val="0"/>
    <w:pPr>
      <w:spacing w:before="100" w:beforeAutospacing="1" w:after="100" w:afterAutospacing="1"/>
    </w:pPr>
  </w:style>
  <w:style w:type="paragraph" w:customStyle="1" w:styleId="49">
    <w:name w:val="ej-featured-article-reference"/>
    <w:basedOn w:val="1"/>
    <w:qFormat/>
    <w:uiPriority w:val="0"/>
    <w:pPr>
      <w:spacing w:before="100" w:beforeAutospacing="1" w:after="100" w:afterAutospacing="1"/>
    </w:pPr>
  </w:style>
  <w:style w:type="character" w:customStyle="1" w:styleId="50">
    <w:name w:val="ej-j-source"/>
    <w:basedOn w:val="28"/>
    <w:qFormat/>
    <w:uiPriority w:val="0"/>
  </w:style>
  <w:style w:type="character" w:customStyle="1" w:styleId="51">
    <w:name w:val="apple-converted-space"/>
    <w:basedOn w:val="28"/>
    <w:uiPriority w:val="0"/>
  </w:style>
  <w:style w:type="character" w:customStyle="1" w:styleId="52">
    <w:name w:val="highlight"/>
    <w:basedOn w:val="28"/>
    <w:uiPriority w:val="0"/>
  </w:style>
  <w:style w:type="paragraph" w:customStyle="1" w:styleId="53">
    <w:name w:val="articledetails"/>
    <w:basedOn w:val="1"/>
    <w:qFormat/>
    <w:uiPriority w:val="0"/>
    <w:pPr>
      <w:spacing w:before="100" w:beforeAutospacing="1" w:after="100" w:afterAutospacing="1"/>
    </w:pPr>
  </w:style>
  <w:style w:type="character" w:customStyle="1" w:styleId="54">
    <w:name w:val="pagination"/>
    <w:basedOn w:val="28"/>
    <w:qFormat/>
    <w:uiPriority w:val="0"/>
  </w:style>
  <w:style w:type="character" w:customStyle="1" w:styleId="55">
    <w:name w:val="doi"/>
    <w:basedOn w:val="28"/>
    <w:uiPriority w:val="0"/>
  </w:style>
  <w:style w:type="character" w:customStyle="1" w:styleId="56">
    <w:name w:val="label"/>
    <w:basedOn w:val="28"/>
    <w:qFormat/>
    <w:uiPriority w:val="0"/>
  </w:style>
  <w:style w:type="character" w:customStyle="1" w:styleId="57">
    <w:name w:val="value"/>
    <w:basedOn w:val="28"/>
    <w:qFormat/>
    <w:uiPriority w:val="0"/>
  </w:style>
  <w:style w:type="paragraph" w:customStyle="1" w:styleId="58">
    <w:name w:val="articlecategory"/>
    <w:basedOn w:val="1"/>
    <w:qFormat/>
    <w:uiPriority w:val="0"/>
    <w:pPr>
      <w:spacing w:before="100" w:beforeAutospacing="1" w:after="100" w:afterAutospacing="1"/>
    </w:pPr>
  </w:style>
  <w:style w:type="paragraph" w:customStyle="1" w:styleId="59">
    <w:name w:val="authors"/>
    <w:basedOn w:val="1"/>
    <w:qFormat/>
    <w:uiPriority w:val="0"/>
    <w:pPr>
      <w:spacing w:before="100" w:beforeAutospacing="1" w:after="100" w:afterAutospacing="1"/>
    </w:pPr>
  </w:style>
  <w:style w:type="paragraph" w:styleId="60">
    <w:name w:val="List Paragraph"/>
    <w:basedOn w:val="1"/>
    <w:qFormat/>
    <w:uiPriority w:val="34"/>
    <w:pPr>
      <w:ind w:left="720"/>
    </w:pPr>
  </w:style>
  <w:style w:type="character" w:customStyle="1" w:styleId="61">
    <w:name w:val="批注框文本 Char"/>
    <w:basedOn w:val="28"/>
    <w:link w:val="17"/>
    <w:semiHidden/>
    <w:qFormat/>
    <w:uiPriority w:val="99"/>
    <w:rPr>
      <w:rFonts w:ascii="Tahoma" w:hAnsi="Tahoma" w:eastAsia="宋体" w:cs="Tahoma"/>
      <w:kern w:val="0"/>
      <w:sz w:val="16"/>
      <w:szCs w:val="16"/>
      <w:lang w:eastAsia="en-US"/>
    </w:rPr>
  </w:style>
  <w:style w:type="character" w:customStyle="1" w:styleId="62">
    <w:name w:val="批注文字 Char"/>
    <w:basedOn w:val="28"/>
    <w:link w:val="12"/>
    <w:semiHidden/>
    <w:uiPriority w:val="99"/>
    <w:rPr>
      <w:rFonts w:ascii="Calibri" w:hAnsi="Calibri" w:eastAsia="宋体" w:cs="Times New Roman"/>
      <w:kern w:val="0"/>
      <w:sz w:val="20"/>
      <w:szCs w:val="20"/>
      <w:lang w:eastAsia="en-US"/>
    </w:rPr>
  </w:style>
  <w:style w:type="character" w:customStyle="1" w:styleId="63">
    <w:name w:val="批注主题 Char"/>
    <w:basedOn w:val="62"/>
    <w:link w:val="25"/>
    <w:semiHidden/>
    <w:qFormat/>
    <w:uiPriority w:val="99"/>
    <w:rPr>
      <w:rFonts w:ascii="Calibri" w:hAnsi="Calibri" w:eastAsia="宋体" w:cs="Times New Roman"/>
      <w:b/>
      <w:bCs/>
      <w:kern w:val="0"/>
      <w:sz w:val="20"/>
      <w:szCs w:val="20"/>
      <w:lang w:eastAsia="en-US"/>
    </w:rPr>
  </w:style>
  <w:style w:type="character" w:customStyle="1" w:styleId="64">
    <w:name w:val="纯文本 Char"/>
    <w:basedOn w:val="28"/>
    <w:link w:val="16"/>
    <w:qFormat/>
    <w:uiPriority w:val="0"/>
    <w:rPr>
      <w:rFonts w:ascii="Courier New" w:hAnsi="Courier New" w:eastAsia="宋体" w:cs="Times New Roman"/>
      <w:kern w:val="0"/>
      <w:sz w:val="20"/>
      <w:szCs w:val="20"/>
      <w:lang w:val="en-GB" w:eastAsia="en-US"/>
    </w:rPr>
  </w:style>
  <w:style w:type="character" w:customStyle="1" w:styleId="65">
    <w:name w:val="highlight2"/>
    <w:qFormat/>
    <w:uiPriority w:val="0"/>
  </w:style>
  <w:style w:type="character" w:customStyle="1" w:styleId="66">
    <w:name w:val="正文文本缩进 Char"/>
    <w:basedOn w:val="28"/>
    <w:link w:val="13"/>
    <w:semiHidden/>
    <w:qFormat/>
    <w:uiPriority w:val="99"/>
    <w:rPr>
      <w:rFonts w:ascii="Calibri" w:hAnsi="Calibri" w:eastAsia="宋体" w:cs="Times New Roman"/>
      <w:kern w:val="0"/>
      <w:sz w:val="24"/>
      <w:szCs w:val="24"/>
      <w:lang w:eastAsia="en-US"/>
    </w:rPr>
  </w:style>
  <w:style w:type="paragraph" w:customStyle="1" w:styleId="67">
    <w:name w:val="Revision"/>
    <w:hidden/>
    <w:semiHidden/>
    <w:qFormat/>
    <w:uiPriority w:val="99"/>
    <w:rPr>
      <w:rFonts w:ascii="Calibri" w:hAnsi="Calibri" w:eastAsia="宋体" w:cs="Times New Roman"/>
      <w:kern w:val="0"/>
      <w:sz w:val="24"/>
      <w:szCs w:val="24"/>
      <w:lang w:val="en-US" w:eastAsia="en-US" w:bidi="ar-SA"/>
    </w:rPr>
  </w:style>
  <w:style w:type="table" w:customStyle="1" w:styleId="68">
    <w:name w:val="无格式表格 11"/>
    <w:basedOn w:val="26"/>
    <w:qFormat/>
    <w:uiPriority w:val="41"/>
    <w:rPr>
      <w:rFonts w:ascii="Calibri" w:hAnsi="Calibri" w:eastAsia="PMingLiU" w:cs="Times New Roman"/>
      <w:sz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69">
    <w:name w:val="网格型浅色1"/>
    <w:basedOn w:val="26"/>
    <w:qFormat/>
    <w:uiPriority w:val="40"/>
    <w:rPr>
      <w:rFonts w:ascii="Calibri" w:hAnsi="Calibri" w:eastAsia="PMingLiU" w:cs="Times New Roman"/>
      <w:sz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0">
    <w:name w:val="网格表 4 - 着色 31"/>
    <w:basedOn w:val="26"/>
    <w:qFormat/>
    <w:uiPriority w:val="49"/>
    <w:rPr>
      <w:rFonts w:ascii="Calibri" w:hAnsi="Calibri" w:eastAsia="PMingLiU" w:cs="Times New Roman"/>
      <w:sz w:val="24"/>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
    <w:tblStylePr w:type="firstRow">
      <w:rPr>
        <w:b/>
        <w:bCs/>
        <w:color w:val="FFFFF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71">
    <w:name w:val="网格表 41"/>
    <w:basedOn w:val="26"/>
    <w:qFormat/>
    <w:uiPriority w:val="49"/>
    <w:rPr>
      <w:rFonts w:ascii="Calibri" w:hAnsi="Calibri" w:eastAsia="PMingLiU" w:cs="Times New Roman"/>
      <w:sz w:val="24"/>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
    <w:tblStylePr w:type="firstRow">
      <w:rPr>
        <w:b/>
        <w:bCs/>
        <w:color w:val="FFFFFF"/>
      </w:r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table" w:customStyle="1" w:styleId="72">
    <w:name w:val="清单表 21"/>
    <w:basedOn w:val="26"/>
    <w:qFormat/>
    <w:uiPriority w:val="47"/>
    <w:rPr>
      <w:rFonts w:ascii="Calibri" w:hAnsi="Calibri" w:eastAsia="PMingLiU" w:cs="Times New Roman"/>
      <w:sz w:val="24"/>
    </w:rPr>
    <w:tblPr>
      <w:tblBorders>
        <w:top w:val="single" w:color="666666" w:sz="4" w:space="0"/>
        <w:bottom w:val="single" w:color="666666" w:sz="4" w:space="0"/>
        <w:insideH w:val="single" w:color="666666"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customStyle="1" w:styleId="73">
    <w:name w:val="Bold"/>
    <w:basedOn w:val="1"/>
    <w:link w:val="74"/>
    <w:qFormat/>
    <w:uiPriority w:val="0"/>
    <w:pPr>
      <w:keepNext/>
      <w:spacing w:before="120" w:after="120" w:line="276" w:lineRule="auto"/>
      <w:jc w:val="both"/>
    </w:pPr>
    <w:rPr>
      <w:rFonts w:ascii="Arial" w:hAnsi="Arial" w:eastAsia="Calibri"/>
      <w:b/>
      <w:i/>
      <w:sz w:val="22"/>
      <w:szCs w:val="22"/>
      <w:lang w:val="en-GB"/>
    </w:rPr>
  </w:style>
  <w:style w:type="character" w:customStyle="1" w:styleId="74">
    <w:name w:val="Bold Char"/>
    <w:link w:val="73"/>
    <w:qFormat/>
    <w:uiPriority w:val="0"/>
    <w:rPr>
      <w:rFonts w:ascii="Arial" w:hAnsi="Arial" w:eastAsia="Calibri" w:cs="Times New Roman"/>
      <w:b/>
      <w:i/>
      <w:kern w:val="0"/>
      <w:sz w:val="22"/>
      <w:lang w:val="en-GB" w:eastAsia="en-US"/>
    </w:rPr>
  </w:style>
  <w:style w:type="paragraph" w:customStyle="1" w:styleId="75">
    <w:name w:val="Default"/>
    <w:qFormat/>
    <w:uiPriority w:val="0"/>
    <w:pPr>
      <w:autoSpaceDE w:val="0"/>
      <w:autoSpaceDN w:val="0"/>
      <w:adjustRightInd w:val="0"/>
    </w:pPr>
    <w:rPr>
      <w:rFonts w:ascii="Myriad Pro" w:hAnsi="Myriad Pro" w:eastAsia="宋体" w:cs="Myriad Pro"/>
      <w:color w:val="000000"/>
      <w:kern w:val="0"/>
      <w:sz w:val="24"/>
      <w:szCs w:val="24"/>
      <w:lang w:val="fi-FI" w:eastAsia="fi-FI" w:bidi="ar-SA"/>
    </w:rPr>
  </w:style>
  <w:style w:type="paragraph" w:customStyle="1" w:styleId="76">
    <w:name w:val="Pa2"/>
    <w:basedOn w:val="75"/>
    <w:next w:val="75"/>
    <w:qFormat/>
    <w:uiPriority w:val="99"/>
    <w:pPr>
      <w:spacing w:line="181" w:lineRule="atLeast"/>
    </w:pPr>
    <w:rPr>
      <w:rFonts w:cs="Times New Roman"/>
      <w:color w:val="auto"/>
    </w:rPr>
  </w:style>
  <w:style w:type="table" w:customStyle="1" w:styleId="77">
    <w:name w:val="Grid Table 4 Accent 3"/>
    <w:basedOn w:val="26"/>
    <w:qFormat/>
    <w:uiPriority w:val="49"/>
    <w:rPr>
      <w:rFonts w:ascii="Calibri" w:hAnsi="Calibri" w:eastAsia="PMingLiU" w:cs="Times New Roman"/>
      <w:sz w:val="24"/>
      <w:lang w:eastAsia="zh-TW"/>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CellMar>
        <w:top w:w="0" w:type="dxa"/>
        <w:left w:w="108" w:type="dxa"/>
        <w:bottom w:w="0" w:type="dxa"/>
        <w:right w:w="108" w:type="dxa"/>
      </w:tblCellMar>
    </w:tblPr>
    <w:tblStylePr w:type="firstRow">
      <w:rPr>
        <w:b/>
        <w:bCs/>
        <w:color w:val="CCE8CF"/>
      </w:r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3153</Words>
  <Characters>16016</Characters>
  <Lines>747</Lines>
  <Paragraphs>210</Paragraphs>
  <TotalTime>8</TotalTime>
  <ScaleCrop>false</ScaleCrop>
  <LinksUpToDate>false</LinksUpToDate>
  <CharactersWithSpaces>18916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2017-05-08T00:40:00Z</dcterms:created>
  <dc:creator>周琦芸</dc:creator>
  <cp:lastModifiedBy>太极箫客</cp:lastModifiedBy>
  <dcterms:modified xsi:type="dcterms:W3CDTF">2025-08-14T06:15:56Z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909D1659E90742D5BEEE97613BF884F5_12</vt:lpwstr>
  </property>
</Properties>
</file>