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AF15">
      <w:pPr>
        <w:overflowPunct w:val="0"/>
        <w:snapToGrid w:val="0"/>
        <w:spacing w:before="1440" w:beforeLines="600" w:after="120" w:afterLines="50" w:line="300" w:lineRule="auto"/>
        <w:jc w:val="both"/>
        <w:rPr>
          <w:rFonts w:ascii="Arial" w:hAnsi="Arial" w:eastAsia="宋体" w:cs="Arial"/>
          <w:sz w:val="64"/>
          <w:szCs w:val="64"/>
        </w:rPr>
      </w:pPr>
      <w:bookmarkStart w:id="0" w:name="_GoBack"/>
      <w:bookmarkEnd w:id="0"/>
      <w:r>
        <w:rPr>
          <w:rFonts w:hint="eastAsia" w:ascii="Arial" w:eastAsia="宋体"/>
          <w:b/>
          <w:sz w:val="64"/>
        </w:rPr>
        <w:t>CPG章节398.350针对未能提交装配报告的X射线设备装配商的监管措施</w:t>
      </w:r>
    </w:p>
    <w:p w14:paraId="6DF7FC35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1EE72FD2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21 CFR 1020.30(d)要求诊断X射线系统的装配商提供装配文件报告(FD 2579)。完整的报告必须在装配完成的15天内提交至器械和放射卫生中心（CDRH）主任以及购买方，并在适用时提交至国家。这些报告在CDRH加盖日期，并发送到该领域进行审查和备案。</w:t>
      </w:r>
    </w:p>
    <w:p w14:paraId="5BBDBE0C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10040B10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诊断X射线设备的装配商未能提交装配报告时，该地区可发起和发出一份*非合规信或警告*通知信。如果装配商未及时纠正违规行为并*仍不遵守规定，*该地区应提交民事处罚和/或禁令申请至CDRH。</w:t>
      </w:r>
    </w:p>
    <w:p w14:paraId="5DB0DA68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三十（30）天是完成报告、邮寄时间和完成其他行政活动的充分时间。装配完成后超过30天收到的装配报告将视为逾期。</w:t>
      </w:r>
    </w:p>
    <w:p w14:paraId="3C50121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监管措施指南：</w:t>
      </w:r>
    </w:p>
    <w:p w14:paraId="5F52D625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以下为地区办公室向*装配商发出*警告*的直接引用标准：</w:t>
      </w:r>
    </w:p>
    <w:p w14:paraId="09D56B2A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after="240" w:afterLines="100" w:line="300" w:lineRule="auto"/>
        <w:ind w:left="572" w:leftChars="100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该区必须建立明确的证据，表明FDA-2579的表格从未提交或逾期。这可以通过公司的记录检查、FDA地区办公室的记录审查、CDRH计算机文件的审查、购买者的采访以及对州记录的审查获得。</w:t>
      </w:r>
    </w:p>
    <w:p w14:paraId="3DA6B69F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和</w:t>
      </w:r>
    </w:p>
    <w:p w14:paraId="47C3EB56">
      <w:pPr>
        <w:spacing w:after="240" w:afterLines="1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881947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after="240" w:afterLines="100" w:line="300" w:lineRule="auto"/>
        <w:ind w:left="792" w:leftChars="200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该地区应至少发出一份*不合规信*的通知，以处理逾期提交文件或未能提交文件。这必须通过回执或其他收据的证明来确认。</w:t>
      </w:r>
    </w:p>
    <w:p w14:paraId="75129F68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请求民事处罚和/或禁令的标准：</w:t>
      </w:r>
    </w:p>
    <w:p w14:paraId="502BF75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地区应建立明确的持续违规和警告记录；例如，装配商未提交报告或提交报告至少逾期两次，而装配商在12个月内至少收到两次书面警告。*装配商收到警告通知信，并没有回应、纠正或遵守警告通知信的规定。*民事处罚通常是选择性行为。</w:t>
      </w:r>
    </w:p>
    <w:p w14:paraId="78F81623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57593997">
      <w:pPr>
        <w:pStyle w:val="2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发布日期：1985年2月1日</w:t>
      </w:r>
    </w:p>
    <w:p w14:paraId="1690369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</w:t>
      </w:r>
    </w:p>
    <w:p w14:paraId="134BD3BF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Style w:val="7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24296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7AED2FBE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60E1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1B74105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5323D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4AC9F77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9E76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0B35337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0D00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0F627D2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第三章-器械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D668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6F75A55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A0D2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978EA5D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538D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C1A46A1">
            <w:pPr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2E37799E">
      <w:pPr>
        <w:overflowPunct w:val="0"/>
        <w:snapToGrid w:val="0"/>
        <w:spacing w:after="120" w:afterLines="50" w:line="300" w:lineRule="auto"/>
        <w:jc w:val="both"/>
      </w:pPr>
    </w:p>
    <w:p w14:paraId="76845E2F">
      <w:pPr>
        <w:overflowPunct w:val="0"/>
        <w:snapToGrid w:val="0"/>
        <w:spacing w:before="1440" w:beforeLines="600" w:after="120" w:afterLines="50" w:line="300" w:lineRule="auto"/>
        <w:jc w:val="both"/>
        <w:rPr>
          <w:rFonts w:hint="eastAsia" w:eastAsia="宋体"/>
          <w:lang w:eastAsia="zh-CN"/>
        </w:rPr>
      </w:pPr>
    </w:p>
    <w:p w14:paraId="17AA5799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</w:p>
    <w:p w14:paraId="5CFDDCFF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F5307">
    <w:pPr>
      <w:tabs>
        <w:tab w:val="right" w:pos="10765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"http://www.fda.gov/ICECI/ComplianceManuals/CompliancePolicyGuidanceManual/ucm073932.htm"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www.fda.gov/ICECI/ComplianceManuals/CompliancePolicyGuidanceManual/ucm073932.htm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/2</w:t>
    </w:r>
  </w:p>
  <w:p w14:paraId="13F2BDE6">
    <w:pPr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CE5BF">
    <w:pPr>
      <w:snapToGrid w:val="0"/>
      <w:spacing w:after="480" w:afterLines="200" w:line="300" w:lineRule="auto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合规政策指南&gt;CPG章节398.350针对未能提交装配报告的X射线设备装配商的监管措施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362A0"/>
    <w:multiLevelType w:val="multilevel"/>
    <w:tmpl w:val="110362A0"/>
    <w:lvl w:ilvl="0" w:tentative="0">
      <w:start w:val="1"/>
      <w:numFmt w:val="decimal"/>
      <w:lvlText w:val="%1."/>
      <w:lvlJc w:val="left"/>
      <w:pPr>
        <w:ind w:left="612" w:hanging="353"/>
        <w:jc w:val="left"/>
      </w:pPr>
      <w:rPr>
        <w:rFonts w:hint="default" w:ascii="Arial" w:hAnsi="Arial" w:eastAsia="Arial"/>
        <w:spacing w:val="1"/>
        <w:w w:val="102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3D"/>
    <w:rsid w:val="000154FE"/>
    <w:rsid w:val="00076D54"/>
    <w:rsid w:val="000E497C"/>
    <w:rsid w:val="0017428A"/>
    <w:rsid w:val="00235169"/>
    <w:rsid w:val="002644FD"/>
    <w:rsid w:val="004E17E8"/>
    <w:rsid w:val="006D443D"/>
    <w:rsid w:val="00A16829"/>
    <w:rsid w:val="00B6786D"/>
    <w:rsid w:val="00D63AFF"/>
    <w:rsid w:val="00FE224F"/>
    <w:rsid w:val="758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714</Words>
  <Characters>1311</Characters>
  <Lines>15</Lines>
  <Paragraphs>4</Paragraphs>
  <TotalTime>0</TotalTime>
  <ScaleCrop>false</ScaleCrop>
  <LinksUpToDate>false</LinksUpToDate>
  <CharactersWithSpaces>1340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2017-11-17T12:34:00Z</dcterms:created>
  <dc:creator>cathy-wen</dc:creator>
  <cp:lastModifiedBy>太极箫客</cp:lastModifiedBy>
  <dcterms:modified xsi:type="dcterms:W3CDTF">2025-08-14T06:16:25Z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884444337E494239A7B650D54D72FD83_12</vt:lpwstr>
  </property>
</Properties>
</file>