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0D9A5">
      <w:pPr>
        <w:pStyle w:val="12"/>
        <w:keepNext/>
        <w:keepLines/>
        <w:shd w:val="clear" w:color="auto" w:fill="auto"/>
        <w:overflowPunct w:val="0"/>
        <w:snapToGrid w:val="0"/>
        <w:spacing w:before="1440" w:beforeLines="600" w:after="120" w:afterLines="50" w:line="300" w:lineRule="auto"/>
        <w:rPr>
          <w:spacing w:val="0"/>
          <w:sz w:val="64"/>
          <w:szCs w:val="64"/>
        </w:rPr>
      </w:pPr>
      <w:bookmarkStart w:id="0" w:name="bookmark0"/>
      <w:bookmarkStart w:id="7" w:name="_GoBack"/>
      <w:bookmarkEnd w:id="7"/>
      <w:r>
        <w:rPr>
          <w:rFonts w:hint="eastAsia"/>
          <w:spacing w:val="0"/>
          <w:sz w:val="64"/>
          <w:szCs w:val="64"/>
        </w:rPr>
        <w:t xml:space="preserve">CPG章节398.100 </w:t>
      </w:r>
      <w:bookmarkStart w:id="1" w:name="OLE_LINK3"/>
      <w:bookmarkStart w:id="2" w:name="OLE_LINK4"/>
      <w:r>
        <w:rPr>
          <w:rFonts w:hint="eastAsia"/>
          <w:spacing w:val="0"/>
          <w:sz w:val="64"/>
          <w:szCs w:val="64"/>
        </w:rPr>
        <w:t>一般用途放射</w:t>
      </w:r>
      <w:r>
        <w:rPr>
          <w:spacing w:val="0"/>
          <w:sz w:val="64"/>
          <w:szCs w:val="64"/>
        </w:rPr>
        <w:br w:type="textWrapping"/>
      </w:r>
      <w:r>
        <w:rPr>
          <w:rFonts w:hint="eastAsia"/>
          <w:spacing w:val="0"/>
          <w:sz w:val="64"/>
          <w:szCs w:val="64"/>
        </w:rPr>
        <w:t>照相X射线系统的定义</w:t>
      </w:r>
      <w:bookmarkEnd w:id="1"/>
      <w:bookmarkEnd w:id="2"/>
      <w:r>
        <w:rPr>
          <w:rFonts w:hint="eastAsia"/>
          <w:spacing w:val="0"/>
          <w:sz w:val="64"/>
          <w:szCs w:val="64"/>
        </w:rPr>
        <w:t xml:space="preserve"> - 21 CFR 1020.30(b)</w:t>
      </w:r>
      <w:bookmarkEnd w:id="0"/>
    </w:p>
    <w:p w14:paraId="7C846CA0">
      <w:pPr>
        <w:pStyle w:val="17"/>
        <w:shd w:val="clear" w:color="auto" w:fill="auto"/>
        <w:overflowPunct w:val="0"/>
        <w:snapToGrid w:val="0"/>
        <w:spacing w:before="0" w:after="120" w:afterLines="50" w:line="300" w:lineRule="auto"/>
        <w:ind w:firstLine="0"/>
        <w:jc w:val="both"/>
        <w:rPr>
          <w:sz w:val="28"/>
          <w:szCs w:val="28"/>
        </w:rPr>
      </w:pPr>
      <w:r>
        <w:rPr>
          <w:rFonts w:hint="eastAsia"/>
          <w:sz w:val="28"/>
          <w:szCs w:val="28"/>
        </w:rPr>
        <w:t>背景：</w:t>
      </w:r>
    </w:p>
    <w:p w14:paraId="0ADC9103">
      <w:pPr>
        <w:pStyle w:val="17"/>
        <w:shd w:val="clear" w:color="auto" w:fill="auto"/>
        <w:overflowPunct w:val="0"/>
        <w:snapToGrid w:val="0"/>
        <w:spacing w:before="0" w:after="120" w:afterLines="50" w:line="300" w:lineRule="auto"/>
        <w:ind w:firstLine="0"/>
        <w:jc w:val="both"/>
        <w:rPr>
          <w:sz w:val="28"/>
          <w:szCs w:val="28"/>
        </w:rPr>
      </w:pPr>
      <w:r>
        <w:rPr>
          <w:rFonts w:hint="eastAsia"/>
          <w:sz w:val="28"/>
          <w:szCs w:val="28"/>
        </w:rPr>
        <w:t>21 CFR 1020.30(b) * * 规定“一般用途放射照相*X射线*系统意指任何通过设计不限于特定解剖区域的放射照相检查的X射线照相系统”。</w:t>
      </w:r>
    </w:p>
    <w:p w14:paraId="17A3F0AC">
      <w:pPr>
        <w:pStyle w:val="17"/>
        <w:shd w:val="clear" w:color="auto" w:fill="auto"/>
        <w:overflowPunct w:val="0"/>
        <w:snapToGrid w:val="0"/>
        <w:spacing w:before="0" w:after="120" w:afterLines="50" w:line="300" w:lineRule="auto"/>
        <w:ind w:firstLine="0"/>
        <w:jc w:val="both"/>
        <w:rPr>
          <w:sz w:val="28"/>
          <w:szCs w:val="28"/>
        </w:rPr>
      </w:pPr>
      <w:r>
        <w:rPr>
          <w:rFonts w:hint="eastAsia"/>
          <w:sz w:val="28"/>
          <w:szCs w:val="28"/>
        </w:rPr>
        <w:t>性能标准第1020.31（d）、（e）和（f）小节中出现的“一般用途”和“非一般用途”的含义以及这些章节对制造商产品的适用性问题不断出现。</w:t>
      </w:r>
    </w:p>
    <w:p w14:paraId="573A3478">
      <w:pPr>
        <w:pStyle w:val="17"/>
        <w:shd w:val="clear" w:color="auto" w:fill="auto"/>
        <w:overflowPunct w:val="0"/>
        <w:snapToGrid w:val="0"/>
        <w:spacing w:before="0" w:after="120" w:afterLines="50" w:line="300" w:lineRule="auto"/>
        <w:ind w:firstLine="0"/>
        <w:jc w:val="both"/>
        <w:rPr>
          <w:sz w:val="28"/>
          <w:szCs w:val="28"/>
        </w:rPr>
      </w:pPr>
      <w:r>
        <w:rPr>
          <w:rFonts w:hint="eastAsia"/>
          <w:sz w:val="28"/>
          <w:szCs w:val="28"/>
        </w:rPr>
        <w:t>本政策总结并重申了FDA为确定系统何时是“一般用途”以及何时“非一般用途”而制定的第1020.31节的标准。</w:t>
      </w:r>
    </w:p>
    <w:p w14:paraId="42A3616C">
      <w:pPr>
        <w:pStyle w:val="17"/>
        <w:shd w:val="clear" w:color="auto" w:fill="auto"/>
        <w:overflowPunct w:val="0"/>
        <w:snapToGrid w:val="0"/>
        <w:spacing w:before="0" w:after="120" w:afterLines="50" w:line="300" w:lineRule="auto"/>
        <w:ind w:firstLine="0"/>
        <w:jc w:val="both"/>
        <w:rPr>
          <w:sz w:val="28"/>
          <w:szCs w:val="28"/>
        </w:rPr>
      </w:pPr>
      <w:r>
        <w:rPr>
          <w:rFonts w:hint="eastAsia"/>
          <w:sz w:val="28"/>
          <w:szCs w:val="28"/>
        </w:rPr>
        <w:t>政策：</w:t>
      </w:r>
    </w:p>
    <w:p w14:paraId="72E8FCD3">
      <w:pPr>
        <w:pStyle w:val="17"/>
        <w:numPr>
          <w:ilvl w:val="0"/>
          <w:numId w:val="1"/>
        </w:numPr>
        <w:shd w:val="clear" w:color="auto" w:fill="auto"/>
        <w:tabs>
          <w:tab w:val="left" w:pos="590"/>
        </w:tabs>
        <w:overflowPunct w:val="0"/>
        <w:snapToGrid w:val="0"/>
        <w:spacing w:before="0" w:after="120" w:afterLines="50" w:line="300" w:lineRule="auto"/>
        <w:ind w:left="540" w:hanging="380"/>
        <w:jc w:val="both"/>
        <w:rPr>
          <w:sz w:val="28"/>
          <w:szCs w:val="28"/>
        </w:rPr>
      </w:pPr>
      <w:r>
        <w:rPr>
          <w:rFonts w:hint="eastAsia"/>
          <w:sz w:val="28"/>
          <w:szCs w:val="28"/>
        </w:rPr>
        <w:t>根据第1020.31节，为诊断目的而设计并仅限于以下身体区域之一的X射线系统归类为“非一般用途”。</w:t>
      </w:r>
    </w:p>
    <w:p w14:paraId="39FA0208">
      <w:pPr>
        <w:pStyle w:val="17"/>
        <w:numPr>
          <w:ilvl w:val="0"/>
          <w:numId w:val="2"/>
        </w:numPr>
        <w:shd w:val="clear" w:color="auto" w:fill="auto"/>
        <w:tabs>
          <w:tab w:val="left" w:pos="1093"/>
        </w:tabs>
        <w:overflowPunct w:val="0"/>
        <w:snapToGrid w:val="0"/>
        <w:spacing w:before="0" w:after="120" w:afterLines="50" w:line="300" w:lineRule="auto"/>
        <w:ind w:left="720" w:firstLine="0"/>
        <w:jc w:val="both"/>
        <w:rPr>
          <w:sz w:val="28"/>
          <w:szCs w:val="28"/>
        </w:rPr>
      </w:pPr>
      <w:r>
        <w:rPr>
          <w:rFonts w:hint="eastAsia"/>
          <w:sz w:val="28"/>
          <w:szCs w:val="28"/>
        </w:rPr>
        <w:t>四肢</w:t>
      </w:r>
    </w:p>
    <w:p w14:paraId="63B4DA47">
      <w:pPr>
        <w:pStyle w:val="17"/>
        <w:numPr>
          <w:ilvl w:val="0"/>
          <w:numId w:val="2"/>
        </w:numPr>
        <w:shd w:val="clear" w:color="auto" w:fill="auto"/>
        <w:tabs>
          <w:tab w:val="left" w:pos="1112"/>
        </w:tabs>
        <w:overflowPunct w:val="0"/>
        <w:snapToGrid w:val="0"/>
        <w:spacing w:before="0" w:after="120" w:afterLines="50" w:line="300" w:lineRule="auto"/>
        <w:ind w:left="720" w:firstLine="0"/>
        <w:jc w:val="both"/>
        <w:rPr>
          <w:sz w:val="28"/>
          <w:szCs w:val="28"/>
        </w:rPr>
      </w:pPr>
      <w:r>
        <w:rPr>
          <w:rFonts w:hint="eastAsia"/>
          <w:sz w:val="28"/>
          <w:szCs w:val="28"/>
        </w:rPr>
        <w:t xml:space="preserve">头颅和头颈部 </w:t>
      </w:r>
    </w:p>
    <w:p w14:paraId="7158E312">
      <w:pPr>
        <w:pStyle w:val="17"/>
        <w:numPr>
          <w:ilvl w:val="0"/>
          <w:numId w:val="2"/>
        </w:numPr>
        <w:shd w:val="clear" w:color="auto" w:fill="auto"/>
        <w:tabs>
          <w:tab w:val="left" w:pos="1112"/>
        </w:tabs>
        <w:overflowPunct w:val="0"/>
        <w:snapToGrid w:val="0"/>
        <w:spacing w:before="0" w:after="120" w:afterLines="50" w:line="300" w:lineRule="auto"/>
        <w:ind w:left="720" w:firstLine="0"/>
        <w:jc w:val="both"/>
        <w:rPr>
          <w:sz w:val="28"/>
          <w:szCs w:val="28"/>
        </w:rPr>
      </w:pPr>
      <w:r>
        <w:rPr>
          <w:rFonts w:hint="eastAsia"/>
          <w:sz w:val="28"/>
          <w:szCs w:val="28"/>
        </w:rPr>
        <w:t>胸部</w:t>
      </w:r>
    </w:p>
    <w:p w14:paraId="5F7BA181">
      <w:pPr>
        <w:pStyle w:val="17"/>
        <w:numPr>
          <w:ilvl w:val="0"/>
          <w:numId w:val="2"/>
        </w:numPr>
        <w:shd w:val="clear" w:color="auto" w:fill="auto"/>
        <w:tabs>
          <w:tab w:val="left" w:pos="1117"/>
        </w:tabs>
        <w:overflowPunct w:val="0"/>
        <w:snapToGrid w:val="0"/>
        <w:spacing w:before="0" w:after="120" w:afterLines="50" w:line="300" w:lineRule="auto"/>
        <w:ind w:left="720" w:firstLine="0"/>
        <w:jc w:val="both"/>
        <w:rPr>
          <w:sz w:val="28"/>
          <w:szCs w:val="28"/>
        </w:rPr>
      </w:pPr>
      <w:r>
        <w:rPr>
          <w:rFonts w:hint="eastAsia"/>
          <w:sz w:val="28"/>
          <w:szCs w:val="28"/>
        </w:rPr>
        <w:t>腹部</w:t>
      </w:r>
    </w:p>
    <w:p w14:paraId="49FD431C">
      <w:pPr>
        <w:pStyle w:val="17"/>
        <w:numPr>
          <w:ilvl w:val="0"/>
          <w:numId w:val="1"/>
        </w:numPr>
        <w:shd w:val="clear" w:color="auto" w:fill="auto"/>
        <w:tabs>
          <w:tab w:val="left" w:pos="590"/>
        </w:tabs>
        <w:overflowPunct w:val="0"/>
        <w:snapToGrid w:val="0"/>
        <w:spacing w:before="0" w:after="120" w:afterLines="50" w:line="300" w:lineRule="auto"/>
        <w:ind w:left="540" w:hanging="380"/>
        <w:jc w:val="both"/>
        <w:rPr>
          <w:sz w:val="28"/>
          <w:szCs w:val="28"/>
        </w:rPr>
      </w:pPr>
      <w:bookmarkStart w:id="3" w:name="OLE_LINK1"/>
      <w:bookmarkStart w:id="4" w:name="OLE_LINK2"/>
      <w:r>
        <w:rPr>
          <w:rFonts w:hint="eastAsia"/>
          <w:sz w:val="28"/>
          <w:szCs w:val="28"/>
        </w:rPr>
        <w:t>根据第1020.31节，为诊断目的而设计并仅限于以下专业用途的X射线系统归类为“非一般用途”</w:t>
      </w:r>
      <w:bookmarkEnd w:id="3"/>
      <w:bookmarkEnd w:id="4"/>
      <w:r>
        <w:rPr>
          <w:rFonts w:hint="eastAsia"/>
          <w:sz w:val="28"/>
          <w:szCs w:val="28"/>
        </w:rPr>
        <w:t>。</w:t>
      </w:r>
    </w:p>
    <w:p w14:paraId="4BE15EF7">
      <w:pPr>
        <w:pStyle w:val="17"/>
        <w:numPr>
          <w:ilvl w:val="0"/>
          <w:numId w:val="3"/>
        </w:numPr>
        <w:shd w:val="clear" w:color="auto" w:fill="auto"/>
        <w:tabs>
          <w:tab w:val="left" w:pos="1162"/>
        </w:tabs>
        <w:overflowPunct w:val="0"/>
        <w:snapToGrid w:val="0"/>
        <w:spacing w:before="0" w:after="120" w:afterLines="50" w:line="300" w:lineRule="auto"/>
        <w:ind w:left="1162" w:leftChars="309" w:hanging="420" w:hangingChars="150"/>
        <w:jc w:val="both"/>
        <w:rPr>
          <w:sz w:val="28"/>
          <w:szCs w:val="28"/>
        </w:rPr>
      </w:pPr>
      <w:r>
        <w:rPr>
          <w:rFonts w:hint="eastAsia"/>
          <w:sz w:val="28"/>
          <w:szCs w:val="28"/>
        </w:rPr>
        <w:t>设计用于肾脏、膀胱和/或泌尿道的膀胱造影、泌尿系统或其他专业检查的系统。</w:t>
      </w:r>
    </w:p>
    <w:p w14:paraId="2E9C9818">
      <w:pPr>
        <w:pStyle w:val="17"/>
        <w:numPr>
          <w:ilvl w:val="0"/>
          <w:numId w:val="3"/>
        </w:numPr>
        <w:shd w:val="clear" w:color="auto" w:fill="auto"/>
        <w:tabs>
          <w:tab w:val="left" w:pos="1162"/>
        </w:tabs>
        <w:overflowPunct w:val="0"/>
        <w:snapToGrid w:val="0"/>
        <w:spacing w:before="0" w:after="120" w:afterLines="50" w:line="300" w:lineRule="auto"/>
        <w:ind w:left="1162" w:leftChars="309" w:hanging="420" w:hangingChars="150"/>
        <w:jc w:val="both"/>
        <w:rPr>
          <w:sz w:val="28"/>
          <w:szCs w:val="28"/>
        </w:rPr>
      </w:pPr>
      <w:r>
        <w:rPr>
          <w:rFonts w:hint="eastAsia"/>
          <w:sz w:val="28"/>
          <w:szCs w:val="28"/>
        </w:rPr>
        <w:t>设计用于口腔/或外向内图像受体的牙科x射线系统。</w:t>
      </w:r>
    </w:p>
    <w:p w14:paraId="3904C683">
      <w:pPr>
        <w:pStyle w:val="17"/>
        <w:numPr>
          <w:ilvl w:val="0"/>
          <w:numId w:val="3"/>
        </w:numPr>
        <w:shd w:val="clear" w:color="auto" w:fill="auto"/>
        <w:tabs>
          <w:tab w:val="left" w:pos="1162"/>
        </w:tabs>
        <w:overflowPunct w:val="0"/>
        <w:snapToGrid w:val="0"/>
        <w:spacing w:before="0" w:after="120" w:afterLines="50" w:line="300" w:lineRule="auto"/>
        <w:ind w:left="1162" w:leftChars="309" w:hanging="420" w:hangingChars="150"/>
        <w:jc w:val="both"/>
        <w:rPr>
          <w:sz w:val="28"/>
          <w:szCs w:val="28"/>
        </w:rPr>
      </w:pPr>
      <w:r>
        <w:rPr>
          <w:rFonts w:hint="eastAsia"/>
          <w:sz w:val="28"/>
          <w:szCs w:val="28"/>
        </w:rPr>
        <w:t>头颅测量X射线系统或设计用于口外图像的牙科X射线系统当连接特定头颅测量装置时的受体。</w:t>
      </w:r>
    </w:p>
    <w:p w14:paraId="67D686CB">
      <w:pPr>
        <w:pStyle w:val="17"/>
        <w:numPr>
          <w:ilvl w:val="0"/>
          <w:numId w:val="3"/>
        </w:numPr>
        <w:shd w:val="clear" w:color="auto" w:fill="auto"/>
        <w:tabs>
          <w:tab w:val="left" w:pos="1162"/>
        </w:tabs>
        <w:overflowPunct w:val="0"/>
        <w:snapToGrid w:val="0"/>
        <w:spacing w:before="0" w:after="120" w:afterLines="50" w:line="300" w:lineRule="auto"/>
        <w:ind w:left="1162" w:leftChars="309" w:hanging="420" w:hangingChars="150"/>
        <w:jc w:val="both"/>
        <w:rPr>
          <w:sz w:val="28"/>
          <w:szCs w:val="28"/>
        </w:rPr>
      </w:pPr>
      <w:r>
        <w:rPr>
          <w:rFonts w:hint="eastAsia"/>
          <w:sz w:val="28"/>
          <w:szCs w:val="28"/>
        </w:rPr>
        <w:t>专门设计用于胸部或脊柱放射疗法，使用固定SID安装时，非倾斜的X射线系统垂直安装胸片架或盒式架，且没有X射线检查床。为了本段的目的，在正常使用期间置于患者和图像接收器之间带床面的任何检查床都是X射线检查床。这包括但不限于在台面下方配备盒式托盘（或bucky）或盒式通路的任何台架。</w:t>
      </w:r>
    </w:p>
    <w:p w14:paraId="5FCF0722">
      <w:pPr>
        <w:pStyle w:val="17"/>
        <w:numPr>
          <w:ilvl w:val="0"/>
          <w:numId w:val="3"/>
        </w:numPr>
        <w:shd w:val="clear" w:color="auto" w:fill="auto"/>
        <w:tabs>
          <w:tab w:val="left" w:pos="1162"/>
        </w:tabs>
        <w:overflowPunct w:val="0"/>
        <w:snapToGrid w:val="0"/>
        <w:spacing w:before="0" w:after="120" w:afterLines="50" w:line="300" w:lineRule="auto"/>
        <w:ind w:left="1162" w:leftChars="309" w:hanging="420" w:hangingChars="150"/>
        <w:jc w:val="both"/>
        <w:rPr>
          <w:sz w:val="28"/>
          <w:szCs w:val="28"/>
        </w:rPr>
      </w:pPr>
      <w:r>
        <w:rPr>
          <w:rFonts w:hint="eastAsia"/>
          <w:sz w:val="28"/>
          <w:szCs w:val="28"/>
        </w:rPr>
        <w:t>乳房X线照相术X射线系统。</w:t>
      </w:r>
    </w:p>
    <w:p w14:paraId="33256C27">
      <w:pPr>
        <w:pStyle w:val="17"/>
        <w:numPr>
          <w:ilvl w:val="0"/>
          <w:numId w:val="3"/>
        </w:numPr>
        <w:shd w:val="clear" w:color="auto" w:fill="auto"/>
        <w:tabs>
          <w:tab w:val="left" w:pos="1162"/>
        </w:tabs>
        <w:overflowPunct w:val="0"/>
        <w:snapToGrid w:val="0"/>
        <w:spacing w:before="0" w:after="120" w:afterLines="50" w:line="300" w:lineRule="auto"/>
        <w:ind w:left="1162" w:leftChars="309" w:hanging="420" w:hangingChars="150"/>
        <w:jc w:val="both"/>
        <w:rPr>
          <w:sz w:val="28"/>
          <w:szCs w:val="28"/>
        </w:rPr>
      </w:pPr>
      <w:r>
        <w:rPr>
          <w:rFonts w:hint="eastAsia"/>
          <w:sz w:val="28"/>
          <w:szCs w:val="28"/>
        </w:rPr>
        <w:t>治疗模拟X射线系统。</w:t>
      </w:r>
    </w:p>
    <w:p w14:paraId="15411122">
      <w:pPr>
        <w:pStyle w:val="17"/>
        <w:numPr>
          <w:ilvl w:val="0"/>
          <w:numId w:val="3"/>
        </w:numPr>
        <w:shd w:val="clear" w:color="auto" w:fill="auto"/>
        <w:tabs>
          <w:tab w:val="left" w:pos="1162"/>
        </w:tabs>
        <w:overflowPunct w:val="0"/>
        <w:snapToGrid w:val="0"/>
        <w:spacing w:before="0" w:after="120" w:afterLines="50" w:line="300" w:lineRule="auto"/>
        <w:ind w:left="1162" w:leftChars="309" w:hanging="420" w:hangingChars="150"/>
        <w:jc w:val="both"/>
        <w:rPr>
          <w:sz w:val="28"/>
          <w:szCs w:val="28"/>
        </w:rPr>
      </w:pPr>
      <w:r>
        <w:rPr>
          <w:rFonts w:hint="eastAsia"/>
          <w:sz w:val="28"/>
          <w:szCs w:val="28"/>
        </w:rPr>
        <w:t>设计用于和安装在手术室的系统。</w:t>
      </w:r>
    </w:p>
    <w:p w14:paraId="0A127197">
      <w:pPr>
        <w:pStyle w:val="17"/>
        <w:numPr>
          <w:ilvl w:val="0"/>
          <w:numId w:val="3"/>
        </w:numPr>
        <w:shd w:val="clear" w:color="auto" w:fill="auto"/>
        <w:tabs>
          <w:tab w:val="left" w:pos="1162"/>
        </w:tabs>
        <w:overflowPunct w:val="0"/>
        <w:snapToGrid w:val="0"/>
        <w:spacing w:before="0" w:after="120" w:afterLines="50" w:line="300" w:lineRule="auto"/>
        <w:ind w:left="1162" w:leftChars="309" w:hanging="420" w:hangingChars="150"/>
        <w:jc w:val="both"/>
        <w:rPr>
          <w:sz w:val="28"/>
          <w:szCs w:val="28"/>
        </w:rPr>
      </w:pPr>
      <w:r>
        <w:rPr>
          <w:rFonts w:hint="eastAsia"/>
          <w:sz w:val="28"/>
          <w:szCs w:val="28"/>
        </w:rPr>
        <w:t>乳房X线照相术X射线系统。</w:t>
      </w:r>
    </w:p>
    <w:p w14:paraId="44A8C285">
      <w:pPr>
        <w:pStyle w:val="17"/>
        <w:numPr>
          <w:ilvl w:val="0"/>
          <w:numId w:val="3"/>
        </w:numPr>
        <w:shd w:val="clear" w:color="auto" w:fill="auto"/>
        <w:tabs>
          <w:tab w:val="left" w:pos="1162"/>
        </w:tabs>
        <w:overflowPunct w:val="0"/>
        <w:snapToGrid w:val="0"/>
        <w:spacing w:before="0" w:after="120" w:afterLines="50" w:line="300" w:lineRule="auto"/>
        <w:ind w:left="1162" w:leftChars="309" w:hanging="420" w:hangingChars="150"/>
        <w:jc w:val="both"/>
        <w:rPr>
          <w:sz w:val="28"/>
          <w:szCs w:val="28"/>
        </w:rPr>
      </w:pPr>
      <w:r>
        <w:rPr>
          <w:rFonts w:hint="eastAsia"/>
          <w:sz w:val="28"/>
          <w:szCs w:val="28"/>
        </w:rPr>
        <w:t>层析X射线系统（在X射线断层摄影模式下使用)。</w:t>
      </w:r>
    </w:p>
    <w:p w14:paraId="7B1166EC">
      <w:pPr>
        <w:pStyle w:val="17"/>
        <w:numPr>
          <w:ilvl w:val="0"/>
          <w:numId w:val="1"/>
        </w:numPr>
        <w:shd w:val="clear" w:color="auto" w:fill="auto"/>
        <w:tabs>
          <w:tab w:val="left" w:pos="575"/>
        </w:tabs>
        <w:overflowPunct w:val="0"/>
        <w:snapToGrid w:val="0"/>
        <w:spacing w:before="0" w:after="120" w:afterLines="50" w:line="300" w:lineRule="auto"/>
        <w:ind w:left="540"/>
        <w:jc w:val="both"/>
        <w:rPr>
          <w:sz w:val="28"/>
          <w:szCs w:val="28"/>
        </w:rPr>
      </w:pPr>
      <w:r>
        <w:rPr>
          <w:rFonts w:hint="eastAsia"/>
          <w:sz w:val="28"/>
          <w:szCs w:val="28"/>
        </w:rPr>
        <w:t>根据第1020.31节，设计不限于特定的解剖区域的射线照相检查且不符合上述A或B段要求的任何X射线系统认为是“一般用途”。</w:t>
      </w:r>
    </w:p>
    <w:p w14:paraId="7181766A">
      <w:pPr>
        <w:pStyle w:val="17"/>
        <w:shd w:val="clear" w:color="auto" w:fill="auto"/>
        <w:overflowPunct w:val="0"/>
        <w:snapToGrid w:val="0"/>
        <w:spacing w:before="0" w:after="120" w:afterLines="50" w:line="300" w:lineRule="auto"/>
        <w:ind w:firstLine="0"/>
        <w:jc w:val="both"/>
        <w:rPr>
          <w:sz w:val="28"/>
          <w:szCs w:val="28"/>
        </w:rPr>
      </w:pPr>
      <w:r>
        <w:rPr>
          <w:rFonts w:hint="eastAsia"/>
          <w:sz w:val="28"/>
          <w:szCs w:val="28"/>
        </w:rPr>
        <w:t>*星号之间的材料是新材料或改进材料*</w:t>
      </w:r>
    </w:p>
    <w:p w14:paraId="577B6012">
      <w:pPr>
        <w:pStyle w:val="17"/>
        <w:shd w:val="clear" w:color="auto" w:fill="auto"/>
        <w:overflowPunct w:val="0"/>
        <w:snapToGrid w:val="0"/>
        <w:spacing w:before="0" w:after="0" w:line="300" w:lineRule="auto"/>
        <w:ind w:right="5800" w:firstLine="0"/>
        <w:jc w:val="both"/>
        <w:rPr>
          <w:sz w:val="28"/>
          <w:szCs w:val="28"/>
        </w:rPr>
      </w:pPr>
      <w:r>
        <w:rPr>
          <w:rFonts w:hint="eastAsia"/>
          <w:sz w:val="28"/>
          <w:szCs w:val="28"/>
        </w:rPr>
        <w:t>发布日期：1980年10月1日</w:t>
      </w:r>
    </w:p>
    <w:p w14:paraId="3E7775E4">
      <w:pPr>
        <w:pStyle w:val="17"/>
        <w:shd w:val="clear" w:color="auto" w:fill="auto"/>
        <w:overflowPunct w:val="0"/>
        <w:snapToGrid w:val="0"/>
        <w:spacing w:before="0" w:after="120" w:afterLines="50" w:line="300" w:lineRule="auto"/>
        <w:ind w:right="5800" w:firstLine="0"/>
        <w:jc w:val="both"/>
        <w:rPr>
          <w:sz w:val="28"/>
          <w:szCs w:val="28"/>
        </w:rPr>
      </w:pPr>
      <w:r>
        <w:rPr>
          <w:rFonts w:hint="eastAsia"/>
          <w:sz w:val="28"/>
          <w:szCs w:val="28"/>
        </w:rPr>
        <w:t>修订日期：2005年3月</w:t>
      </w:r>
    </w:p>
    <w:tbl>
      <w:tblPr>
        <w:tblStyle w:val="21"/>
        <w:tblW w:w="10884" w:type="dxa"/>
        <w:tblInd w:w="0" w:type="dxa"/>
        <w:tblLayout w:type="fixed"/>
        <w:tblCellMar>
          <w:top w:w="0" w:type="dxa"/>
          <w:left w:w="0" w:type="dxa"/>
          <w:bottom w:w="0" w:type="dxa"/>
          <w:right w:w="0" w:type="dxa"/>
        </w:tblCellMar>
      </w:tblPr>
      <w:tblGrid>
        <w:gridCol w:w="10884"/>
      </w:tblGrid>
      <w:tr w14:paraId="6CA65336">
        <w:tblPrEx>
          <w:tblCellMar>
            <w:top w:w="0" w:type="dxa"/>
            <w:left w:w="0" w:type="dxa"/>
            <w:bottom w:w="0" w:type="dxa"/>
            <w:right w:w="0" w:type="dxa"/>
          </w:tblCellMar>
        </w:tblPrEx>
        <w:tc>
          <w:tcPr>
            <w:tcW w:w="10884" w:type="dxa"/>
            <w:tcBorders>
              <w:top w:val="single" w:color="4F81BD" w:themeColor="accent1" w:sz="6" w:space="0"/>
              <w:left w:val="single" w:color="4F81BD" w:themeColor="accent1" w:sz="6" w:space="0"/>
              <w:bottom w:val="single" w:color="4F81BD" w:themeColor="accent1" w:sz="6" w:space="0"/>
              <w:right w:val="single" w:color="4F81BD" w:themeColor="accent1" w:sz="6" w:space="0"/>
            </w:tcBorders>
            <w:vAlign w:val="center"/>
          </w:tcPr>
          <w:p w14:paraId="2003ABA9">
            <w:pPr>
              <w:pStyle w:val="22"/>
              <w:overflowPunct w:val="0"/>
              <w:snapToGrid w:val="0"/>
              <w:spacing w:before="120" w:beforeLines="50" w:after="120" w:afterLines="50" w:line="276" w:lineRule="auto"/>
              <w:ind w:left="48" w:leftChars="20" w:right="48" w:rightChars="20"/>
              <w:rPr>
                <w:rFonts w:ascii="Arial" w:eastAsia="宋体"/>
                <w:b/>
                <w:sz w:val="24"/>
                <w:szCs w:val="24"/>
                <w:u w:val="single" w:color="000000"/>
              </w:rPr>
            </w:pPr>
            <w:bookmarkStart w:id="5" w:name="OLE_LINK5"/>
            <w:bookmarkStart w:id="6" w:name="OLE_LINK6"/>
            <w:r>
              <w:rPr>
                <w:sz w:val="24"/>
                <w:szCs w:val="24"/>
                <w:u w:val="single"/>
              </w:rPr>
              <w:fldChar w:fldCharType="begin"/>
            </w:r>
            <w:r>
              <w:rPr>
                <w:sz w:val="24"/>
                <w:szCs w:val="24"/>
                <w:u w:val="single"/>
              </w:rPr>
              <w:instrText xml:space="preserve"> HYPERLINK "https://www.fda.gov/ICECI/ComplianceManuals/CompliancePolicyGuidanceManual/default.htm" \h </w:instrText>
            </w:r>
            <w:r>
              <w:rPr>
                <w:sz w:val="24"/>
                <w:szCs w:val="24"/>
                <w:u w:val="single"/>
              </w:rPr>
              <w:fldChar w:fldCharType="separate"/>
            </w:r>
            <w:r>
              <w:rPr>
                <w:rFonts w:hint="eastAsia" w:ascii="Arial" w:eastAsia="宋体"/>
                <w:b/>
                <w:sz w:val="24"/>
                <w:szCs w:val="24"/>
                <w:u w:val="single"/>
              </w:rPr>
              <w:t>合规政策指南的更多信息</w:t>
            </w:r>
            <w:r>
              <w:rPr>
                <w:rFonts w:hint="eastAsia" w:ascii="Arial" w:eastAsia="宋体"/>
                <w:b/>
                <w:sz w:val="24"/>
                <w:szCs w:val="24"/>
                <w:u w:val="single"/>
              </w:rPr>
              <w:br w:type="textWrapping"/>
            </w:r>
            <w:r>
              <w:rPr>
                <w:rFonts w:hint="eastAsia" w:ascii="Arial" w:eastAsia="宋体"/>
                <w:b/>
                <w:sz w:val="24"/>
                <w:szCs w:val="24"/>
                <w:u w:val="single"/>
              </w:rPr>
              <w:t>(/ICECI/Compliance Manuals/Compliance PolicyGuidance Manual/default.htm)</w:t>
            </w:r>
            <w:r>
              <w:rPr>
                <w:rFonts w:ascii="Arial" w:eastAsia="宋体"/>
                <w:b/>
                <w:sz w:val="24"/>
                <w:szCs w:val="24"/>
                <w:u w:val="single"/>
              </w:rPr>
              <w:fldChar w:fldCharType="end"/>
            </w:r>
          </w:p>
        </w:tc>
      </w:tr>
      <w:tr w14:paraId="6D8EB6CE">
        <w:tblPrEx>
          <w:tblCellMar>
            <w:top w:w="0" w:type="dxa"/>
            <w:left w:w="0" w:type="dxa"/>
            <w:bottom w:w="0" w:type="dxa"/>
            <w:right w:w="0" w:type="dxa"/>
          </w:tblCellMar>
        </w:tblPrEx>
        <w:tc>
          <w:tcPr>
            <w:tcW w:w="10884" w:type="dxa"/>
            <w:tcBorders>
              <w:top w:val="single" w:color="4F81BD" w:themeColor="accent1" w:sz="6" w:space="0"/>
              <w:left w:val="single" w:color="DDDDDD" w:sz="6" w:space="0"/>
              <w:bottom w:val="single" w:color="DDDDDD" w:sz="6" w:space="0"/>
              <w:right w:val="single" w:color="DDDDDD" w:sz="6" w:space="0"/>
            </w:tcBorders>
            <w:vAlign w:val="center"/>
          </w:tcPr>
          <w:p w14:paraId="75B6B234">
            <w:pPr>
              <w:pStyle w:val="22"/>
              <w:overflowPunct w:val="0"/>
              <w:snapToGrid w:val="0"/>
              <w:spacing w:before="120" w:beforeLines="50" w:after="120" w:afterLines="50" w:line="276" w:lineRule="auto"/>
              <w:ind w:left="48" w:leftChars="20" w:right="48" w:rightChars="20"/>
              <w:rPr>
                <w:rFonts w:ascii="Arial" w:hAnsi="Arial" w:eastAsia="宋体" w:cs="Arial"/>
                <w:sz w:val="24"/>
                <w:szCs w:val="24"/>
              </w:rPr>
            </w:pPr>
            <w:r>
              <w:rPr>
                <w:rFonts w:hint="eastAsia" w:ascii="Arial" w:eastAsia="宋体"/>
                <w:b/>
                <w:sz w:val="24"/>
                <w:szCs w:val="24"/>
                <w:u w:val="single" w:color="000000"/>
              </w:rPr>
              <w:t>前言：合规政策指南（CPG）</w:t>
            </w:r>
            <w:r>
              <w:rPr>
                <w:rFonts w:hint="eastAsia" w:ascii="Arial" w:eastAsia="宋体"/>
                <w:b/>
                <w:sz w:val="24"/>
                <w:szCs w:val="24"/>
                <w:u w:val="single" w:color="000000"/>
              </w:rPr>
              <w:br w:type="textWrapping"/>
            </w:r>
            <w:r>
              <w:rPr>
                <w:rFonts w:hint="eastAsia" w:ascii="Arial" w:eastAsia="宋体"/>
                <w:b/>
                <w:sz w:val="24"/>
                <w:szCs w:val="24"/>
                <w:u w:val="single" w:color="000000"/>
              </w:rPr>
              <w:t xml:space="preserve">(/ICECI/Compliance Manuals/Compliance PolicyGuidance Manual/ucm116271.htm) </w:t>
            </w:r>
          </w:p>
        </w:tc>
      </w:tr>
      <w:tr w14:paraId="12CC9B33">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080E8946">
            <w:pPr>
              <w:pStyle w:val="22"/>
              <w:overflowPunct w:val="0"/>
              <w:snapToGrid w:val="0"/>
              <w:spacing w:before="120" w:beforeLines="50" w:after="120" w:afterLines="50" w:line="276"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第一章-通则</w:t>
            </w:r>
            <w:r>
              <w:rPr>
                <w:rFonts w:hint="eastAsia"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Manual/ucm116280.htm)</w:t>
            </w:r>
            <w:r>
              <w:rPr>
                <w:rFonts w:hint="eastAsia" w:ascii="Arial" w:eastAsia="宋体"/>
                <w:b/>
                <w:sz w:val="24"/>
                <w:szCs w:val="24"/>
                <w:u w:val="single" w:color="000000"/>
              </w:rPr>
              <w:fldChar w:fldCharType="end"/>
            </w:r>
          </w:p>
        </w:tc>
      </w:tr>
      <w:tr w14:paraId="4BCDDB8A">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32E1CF0B">
            <w:pPr>
              <w:pStyle w:val="22"/>
              <w:overflowPunct w:val="0"/>
              <w:snapToGrid w:val="0"/>
              <w:spacing w:before="120" w:beforeLines="50" w:after="120" w:afterLines="50" w:line="276"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第二章-生物制剂</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Manual/ucm116336.htm)</w:t>
            </w:r>
            <w:r>
              <w:rPr>
                <w:rFonts w:hint="eastAsia" w:ascii="Arial" w:eastAsia="宋体"/>
                <w:b/>
                <w:sz w:val="24"/>
                <w:szCs w:val="24"/>
                <w:u w:val="single" w:color="000000"/>
              </w:rPr>
              <w:fldChar w:fldCharType="end"/>
            </w:r>
          </w:p>
        </w:tc>
      </w:tr>
      <w:tr w14:paraId="1F990676">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3B2D865">
            <w:pPr>
              <w:pStyle w:val="22"/>
              <w:overflowPunct w:val="0"/>
              <w:snapToGrid w:val="0"/>
              <w:spacing w:before="120" w:beforeLines="50" w:after="120" w:afterLines="50" w:line="276"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第三章-器械</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Manual/ucm116801.htm)</w:t>
            </w:r>
            <w:r>
              <w:rPr>
                <w:rFonts w:hint="eastAsia" w:ascii="Arial" w:eastAsia="宋体"/>
                <w:b/>
                <w:sz w:val="24"/>
                <w:szCs w:val="24"/>
                <w:u w:val="single" w:color="000000"/>
              </w:rPr>
              <w:fldChar w:fldCharType="end"/>
            </w:r>
          </w:p>
        </w:tc>
      </w:tr>
      <w:tr w14:paraId="0D31E8B0">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0C969AB4">
            <w:pPr>
              <w:pStyle w:val="22"/>
              <w:overflowPunct w:val="0"/>
              <w:snapToGrid w:val="0"/>
              <w:spacing w:before="120" w:beforeLines="50" w:after="120" w:afterLines="50" w:line="276"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第四章-人用药品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Manual/ucm119572.htm)</w:t>
            </w:r>
            <w:r>
              <w:rPr>
                <w:rFonts w:hint="eastAsia" w:ascii="Arial" w:eastAsia="宋体"/>
                <w:b/>
                <w:sz w:val="24"/>
                <w:szCs w:val="24"/>
                <w:u w:val="single" w:color="000000"/>
              </w:rPr>
              <w:fldChar w:fldCharType="end"/>
            </w:r>
          </w:p>
        </w:tc>
      </w:tr>
      <w:tr w14:paraId="70AF82A7">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607D647A">
            <w:pPr>
              <w:pStyle w:val="22"/>
              <w:overflowPunct w:val="0"/>
              <w:snapToGrid w:val="0"/>
              <w:spacing w:before="120" w:beforeLines="50" w:after="120" w:afterLines="50" w:line="276" w:lineRule="auto"/>
              <w:ind w:left="48" w:leftChars="20" w:right="48" w:rightChars="20"/>
              <w:rPr>
                <w:rFonts w:ascii="Arial" w:eastAsia="宋体"/>
                <w:b/>
                <w:sz w:val="24"/>
                <w:szCs w:val="24"/>
                <w:u w:val="single" w:color="000000"/>
              </w:rPr>
            </w:pPr>
            <w:r>
              <w:rPr>
                <w:sz w:val="24"/>
                <w:szCs w:val="24"/>
              </w:rPr>
              <w:fldChar w:fldCharType="begin"/>
            </w:r>
            <w:r>
              <w:rPr>
                <w:sz w:val="24"/>
                <w:szCs w:val="24"/>
              </w:rPr>
              <w:instrText xml:space="preserve"> HYPERLINK "https://www.fda.gov/ICECI/ComplianceManuals/CompliancePolicyGuidanceManual/ucm119194.htm" \h </w:instrText>
            </w:r>
            <w:r>
              <w:rPr>
                <w:sz w:val="24"/>
                <w:szCs w:val="24"/>
              </w:rPr>
              <w:fldChar w:fldCharType="separate"/>
            </w:r>
            <w:r>
              <w:rPr>
                <w:rFonts w:hint="eastAsia" w:ascii="Arial" w:eastAsia="宋体"/>
                <w:b/>
                <w:sz w:val="24"/>
                <w:szCs w:val="24"/>
                <w:u w:val="single" w:color="000000"/>
              </w:rPr>
              <w:t>第五章-食品、颜料和化妆品</w:t>
            </w:r>
          </w:p>
          <w:p w14:paraId="2DF6A4EE">
            <w:pPr>
              <w:pStyle w:val="22"/>
              <w:overflowPunct w:val="0"/>
              <w:snapToGrid w:val="0"/>
              <w:spacing w:before="120" w:beforeLines="50" w:after="120" w:afterLines="50" w:line="276" w:lineRule="auto"/>
              <w:ind w:left="48" w:leftChars="20" w:right="48" w:rightChars="20"/>
              <w:rPr>
                <w:rFonts w:ascii="Arial" w:hAnsi="Arial" w:eastAsia="宋体" w:cs="Arial"/>
                <w:sz w:val="24"/>
                <w:szCs w:val="24"/>
              </w:rPr>
            </w:pPr>
            <w:r>
              <w:rPr>
                <w:rFonts w:hint="eastAsia" w:ascii="Arial" w:eastAsia="宋体"/>
                <w:b/>
                <w:sz w:val="24"/>
                <w:szCs w:val="24"/>
                <w:u w:val="single" w:color="000000"/>
              </w:rPr>
              <w:t>(/ICECI/Compliance Manuals/Compliance PolicyGuidance Manual/ucm119194.htm)</w:t>
            </w:r>
            <w:r>
              <w:rPr>
                <w:rFonts w:ascii="Arial" w:eastAsia="宋体"/>
                <w:b/>
                <w:sz w:val="24"/>
                <w:szCs w:val="24"/>
                <w:u w:val="single" w:color="000000"/>
              </w:rPr>
              <w:fldChar w:fldCharType="end"/>
            </w:r>
          </w:p>
        </w:tc>
      </w:tr>
      <w:tr w14:paraId="3F955820">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2B68EE81">
            <w:pPr>
              <w:overflowPunct w:val="0"/>
              <w:snapToGrid w:val="0"/>
              <w:spacing w:before="120" w:beforeLines="50" w:after="120" w:afterLines="50" w:line="276" w:lineRule="auto"/>
              <w:ind w:left="48" w:leftChars="20" w:right="48" w:rightChars="20"/>
              <w:rPr>
                <w:rFonts w:ascii="Arial" w:hAnsi="Arial" w:cs="Arial" w:eastAsiaTheme="minorEastAsia"/>
                <w:sz w:val="24"/>
                <w:szCs w:val="24"/>
                <w:lang w:bidi="ar-SA"/>
              </w:rPr>
            </w:pPr>
            <w:r>
              <w:fldChar w:fldCharType="begin"/>
            </w:r>
            <w:r>
              <w:instrText xml:space="preserve"> HYPERLINK "https://www.fda.gov/ICECI/ComplianceManuals/CompliancePolicyGuidanceManual/ucm117042.htm" \h </w:instrText>
            </w:r>
            <w:r>
              <w:fldChar w:fldCharType="separate"/>
            </w:r>
            <w:r>
              <w:rPr>
                <w:rFonts w:hint="eastAsia" w:ascii="Arial" w:hAnsiTheme="minorHAnsi" w:eastAsiaTheme="minorEastAsia" w:cstheme="minorBidi"/>
                <w:b/>
                <w:sz w:val="24"/>
                <w:szCs w:val="24"/>
                <w:u w:val="single" w:color="000000"/>
                <w:lang w:bidi="ar-SA"/>
              </w:rPr>
              <w:t>第六章-兽医医学</w:t>
            </w:r>
            <w:r>
              <w:rPr>
                <w:rFonts w:ascii="Arial" w:hAnsiTheme="minorHAnsi" w:eastAsiaTheme="minorEastAsia" w:cstheme="minorBidi"/>
                <w:b/>
                <w:sz w:val="24"/>
                <w:szCs w:val="24"/>
                <w:u w:val="single" w:color="000000"/>
                <w:lang w:bidi="ar-SA"/>
              </w:rPr>
              <w:br w:type="textWrapping"/>
            </w:r>
            <w:r>
              <w:rPr>
                <w:rFonts w:hint="eastAsia" w:ascii="Arial" w:hAnsiTheme="minorHAnsi" w:eastAsiaTheme="minorEastAsia" w:cstheme="minorBidi"/>
                <w:b/>
                <w:sz w:val="24"/>
                <w:szCs w:val="24"/>
                <w:u w:val="single" w:color="000000"/>
                <w:lang w:bidi="ar-SA"/>
              </w:rPr>
              <w:t>(/ICECI/Compliance Manuals/Compliance PolicyGuidance Manual/ucm117042.htm)</w:t>
            </w:r>
            <w:r>
              <w:rPr>
                <w:rFonts w:hint="eastAsia" w:ascii="Arial" w:hAnsiTheme="minorHAnsi" w:eastAsiaTheme="minorEastAsia" w:cstheme="minorBidi"/>
                <w:b/>
                <w:sz w:val="24"/>
                <w:szCs w:val="24"/>
                <w:u w:val="single" w:color="000000"/>
                <w:lang w:bidi="ar-SA"/>
              </w:rPr>
              <w:fldChar w:fldCharType="end"/>
            </w:r>
          </w:p>
        </w:tc>
      </w:tr>
      <w:bookmarkEnd w:id="5"/>
      <w:bookmarkEnd w:id="6"/>
    </w:tbl>
    <w:p w14:paraId="615E45F1">
      <w:pPr>
        <w:pStyle w:val="10"/>
        <w:shd w:val="clear" w:color="auto" w:fill="auto"/>
        <w:overflowPunct w:val="0"/>
        <w:snapToGrid w:val="0"/>
        <w:spacing w:before="0" w:after="120" w:afterLines="50" w:line="300" w:lineRule="auto"/>
        <w:ind w:left="300"/>
        <w:jc w:val="both"/>
      </w:pPr>
    </w:p>
    <w:p w14:paraId="3955F2D8">
      <w:pPr>
        <w:pStyle w:val="12"/>
        <w:keepNext/>
        <w:keepLines/>
        <w:shd w:val="clear" w:color="auto" w:fill="auto"/>
        <w:overflowPunct w:val="0"/>
        <w:snapToGrid w:val="0"/>
        <w:spacing w:before="1440" w:beforeLines="600" w:after="120" w:afterLines="50" w:line="300" w:lineRule="auto"/>
        <w:rPr>
          <w:rFonts w:hint="eastAsia" w:eastAsia="宋体"/>
          <w:lang w:eastAsia="zh-CN"/>
        </w:rPr>
      </w:pPr>
    </w:p>
    <w:p w14:paraId="0599903F">
      <w:pPr>
        <w:pStyle w:val="12"/>
        <w:keepNext/>
        <w:keepLines/>
        <w:shd w:val="clear" w:color="auto" w:fill="auto"/>
        <w:overflowPunct w:val="0"/>
        <w:snapToGrid w:val="0"/>
        <w:spacing w:before="1440" w:beforeLines="600" w:after="120" w:afterLines="50" w:line="300" w:lineRule="auto"/>
        <w:jc w:val="center"/>
        <w:rPr>
          <w:rFonts w:hint="eastAsia" w:eastAsia="宋体"/>
          <w:lang w:eastAsia="zh-CN"/>
        </w:rPr>
      </w:pPr>
    </w:p>
    <w:p w14:paraId="6AF7E4C7">
      <w:pPr>
        <w:pStyle w:val="12"/>
        <w:keepNext/>
        <w:keepLines/>
        <w:shd w:val="clear" w:color="auto" w:fill="auto"/>
        <w:overflowPunct w:val="0"/>
        <w:snapToGrid w:val="0"/>
        <w:spacing w:before="1440" w:beforeLines="600"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0" w:h="16840"/>
      <w:pgMar w:top="567" w:right="567" w:bottom="567" w:left="567" w:header="283"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roman"/>
    <w:pitch w:val="default"/>
    <w:sig w:usb0="8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8FD9">
    <w:pPr>
      <w:pStyle w:val="14"/>
      <w:shd w:val="clear" w:color="auto" w:fill="auto"/>
      <w:tabs>
        <w:tab w:val="right" w:pos="10779"/>
      </w:tabs>
      <w:spacing w:line="240" w:lineRule="auto"/>
      <w:rPr>
        <w:sz w:val="15"/>
        <w:szCs w:val="15"/>
      </w:rPr>
    </w:pPr>
    <w:r>
      <w:rPr>
        <w:rStyle w:val="15"/>
        <w:rFonts w:hint="eastAsia"/>
        <w:b w:val="0"/>
        <w:bCs/>
        <w:sz w:val="15"/>
        <w:szCs w:val="15"/>
      </w:rPr>
      <w:t>https://www.fda.gov/ICECI/ComplianceManuals/CompliancePolicyGuidanceManual/ucm073928.htm</w:t>
    </w:r>
    <w:r>
      <w:rPr>
        <w:rStyle w:val="15"/>
        <w:rFonts w:hint="eastAsia"/>
        <w:b w:val="0"/>
        <w:bCs/>
        <w:sz w:val="15"/>
        <w:szCs w:val="15"/>
      </w:rPr>
      <w:tab/>
    </w:r>
    <w:r>
      <w:fldChar w:fldCharType="begin"/>
    </w:r>
    <w:r>
      <w:rPr>
        <w:sz w:val="15"/>
        <w:szCs w:val="15"/>
      </w:rPr>
      <w:instrText xml:space="preserve"> PAGE \* MERGEFORMAT </w:instrText>
    </w:r>
    <w:r>
      <w:fldChar w:fldCharType="separate"/>
    </w:r>
    <w:r>
      <w:rPr>
        <w:rStyle w:val="15"/>
        <w:b w:val="0"/>
        <w:bCs/>
        <w:sz w:val="15"/>
        <w:szCs w:val="15"/>
      </w:rPr>
      <w:t>2</w:t>
    </w:r>
    <w:r>
      <w:rPr>
        <w:rStyle w:val="15"/>
        <w:b w:val="0"/>
        <w:bCs/>
        <w:sz w:val="15"/>
        <w:szCs w:val="15"/>
      </w:rPr>
      <w:fldChar w:fldCharType="end"/>
    </w:r>
    <w:r>
      <w:rPr>
        <w:rStyle w:val="15"/>
        <w:rFonts w:hint="eastAsia"/>
        <w:b w:val="0"/>
        <w:bCs/>
        <w:sz w:val="15"/>
        <w:szCs w:val="15"/>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9A2B4">
    <w:pPr>
      <w:pStyle w:val="14"/>
      <w:shd w:val="clear" w:color="auto" w:fill="auto"/>
      <w:tabs>
        <w:tab w:val="left" w:pos="2552"/>
        <w:tab w:val="right" w:pos="10080"/>
      </w:tabs>
      <w:snapToGrid w:val="0"/>
      <w:spacing w:after="480" w:afterLines="200" w:line="300" w:lineRule="auto"/>
      <w:rPr>
        <w:sz w:val="15"/>
        <w:szCs w:val="15"/>
      </w:rPr>
    </w:pPr>
    <w:r>
      <w:rPr>
        <w:rStyle w:val="15"/>
        <w:rFonts w:hint="eastAsia"/>
        <w:b w:val="0"/>
        <w:bCs/>
        <w:sz w:val="15"/>
        <w:szCs w:val="15"/>
      </w:rPr>
      <w:t>2017年8月9日</w:t>
    </w:r>
    <w:r>
      <w:rPr>
        <w:rStyle w:val="15"/>
        <w:rFonts w:hint="eastAsia"/>
        <w:b w:val="0"/>
        <w:bCs/>
        <w:sz w:val="15"/>
        <w:szCs w:val="15"/>
      </w:rPr>
      <w:tab/>
    </w:r>
    <w:r>
      <w:rPr>
        <w:rStyle w:val="15"/>
        <w:rFonts w:hint="eastAsia"/>
        <w:b w:val="0"/>
        <w:bCs/>
        <w:sz w:val="15"/>
        <w:szCs w:val="15"/>
      </w:rPr>
      <w:t>合规政策指南&gt;CPG章节398.100 一般用途放射照相X射线系统的定义 - 21 CFR 1020.30(b)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425FB"/>
    <w:multiLevelType w:val="multilevel"/>
    <w:tmpl w:val="01E425FB"/>
    <w:lvl w:ilvl="0" w:tentative="0">
      <w:start w:val="1"/>
      <w:numFmt w:val="upperLetter"/>
      <w:lvlText w:val="%1."/>
      <w:lvlJc w:val="left"/>
      <w:rPr>
        <w:rFonts w:ascii="Arial" w:hAnsi="Arial" w:eastAsia="Arial" w:cs="Arial"/>
        <w:b w:val="0"/>
        <w:bCs w:val="0"/>
        <w:i w:val="0"/>
        <w:iCs w:val="0"/>
        <w:smallCaps w:val="0"/>
        <w:strike w:val="0"/>
        <w:color w:val="000000"/>
        <w:spacing w:val="0"/>
        <w:w w:val="100"/>
        <w:position w:val="0"/>
        <w:sz w:val="28"/>
        <w:szCs w:val="28"/>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81768C4"/>
    <w:multiLevelType w:val="multilevel"/>
    <w:tmpl w:val="181768C4"/>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8"/>
        <w:szCs w:val="28"/>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7AC232AC"/>
    <w:multiLevelType w:val="multilevel"/>
    <w:tmpl w:val="7AC232AC"/>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8"/>
        <w:szCs w:val="28"/>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7B"/>
    <w:rsid w:val="000044ED"/>
    <w:rsid w:val="00076F65"/>
    <w:rsid w:val="0016196E"/>
    <w:rsid w:val="001B41A8"/>
    <w:rsid w:val="001E224A"/>
    <w:rsid w:val="0024494A"/>
    <w:rsid w:val="003A7E8A"/>
    <w:rsid w:val="003E5594"/>
    <w:rsid w:val="00424526"/>
    <w:rsid w:val="007022D2"/>
    <w:rsid w:val="00742A5B"/>
    <w:rsid w:val="00803C35"/>
    <w:rsid w:val="008045C5"/>
    <w:rsid w:val="0098347B"/>
    <w:rsid w:val="00B02BA9"/>
    <w:rsid w:val="00DC614A"/>
    <w:rsid w:val="00F62A45"/>
    <w:rsid w:val="1E70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宋体" w:cs="Microsoft JhengHei Light"/>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crosoft JhengHei Light" w:hAnsi="Microsoft JhengHei Light" w:eastAsia="宋体" w:cs="Microsoft JhengHei Light"/>
      <w:color w:val="000000"/>
      <w:sz w:val="24"/>
      <w:szCs w:val="24"/>
      <w:lang w:val="en-US" w:eastAsia="zh-CN"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20"/>
    <w:unhideWhenUsed/>
    <w:uiPriority w:val="99"/>
    <w:pPr>
      <w:tabs>
        <w:tab w:val="center" w:pos="4153"/>
        <w:tab w:val="right" w:pos="8306"/>
      </w:tabs>
      <w:snapToGrid w:val="0"/>
    </w:pPr>
    <w:rPr>
      <w:sz w:val="18"/>
      <w:szCs w:val="18"/>
    </w:rPr>
  </w:style>
  <w:style w:type="paragraph" w:styleId="3">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66CC"/>
      <w:u w:val="single"/>
    </w:rPr>
  </w:style>
  <w:style w:type="character" w:customStyle="1" w:styleId="7">
    <w:name w:val="正文文本 (3) Exact"/>
    <w:basedOn w:val="5"/>
    <w:uiPriority w:val="0"/>
    <w:rPr>
      <w:rFonts w:ascii="Arial" w:hAnsi="Arial" w:eastAsia="宋体" w:cs="Arial"/>
      <w:b/>
      <w:bCs/>
      <w:sz w:val="22"/>
      <w:szCs w:val="22"/>
      <w:u w:val="none"/>
    </w:rPr>
  </w:style>
  <w:style w:type="character" w:customStyle="1" w:styleId="8">
    <w:name w:val="正文文本 (3) Exact1"/>
    <w:basedOn w:val="9"/>
    <w:uiPriority w:val="0"/>
    <w:rPr>
      <w:rFonts w:ascii="Arial" w:hAnsi="Arial" w:eastAsia="宋体" w:cs="Arial"/>
      <w:sz w:val="22"/>
      <w:szCs w:val="22"/>
      <w:u w:val="single"/>
    </w:rPr>
  </w:style>
  <w:style w:type="character" w:customStyle="1" w:styleId="9">
    <w:name w:val="正文文本 (3)_"/>
    <w:basedOn w:val="5"/>
    <w:link w:val="10"/>
    <w:qFormat/>
    <w:uiPriority w:val="0"/>
    <w:rPr>
      <w:rFonts w:ascii="Arial" w:hAnsi="Arial" w:eastAsia="宋体" w:cs="Arial"/>
      <w:b/>
      <w:bCs/>
      <w:sz w:val="22"/>
      <w:szCs w:val="22"/>
      <w:u w:val="none"/>
    </w:rPr>
  </w:style>
  <w:style w:type="paragraph" w:customStyle="1" w:styleId="10">
    <w:name w:val="正文文本 (3)1"/>
    <w:basedOn w:val="1"/>
    <w:link w:val="9"/>
    <w:uiPriority w:val="0"/>
    <w:pPr>
      <w:shd w:val="clear" w:color="auto" w:fill="FFFFFF"/>
      <w:spacing w:before="360" w:after="60" w:line="0" w:lineRule="atLeast"/>
    </w:pPr>
    <w:rPr>
      <w:rFonts w:ascii="Arial" w:hAnsi="Arial" w:cs="Arial"/>
      <w:b/>
      <w:bCs/>
      <w:sz w:val="22"/>
      <w:szCs w:val="22"/>
    </w:rPr>
  </w:style>
  <w:style w:type="character" w:customStyle="1" w:styleId="11">
    <w:name w:val="标题 #1_"/>
    <w:basedOn w:val="5"/>
    <w:link w:val="12"/>
    <w:uiPriority w:val="0"/>
    <w:rPr>
      <w:rFonts w:ascii="Arial" w:hAnsi="Arial" w:eastAsia="宋体" w:cs="Arial"/>
      <w:b/>
      <w:bCs/>
      <w:spacing w:val="-10"/>
      <w:sz w:val="62"/>
      <w:szCs w:val="62"/>
      <w:u w:val="none"/>
    </w:rPr>
  </w:style>
  <w:style w:type="paragraph" w:customStyle="1" w:styleId="12">
    <w:name w:val="标题 #1"/>
    <w:basedOn w:val="1"/>
    <w:link w:val="11"/>
    <w:uiPriority w:val="0"/>
    <w:pPr>
      <w:shd w:val="clear" w:color="auto" w:fill="FFFFFF"/>
      <w:spacing w:after="60" w:line="643" w:lineRule="exact"/>
      <w:outlineLvl w:val="0"/>
    </w:pPr>
    <w:rPr>
      <w:rFonts w:ascii="Arial" w:hAnsi="Arial" w:cs="Arial"/>
      <w:b/>
      <w:bCs/>
      <w:spacing w:val="-10"/>
      <w:sz w:val="62"/>
      <w:szCs w:val="62"/>
    </w:rPr>
  </w:style>
  <w:style w:type="character" w:customStyle="1" w:styleId="13">
    <w:name w:val="页眉或页脚_"/>
    <w:basedOn w:val="5"/>
    <w:link w:val="14"/>
    <w:qFormat/>
    <w:uiPriority w:val="0"/>
    <w:rPr>
      <w:rFonts w:ascii="Arial" w:hAnsi="Arial" w:eastAsia="宋体" w:cs="Arial"/>
      <w:b/>
      <w:bCs/>
      <w:spacing w:val="0"/>
      <w:sz w:val="14"/>
      <w:szCs w:val="14"/>
      <w:u w:val="none"/>
    </w:rPr>
  </w:style>
  <w:style w:type="paragraph" w:customStyle="1" w:styleId="14">
    <w:name w:val="页眉或页脚1"/>
    <w:basedOn w:val="1"/>
    <w:link w:val="13"/>
    <w:uiPriority w:val="0"/>
    <w:pPr>
      <w:shd w:val="clear" w:color="auto" w:fill="FFFFFF"/>
      <w:spacing w:line="0" w:lineRule="atLeast"/>
    </w:pPr>
    <w:rPr>
      <w:rFonts w:ascii="Arial" w:hAnsi="Arial" w:cs="Arial"/>
      <w:b/>
      <w:bCs/>
      <w:sz w:val="14"/>
      <w:szCs w:val="14"/>
    </w:rPr>
  </w:style>
  <w:style w:type="character" w:customStyle="1" w:styleId="15">
    <w:name w:val="页眉或页脚"/>
    <w:basedOn w:val="13"/>
    <w:uiPriority w:val="0"/>
    <w:rPr>
      <w:rFonts w:ascii="Arial" w:hAnsi="Arial" w:eastAsia="宋体" w:cs="Arial"/>
      <w:color w:val="000000"/>
      <w:spacing w:val="0"/>
      <w:w w:val="100"/>
      <w:position w:val="0"/>
      <w:sz w:val="14"/>
      <w:szCs w:val="14"/>
      <w:u w:val="none"/>
      <w:lang w:val="en-US" w:eastAsia="zh-CN" w:bidi="en-US"/>
    </w:rPr>
  </w:style>
  <w:style w:type="character" w:customStyle="1" w:styleId="16">
    <w:name w:val="正文文本 (2)_"/>
    <w:basedOn w:val="5"/>
    <w:link w:val="17"/>
    <w:qFormat/>
    <w:uiPriority w:val="0"/>
    <w:rPr>
      <w:rFonts w:ascii="Arial" w:hAnsi="Arial" w:eastAsia="宋体" w:cs="Arial"/>
      <w:spacing w:val="0"/>
      <w:u w:val="none"/>
    </w:rPr>
  </w:style>
  <w:style w:type="paragraph" w:customStyle="1" w:styleId="17">
    <w:name w:val="正文文本 (2)"/>
    <w:basedOn w:val="1"/>
    <w:link w:val="16"/>
    <w:uiPriority w:val="0"/>
    <w:pPr>
      <w:shd w:val="clear" w:color="auto" w:fill="FFFFFF"/>
      <w:spacing w:before="60" w:after="360" w:line="0" w:lineRule="atLeast"/>
      <w:ind w:hanging="400"/>
    </w:pPr>
    <w:rPr>
      <w:rFonts w:ascii="Arial" w:hAnsi="Arial" w:cs="Arial"/>
    </w:rPr>
  </w:style>
  <w:style w:type="character" w:customStyle="1" w:styleId="18">
    <w:name w:val="正文文本 (3)"/>
    <w:basedOn w:val="9"/>
    <w:uiPriority w:val="0"/>
    <w:rPr>
      <w:rFonts w:ascii="Arial" w:hAnsi="Arial" w:eastAsia="宋体" w:cs="Arial"/>
      <w:color w:val="000000"/>
      <w:spacing w:val="0"/>
      <w:w w:val="100"/>
      <w:position w:val="0"/>
      <w:sz w:val="22"/>
      <w:szCs w:val="22"/>
      <w:u w:val="single"/>
      <w:lang w:val="en-US" w:eastAsia="zh-CN" w:bidi="en-US"/>
    </w:rPr>
  </w:style>
  <w:style w:type="character" w:customStyle="1" w:styleId="19">
    <w:name w:val="页眉 Char"/>
    <w:basedOn w:val="5"/>
    <w:link w:val="3"/>
    <w:uiPriority w:val="99"/>
    <w:rPr>
      <w:color w:val="000000"/>
      <w:sz w:val="18"/>
      <w:szCs w:val="18"/>
    </w:rPr>
  </w:style>
  <w:style w:type="character" w:customStyle="1" w:styleId="20">
    <w:name w:val="页脚 Char"/>
    <w:basedOn w:val="5"/>
    <w:link w:val="2"/>
    <w:uiPriority w:val="99"/>
    <w:rPr>
      <w:color w:val="000000"/>
      <w:sz w:val="18"/>
      <w:szCs w:val="18"/>
    </w:rPr>
  </w:style>
  <w:style w:type="table" w:customStyle="1" w:styleId="21">
    <w:name w:val="Table Normal"/>
    <w:semiHidden/>
    <w:unhideWhenUsed/>
    <w:qFormat/>
    <w:uiPriority w:val="2"/>
    <w:rPr>
      <w:rFonts w:asciiTheme="minorHAnsi" w:hAnsiTheme="minorHAnsi" w:eastAsiaTheme="minorEastAsia" w:cstheme="minorBidi"/>
      <w:sz w:val="22"/>
      <w:szCs w:val="22"/>
      <w:lang w:bidi="ar-SA"/>
    </w:rPr>
    <w:tblPr>
      <w:tblCellMar>
        <w:top w:w="0" w:type="dxa"/>
        <w:left w:w="0" w:type="dxa"/>
        <w:bottom w:w="0" w:type="dxa"/>
        <w:right w:w="0" w:type="dxa"/>
      </w:tblCellMar>
    </w:tblPr>
  </w:style>
  <w:style w:type="paragraph" w:customStyle="1" w:styleId="22">
    <w:name w:val="Table Paragraph"/>
    <w:basedOn w:val="1"/>
    <w:qFormat/>
    <w:uiPriority w:val="1"/>
    <w:rPr>
      <w:rFonts w:asciiTheme="minorHAnsi" w:hAnsiTheme="minorHAnsi" w:eastAsiaTheme="minorEastAsia" w:cstheme="minorBidi"/>
      <w:color w:val="auto"/>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798</Words>
  <Characters>1444</Characters>
  <Lines>15</Lines>
  <Paragraphs>4</Paragraphs>
  <TotalTime>0</TotalTime>
  <ScaleCrop>false</ScaleCrop>
  <LinksUpToDate>false</LinksUpToDate>
  <CharactersWithSpaces>1480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2017-11-17T12:26:00Z</dcterms:created>
  <dc:creator>cathy-wen</dc:creator>
  <cp:lastModifiedBy>太极箫客</cp:lastModifiedBy>
  <dcterms:modified xsi:type="dcterms:W3CDTF">2025-08-14T06:16:24Z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9CADF372A95D401DA7D56A20C5BF8025_12</vt:lpwstr>
  </property>
</Properties>
</file>