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C2201">
      <w:pPr>
        <w:overflowPunct w:val="0"/>
        <w:snapToGrid w:val="0"/>
        <w:spacing w:before="1440" w:beforeLines="600" w:after="120" w:afterLines="50" w:line="300" w:lineRule="auto"/>
        <w:rPr>
          <w:rFonts w:ascii="Arial" w:hAnsi="Arial" w:eastAsia="宋体" w:cs="Arial"/>
          <w:sz w:val="64"/>
          <w:szCs w:val="64"/>
        </w:rPr>
      </w:pPr>
      <w:bookmarkStart w:id="0" w:name="_GoBack"/>
      <w:bookmarkEnd w:id="0"/>
      <w:r>
        <w:rPr>
          <w:rFonts w:hint="eastAsia" w:ascii="Arial" w:eastAsia="宋体"/>
          <w:b/>
          <w:sz w:val="64"/>
        </w:rPr>
        <w:t>CPG章节397.100 瞬时-最大超声功率指示的精确度要求, 21 CFR 1050.10(c)(1)(ii)</w:t>
      </w:r>
    </w:p>
    <w:p w14:paraId="537CAF88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背景：</w:t>
      </w:r>
    </w:p>
    <w:p w14:paraId="1CCBD512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超声治疗性能标准的主题段要求，具有幅度调制（脉冲）输出波形的装置提供瞬时-最大超声功率和强度的指示。该要求还规定，对超过最大排放量10％的所有排放物，瞬时- 最大超声功率指示和瞬时-最大-瞬时平均强度比值的误差总和不得超过+ 20％。</w:t>
      </w:r>
    </w:p>
    <w:p w14:paraId="2B99B65A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以这种方式规定了该准确度要求，即，作为误差的总和，以便将指示中的误差与瞬时-平均功率的测量中的不确定性相关联。在当前的现有技术中，瞬时-平均功率的测量可以比瞬时-最大功率的测量更精确（例如，通过辐射力技术），其目前必须依赖于水听器测量。此外，许多超声治疗器械能够在脉冲或连续模式下运行；由于这种器械的生产测试将包括瞬时-平均功率的测量（以校准连续模式），因此将脉冲模式的校准与相同的测量相关联是合理的。</w:t>
      </w:r>
    </w:p>
    <w:p w14:paraId="18D8198C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该部分的标准的实际措辞在用户和制造商之间造成了一些混乱。*器械和放射卫生中心*计划正式修订标准，以便更清楚的说明要求。修订过程需要一定的时间；在过渡期内，关于脉冲模式校准的代理政策将如下所列。</w:t>
      </w:r>
    </w:p>
    <w:p w14:paraId="29C3812D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政策：</w:t>
      </w:r>
    </w:p>
    <w:p w14:paraId="4ADE1A7E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关于脉冲模式校准的意图可以说明如下：必须指出瞬时-最大的功率和强度，并且必须指定瞬时-峰值与瞬时-平均强度的比值。对于给定的输出控制设置，所指示的瞬时-最大功率除以强度比值将产生瞬时-平均功率的值。</w:t>
      </w:r>
    </w:p>
    <w:p w14:paraId="011098A8">
      <w:pPr>
        <w:overflowPunct w:val="0"/>
        <w:snapToGrid w:val="0"/>
        <w:spacing w:after="240" w:afterLines="10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D4182E5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对于相同的输出控制设置，该计算值必须与瞬时-平均功率的测量值一致，在+ 20％以内。本政策将指导* CDRH的*符合性测试，并应指导制造商进行生产测试。当提出修正案发表评论时，以及正式修订程序完成时，将会通知制造商和相关方。</w:t>
      </w:r>
    </w:p>
    <w:p w14:paraId="4978EE17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*星号之间的材料是新材料或改进材料*</w:t>
      </w:r>
    </w:p>
    <w:p w14:paraId="10ED1F05">
      <w:pPr>
        <w:pStyle w:val="2"/>
        <w:overflowPunct w:val="0"/>
        <w:snapToGrid w:val="0"/>
        <w:spacing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发布日期：1980年10月1日</w:t>
      </w:r>
    </w:p>
    <w:p w14:paraId="6A66F591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修订日期：1995年3月</w:t>
      </w:r>
    </w:p>
    <w:p w14:paraId="2677F6F5">
      <w:pPr>
        <w:overflowPunct w:val="0"/>
        <w:snapToGrid w:val="0"/>
        <w:spacing w:after="120" w:afterLines="50" w:line="300" w:lineRule="auto"/>
        <w:rPr>
          <w:rFonts w:ascii="Arial" w:hAnsi="Arial" w:eastAsia="Arial" w:cs="Arial"/>
          <w:sz w:val="20"/>
          <w:szCs w:val="20"/>
        </w:rPr>
      </w:pP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6"/>
      </w:tblGrid>
      <w:tr w14:paraId="0DEFB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4F81BD" w:themeColor="accent1" w:sz="12" w:space="0"/>
              <w:left w:val="single" w:color="4F81BD" w:themeColor="accent1" w:sz="12" w:space="0"/>
              <w:bottom w:val="single" w:color="4F81BD" w:themeColor="accent1" w:sz="12" w:space="0"/>
              <w:right w:val="single" w:color="4F81BD" w:themeColor="accent1" w:sz="12" w:space="0"/>
            </w:tcBorders>
            <w:vAlign w:val="center"/>
          </w:tcPr>
          <w:p w14:paraId="30D48763">
            <w:pPr>
              <w:pStyle w:val="9"/>
              <w:tabs>
                <w:tab w:val="left" w:pos="6854"/>
              </w:tabs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"https://www.fda.gov/ICECI/ComplianceManuals/CompliancePolicyGuidanceManual/default.htm"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/>
              </w:rPr>
              <w:t>合规政策指南的更多信息</w:t>
            </w:r>
            <w:r>
              <w:rPr>
                <w:rFonts w:ascii="Arial" w:eastAsia="宋体"/>
                <w:b/>
                <w:sz w:val="24"/>
                <w:szCs w:val="24"/>
                <w:u w:val="single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/>
              </w:rPr>
              <w:t>(/ICECI/Compliance Manuals/Compliance PolicyGuidance Manual/default.htm)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/>
              </w:rPr>
              <w:fldChar w:fldCharType="end"/>
            </w:r>
          </w:p>
        </w:tc>
      </w:tr>
      <w:tr w14:paraId="7C9F9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4F81BD" w:themeColor="accent1" w:sz="12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15C999D2">
            <w:pPr>
              <w:pStyle w:val="9"/>
              <w:tabs>
                <w:tab w:val="left" w:pos="6854"/>
              </w:tabs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"https://www.fda.gov/ICECI/ComplianceManuals/CompliancePolicyGuidanceManual/ucm116271.htm"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前言：合规政策指南（CPG）</w:t>
            </w:r>
            <w:r>
              <w:rPr>
                <w:rFonts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（/ICECI/Compliance Manuals/Compliance PolicyGuidance Manual/ucm116271.htm）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14:paraId="4925C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3E01DCB2">
            <w:pPr>
              <w:pStyle w:val="9"/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"https://www.fda.gov/ICECI/ComplianceManuals/CompliancePolicyGuidanceManual/ucm116280.htm"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第一章-通则</w:t>
            </w:r>
            <w:r>
              <w:rPr>
                <w:rFonts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（/ICECI/Compliance Manuals/Compliance PolicyGuidance Manual/ucm116280.htm）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1D7171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7679DD51">
            <w:pPr>
              <w:pStyle w:val="9"/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"https://www.fda.gov/ICECI/ComplianceManuals/CompliancePolicyGuidanceManual/ucm116336.htm"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第二章-生物制剂</w:t>
            </w:r>
            <w:r>
              <w:rPr>
                <w:rFonts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（/ICECI/Compliance Manuals/Compliance PolicyGuidance Manual/ucm116336.htm）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67B9B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1881D848">
            <w:pPr>
              <w:pStyle w:val="9"/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"https://www.fda.gov/ICECI/ComplianceManuals/CompliancePolicyGuidanceManual/ucm116801.htm"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第三章-器械</w:t>
            </w:r>
            <w:r>
              <w:rPr>
                <w:rFonts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（/ICECI/Compliance Manuals/Compliance PolicyGuidance Manual/ucm116801.htm）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7C4EF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60A1848D">
            <w:pPr>
              <w:pStyle w:val="9"/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"https://www.fda.gov/ICECI/ComplianceManuals/CompliancePolicyGuidanceManual/ucm119572.htm"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第四章-人用药品</w:t>
            </w:r>
            <w:r>
              <w:rPr>
                <w:rFonts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（/ICECI/Compliance Manuals/Compliance PolicyGuidance Manual/ucm119572.htm）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781A83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75DD923C">
            <w:pPr>
              <w:pStyle w:val="9"/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"https://www.fda.gov/ICECI/ComplianceManuals/CompliancePolicyGuidanceManual/ucm119194.htm"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第五章-食品、颜料和化妆品</w:t>
            </w:r>
            <w:r>
              <w:rPr>
                <w:rFonts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（/ICECI/Compliance Manuals/Compliance PolicyGuidance Manual/ucm119194.htm）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0220A6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722F6159">
            <w:pPr>
              <w:snapToGrid w:val="0"/>
              <w:spacing w:before="120" w:beforeLines="50" w:after="50" w:line="276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"https://www.fda.gov/ICECI/ComplianceManuals/CompliancePolicyGuidanceManual/ucm117042.htm"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第六章-兽医医学</w:t>
            </w:r>
            <w:r>
              <w:rPr>
                <w:rFonts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Manual/ucm117042.htm)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</w:tbl>
    <w:p w14:paraId="098B6DED">
      <w:pPr>
        <w:overflowPunct w:val="0"/>
        <w:snapToGrid w:val="0"/>
        <w:spacing w:after="120" w:afterLines="50" w:line="300" w:lineRule="auto"/>
      </w:pPr>
    </w:p>
    <w:p w14:paraId="01F9C59E">
      <w:pPr>
        <w:overflowPunct w:val="0"/>
        <w:snapToGrid w:val="0"/>
        <w:spacing w:before="1440" w:beforeLines="600" w:after="120" w:afterLines="50" w:line="300" w:lineRule="auto"/>
        <w:rPr>
          <w:rFonts w:hint="eastAsia" w:eastAsia="宋体"/>
          <w:lang w:eastAsia="zh-CN"/>
        </w:rPr>
      </w:pPr>
    </w:p>
    <w:p w14:paraId="1DDF1E5C">
      <w:pPr>
        <w:overflowPunct w:val="0"/>
        <w:snapToGrid w:val="0"/>
        <w:spacing w:before="1440" w:beforeLines="600" w:after="120" w:afterLines="50" w:line="300" w:lineRule="auto"/>
        <w:jc w:val="center"/>
        <w:rPr>
          <w:rFonts w:hint="eastAsia" w:eastAsia="宋体"/>
          <w:lang w:eastAsia="zh-CN"/>
        </w:rPr>
      </w:pPr>
    </w:p>
    <w:p w14:paraId="776DD167">
      <w:pPr>
        <w:overflowPunct w:val="0"/>
        <w:snapToGrid w:val="0"/>
        <w:spacing w:before="1440" w:beforeLines="600" w:after="120" w:afterLines="50" w:line="30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0" w:h="16820"/>
      <w:pgMar w:top="567" w:right="567" w:bottom="567" w:left="567" w:header="290" w:footer="27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2D100">
    <w:pPr>
      <w:tabs>
        <w:tab w:val="right" w:pos="10773"/>
      </w:tabs>
      <w:spacing w:line="184" w:lineRule="exact"/>
      <w:ind w:left="40"/>
      <w:rPr>
        <w:rFonts w:ascii="Arial" w:hAnsi="Arial" w:eastAsia="宋体" w:cs="Arial"/>
        <w:sz w:val="15"/>
        <w:szCs w:val="15"/>
      </w:rPr>
    </w:pPr>
    <w:r>
      <w:rPr>
        <w:rFonts w:hint="eastAsia" w:ascii="Arial" w:eastAsia="宋体"/>
        <w:sz w:val="15"/>
        <w:szCs w:val="15"/>
      </w:rPr>
      <w:t>https://</w:t>
    </w:r>
    <w:r>
      <w:fldChar w:fldCharType="begin"/>
    </w:r>
    <w:r>
      <w:instrText xml:space="preserve"> HYPERLINK "http://www.fda.gov/ICECI/ComplianceManuals/CompliancePolicyGuidanceManual/ucm073927.htm" \h </w:instrText>
    </w:r>
    <w:r>
      <w:fldChar w:fldCharType="separate"/>
    </w:r>
    <w:r>
      <w:rPr>
        <w:rFonts w:hint="eastAsia" w:ascii="Arial" w:eastAsia="宋体"/>
        <w:sz w:val="15"/>
        <w:szCs w:val="15"/>
      </w:rPr>
      <w:t>www.fda.gov/ICECI/ComplianceManuals/CompliancePolicyGuidanceManual/ucm073927.htm</w:t>
    </w:r>
    <w:r>
      <w:rPr>
        <w:rFonts w:hint="eastAsia" w:ascii="Arial" w:eastAsia="宋体"/>
        <w:sz w:val="15"/>
        <w:szCs w:val="15"/>
      </w:rPr>
      <w:fldChar w:fldCharType="end"/>
    </w:r>
    <w:r>
      <w:rPr>
        <w:rFonts w:hint="eastAsia" w:ascii="Arial" w:eastAsia="宋体"/>
        <w:sz w:val="15"/>
        <w:szCs w:val="15"/>
      </w:rPr>
      <w:tab/>
    </w:r>
    <w:r>
      <w:rPr>
        <w:sz w:val="15"/>
        <w:szCs w:val="15"/>
      </w:rPr>
      <w:fldChar w:fldCharType="begin"/>
    </w:r>
    <w:r>
      <w:rPr>
        <w:rFonts w:hint="eastAsia" w:ascii="Arial" w:eastAsia="宋体"/>
        <w:sz w:val="15"/>
        <w:szCs w:val="15"/>
      </w:rPr>
      <w:instrText xml:space="preserve"> PAGE </w:instrText>
    </w:r>
    <w:r>
      <w:rPr>
        <w:sz w:val="15"/>
        <w:szCs w:val="15"/>
      </w:rPr>
      <w:fldChar w:fldCharType="separate"/>
    </w:r>
    <w:r>
      <w:rPr>
        <w:rFonts w:ascii="Arial" w:eastAsia="宋体"/>
        <w:sz w:val="15"/>
        <w:szCs w:val="15"/>
      </w:rPr>
      <w:t>2</w:t>
    </w:r>
    <w:r>
      <w:rPr>
        <w:sz w:val="15"/>
        <w:szCs w:val="15"/>
      </w:rPr>
      <w:fldChar w:fldCharType="end"/>
    </w:r>
    <w:r>
      <w:rPr>
        <w:rFonts w:hint="eastAsia" w:ascii="Arial" w:eastAsia="宋体"/>
        <w:sz w:val="15"/>
        <w:szCs w:val="15"/>
      </w:rPr>
      <w:t>/2</w:t>
    </w:r>
  </w:p>
  <w:p w14:paraId="3ACFD104">
    <w:pPr>
      <w:tabs>
        <w:tab w:val="right" w:pos="10773"/>
      </w:tabs>
      <w:spacing w:line="14" w:lineRule="auto"/>
      <w:rPr>
        <w:sz w:val="15"/>
        <w:szCs w:val="15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2719E">
    <w:pPr>
      <w:tabs>
        <w:tab w:val="left" w:pos="2127"/>
      </w:tabs>
      <w:snapToGrid w:val="0"/>
      <w:spacing w:after="480" w:afterLines="200" w:line="300" w:lineRule="auto"/>
      <w:ind w:left="20"/>
      <w:rPr>
        <w:rFonts w:ascii="Arial" w:hAnsi="Arial" w:eastAsia="宋体" w:cs="Arial"/>
        <w:sz w:val="15"/>
        <w:szCs w:val="15"/>
      </w:rPr>
    </w:pPr>
    <w:r>
      <w:rPr>
        <w:rFonts w:hint="eastAsia" w:ascii="Arial" w:hAnsi="Arial" w:eastAsia="宋体"/>
        <w:sz w:val="15"/>
        <w:szCs w:val="15"/>
      </w:rPr>
      <w:t>2017年8月10日</w:t>
    </w:r>
    <w:r>
      <w:rPr>
        <w:rFonts w:hint="eastAsia" w:ascii="Arial" w:hAnsi="Arial" w:eastAsia="宋体"/>
        <w:sz w:val="15"/>
        <w:szCs w:val="15"/>
      </w:rPr>
      <w:tab/>
    </w:r>
    <w:r>
      <w:rPr>
        <w:rFonts w:hint="eastAsia" w:ascii="Arial" w:hAnsi="Arial" w:eastAsia="宋体"/>
        <w:sz w:val="15"/>
        <w:szCs w:val="15"/>
      </w:rPr>
      <w:t>合规政策指南&gt;CPG章节397.100 瞬时-最大超声功率指示的精确度要求, 21 CFR 1050.10(c)(1)(ii)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5EB"/>
    <w:rsid w:val="0011572D"/>
    <w:rsid w:val="00280603"/>
    <w:rsid w:val="003E638A"/>
    <w:rsid w:val="003F2661"/>
    <w:rsid w:val="005A0B65"/>
    <w:rsid w:val="00664B26"/>
    <w:rsid w:val="007E75EB"/>
    <w:rsid w:val="00961F9B"/>
    <w:rsid w:val="009964DB"/>
    <w:rsid w:val="00B44019"/>
    <w:rsid w:val="00B96F95"/>
    <w:rsid w:val="00BF58BD"/>
    <w:rsid w:val="00E828F6"/>
    <w:rsid w:val="00F70236"/>
    <w:rsid w:val="5D8B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0"/>
    </w:pPr>
    <w:rPr>
      <w:rFonts w:ascii="Arial" w:hAnsi="Arial" w:eastAsia="宋体"/>
      <w:sz w:val="25"/>
      <w:szCs w:val="25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800</Words>
  <Characters>1364</Characters>
  <Lines>16</Lines>
  <Paragraphs>4</Paragraphs>
  <TotalTime>0</TotalTime>
  <ScaleCrop>false</ScaleCrop>
  <LinksUpToDate>false</LinksUpToDate>
  <CharactersWithSpaces>1397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2017-11-17T12:17:00Z</dcterms:created>
  <dc:creator>cathy-wen</dc:creator>
  <cp:lastModifiedBy>太极箫客</cp:lastModifiedBy>
  <dcterms:modified xsi:type="dcterms:W3CDTF">2025-08-14T06:16:23Z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78AF0347C2164B1E98DE8A24D41A3B6D_12</vt:lpwstr>
  </property>
</Properties>
</file>