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E2171">
      <w:pPr>
        <w:snapToGrid w:val="0"/>
        <w:spacing w:before="1440" w:beforeLines="600" w:after="120" w:afterLines="50" w:line="300" w:lineRule="auto"/>
        <w:jc w:val="both"/>
        <w:rPr>
          <w:rFonts w:ascii="Arial" w:hAnsi="Arial" w:eastAsia="宋体" w:cs="Arial"/>
          <w:sz w:val="64"/>
          <w:szCs w:val="64"/>
        </w:rPr>
      </w:pPr>
      <w:bookmarkStart w:id="0" w:name="_GoBack"/>
      <w:bookmarkEnd w:id="0"/>
      <w:r>
        <w:rPr>
          <w:rFonts w:hint="eastAsia" w:ascii="Arial" w:eastAsia="宋体"/>
          <w:b/>
          <w:sz w:val="64"/>
        </w:rPr>
        <w:t>CPG章节396.400 有关太阳灯产品的警告政策</w:t>
      </w:r>
    </w:p>
    <w:p w14:paraId="44E09605">
      <w:pPr>
        <w:pStyle w:val="2"/>
        <w:snapToGrid w:val="0"/>
        <w:spacing w:after="120" w:afterLines="50" w:line="300" w:lineRule="auto"/>
        <w:ind w:left="0"/>
        <w:jc w:val="both"/>
        <w:rPr>
          <w:sz w:val="28"/>
          <w:szCs w:val="28"/>
        </w:rPr>
      </w:pPr>
      <w:r>
        <w:rPr>
          <w:rFonts w:hint="eastAsia"/>
          <w:sz w:val="28"/>
          <w:szCs w:val="28"/>
        </w:rPr>
        <w:t>背景：</w:t>
      </w:r>
    </w:p>
    <w:p w14:paraId="0AE627DB">
      <w:pPr>
        <w:pStyle w:val="2"/>
        <w:snapToGrid w:val="0"/>
        <w:spacing w:after="120" w:afterLines="50" w:line="300" w:lineRule="auto"/>
        <w:ind w:left="0"/>
        <w:jc w:val="both"/>
        <w:rPr>
          <w:sz w:val="28"/>
          <w:szCs w:val="28"/>
        </w:rPr>
      </w:pPr>
      <w:r>
        <w:rPr>
          <w:rFonts w:hint="eastAsia"/>
          <w:sz w:val="28"/>
          <w:szCs w:val="28"/>
        </w:rPr>
        <w:t>器械和放射卫生中心已经发现许多进口和国产太阳灯产品标签在正常的购买和使用条件下，用户难以辨认和/或无法阅读标签。</w:t>
      </w:r>
    </w:p>
    <w:p w14:paraId="67D5737B">
      <w:pPr>
        <w:pStyle w:val="2"/>
        <w:snapToGrid w:val="0"/>
        <w:spacing w:after="120" w:afterLines="50" w:line="300" w:lineRule="auto"/>
        <w:ind w:left="0"/>
        <w:jc w:val="both"/>
        <w:rPr>
          <w:sz w:val="28"/>
          <w:szCs w:val="28"/>
        </w:rPr>
      </w:pPr>
      <w:r>
        <w:rPr>
          <w:rFonts w:hint="eastAsia"/>
          <w:sz w:val="28"/>
          <w:szCs w:val="28"/>
        </w:rPr>
        <w:t>太阳灯产品是根据《联邦食品、药品和化妆品法案》（FFDCA）*第531（2）节和医疗器械第201（h）（3）节</w:t>
      </w:r>
      <w:r>
        <w:rPr>
          <w:sz w:val="28"/>
          <w:szCs w:val="28"/>
        </w:rPr>
        <w:t>[21</w:t>
      </w:r>
      <w:r>
        <w:rPr>
          <w:rFonts w:hint="eastAsia"/>
          <w:sz w:val="28"/>
          <w:szCs w:val="28"/>
        </w:rPr>
        <w:t xml:space="preserve"> </w:t>
      </w:r>
      <w:r>
        <w:rPr>
          <w:sz w:val="28"/>
          <w:szCs w:val="28"/>
        </w:rPr>
        <w:t>U.S.C. 321(h)(3)]</w:t>
      </w:r>
      <w:r>
        <w:rPr>
          <w:rFonts w:hint="eastAsia"/>
          <w:sz w:val="28"/>
          <w:szCs w:val="28"/>
        </w:rPr>
        <w:t>定义的电子产品。* FFDCA* 第*534（a）（1）*节授权颁布的太阳灯产品性能标准（21 CFR 1040.20），要求包含特定信息的标签永久性地粘贴或刻在产品的外表面上，以便在产品完全组装好后能清晰易读。根据21 CFR 801.5对医疗设备一般标签规定要求为用户提供足够的使用说明，以及21 CFR 801.15定义了器械所需的标签声明的显著性。</w:t>
      </w:r>
    </w:p>
    <w:p w14:paraId="4F7967B8">
      <w:pPr>
        <w:pStyle w:val="2"/>
        <w:snapToGrid w:val="0"/>
        <w:spacing w:after="120" w:afterLines="50" w:line="300" w:lineRule="auto"/>
        <w:ind w:left="0"/>
        <w:jc w:val="both"/>
        <w:rPr>
          <w:sz w:val="28"/>
          <w:szCs w:val="28"/>
        </w:rPr>
      </w:pPr>
      <w:r>
        <w:rPr>
          <w:rFonts w:hint="eastAsia"/>
          <w:sz w:val="28"/>
          <w:szCs w:val="28"/>
        </w:rPr>
        <w:t>政策：</w:t>
      </w:r>
    </w:p>
    <w:p w14:paraId="3195FEEC">
      <w:pPr>
        <w:pStyle w:val="2"/>
        <w:snapToGrid w:val="0"/>
        <w:spacing w:after="120" w:afterLines="50" w:line="300" w:lineRule="auto"/>
        <w:ind w:left="0"/>
        <w:jc w:val="both"/>
        <w:rPr>
          <w:sz w:val="28"/>
          <w:szCs w:val="28"/>
        </w:rPr>
      </w:pPr>
      <w:r>
        <w:rPr>
          <w:rFonts w:hint="eastAsia"/>
          <w:sz w:val="28"/>
          <w:szCs w:val="28"/>
        </w:rPr>
        <w:t>对于太阳灯产品所要求警告标签的预期目的是提供必要的信息，以使用户对使用太阳灯产品的风险做出知情的决定并为皮肤晒黑提供适当的指导。因此，该标签必须清晰可辨第放置在产品上，以便用户在正常购买和使用条件下可以阅读。如果由于以下原因，所需信息缺乏显著性和突出性，机构将认为太阳灯产品不符合* FFDCA *第* 534（a）（1）*节的性能标准和* FFDCA *第502（c）节的贴错标签：</w:t>
      </w:r>
    </w:p>
    <w:p w14:paraId="42F14132">
      <w:pPr>
        <w:pStyle w:val="2"/>
        <w:numPr>
          <w:ilvl w:val="3"/>
          <w:numId w:val="1"/>
        </w:numPr>
        <w:tabs>
          <w:tab w:val="left" w:pos="613"/>
        </w:tabs>
        <w:snapToGrid w:val="0"/>
        <w:spacing w:after="120" w:afterLines="50" w:line="300" w:lineRule="auto"/>
        <w:ind w:left="572" w:leftChars="100" w:hanging="352"/>
        <w:jc w:val="both"/>
        <w:rPr>
          <w:sz w:val="28"/>
          <w:szCs w:val="28"/>
        </w:rPr>
      </w:pPr>
      <w:r>
        <w:rPr>
          <w:rFonts w:hint="eastAsia"/>
          <w:sz w:val="28"/>
          <w:szCs w:val="28"/>
        </w:rPr>
        <w:t>根据21 CFR 1040.20（d）（1），所需标签未能出现在正常购买和/或使用条件下呈现或显示的突出部分或面板上。</w:t>
      </w:r>
    </w:p>
    <w:p w14:paraId="42EBDD41">
      <w:pPr>
        <w:pStyle w:val="2"/>
        <w:numPr>
          <w:ilvl w:val="3"/>
          <w:numId w:val="1"/>
        </w:numPr>
        <w:tabs>
          <w:tab w:val="left" w:pos="613"/>
        </w:tabs>
        <w:snapToGrid w:val="0"/>
        <w:spacing w:after="120" w:afterLines="50" w:line="300" w:lineRule="auto"/>
        <w:ind w:left="572" w:leftChars="100" w:hanging="352"/>
        <w:jc w:val="both"/>
        <w:rPr>
          <w:sz w:val="28"/>
          <w:szCs w:val="28"/>
        </w:rPr>
      </w:pPr>
      <w:r>
        <w:rPr>
          <w:rFonts w:hint="eastAsia"/>
          <w:sz w:val="28"/>
          <w:szCs w:val="28"/>
        </w:rPr>
        <w:t>根据21 CFR 1040.20（d）（1），未能为所需标签提供足够的空间。</w:t>
      </w:r>
    </w:p>
    <w:p w14:paraId="4B4D5D5E">
      <w:pPr>
        <w:pStyle w:val="2"/>
        <w:numPr>
          <w:ilvl w:val="3"/>
          <w:numId w:val="1"/>
        </w:numPr>
        <w:tabs>
          <w:tab w:val="left" w:pos="613"/>
        </w:tabs>
        <w:snapToGrid w:val="0"/>
        <w:spacing w:after="120" w:afterLines="50" w:line="300" w:lineRule="auto"/>
        <w:ind w:left="572" w:leftChars="100" w:hanging="352"/>
        <w:jc w:val="both"/>
        <w:rPr>
          <w:sz w:val="28"/>
          <w:szCs w:val="28"/>
        </w:rPr>
      </w:pPr>
      <w:r>
        <w:rPr>
          <w:rFonts w:hint="eastAsia"/>
          <w:sz w:val="28"/>
          <w:szCs w:val="28"/>
        </w:rPr>
        <w:t>由于字体大小和背景对比度不够，20/20矫正视力的个体无法从大约一米的距离读取标签。注：对于“危险”一词，十（10）毫米（高度）的刻字和其他标签信息的五（5）毫米的刻字通常足以满足可见性要求。</w:t>
      </w:r>
    </w:p>
    <w:p w14:paraId="7C5173E9">
      <w:pPr>
        <w:snapToGrid w:val="0"/>
        <w:spacing w:after="120" w:afterLines="50" w:line="300" w:lineRule="auto"/>
        <w:jc w:val="both"/>
        <w:rPr>
          <w:sz w:val="28"/>
          <w:szCs w:val="28"/>
        </w:rPr>
      </w:pPr>
      <w:r>
        <w:rPr>
          <w:sz w:val="28"/>
          <w:szCs w:val="28"/>
        </w:rPr>
        <w:br w:type="page"/>
      </w:r>
    </w:p>
    <w:p w14:paraId="51E181D2">
      <w:pPr>
        <w:snapToGrid w:val="0"/>
        <w:spacing w:after="120" w:afterLines="50" w:line="300" w:lineRule="auto"/>
        <w:jc w:val="both"/>
        <w:rPr>
          <w:sz w:val="28"/>
          <w:szCs w:val="28"/>
        </w:rPr>
      </w:pPr>
      <w:r>
        <w:rPr>
          <w:rFonts w:hint="eastAsia"/>
          <w:sz w:val="28"/>
          <w:szCs w:val="28"/>
        </w:rPr>
        <w:t>*星号之间的材料是新材料或改进材料*</w:t>
      </w:r>
    </w:p>
    <w:p w14:paraId="45D5F5A7">
      <w:pPr>
        <w:pStyle w:val="2"/>
        <w:snapToGrid w:val="0"/>
        <w:spacing w:after="120" w:afterLines="50" w:line="300" w:lineRule="auto"/>
        <w:ind w:left="0"/>
        <w:jc w:val="both"/>
        <w:rPr>
          <w:sz w:val="28"/>
          <w:szCs w:val="28"/>
        </w:rPr>
      </w:pPr>
      <w:r>
        <w:rPr>
          <w:rFonts w:hint="eastAsia"/>
          <w:sz w:val="28"/>
          <w:szCs w:val="28"/>
        </w:rPr>
        <w:t>发布日期：1986年5月1日</w:t>
      </w:r>
    </w:p>
    <w:p w14:paraId="6B6C3BA1">
      <w:pPr>
        <w:pStyle w:val="2"/>
        <w:snapToGrid w:val="0"/>
        <w:spacing w:after="120" w:afterLines="50" w:line="300" w:lineRule="auto"/>
        <w:ind w:left="0"/>
        <w:jc w:val="both"/>
        <w:rPr>
          <w:sz w:val="28"/>
          <w:szCs w:val="28"/>
        </w:rPr>
      </w:pPr>
      <w:r>
        <w:rPr>
          <w:rFonts w:hint="eastAsia"/>
          <w:sz w:val="28"/>
          <w:szCs w:val="28"/>
        </w:rPr>
        <w:t>修订日期：1995年3月</w:t>
      </w:r>
    </w:p>
    <w:p w14:paraId="56B51FF5">
      <w:pPr>
        <w:snapToGrid w:val="0"/>
        <w:spacing w:after="120" w:afterLines="50" w:line="300" w:lineRule="auto"/>
        <w:jc w:val="both"/>
        <w:rPr>
          <w:rFonts w:ascii="Arial" w:hAnsi="Arial" w:cs="Arial"/>
          <w:sz w:val="20"/>
          <w:szCs w:val="20"/>
        </w:rPr>
      </w:pPr>
    </w:p>
    <w:p w14:paraId="7EB64D9D">
      <w:pPr>
        <w:snapToGrid w:val="0"/>
        <w:spacing w:after="120" w:afterLines="50" w:line="300" w:lineRule="auto"/>
        <w:jc w:val="both"/>
        <w:rPr>
          <w:rFonts w:ascii="Arial" w:hAnsi="Arial" w:cs="Arial"/>
          <w:sz w:val="20"/>
          <w:szCs w:val="20"/>
        </w:rPr>
      </w:pPr>
    </w:p>
    <w:tbl>
      <w:tblPr>
        <w:tblStyle w:val="7"/>
        <w:tblW w:w="5000" w:type="pct"/>
        <w:tblInd w:w="0" w:type="dxa"/>
        <w:tblLayout w:type="autofit"/>
        <w:tblCellMar>
          <w:top w:w="0" w:type="dxa"/>
          <w:left w:w="0" w:type="dxa"/>
          <w:bottom w:w="0" w:type="dxa"/>
          <w:right w:w="0" w:type="dxa"/>
        </w:tblCellMar>
      </w:tblPr>
      <w:tblGrid>
        <w:gridCol w:w="10796"/>
      </w:tblGrid>
      <w:tr w14:paraId="3145A2A2">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09E6EAE6">
            <w:pPr>
              <w:pStyle w:val="9"/>
              <w:tabs>
                <w:tab w:val="left" w:pos="6854"/>
              </w:tabs>
              <w:snapToGrid w:val="0"/>
              <w:spacing w:before="120" w:beforeLines="50" w:after="120" w:afterLines="50" w:line="276" w:lineRule="auto"/>
              <w:ind w:left="44" w:leftChars="20" w:right="44" w:rightChars="20"/>
              <w:rPr>
                <w:sz w:val="24"/>
                <w:szCs w:val="24"/>
                <w:u w:val="single"/>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rPr>
              <w:t>合规政策指南的更多信息</w:t>
            </w:r>
            <w:r>
              <w:rPr>
                <w:rFonts w:ascii="Arial" w:eastAsia="宋体"/>
                <w:b/>
                <w:sz w:val="24"/>
                <w:szCs w:val="24"/>
                <w:u w:val="single"/>
              </w:rPr>
              <w:br w:type="textWrapping"/>
            </w:r>
            <w:r>
              <w:rPr>
                <w:rFonts w:hint="eastAsia" w:ascii="Arial" w:eastAsia="宋体"/>
                <w:b/>
                <w:sz w:val="24"/>
                <w:szCs w:val="24"/>
                <w:u w:val="single"/>
              </w:rPr>
              <w:t>(/ICECI/Compliance Manuals/Compliance PolicyGuidance Manual/default.htm)</w:t>
            </w:r>
            <w:r>
              <w:rPr>
                <w:rFonts w:hint="eastAsia" w:ascii="Arial" w:eastAsia="宋体"/>
                <w:b/>
                <w:sz w:val="24"/>
                <w:szCs w:val="24"/>
                <w:u w:val="single"/>
              </w:rPr>
              <w:fldChar w:fldCharType="end"/>
            </w:r>
          </w:p>
        </w:tc>
      </w:tr>
      <w:tr w14:paraId="63F113A2">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140F2EE0">
            <w:pPr>
              <w:pStyle w:val="9"/>
              <w:tabs>
                <w:tab w:val="left" w:pos="6854"/>
              </w:tabs>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color="000000"/>
              </w:rPr>
              <w:t>前言：合规政策指南（CPG）</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Manual/ucm116271.htm）</w:t>
            </w:r>
            <w:r>
              <w:rPr>
                <w:rFonts w:hint="eastAsia" w:ascii="Arial" w:eastAsia="宋体"/>
                <w:b/>
                <w:sz w:val="24"/>
                <w:szCs w:val="24"/>
                <w:u w:val="single" w:color="000000"/>
              </w:rPr>
              <w:fldChar w:fldCharType="end"/>
            </w:r>
            <w:r>
              <w:rPr>
                <w:rFonts w:hint="eastAsia"/>
                <w:sz w:val="24"/>
                <w:szCs w:val="24"/>
              </w:rPr>
              <w:t xml:space="preserve"> </w:t>
            </w:r>
          </w:p>
        </w:tc>
      </w:tr>
      <w:tr w14:paraId="7B92411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F07CE62">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2993CE24">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5A5126C">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13D9D5C1">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17D584B">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264AF19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8F3276C">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1D9A043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6077D43">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Manual/ucm119194.htm）</w:t>
            </w:r>
            <w:r>
              <w:rPr>
                <w:rFonts w:hint="eastAsia" w:ascii="Arial" w:eastAsia="宋体"/>
                <w:b/>
                <w:sz w:val="24"/>
                <w:szCs w:val="24"/>
                <w:u w:val="single" w:color="000000"/>
              </w:rPr>
              <w:fldChar w:fldCharType="end"/>
            </w:r>
          </w:p>
        </w:tc>
      </w:tr>
      <w:tr w14:paraId="1C4875B7">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08FD2AA">
            <w:pPr>
              <w:snapToGrid w:val="0"/>
              <w:spacing w:before="120" w:beforeLines="50" w:after="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27538B09">
      <w:pPr>
        <w:snapToGrid w:val="0"/>
        <w:spacing w:after="120" w:afterLines="50" w:line="300" w:lineRule="auto"/>
        <w:jc w:val="both"/>
      </w:pPr>
    </w:p>
    <w:p w14:paraId="347EF78C">
      <w:pPr>
        <w:snapToGrid w:val="0"/>
        <w:spacing w:before="1440" w:beforeLines="600" w:after="120" w:afterLines="50" w:line="300" w:lineRule="auto"/>
        <w:jc w:val="both"/>
        <w:rPr>
          <w:rFonts w:hint="eastAsia" w:eastAsia="宋体"/>
          <w:lang w:eastAsia="zh-CN"/>
        </w:rPr>
      </w:pPr>
    </w:p>
    <w:p w14:paraId="77C5A032">
      <w:pPr>
        <w:snapToGrid w:val="0"/>
        <w:spacing w:before="1440" w:beforeLines="600" w:after="120" w:afterLines="50" w:line="300" w:lineRule="auto"/>
        <w:jc w:val="center"/>
        <w:rPr>
          <w:rFonts w:hint="eastAsia" w:eastAsia="宋体"/>
          <w:lang w:eastAsia="zh-CN"/>
        </w:rPr>
      </w:pPr>
    </w:p>
    <w:p w14:paraId="0445DD27">
      <w:pPr>
        <w:snapToGrid w:val="0"/>
        <w:spacing w:before="1440" w:beforeLines="600"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AB23">
    <w:pPr>
      <w:tabs>
        <w:tab w:val="right" w:pos="10793"/>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"http://www.fda.gov/ICECI/ComplianceManuals/CompliancePolicyGuidanceManual/ucm073926.htm" \h </w:instrText>
    </w:r>
    <w:r>
      <w:fldChar w:fldCharType="separate"/>
    </w:r>
    <w:r>
      <w:rPr>
        <w:rFonts w:hint="eastAsia" w:ascii="Arial" w:eastAsia="宋体"/>
        <w:sz w:val="15"/>
        <w:szCs w:val="15"/>
      </w:rPr>
      <w:t>www.fda.gov/ICECI/ComplianceManuals/CompliancePolicyGuidanceManual/ucm073926.htm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2</w:t>
    </w:r>
    <w:r>
      <w:rPr>
        <w:sz w:val="15"/>
        <w:szCs w:val="15"/>
      </w:rPr>
      <w:fldChar w:fldCharType="end"/>
    </w:r>
    <w:r>
      <w:rPr>
        <w:rFonts w:hint="eastAsia" w:ascii="Arial" w:eastAsia="宋体"/>
        <w:sz w:val="15"/>
        <w:szCs w:val="15"/>
      </w:rPr>
      <w:t>/2</w:t>
    </w:r>
  </w:p>
  <w:p w14:paraId="2F979134">
    <w:pPr>
      <w:tabs>
        <w:tab w:val="right" w:pos="10793"/>
      </w:tabs>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BD95">
    <w:pPr>
      <w:tabs>
        <w:tab w:val="left" w:pos="3544"/>
      </w:tabs>
      <w:snapToGrid w:val="0"/>
      <w:spacing w:after="480" w:afterLines="200" w:line="300" w:lineRule="auto"/>
      <w:ind w:left="20"/>
      <w:rPr>
        <w:rFonts w:ascii="Arial" w:hAnsi="Arial" w:eastAsia="宋体" w:cs="Arial"/>
        <w:sz w:val="15"/>
        <w:szCs w:val="15"/>
      </w:rPr>
    </w:pPr>
    <w:r>
      <w:rPr>
        <w:rFonts w:ascii="Arial" w:hAnsi="Arial" w:eastAsia="宋体" w:cs="Arial"/>
        <w:sz w:val="15"/>
        <w:szCs w:val="15"/>
      </w:rPr>
      <w:t>2017年8月10日</w:t>
    </w:r>
    <w:r>
      <w:rPr>
        <w:rFonts w:ascii="Arial" w:hAnsi="Arial" w:eastAsia="宋体" w:cs="Arial"/>
        <w:sz w:val="15"/>
        <w:szCs w:val="15"/>
      </w:rPr>
      <w:tab/>
    </w:r>
    <w:r>
      <w:rPr>
        <w:rFonts w:ascii="Arial" w:hAnsi="Arial" w:eastAsia="宋体" w:cs="Arial"/>
        <w:sz w:val="15"/>
        <w:szCs w:val="15"/>
      </w:rPr>
      <w:t>合规政策指南&gt;CPG章节396.400 有关太阳灯产品的警告政策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E3F8A"/>
    <w:multiLevelType w:val="multilevel"/>
    <w:tmpl w:val="34EE3F8A"/>
    <w:lvl w:ilvl="0" w:tentative="0">
      <w:start w:val="21"/>
      <w:numFmt w:val="upperLetter"/>
      <w:lvlText w:val="%1"/>
      <w:lvlJc w:val="left"/>
      <w:pPr>
        <w:ind w:left="100" w:hanging="801"/>
        <w:jc w:val="left"/>
      </w:pPr>
      <w:rPr>
        <w:rFonts w:hint="default"/>
      </w:rPr>
    </w:lvl>
    <w:lvl w:ilvl="1" w:tentative="0">
      <w:start w:val="19"/>
      <w:numFmt w:val="upperLetter"/>
      <w:lvlText w:val="%1.%2"/>
      <w:lvlJc w:val="left"/>
      <w:pPr>
        <w:ind w:left="100" w:hanging="801"/>
        <w:jc w:val="left"/>
      </w:pPr>
      <w:rPr>
        <w:rFonts w:hint="default"/>
      </w:rPr>
    </w:lvl>
    <w:lvl w:ilvl="2" w:tentative="0">
      <w:start w:val="3"/>
      <w:numFmt w:val="upperLetter"/>
      <w:lvlText w:val="%1.%2.%3."/>
      <w:lvlJc w:val="left"/>
      <w:pPr>
        <w:ind w:left="100" w:hanging="801"/>
        <w:jc w:val="left"/>
      </w:pPr>
      <w:rPr>
        <w:rFonts w:hint="default" w:ascii="Arial" w:hAnsi="Arial" w:eastAsia="Arial"/>
        <w:spacing w:val="-9"/>
        <w:w w:val="102"/>
        <w:sz w:val="25"/>
        <w:szCs w:val="25"/>
      </w:rPr>
    </w:lvl>
    <w:lvl w:ilvl="3" w:tentative="0">
      <w:start w:val="1"/>
      <w:numFmt w:val="decimal"/>
      <w:lvlText w:val="%4."/>
      <w:lvlJc w:val="left"/>
      <w:pPr>
        <w:ind w:left="612" w:hanging="353"/>
        <w:jc w:val="left"/>
      </w:pPr>
      <w:rPr>
        <w:rFonts w:hint="default" w:ascii="Arial" w:hAnsi="Arial" w:eastAsia="Arial"/>
        <w:spacing w:val="1"/>
        <w:w w:val="102"/>
        <w:sz w:val="28"/>
        <w:szCs w:val="28"/>
      </w:rPr>
    </w:lvl>
    <w:lvl w:ilvl="4" w:tentative="0">
      <w:start w:val="1"/>
      <w:numFmt w:val="bullet"/>
      <w:lvlText w:val="•"/>
      <w:lvlJc w:val="left"/>
      <w:pPr>
        <w:ind w:left="4108" w:hanging="353"/>
      </w:pPr>
      <w:rPr>
        <w:rFonts w:hint="default"/>
      </w:rPr>
    </w:lvl>
    <w:lvl w:ilvl="5" w:tentative="0">
      <w:start w:val="1"/>
      <w:numFmt w:val="bullet"/>
      <w:lvlText w:val="•"/>
      <w:lvlJc w:val="left"/>
      <w:pPr>
        <w:ind w:left="5273" w:hanging="353"/>
      </w:pPr>
      <w:rPr>
        <w:rFonts w:hint="default"/>
      </w:rPr>
    </w:lvl>
    <w:lvl w:ilvl="6" w:tentative="0">
      <w:start w:val="1"/>
      <w:numFmt w:val="bullet"/>
      <w:lvlText w:val="•"/>
      <w:lvlJc w:val="left"/>
      <w:pPr>
        <w:ind w:left="6438" w:hanging="353"/>
      </w:pPr>
      <w:rPr>
        <w:rFonts w:hint="default"/>
      </w:rPr>
    </w:lvl>
    <w:lvl w:ilvl="7" w:tentative="0">
      <w:start w:val="1"/>
      <w:numFmt w:val="bullet"/>
      <w:lvlText w:val="•"/>
      <w:lvlJc w:val="left"/>
      <w:pPr>
        <w:ind w:left="7604" w:hanging="353"/>
      </w:pPr>
      <w:rPr>
        <w:rFonts w:hint="default"/>
      </w:rPr>
    </w:lvl>
    <w:lvl w:ilvl="8" w:tentative="0">
      <w:start w:val="1"/>
      <w:numFmt w:val="bullet"/>
      <w:lvlText w:val="•"/>
      <w:lvlJc w:val="left"/>
      <w:pPr>
        <w:ind w:left="8769"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C6"/>
    <w:rsid w:val="00077A93"/>
    <w:rsid w:val="001D050C"/>
    <w:rsid w:val="00334ED7"/>
    <w:rsid w:val="00470044"/>
    <w:rsid w:val="0047588A"/>
    <w:rsid w:val="00521A21"/>
    <w:rsid w:val="00551498"/>
    <w:rsid w:val="00673527"/>
    <w:rsid w:val="006F096D"/>
    <w:rsid w:val="009025BB"/>
    <w:rsid w:val="009C49B8"/>
    <w:rsid w:val="00B33857"/>
    <w:rsid w:val="00B654F3"/>
    <w:rsid w:val="00EC00E2"/>
    <w:rsid w:val="00FA6BC6"/>
    <w:rsid w:val="0B0B2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761</Words>
  <Characters>1396</Characters>
  <Lines>16</Lines>
  <Paragraphs>4</Paragraphs>
  <TotalTime>0</TotalTime>
  <ScaleCrop>false</ScaleCrop>
  <LinksUpToDate>false</LinksUpToDate>
  <CharactersWithSpaces>1441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2017-11-17T12:15:00Z</dcterms:created>
  <dc:creator>cathy-wen</dc:creator>
  <cp:lastModifiedBy>太极箫客</cp:lastModifiedBy>
  <dcterms:modified xsi:type="dcterms:W3CDTF">2025-08-14T06:16:23Z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9BFBD1C2090F413F83EECFA393A23EBF_12</vt:lpwstr>
  </property>
</Properties>
</file>