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1A0ED">
      <w:pPr>
        <w:pStyle w:val="12"/>
        <w:keepNext/>
        <w:keepLines/>
        <w:shd w:val="clear" w:color="auto" w:fill="auto"/>
        <w:snapToGrid w:val="0"/>
        <w:spacing w:before="1440" w:beforeLines="600" w:after="240" w:afterLines="100" w:line="300" w:lineRule="auto"/>
        <w:rPr>
          <w:spacing w:val="0"/>
          <w:sz w:val="64"/>
          <w:szCs w:val="64"/>
        </w:rPr>
      </w:pPr>
      <w:bookmarkStart w:id="1" w:name="_GoBack"/>
      <w:bookmarkEnd w:id="1"/>
      <w:bookmarkStart w:id="0" w:name="bookmark0"/>
      <w:r>
        <w:rPr>
          <w:rFonts w:hint="eastAsia"/>
          <w:spacing w:val="0"/>
          <w:sz w:val="64"/>
          <w:szCs w:val="64"/>
        </w:rPr>
        <w:t>CPG章节正面光束限制的超控-21 CFR 1020.31（G）（5）</w:t>
      </w:r>
      <w:bookmarkEnd w:id="0"/>
    </w:p>
    <w:p w14:paraId="2A2AF145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背景：</w:t>
      </w:r>
    </w:p>
    <w:p w14:paraId="0DE6B21F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1973年11月21日，器械和放射卫生中心（CDRH）发布咨询意见，指出仅在提供PBL的源到图像受体距离（SID）的情况下，才能超控正光束限制（PBL），超控开关仍然必须防止在没有提供PBL的任何SID处的X射线产生。然而，已经在仅仅为系统失效提供超控开关时，是否应该应用该策略提出了一些问题。由于PBL系统失效往往涉及到SID感知机制，因此PBL系统失效的超控开关完全断开PBL逻辑系统是合理的，在所有SID（包括PBL不存在的操作）上提供完全手动的校准器操作。该观点与1973年11月21日CDRH的咨询意见相反。此外，在调查了众多PBL系统制造商的设计后，CDRH发现，在维修PBL系统期间，有时会提供服务开关来超控PBL功能。但是，并非所有的这些服务开关均已如第1020.31节（g）（5）*所述捕获密钥开关。</w:t>
      </w:r>
    </w:p>
    <w:p w14:paraId="6BF67078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政策：</w:t>
      </w:r>
    </w:p>
    <w:p w14:paraId="24FD26DE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CDRH认为，在PBL系统失效的情况下，保持X射线系统的正常运行很重要，直到能将其修复。因此，仅在维修人员使用的任何超越开关或为PBL系统失效提供的任何超控密钥，才符合“法规”的意图，允许在所有SID（包括没有提供PBL的SID）上完全手动校准器操作。所有具有超控PBL性能并易于为操作员所用的服务开关均必须如第1020.31（g）（5）所述的捕获的密钥开关。通常操作员无法访问的所有服务开关均不需要密钥。</w:t>
      </w:r>
    </w:p>
    <w:p w14:paraId="01A305DB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这些规定还提供了执行特殊程序的额外超控性能。如果提供了这样的超控性能，则仅在提供PBL的SID中超控PBL功能。对于操作员可轻松访问的所有超控开关，均需要采集密钥开关。</w:t>
      </w:r>
    </w:p>
    <w:p w14:paraId="32297074">
      <w:pPr>
        <w:pStyle w:val="17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</w:rPr>
      </w:pPr>
    </w:p>
    <w:p w14:paraId="6FE1E04F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br w:type="page"/>
      </w:r>
    </w:p>
    <w:p w14:paraId="7BD4C84D">
      <w:pPr>
        <w:pStyle w:val="17"/>
        <w:shd w:val="clear" w:color="auto" w:fill="auto"/>
        <w:snapToGrid w:val="0"/>
        <w:spacing w:before="0" w:after="240" w:afterLines="100" w:line="300" w:lineRule="auto"/>
        <w:ind w:right="5778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*星号之间的材料是新材料或改进材料*</w:t>
      </w:r>
    </w:p>
    <w:p w14:paraId="186C2E23">
      <w:pPr>
        <w:pStyle w:val="17"/>
        <w:shd w:val="clear" w:color="auto" w:fill="auto"/>
        <w:snapToGrid w:val="0"/>
        <w:spacing w:before="0" w:after="0" w:line="300" w:lineRule="auto"/>
        <w:ind w:right="5778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发布日期：1980年10月1日</w:t>
      </w:r>
    </w:p>
    <w:p w14:paraId="44965563">
      <w:pPr>
        <w:pStyle w:val="17"/>
        <w:shd w:val="clear" w:color="auto" w:fill="auto"/>
        <w:snapToGrid w:val="0"/>
        <w:spacing w:before="0" w:after="240" w:afterLines="100" w:line="300" w:lineRule="auto"/>
        <w:ind w:right="5778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修订日期：1995年3月、2005年3月</w:t>
      </w:r>
    </w:p>
    <w:p w14:paraId="0F64F417">
      <w:pPr>
        <w:pStyle w:val="17"/>
        <w:shd w:val="clear" w:color="auto" w:fill="auto"/>
        <w:snapToGrid w:val="0"/>
        <w:spacing w:before="0" w:after="240" w:afterLines="100" w:line="300" w:lineRule="auto"/>
        <w:jc w:val="both"/>
      </w:pPr>
    </w:p>
    <w:tbl>
      <w:tblPr>
        <w:tblStyle w:val="21"/>
        <w:tblW w:w="10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4"/>
      </w:tblGrid>
      <w:tr w14:paraId="50896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4F81BD" w:themeColor="accent1" w:sz="6" w:space="0"/>
            </w:tcBorders>
            <w:vAlign w:val="center"/>
          </w:tcPr>
          <w:p w14:paraId="654A58CB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eastAsia="宋体"/>
                <w:b/>
                <w:sz w:val="24"/>
                <w:szCs w:val="24"/>
                <w:u w:val="single" w:color="000000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/>
              </w:rPr>
              <w:t>合规政策指南的更多信息</w:t>
            </w:r>
            <w:r>
              <w:rPr>
                <w:rFonts w:ascii="Arial" w:eastAsia="宋体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Manual/default.htm)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3B649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4F81BD" w:themeColor="accent1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0AC8781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(/ICECI/Compliance Manuals/Compliance PolicyGuidance Manual/ucm116271.htm) </w:t>
            </w:r>
          </w:p>
        </w:tc>
      </w:tr>
      <w:tr w14:paraId="5F07B5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6D7DF90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0AC3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F2EBFD0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6EAD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29E3318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 xml:space="preserve">第三章-器械 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Manual/ucm116801.htm)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42D63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7BA01BC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2D760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4E4A25A3">
            <w:pPr>
              <w:pStyle w:val="22"/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hint="eastAsia" w:ascii="Arial" w:eastAsia="宋体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47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746225A5">
            <w:pPr>
              <w:snapToGrid w:val="0"/>
              <w:spacing w:before="120" w:beforeLines="50" w:after="120" w:afterLines="50" w:line="276" w:lineRule="auto"/>
              <w:ind w:left="48" w:leftChars="20" w:right="48" w:rightChars="20"/>
              <w:rPr>
                <w:rFonts w:ascii="Arial" w:hAnsi="Arial" w:cs="Arial" w:eastAsiaTheme="minorEastAsia"/>
                <w:sz w:val="24"/>
                <w:szCs w:val="24"/>
                <w:lang w:bidi="ar-SA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hint="eastAsia" w:ascii="Arial" w:hAnsiTheme="minorHAnsi" w:eastAsiaTheme="minorEastAsia" w:cstheme="minorBidi"/>
                <w:b/>
                <w:sz w:val="24"/>
                <w:szCs w:val="24"/>
                <w:u w:val="single" w:color="000000"/>
                <w:lang w:bidi="ar-SA"/>
              </w:rPr>
              <w:t>第六章-兽医医学</w:t>
            </w:r>
            <w:r>
              <w:rPr>
                <w:rFonts w:ascii="Arial" w:hAnsiTheme="minorHAnsi" w:eastAsiaTheme="minorEastAsia" w:cstheme="minorBidi"/>
                <w:b/>
                <w:sz w:val="24"/>
                <w:szCs w:val="24"/>
                <w:u w:val="single" w:color="000000"/>
                <w:lang w:bidi="ar-SA"/>
              </w:rPr>
              <w:br w:type="textWrapping"/>
            </w:r>
            <w:r>
              <w:rPr>
                <w:rFonts w:hint="eastAsia" w:ascii="Arial" w:hAnsiTheme="minorHAnsi" w:eastAsiaTheme="minorEastAsia" w:cstheme="minorBidi"/>
                <w:b/>
                <w:sz w:val="24"/>
                <w:szCs w:val="24"/>
                <w:u w:val="single" w:color="000000"/>
                <w:lang w:bidi="ar-SA"/>
              </w:rPr>
              <w:t>(/ICECI/Compliance Manuals/Compliance PolicyGuidance Manual/ucm117042.htm)</w:t>
            </w:r>
            <w:r>
              <w:rPr>
                <w:rFonts w:hint="eastAsia" w:ascii="Arial" w:hAnsiTheme="minorHAnsi" w:eastAsiaTheme="minorEastAsia" w:cstheme="minorBidi"/>
                <w:b/>
                <w:sz w:val="24"/>
                <w:szCs w:val="24"/>
                <w:u w:val="single" w:color="000000"/>
                <w:lang w:bidi="ar-SA"/>
              </w:rPr>
              <w:fldChar w:fldCharType="end"/>
            </w:r>
          </w:p>
        </w:tc>
      </w:tr>
    </w:tbl>
    <w:p w14:paraId="21CA4DF4">
      <w:pPr>
        <w:pStyle w:val="17"/>
        <w:shd w:val="clear" w:color="auto" w:fill="auto"/>
        <w:snapToGrid w:val="0"/>
        <w:spacing w:before="0" w:after="240" w:afterLines="100" w:line="300" w:lineRule="auto"/>
        <w:jc w:val="both"/>
      </w:pPr>
    </w:p>
    <w:p w14:paraId="441A5127">
      <w:pPr>
        <w:pStyle w:val="12"/>
        <w:keepNext/>
        <w:keepLines/>
        <w:shd w:val="clear" w:color="auto" w:fill="auto"/>
        <w:snapToGrid w:val="0"/>
        <w:spacing w:before="1440" w:beforeLines="600" w:after="240" w:afterLines="100" w:line="300" w:lineRule="auto"/>
        <w:rPr>
          <w:rFonts w:hint="eastAsia" w:eastAsia="宋体"/>
          <w:lang w:eastAsia="zh-CN"/>
        </w:rPr>
      </w:pPr>
    </w:p>
    <w:p w14:paraId="515FBB56">
      <w:pPr>
        <w:pStyle w:val="12"/>
        <w:keepNext/>
        <w:keepLines/>
        <w:shd w:val="clear" w:color="auto" w:fill="auto"/>
        <w:snapToGrid w:val="0"/>
        <w:spacing w:before="1440" w:beforeLines="600" w:after="240" w:afterLines="100" w:line="300" w:lineRule="auto"/>
        <w:jc w:val="center"/>
        <w:rPr>
          <w:rFonts w:hint="eastAsia" w:eastAsia="宋体"/>
          <w:lang w:eastAsia="zh-CN"/>
        </w:rPr>
      </w:pPr>
    </w:p>
    <w:p w14:paraId="7B97350E">
      <w:pPr>
        <w:pStyle w:val="12"/>
        <w:keepNext/>
        <w:keepLines/>
        <w:shd w:val="clear" w:color="auto" w:fill="auto"/>
        <w:snapToGrid w:val="0"/>
        <w:spacing w:before="1440" w:beforeLines="600" w:after="240" w:afterLines="10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type w:val="continuous"/>
      <w:pgSz w:w="11900" w:h="16840"/>
      <w:pgMar w:top="567" w:right="567" w:bottom="567" w:left="567" w:header="283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roman"/>
    <w:pitch w:val="default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7940A">
    <w:pPr>
      <w:pStyle w:val="14"/>
      <w:shd w:val="clear" w:color="auto" w:fill="auto"/>
      <w:tabs>
        <w:tab w:val="right" w:pos="10751"/>
        <w:tab w:val="right" w:pos="10886"/>
      </w:tabs>
      <w:spacing w:line="240" w:lineRule="auto"/>
      <w:rPr>
        <w:sz w:val="15"/>
        <w:szCs w:val="15"/>
      </w:rPr>
    </w:pPr>
    <w:r>
      <w:rPr>
        <w:rStyle w:val="15"/>
        <w:rFonts w:hint="eastAsia"/>
        <w:b w:val="0"/>
        <w:bCs/>
        <w:sz w:val="15"/>
        <w:szCs w:val="15"/>
      </w:rPr>
      <w:t>https://www.fda.gov/ICECI/ComplianceManuals/CompliancePolicyGuidanceManual/ucm073935.htm</w:t>
    </w:r>
    <w:r>
      <w:rPr>
        <w:rStyle w:val="15"/>
        <w:rFonts w:hint="eastAsia"/>
        <w:b w:val="0"/>
        <w:bCs/>
        <w:sz w:val="15"/>
        <w:szCs w:val="15"/>
      </w:rPr>
      <w:tab/>
    </w:r>
    <w:r>
      <w:fldChar w:fldCharType="begin"/>
    </w:r>
    <w:r>
      <w:rPr>
        <w:sz w:val="15"/>
        <w:szCs w:val="15"/>
      </w:rPr>
      <w:instrText xml:space="preserve"> PAGE \* MERGEFORMAT </w:instrText>
    </w:r>
    <w:r>
      <w:fldChar w:fldCharType="separate"/>
    </w:r>
    <w:r>
      <w:rPr>
        <w:rStyle w:val="15"/>
        <w:b w:val="0"/>
        <w:bCs/>
        <w:sz w:val="15"/>
        <w:szCs w:val="15"/>
      </w:rPr>
      <w:t>2</w:t>
    </w:r>
    <w:r>
      <w:rPr>
        <w:rStyle w:val="15"/>
        <w:b w:val="0"/>
        <w:bCs/>
        <w:sz w:val="15"/>
        <w:szCs w:val="15"/>
      </w:rPr>
      <w:fldChar w:fldCharType="end"/>
    </w:r>
    <w:r>
      <w:rPr>
        <w:rStyle w:val="15"/>
        <w:rFonts w:hint="eastAsia"/>
        <w:b w:val="0"/>
        <w:bCs/>
        <w:sz w:val="15"/>
        <w:szCs w:val="15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DD684">
    <w:pPr>
      <w:pStyle w:val="14"/>
      <w:shd w:val="clear" w:color="auto" w:fill="auto"/>
      <w:tabs>
        <w:tab w:val="left" w:pos="3402"/>
      </w:tabs>
      <w:snapToGrid w:val="0"/>
      <w:spacing w:after="480" w:afterLines="200" w:line="300" w:lineRule="auto"/>
      <w:rPr>
        <w:sz w:val="15"/>
        <w:szCs w:val="15"/>
      </w:rPr>
    </w:pPr>
    <w:r>
      <w:rPr>
        <w:rStyle w:val="15"/>
        <w:rFonts w:hint="eastAsia"/>
        <w:b w:val="0"/>
        <w:bCs/>
        <w:sz w:val="15"/>
        <w:szCs w:val="15"/>
      </w:rPr>
      <w:t>2017年8月9日</w:t>
    </w:r>
    <w:r>
      <w:rPr>
        <w:rStyle w:val="15"/>
        <w:rFonts w:hint="eastAsia"/>
        <w:b w:val="0"/>
        <w:bCs/>
        <w:sz w:val="15"/>
        <w:szCs w:val="15"/>
      </w:rPr>
      <w:tab/>
    </w:r>
    <w:r>
      <w:rPr>
        <w:rStyle w:val="15"/>
        <w:rFonts w:hint="eastAsia"/>
        <w:b w:val="0"/>
        <w:bCs/>
        <w:sz w:val="15"/>
        <w:szCs w:val="15"/>
      </w:rPr>
      <w:t>合规政策指南&gt;CPG章节正面光束限制的超控-21 CFR 1020.31（G）（5）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0B"/>
    <w:rsid w:val="00243747"/>
    <w:rsid w:val="00243A0B"/>
    <w:rsid w:val="00310059"/>
    <w:rsid w:val="003A103F"/>
    <w:rsid w:val="005A7D86"/>
    <w:rsid w:val="005C54AB"/>
    <w:rsid w:val="006162FD"/>
    <w:rsid w:val="007C0192"/>
    <w:rsid w:val="007C3C11"/>
    <w:rsid w:val="008607C6"/>
    <w:rsid w:val="008A3ADC"/>
    <w:rsid w:val="009B6CE4"/>
    <w:rsid w:val="00A73DE2"/>
    <w:rsid w:val="00A9424D"/>
    <w:rsid w:val="00B701C2"/>
    <w:rsid w:val="00BD04CC"/>
    <w:rsid w:val="00DE0398"/>
    <w:rsid w:val="00E30357"/>
    <w:rsid w:val="1F6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="宋体" w:cs="Microsoft JhengHei Light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Microsoft JhengHei Light" w:hAnsi="Microsoft JhengHei Light" w:eastAsia="宋体" w:cs="Microsoft JhengHei Light"/>
      <w:color w:val="000000"/>
      <w:sz w:val="24"/>
      <w:szCs w:val="24"/>
      <w:lang w:val="en-US" w:eastAsia="zh-CN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66CC"/>
      <w:u w:val="single"/>
    </w:rPr>
  </w:style>
  <w:style w:type="character" w:customStyle="1" w:styleId="7">
    <w:name w:val="正文文本 (3) Exact"/>
    <w:basedOn w:val="5"/>
    <w:qFormat/>
    <w:uiPriority w:val="0"/>
    <w:rPr>
      <w:rFonts w:ascii="Arial" w:hAnsi="Arial" w:eastAsia="宋体" w:cs="Arial"/>
      <w:b/>
      <w:bCs/>
      <w:sz w:val="22"/>
      <w:szCs w:val="22"/>
      <w:u w:val="none"/>
    </w:rPr>
  </w:style>
  <w:style w:type="character" w:customStyle="1" w:styleId="8">
    <w:name w:val="正文文本 (3) Exact1"/>
    <w:basedOn w:val="9"/>
    <w:uiPriority w:val="0"/>
    <w:rPr>
      <w:rFonts w:ascii="Arial" w:hAnsi="Arial" w:eastAsia="宋体" w:cs="Arial"/>
      <w:sz w:val="22"/>
      <w:szCs w:val="22"/>
      <w:u w:val="single"/>
    </w:rPr>
  </w:style>
  <w:style w:type="character" w:customStyle="1" w:styleId="9">
    <w:name w:val="正文文本 (3)_"/>
    <w:basedOn w:val="5"/>
    <w:link w:val="10"/>
    <w:qFormat/>
    <w:uiPriority w:val="0"/>
    <w:rPr>
      <w:rFonts w:ascii="Arial" w:hAnsi="Arial" w:eastAsia="宋体" w:cs="Arial"/>
      <w:b/>
      <w:bCs/>
      <w:sz w:val="22"/>
      <w:szCs w:val="22"/>
      <w:u w:val="none"/>
    </w:rPr>
  </w:style>
  <w:style w:type="paragraph" w:customStyle="1" w:styleId="10">
    <w:name w:val="正文文本 (3)1"/>
    <w:basedOn w:val="1"/>
    <w:link w:val="9"/>
    <w:qFormat/>
    <w:uiPriority w:val="0"/>
    <w:pPr>
      <w:shd w:val="clear" w:color="auto" w:fill="FFFFFF"/>
      <w:spacing w:before="360" w:after="60" w:line="0" w:lineRule="atLeast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标题 #1_"/>
    <w:basedOn w:val="5"/>
    <w:link w:val="12"/>
    <w:qFormat/>
    <w:uiPriority w:val="0"/>
    <w:rPr>
      <w:rFonts w:ascii="Arial" w:hAnsi="Arial" w:eastAsia="宋体" w:cs="Arial"/>
      <w:b/>
      <w:bCs/>
      <w:spacing w:val="-10"/>
      <w:sz w:val="62"/>
      <w:szCs w:val="62"/>
      <w:u w:val="none"/>
    </w:rPr>
  </w:style>
  <w:style w:type="paragraph" w:customStyle="1" w:styleId="12">
    <w:name w:val="标题 #1"/>
    <w:basedOn w:val="1"/>
    <w:link w:val="11"/>
    <w:uiPriority w:val="0"/>
    <w:pPr>
      <w:shd w:val="clear" w:color="auto" w:fill="FFFFFF"/>
      <w:spacing w:after="60" w:line="643" w:lineRule="exact"/>
      <w:outlineLvl w:val="0"/>
    </w:pPr>
    <w:rPr>
      <w:rFonts w:ascii="Arial" w:hAnsi="Arial" w:cs="Arial"/>
      <w:b/>
      <w:bCs/>
      <w:spacing w:val="-10"/>
      <w:sz w:val="62"/>
      <w:szCs w:val="62"/>
    </w:rPr>
  </w:style>
  <w:style w:type="character" w:customStyle="1" w:styleId="13">
    <w:name w:val="页眉或页脚_"/>
    <w:basedOn w:val="5"/>
    <w:link w:val="14"/>
    <w:uiPriority w:val="0"/>
    <w:rPr>
      <w:rFonts w:ascii="Arial" w:hAnsi="Arial" w:eastAsia="宋体" w:cs="Arial"/>
      <w:b/>
      <w:bCs/>
      <w:sz w:val="14"/>
      <w:szCs w:val="14"/>
      <w:u w:val="none"/>
    </w:rPr>
  </w:style>
  <w:style w:type="paragraph" w:customStyle="1" w:styleId="14">
    <w:name w:val="页眉或页脚1"/>
    <w:basedOn w:val="1"/>
    <w:link w:val="13"/>
    <w:uiPriority w:val="0"/>
    <w:pPr>
      <w:shd w:val="clear" w:color="auto" w:fill="FFFFFF"/>
      <w:spacing w:line="0" w:lineRule="atLeast"/>
    </w:pPr>
    <w:rPr>
      <w:rFonts w:ascii="Arial" w:hAnsi="Arial" w:cs="Arial"/>
      <w:b/>
      <w:bCs/>
      <w:sz w:val="14"/>
      <w:szCs w:val="14"/>
    </w:rPr>
  </w:style>
  <w:style w:type="character" w:customStyle="1" w:styleId="15">
    <w:name w:val="页眉或页脚"/>
    <w:basedOn w:val="13"/>
    <w:uiPriority w:val="0"/>
    <w:rPr>
      <w:rFonts w:ascii="Arial" w:hAnsi="Arial" w:eastAsia="宋体" w:cs="Arial"/>
      <w:color w:val="000000"/>
      <w:spacing w:val="0"/>
      <w:w w:val="100"/>
      <w:position w:val="0"/>
      <w:sz w:val="14"/>
      <w:szCs w:val="14"/>
      <w:u w:val="none"/>
      <w:lang w:val="en-US" w:eastAsia="zh-CN" w:bidi="en-US"/>
    </w:rPr>
  </w:style>
  <w:style w:type="character" w:customStyle="1" w:styleId="16">
    <w:name w:val="正文文本 (2)_"/>
    <w:basedOn w:val="5"/>
    <w:link w:val="17"/>
    <w:uiPriority w:val="0"/>
    <w:rPr>
      <w:rFonts w:ascii="Arial" w:hAnsi="Arial" w:eastAsia="宋体" w:cs="Arial"/>
      <w:spacing w:val="0"/>
      <w:u w:val="none"/>
    </w:rPr>
  </w:style>
  <w:style w:type="paragraph" w:customStyle="1" w:styleId="17">
    <w:name w:val="正文文本 (2)"/>
    <w:basedOn w:val="1"/>
    <w:link w:val="16"/>
    <w:uiPriority w:val="0"/>
    <w:pPr>
      <w:shd w:val="clear" w:color="auto" w:fill="FFFFFF"/>
      <w:spacing w:before="60" w:after="360" w:line="0" w:lineRule="atLeast"/>
    </w:pPr>
    <w:rPr>
      <w:rFonts w:ascii="Arial" w:hAnsi="Arial" w:cs="Arial"/>
    </w:rPr>
  </w:style>
  <w:style w:type="character" w:customStyle="1" w:styleId="18">
    <w:name w:val="正文文本 (3)"/>
    <w:basedOn w:val="9"/>
    <w:uiPriority w:val="0"/>
    <w:rPr>
      <w:rFonts w:ascii="Arial" w:hAnsi="Arial" w:eastAsia="宋体" w:cs="Arial"/>
      <w:color w:val="000000"/>
      <w:spacing w:val="0"/>
      <w:w w:val="100"/>
      <w:position w:val="0"/>
      <w:sz w:val="22"/>
      <w:szCs w:val="22"/>
      <w:u w:val="single"/>
      <w:lang w:val="en-US" w:eastAsia="zh-CN" w:bidi="en-US"/>
    </w:rPr>
  </w:style>
  <w:style w:type="character" w:customStyle="1" w:styleId="19">
    <w:name w:val="页眉 Char"/>
    <w:basedOn w:val="5"/>
    <w:link w:val="3"/>
    <w:uiPriority w:val="99"/>
    <w:rPr>
      <w:color w:val="000000"/>
      <w:sz w:val="18"/>
      <w:szCs w:val="18"/>
    </w:rPr>
  </w:style>
  <w:style w:type="character" w:customStyle="1" w:styleId="20">
    <w:name w:val="页脚 Char"/>
    <w:basedOn w:val="5"/>
    <w:link w:val="2"/>
    <w:uiPriority w:val="99"/>
    <w:rPr>
      <w:color w:val="000000"/>
      <w:sz w:val="18"/>
      <w:szCs w:val="18"/>
    </w:rPr>
  </w:style>
  <w:style w:type="table" w:customStyle="1" w:styleId="21">
    <w:name w:val="Table Normal"/>
    <w:semiHidden/>
    <w:unhideWhenUsed/>
    <w:qFormat/>
    <w:uiPriority w:val="2"/>
    <w:rPr>
      <w:rFonts w:asciiTheme="minorHAnsi" w:hAnsiTheme="minorHAnsi" w:eastAsiaTheme="minorEastAsia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rPr>
      <w:rFonts w:asciiTheme="minorHAnsi" w:hAnsiTheme="minorHAnsi" w:eastAsiaTheme="minorEastAsia" w:cstheme="minorBidi"/>
      <w:color w:val="auto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740</Words>
  <Characters>1378</Characters>
  <Lines>15</Lines>
  <Paragraphs>4</Paragraphs>
  <TotalTime>0</TotalTime>
  <ScaleCrop>false</ScaleCrop>
  <LinksUpToDate>false</LinksUpToDate>
  <CharactersWithSpaces>1406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2017-11-17T12:58:00Z</dcterms:created>
  <dc:creator>cathy-wen</dc:creator>
  <cp:lastModifiedBy>太极箫客</cp:lastModifiedBy>
  <dcterms:modified xsi:type="dcterms:W3CDTF">2025-08-14T06:16:27Z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ED71C9DD472B42399CFF56E189BA9048_12</vt:lpwstr>
  </property>
</Properties>
</file>