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D3F0">
      <w:pPr>
        <w:overflowPunct w:val="0"/>
        <w:snapToGrid w:val="0"/>
        <w:spacing w:after="120" w:afterLines="50" w:line="300" w:lineRule="auto"/>
        <w:jc w:val="both"/>
        <w:rPr>
          <w:rFonts w:ascii="Arial" w:hAnsi="Arial" w:eastAsia="宋体" w:cs="Arial"/>
          <w:sz w:val="20"/>
          <w:szCs w:val="20"/>
          <w:lang w:eastAsia="zh-CN"/>
        </w:rPr>
      </w:pPr>
      <w:bookmarkStart w:id="0" w:name="_GoBack"/>
      <w:bookmarkEnd w:id="0"/>
    </w:p>
    <w:p w14:paraId="63544DA4">
      <w:pPr>
        <w:overflowPunct w:val="0"/>
        <w:snapToGrid w:val="0"/>
        <w:spacing w:after="120" w:afterLines="50" w:line="300" w:lineRule="auto"/>
        <w:jc w:val="both"/>
        <w:rPr>
          <w:rFonts w:ascii="Arial" w:hAnsi="Arial" w:eastAsia="宋体" w:cs="Arial"/>
          <w:sz w:val="20"/>
          <w:szCs w:val="20"/>
        </w:rPr>
      </w:pPr>
    </w:p>
    <w:p w14:paraId="48A2D71B">
      <w:pPr>
        <w:overflowPunct w:val="0"/>
        <w:snapToGrid w:val="0"/>
        <w:spacing w:after="120" w:afterLines="50" w:line="300" w:lineRule="auto"/>
        <w:jc w:val="both"/>
        <w:rPr>
          <w:rFonts w:ascii="Arial" w:hAnsi="Arial" w:eastAsia="宋体" w:cs="Arial"/>
          <w:sz w:val="20"/>
          <w:szCs w:val="20"/>
        </w:rPr>
      </w:pPr>
    </w:p>
    <w:p w14:paraId="43A3436F">
      <w:pPr>
        <w:overflowPunct w:val="0"/>
        <w:snapToGrid w:val="0"/>
        <w:spacing w:after="120" w:afterLines="50" w:line="300" w:lineRule="auto"/>
        <w:jc w:val="both"/>
        <w:rPr>
          <w:rFonts w:ascii="Arial" w:hAnsi="Arial" w:eastAsia="宋体" w:cs="Arial"/>
          <w:sz w:val="20"/>
          <w:szCs w:val="20"/>
        </w:rPr>
      </w:pPr>
    </w:p>
    <w:p w14:paraId="482A1104">
      <w:pPr>
        <w:overflowPunct w:val="0"/>
        <w:snapToGrid w:val="0"/>
        <w:spacing w:after="120" w:afterLines="50" w:line="300" w:lineRule="auto"/>
        <w:jc w:val="both"/>
        <w:rPr>
          <w:rFonts w:ascii="Arial" w:hAnsi="Arial" w:eastAsia="宋体" w:cs="Arial"/>
          <w:sz w:val="64"/>
          <w:szCs w:val="64"/>
          <w:lang w:eastAsia="zh-CN"/>
        </w:rPr>
      </w:pPr>
      <w:r>
        <w:rPr>
          <w:rFonts w:ascii="Arial" w:hAnsi="Arial" w:eastAsia="宋体" w:cs="Arial"/>
          <w:b/>
          <w:sz w:val="64"/>
          <w:lang w:eastAsia="zh-CN"/>
        </w:rPr>
        <w:t>CPG章节 393.200激光作为面部整容、除皱、针灸、耳部刺激等医疗器械</w:t>
      </w:r>
    </w:p>
    <w:p w14:paraId="7C8C31DC">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背景：</w:t>
      </w:r>
    </w:p>
    <w:p w14:paraId="1AA5CC04">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一些专业人士，主要是按摩师和面部护理机构，一直在为整容、针灸、除皱和其他非手术的激光治疗做宣传。在手术整容或除皱治疗中，将激光束引导到面部的某些点，或者扫描穿过待治疗的脸部部位。目前，这些治疗方法的有效性还没有得到证实。迄今为止，只有具有约半毫瓦输出功率的低功率激光器（根据21 CFR 1040.10和1040.11分为II类）才被用于治疗。在这种输出水平下，使用这些器械似乎没有任何直接的健康危害，只要不将其引导到人眼中。眼睛长期暴露于低功率激光器的辐射会导致眼睛损伤；然而，如果遵循适当的安全程序，并且眼睛不受激光直接照射的保护，这种情况就不太可能发生。</w:t>
      </w:r>
    </w:p>
    <w:p w14:paraId="79182243">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用于这些用途的激光器械已确定为研究器械，因此归类为</w:t>
      </w:r>
      <w:r>
        <w:rPr>
          <w:rFonts w:eastAsia="宋体" w:cs="Arial"/>
          <w:sz w:val="28"/>
          <w:szCs w:val="28"/>
          <w:lang w:eastAsia="zh-CN"/>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eastAsia="宋体" w:cs="Arial"/>
          <w:sz w:val="28"/>
          <w:szCs w:val="28"/>
          <w:lang w:eastAsia="zh-CN"/>
        </w:rPr>
        <w:t>II类，并根据医疗器械修正案受</w:t>
      </w:r>
      <w:r>
        <w:rPr>
          <w:rFonts w:ascii="宋体" w:hAnsi="宋体" w:eastAsia="宋体" w:cs="Arial"/>
          <w:sz w:val="28"/>
          <w:szCs w:val="28"/>
          <w:lang w:eastAsia="zh-CN"/>
        </w:rPr>
        <w:t>“</w:t>
      </w:r>
      <w:r>
        <w:rPr>
          <w:rFonts w:eastAsia="宋体" w:cs="Arial"/>
          <w:sz w:val="28"/>
          <w:szCs w:val="28"/>
          <w:lang w:eastAsia="zh-CN"/>
        </w:rPr>
        <w:t>研究器械豁免（IDE）</w:t>
      </w:r>
      <w:r>
        <w:rPr>
          <w:rFonts w:ascii="宋体" w:hAnsi="宋体" w:eastAsia="宋体" w:cs="Arial"/>
          <w:sz w:val="28"/>
          <w:szCs w:val="28"/>
          <w:lang w:eastAsia="zh-CN"/>
        </w:rPr>
        <w:t>”</w:t>
      </w:r>
      <w:r>
        <w:rPr>
          <w:rFonts w:eastAsia="宋体" w:cs="Arial"/>
          <w:sz w:val="28"/>
          <w:szCs w:val="28"/>
          <w:lang w:eastAsia="zh-CN"/>
        </w:rPr>
        <w:t>法规监管。禁止商业分销或销售此类研究器械。除非研究方案经机构审查委员会（IRB）批准并满足21 CFR 812.2（b）（2）对非重大风险器械的要求，否则器械不得用于人类受试者。目前，该机构没有理由相信这些器械会构成重大风险。（所有激光器械也必须符合</w:t>
      </w:r>
      <w:r>
        <w:rPr>
          <w:rFonts w:ascii="宋体" w:hAnsi="宋体" w:eastAsia="宋体" w:cs="Arial"/>
          <w:sz w:val="28"/>
          <w:szCs w:val="28"/>
          <w:lang w:eastAsia="zh-CN"/>
        </w:rPr>
        <w:t>“</w:t>
      </w:r>
      <w:r>
        <w:rPr>
          <w:rFonts w:eastAsia="宋体" w:cs="Arial"/>
          <w:sz w:val="28"/>
          <w:szCs w:val="28"/>
          <w:lang w:eastAsia="zh-CN"/>
        </w:rPr>
        <w:t>辐射安全与健康安全法案</w:t>
      </w:r>
      <w:r>
        <w:rPr>
          <w:rFonts w:ascii="宋体" w:hAnsi="宋体" w:eastAsia="宋体" w:cs="Arial"/>
          <w:sz w:val="28"/>
          <w:szCs w:val="28"/>
          <w:lang w:eastAsia="zh-CN"/>
        </w:rPr>
        <w:t>”</w:t>
      </w:r>
      <w:r>
        <w:rPr>
          <w:rFonts w:eastAsia="宋体" w:cs="Arial"/>
          <w:sz w:val="28"/>
          <w:szCs w:val="28"/>
          <w:lang w:eastAsia="zh-CN"/>
        </w:rPr>
        <w:t>下的辐射安全性能标准21 CFR 1040.10）。</w:t>
      </w:r>
    </w:p>
    <w:p w14:paraId="3B42F8FB">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通过与专业人士和医疗团体的讨论，器械和放射卫生中心发现，这些组织担心器械的某些用户的不当使用和可疑的声称。他们已表示愿意将这些设备的监管状况告知其专业人士。</w:t>
      </w:r>
    </w:p>
    <w:p w14:paraId="362360A0">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该中心还通知了所有国家许可证委员会关于该机构的立场。</w:t>
      </w:r>
    </w:p>
    <w:p w14:paraId="561CCD49">
      <w:pPr>
        <w:rPr>
          <w:rFonts w:ascii="Arial" w:hAnsi="Arial" w:eastAsia="宋体" w:cs="Arial"/>
          <w:sz w:val="28"/>
          <w:szCs w:val="28"/>
          <w:lang w:eastAsia="zh-CN"/>
        </w:rPr>
      </w:pPr>
      <w:r>
        <w:rPr>
          <w:rFonts w:ascii="Arial" w:hAnsi="Arial" w:eastAsia="宋体" w:cs="Arial"/>
          <w:sz w:val="28"/>
          <w:szCs w:val="28"/>
          <w:lang w:eastAsia="zh-CN"/>
        </w:rPr>
        <w:br w:type="page"/>
      </w:r>
    </w:p>
    <w:p w14:paraId="4824E5D0">
      <w:pPr>
        <w:overflowPunct w:val="0"/>
        <w:snapToGrid w:val="0"/>
        <w:spacing w:after="240" w:afterLines="100" w:line="300" w:lineRule="auto"/>
        <w:jc w:val="both"/>
        <w:rPr>
          <w:rFonts w:ascii="Arial" w:hAnsi="Arial" w:eastAsia="宋体" w:cs="Arial"/>
          <w:sz w:val="28"/>
          <w:szCs w:val="28"/>
          <w:lang w:eastAsia="zh-CN"/>
        </w:rPr>
      </w:pPr>
      <w:r>
        <w:rPr>
          <w:rFonts w:ascii="Arial" w:hAnsi="Arial" w:eastAsia="宋体" w:cs="Arial"/>
          <w:sz w:val="28"/>
          <w:szCs w:val="28"/>
          <w:lang w:eastAsia="zh-CN"/>
        </w:rPr>
        <w:t>政策：</w:t>
      </w:r>
    </w:p>
    <w:p w14:paraId="6C88B748">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目前还没有向FDA提交任何信息，FDA也没有意识到任何可能构成用于面部整容、除皱、针灸、耳部刺激疗法、生物刺激或其他相关用途的医疗激光器械的安全性和有效性的有效科学证据的研究。因此，所有此类激光器械均认为是符合IDE规定限制使用的II类研究器械。</w:t>
      </w:r>
    </w:p>
    <w:p w14:paraId="3D6D940C">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未经 IRB 批准的非重大风险器械的商业推广、销售、销售或使用这些研究器械，或未经FDA批准的重大风险器械的IDE应用程序均认为违反FD&amp;C法案的501（f）（1）和/或502（f）。</w:t>
      </w:r>
    </w:p>
    <w:p w14:paraId="52EA165D">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由于这些激光器械并没有重大风险，因此对卫生专业人员的广泛调查是不合理的。</w:t>
      </w:r>
    </w:p>
    <w:p w14:paraId="547B36FA">
      <w:pPr>
        <w:pStyle w:val="2"/>
        <w:overflowPunct w:val="0"/>
        <w:snapToGrid w:val="0"/>
        <w:spacing w:after="240" w:afterLines="100" w:line="300" w:lineRule="auto"/>
        <w:ind w:left="0"/>
        <w:jc w:val="both"/>
        <w:rPr>
          <w:rFonts w:eastAsia="宋体" w:cs="Arial"/>
          <w:sz w:val="28"/>
          <w:szCs w:val="28"/>
          <w:lang w:eastAsia="zh-CN"/>
        </w:rPr>
      </w:pPr>
      <w:r>
        <w:rPr>
          <w:rFonts w:eastAsia="宋体" w:cs="Arial"/>
          <w:sz w:val="28"/>
          <w:szCs w:val="28"/>
          <w:lang w:eastAsia="zh-CN"/>
        </w:rPr>
        <w:t>如果发现医疗声明没有依据的器械被非卫生专业人员使用，则可能会提交警告信或没收建议。</w:t>
      </w:r>
    </w:p>
    <w:p w14:paraId="7F1C2F43">
      <w:pPr>
        <w:pStyle w:val="2"/>
        <w:tabs>
          <w:tab w:val="left" w:pos="3402"/>
        </w:tabs>
        <w:overflowPunct w:val="0"/>
        <w:snapToGrid w:val="0"/>
        <w:spacing w:after="120" w:afterLines="50" w:line="300" w:lineRule="auto"/>
        <w:ind w:left="0"/>
        <w:jc w:val="both"/>
        <w:rPr>
          <w:rFonts w:eastAsia="宋体" w:cs="Arial"/>
          <w:sz w:val="28"/>
          <w:szCs w:val="28"/>
          <w:lang w:eastAsia="zh-CN"/>
        </w:rPr>
      </w:pPr>
      <w:r>
        <w:rPr>
          <w:rFonts w:eastAsia="宋体" w:cs="Arial"/>
          <w:sz w:val="28"/>
          <w:szCs w:val="28"/>
          <w:lang w:eastAsia="zh-CN"/>
        </w:rPr>
        <w:t>发布日期：1982年12月1日</w:t>
      </w:r>
    </w:p>
    <w:p w14:paraId="178F18CB">
      <w:pPr>
        <w:pStyle w:val="2"/>
        <w:tabs>
          <w:tab w:val="left" w:pos="3119"/>
        </w:tabs>
        <w:overflowPunct w:val="0"/>
        <w:snapToGrid w:val="0"/>
        <w:spacing w:after="120" w:afterLines="50" w:line="300" w:lineRule="auto"/>
        <w:ind w:left="0"/>
        <w:jc w:val="both"/>
        <w:rPr>
          <w:rFonts w:eastAsia="宋体" w:cs="Arial"/>
          <w:sz w:val="28"/>
          <w:szCs w:val="28"/>
          <w:lang w:eastAsia="zh-CN"/>
        </w:rPr>
      </w:pPr>
      <w:r>
        <w:rPr>
          <w:rFonts w:eastAsia="宋体" w:cs="Arial"/>
          <w:sz w:val="28"/>
          <w:szCs w:val="28"/>
          <w:lang w:eastAsia="zh-CN"/>
        </w:rPr>
        <w:t>修订日期：1995年3月</w:t>
      </w:r>
    </w:p>
    <w:p w14:paraId="47067853">
      <w:pPr>
        <w:overflowPunct w:val="0"/>
        <w:snapToGrid w:val="0"/>
        <w:spacing w:after="120" w:afterLines="50" w:line="300" w:lineRule="auto"/>
        <w:jc w:val="both"/>
        <w:rPr>
          <w:rFonts w:ascii="Arial" w:hAnsi="Arial" w:eastAsia="宋体" w:cs="Arial"/>
          <w:sz w:val="20"/>
          <w:szCs w:val="20"/>
          <w:lang w:eastAsia="zh-CN"/>
        </w:rPr>
      </w:pPr>
    </w:p>
    <w:tbl>
      <w:tblPr>
        <w:tblStyle w:val="7"/>
        <w:tblW w:w="5000" w:type="pct"/>
        <w:tblInd w:w="0" w:type="dxa"/>
        <w:tblLayout w:type="autofit"/>
        <w:tblCellMar>
          <w:top w:w="0" w:type="dxa"/>
          <w:left w:w="0" w:type="dxa"/>
          <w:bottom w:w="0" w:type="dxa"/>
          <w:right w:w="0" w:type="dxa"/>
        </w:tblCellMar>
      </w:tblPr>
      <w:tblGrid>
        <w:gridCol w:w="10796"/>
      </w:tblGrid>
      <w:tr w14:paraId="37751B4A">
        <w:tblPrEx>
          <w:tblCellMar>
            <w:top w:w="0" w:type="dxa"/>
            <w:left w:w="0" w:type="dxa"/>
            <w:bottom w:w="0" w:type="dxa"/>
            <w:right w:w="0" w:type="dxa"/>
          </w:tblCellMar>
        </w:tblPrEx>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32323E80">
            <w:pPr>
              <w:pStyle w:val="9"/>
              <w:overflowPunct w:val="0"/>
              <w:snapToGrid w:val="0"/>
              <w:spacing w:after="120" w:afterLines="50" w:line="300" w:lineRule="auto"/>
              <w:ind w:left="44" w:leftChars="20" w:right="44" w:rightChars="20"/>
              <w:rPr>
                <w:rFonts w:ascii="Arial" w:hAnsi="Arial" w:eastAsia="宋体" w:cs="Arial"/>
                <w:sz w:val="24"/>
                <w:szCs w:val="24"/>
                <w:u w:val="single"/>
                <w:lang w:eastAsia="zh-CN"/>
              </w:rPr>
            </w:pPr>
            <w:r>
              <w:fldChar w:fldCharType="begin"/>
            </w:r>
            <w:r>
              <w:instrText xml:space="preserve"> HYPERLINK "https://www.fda.gov/ICECI/ComplianceManuals/CompliancePolicyGuidanceManual/default.htm" \h </w:instrText>
            </w:r>
            <w:r>
              <w:fldChar w:fldCharType="separate"/>
            </w:r>
            <w:r>
              <w:rPr>
                <w:rFonts w:hint="eastAsia" w:ascii="Arial" w:hAnsi="Arial" w:eastAsia="宋体" w:cs="Arial"/>
                <w:b/>
                <w:sz w:val="24"/>
                <w:szCs w:val="24"/>
                <w:u w:val="single"/>
                <w:lang w:eastAsia="zh-CN"/>
              </w:rPr>
              <w:t>合规政策指南的更多信息</w:t>
            </w:r>
            <w:r>
              <w:rPr>
                <w:rFonts w:hint="eastAsia" w:ascii="Arial" w:hAnsi="Arial" w:eastAsia="宋体" w:cs="Arial"/>
                <w:b/>
                <w:sz w:val="24"/>
                <w:szCs w:val="24"/>
                <w:u w:val="single"/>
                <w:lang w:eastAsia="zh-CN"/>
              </w:rPr>
              <w:br w:type="textWrapping"/>
            </w:r>
            <w:r>
              <w:rPr>
                <w:rFonts w:hint="eastAsia" w:ascii="Arial" w:hAnsi="Arial" w:eastAsia="宋体" w:cs="Arial"/>
                <w:b/>
                <w:sz w:val="24"/>
                <w:szCs w:val="24"/>
                <w:u w:val="single"/>
                <w:lang w:eastAsia="zh-CN"/>
              </w:rPr>
              <w:t>(/ICECI/Compliance Manuals/Compliance PolicyGuidance Manual/default.htm)</w:t>
            </w:r>
            <w:r>
              <w:rPr>
                <w:rFonts w:hint="eastAsia" w:ascii="Arial" w:hAnsi="Arial" w:eastAsia="宋体" w:cs="Arial"/>
                <w:b/>
                <w:sz w:val="24"/>
                <w:szCs w:val="24"/>
                <w:u w:val="single"/>
                <w:lang w:eastAsia="zh-CN"/>
              </w:rPr>
              <w:fldChar w:fldCharType="end"/>
            </w:r>
          </w:p>
        </w:tc>
      </w:tr>
      <w:tr w14:paraId="669972BC">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554B4ED7">
            <w:pPr>
              <w:pStyle w:val="9"/>
              <w:overflowPunct w:val="0"/>
              <w:snapToGrid w:val="0"/>
              <w:spacing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"https://www.fda.gov/ICECI/ComplianceManuals/CompliancePolicyGuidanceManual/ucm116271.htm" \h </w:instrText>
            </w:r>
            <w:r>
              <w:fldChar w:fldCharType="separate"/>
            </w:r>
            <w:r>
              <w:rPr>
                <w:rFonts w:hint="eastAsia" w:ascii="Arial" w:hAnsi="Arial" w:eastAsia="宋体" w:cs="Arial"/>
                <w:b/>
                <w:sz w:val="24"/>
                <w:szCs w:val="24"/>
                <w:u w:val="single" w:color="000000"/>
                <w:lang w:eastAsia="zh-CN"/>
              </w:rPr>
              <w:t>前言：合规政策指南（CPG）</w:t>
            </w:r>
            <w:r>
              <w:rPr>
                <w:rFonts w:hint="eastAsia" w:ascii="Arial" w:hAnsi="Arial" w:eastAsia="宋体" w:cs="Arial"/>
                <w:b/>
                <w:sz w:val="24"/>
                <w:szCs w:val="24"/>
                <w:u w:val="single" w:color="000000"/>
                <w:lang w:eastAsia="zh-CN"/>
              </w:rPr>
              <w:br w:type="textWrapping"/>
            </w:r>
            <w:r>
              <w:rPr>
                <w:rFonts w:hint="eastAsia" w:ascii="Arial" w:hAnsi="Arial" w:eastAsia="宋体" w:cs="Arial"/>
                <w:b/>
                <w:sz w:val="24"/>
                <w:szCs w:val="24"/>
                <w:u w:val="single" w:color="000000"/>
                <w:lang w:eastAsia="zh-CN"/>
              </w:rPr>
              <w:t>(/ICECI/Compliance Manuals/Compliance PolicyGuidance Manual/ucm116271.htm)</w:t>
            </w:r>
            <w:r>
              <w:rPr>
                <w:rFonts w:hint="eastAsia" w:ascii="Arial" w:hAnsi="Arial" w:eastAsia="宋体" w:cs="Arial"/>
                <w:b/>
                <w:sz w:val="24"/>
                <w:szCs w:val="24"/>
                <w:u w:val="single" w:color="000000"/>
                <w:lang w:eastAsia="zh-CN"/>
              </w:rPr>
              <w:fldChar w:fldCharType="end"/>
            </w:r>
          </w:p>
        </w:tc>
      </w:tr>
      <w:tr w14:paraId="34BED23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61B7E024">
            <w:pPr>
              <w:pStyle w:val="9"/>
              <w:overflowPunct w:val="0"/>
              <w:snapToGrid w:val="0"/>
              <w:spacing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"https://www.fda.gov/ICECI/ComplianceManuals/CompliancePolicyGuidanceManual/ucm116280.htm" \h </w:instrText>
            </w:r>
            <w:r>
              <w:fldChar w:fldCharType="separate"/>
            </w:r>
            <w:r>
              <w:rPr>
                <w:rFonts w:hint="eastAsia" w:ascii="Arial" w:hAnsi="Arial" w:eastAsia="宋体" w:cs="Arial"/>
                <w:b/>
                <w:sz w:val="24"/>
                <w:szCs w:val="24"/>
                <w:u w:val="single" w:color="000000"/>
                <w:lang w:eastAsia="zh-CN"/>
              </w:rPr>
              <w:t>第一章-通则</w:t>
            </w:r>
            <w:r>
              <w:rPr>
                <w:rFonts w:hint="eastAsia" w:ascii="Arial" w:hAnsi="Arial" w:eastAsia="宋体" w:cs="Arial"/>
                <w:b/>
                <w:sz w:val="24"/>
                <w:szCs w:val="24"/>
                <w:u w:val="single" w:color="000000"/>
                <w:lang w:eastAsia="zh-CN"/>
              </w:rPr>
              <w:br w:type="textWrapping"/>
            </w:r>
            <w:r>
              <w:rPr>
                <w:rFonts w:hint="eastAsia" w:ascii="Arial" w:hAnsi="Arial" w:eastAsia="宋体" w:cs="Arial"/>
                <w:b/>
                <w:sz w:val="24"/>
                <w:szCs w:val="24"/>
                <w:u w:val="single" w:color="000000"/>
                <w:lang w:eastAsia="zh-CN"/>
              </w:rPr>
              <w:t>(/ICECI/Compliance Manuals/Compliance PolicyGuidance Manual/ucm116280.htm)</w:t>
            </w:r>
            <w:r>
              <w:rPr>
                <w:rFonts w:hint="eastAsia" w:ascii="Arial" w:hAnsi="Arial" w:eastAsia="宋体" w:cs="Arial"/>
                <w:b/>
                <w:sz w:val="24"/>
                <w:szCs w:val="24"/>
                <w:u w:val="single" w:color="000000"/>
                <w:lang w:eastAsia="zh-CN"/>
              </w:rPr>
              <w:fldChar w:fldCharType="end"/>
            </w:r>
          </w:p>
        </w:tc>
      </w:tr>
      <w:tr w14:paraId="0C0672D3">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665641A6">
            <w:pPr>
              <w:pStyle w:val="9"/>
              <w:overflowPunct w:val="0"/>
              <w:snapToGrid w:val="0"/>
              <w:spacing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"https://www.fda.gov/ICECI/ComplianceManuals/CompliancePolicyGuidanceManual/ucm116336.htm" \h </w:instrText>
            </w:r>
            <w:r>
              <w:fldChar w:fldCharType="separate"/>
            </w:r>
            <w:r>
              <w:rPr>
                <w:rFonts w:hint="eastAsia" w:ascii="Arial" w:hAnsi="Arial" w:eastAsia="宋体" w:cs="Arial"/>
                <w:b/>
                <w:sz w:val="24"/>
                <w:szCs w:val="24"/>
                <w:u w:val="single" w:color="000000"/>
                <w:lang w:eastAsia="zh-CN"/>
              </w:rPr>
              <w:t>第二章-生物制剂</w:t>
            </w:r>
            <w:r>
              <w:rPr>
                <w:rFonts w:hint="eastAsia" w:ascii="Arial" w:hAnsi="Arial" w:eastAsia="宋体" w:cs="Arial"/>
                <w:b/>
                <w:sz w:val="24"/>
                <w:szCs w:val="24"/>
                <w:u w:val="single" w:color="000000"/>
                <w:lang w:eastAsia="zh-CN"/>
              </w:rPr>
              <w:br w:type="textWrapping"/>
            </w:r>
            <w:r>
              <w:rPr>
                <w:rFonts w:hint="eastAsia" w:ascii="Arial" w:hAnsi="Arial" w:eastAsia="宋体" w:cs="Arial"/>
                <w:b/>
                <w:sz w:val="24"/>
                <w:szCs w:val="24"/>
                <w:u w:val="single" w:color="000000"/>
                <w:lang w:eastAsia="zh-CN"/>
              </w:rPr>
              <w:t>(/ICECI/Compliance Manuals/Compliance PolicyGuidance Manual/ucm116336.htm)</w:t>
            </w:r>
            <w:r>
              <w:rPr>
                <w:rFonts w:hint="eastAsia" w:ascii="Arial" w:hAnsi="Arial" w:eastAsia="宋体" w:cs="Arial"/>
                <w:b/>
                <w:sz w:val="24"/>
                <w:szCs w:val="24"/>
                <w:u w:val="single" w:color="000000"/>
                <w:lang w:eastAsia="zh-CN"/>
              </w:rPr>
              <w:fldChar w:fldCharType="end"/>
            </w:r>
          </w:p>
        </w:tc>
      </w:tr>
      <w:tr w14:paraId="55E7F856">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4A4D1DCB">
            <w:pPr>
              <w:pStyle w:val="9"/>
              <w:overflowPunct w:val="0"/>
              <w:snapToGrid w:val="0"/>
              <w:spacing w:after="120" w:afterLines="50" w:line="300" w:lineRule="auto"/>
              <w:ind w:left="44" w:leftChars="20" w:right="44" w:rightChars="20"/>
              <w:rPr>
                <w:rFonts w:ascii="Arial" w:hAnsi="Arial" w:eastAsia="宋体" w:cs="Arial"/>
                <w:sz w:val="24"/>
                <w:szCs w:val="24"/>
                <w:lang w:val="en-US" w:eastAsia="zh-CN"/>
              </w:rPr>
            </w:pPr>
            <w:r>
              <w:fldChar w:fldCharType="begin"/>
            </w:r>
            <w:r>
              <w:instrText xml:space="preserve"> HYPERLINK "https://www.fda.gov/ICECI/ComplianceManuals/CompliancePolicyGuidanceManual/ucm116801.htm" \h </w:instrText>
            </w:r>
            <w:r>
              <w:fldChar w:fldCharType="separate"/>
            </w:r>
            <w:r>
              <w:rPr>
                <w:rFonts w:hint="eastAsia" w:ascii="Arial" w:hAnsi="Arial" w:eastAsia="宋体" w:cs="Arial"/>
                <w:b/>
                <w:sz w:val="24"/>
                <w:szCs w:val="24"/>
                <w:u w:val="single" w:color="000000"/>
                <w:lang w:eastAsia="zh-CN"/>
              </w:rPr>
              <w:t>第三章</w:t>
            </w:r>
            <w:r>
              <w:rPr>
                <w:rFonts w:hint="eastAsia" w:ascii="Arial" w:hAnsi="Arial" w:eastAsia="宋体" w:cs="Arial"/>
                <w:b/>
                <w:sz w:val="24"/>
                <w:szCs w:val="24"/>
                <w:u w:val="single" w:color="000000"/>
                <w:lang w:val="en-US" w:eastAsia="zh-CN"/>
              </w:rPr>
              <w:t>-</w:t>
            </w:r>
            <w:r>
              <w:rPr>
                <w:rFonts w:hint="eastAsia" w:ascii="Arial" w:hAnsi="Arial" w:eastAsia="宋体" w:cs="Arial"/>
                <w:b/>
                <w:sz w:val="24"/>
                <w:szCs w:val="24"/>
                <w:u w:val="single" w:color="000000"/>
                <w:lang w:eastAsia="zh-CN"/>
              </w:rPr>
              <w:t>器械</w:t>
            </w:r>
            <w:r>
              <w:rPr>
                <w:rFonts w:hint="eastAsia" w:ascii="Arial" w:hAnsi="Arial" w:eastAsia="宋体" w:cs="Arial"/>
                <w:b/>
                <w:sz w:val="24"/>
                <w:szCs w:val="24"/>
                <w:u w:val="single" w:color="000000"/>
                <w:lang w:val="en-US" w:eastAsia="zh-CN"/>
              </w:rPr>
              <w:br w:type="textWrapping"/>
            </w:r>
            <w:r>
              <w:rPr>
                <w:rFonts w:hint="eastAsia" w:ascii="Arial" w:hAnsi="Arial" w:eastAsia="宋体" w:cs="Arial"/>
                <w:b/>
                <w:sz w:val="24"/>
                <w:szCs w:val="24"/>
                <w:u w:val="single" w:color="000000"/>
                <w:lang w:val="en-US" w:eastAsia="zh-CN"/>
              </w:rPr>
              <w:t>(/ICECI/Compliance Manuals/Compliance PolicyGuidance Manual/ucm116801.htm)</w:t>
            </w:r>
            <w:r>
              <w:rPr>
                <w:rFonts w:hint="eastAsia" w:ascii="Arial" w:hAnsi="Arial" w:eastAsia="宋体" w:cs="Arial"/>
                <w:b/>
                <w:sz w:val="24"/>
                <w:szCs w:val="24"/>
                <w:u w:val="single" w:color="000000"/>
                <w:lang w:val="en-US" w:eastAsia="zh-CN"/>
              </w:rPr>
              <w:fldChar w:fldCharType="end"/>
            </w:r>
          </w:p>
        </w:tc>
      </w:tr>
      <w:tr w14:paraId="395C8135">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CA9CEE8">
            <w:pPr>
              <w:pStyle w:val="9"/>
              <w:overflowPunct w:val="0"/>
              <w:snapToGrid w:val="0"/>
              <w:spacing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"https://www.fda.gov/ICECI/ComplianceManuals/CompliancePolicyGuidanceManual/ucm119572.htm" \h </w:instrText>
            </w:r>
            <w:r>
              <w:fldChar w:fldCharType="separate"/>
            </w:r>
            <w:r>
              <w:rPr>
                <w:rFonts w:hint="eastAsia" w:ascii="Arial" w:hAnsi="Arial" w:eastAsia="宋体" w:cs="Arial"/>
                <w:b/>
                <w:sz w:val="24"/>
                <w:szCs w:val="24"/>
                <w:u w:val="single" w:color="000000"/>
                <w:lang w:eastAsia="zh-CN"/>
              </w:rPr>
              <w:t>第四章-人用药品</w:t>
            </w:r>
            <w:r>
              <w:rPr>
                <w:rFonts w:hint="eastAsia" w:ascii="Arial" w:hAnsi="Arial" w:eastAsia="宋体" w:cs="Arial"/>
                <w:b/>
                <w:sz w:val="24"/>
                <w:szCs w:val="24"/>
                <w:u w:val="single" w:color="000000"/>
                <w:lang w:eastAsia="zh-CN"/>
              </w:rPr>
              <w:br w:type="textWrapping"/>
            </w:r>
            <w:r>
              <w:rPr>
                <w:rFonts w:hint="eastAsia" w:ascii="Arial" w:hAnsi="Arial" w:eastAsia="宋体" w:cs="Arial"/>
                <w:b/>
                <w:sz w:val="24"/>
                <w:szCs w:val="24"/>
                <w:u w:val="single" w:color="000000"/>
                <w:lang w:eastAsia="zh-CN"/>
              </w:rPr>
              <w:t>(/ICECI/Compliance Manuals/Compliance PolicyGuidance Manual/ucm119572.htm)</w:t>
            </w:r>
            <w:r>
              <w:rPr>
                <w:rFonts w:hint="eastAsia" w:ascii="Arial" w:hAnsi="Arial" w:eastAsia="宋体" w:cs="Arial"/>
                <w:b/>
                <w:sz w:val="24"/>
                <w:szCs w:val="24"/>
                <w:u w:val="single" w:color="000000"/>
                <w:lang w:eastAsia="zh-CN"/>
              </w:rPr>
              <w:fldChar w:fldCharType="end"/>
            </w:r>
          </w:p>
        </w:tc>
      </w:tr>
      <w:tr w14:paraId="66888F9B">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3E0429C6">
            <w:pPr>
              <w:pStyle w:val="9"/>
              <w:overflowPunct w:val="0"/>
              <w:snapToGrid w:val="0"/>
              <w:spacing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"https://www.fda.gov/ICECI/ComplianceManuals/CompliancePolicyGuidanceManual/ucm119194.htm" \h </w:instrText>
            </w:r>
            <w:r>
              <w:fldChar w:fldCharType="separate"/>
            </w:r>
            <w:r>
              <w:rPr>
                <w:rFonts w:hint="eastAsia" w:ascii="Arial" w:hAnsi="Arial" w:eastAsia="宋体" w:cs="Arial"/>
                <w:b/>
                <w:sz w:val="24"/>
                <w:szCs w:val="24"/>
                <w:u w:val="single" w:color="000000"/>
                <w:lang w:eastAsia="zh-CN"/>
              </w:rPr>
              <w:t>第五章-食品、颜料和化妆品</w:t>
            </w:r>
            <w:r>
              <w:rPr>
                <w:rFonts w:hint="eastAsia" w:ascii="Arial" w:hAnsi="Arial" w:eastAsia="宋体" w:cs="Arial"/>
                <w:b/>
                <w:sz w:val="24"/>
                <w:szCs w:val="24"/>
                <w:u w:val="single" w:color="000000"/>
                <w:lang w:eastAsia="zh-CN"/>
              </w:rPr>
              <w:br w:type="textWrapping"/>
            </w:r>
            <w:r>
              <w:rPr>
                <w:rFonts w:hint="eastAsia" w:ascii="Arial" w:hAnsi="Arial" w:eastAsia="宋体" w:cs="Arial"/>
                <w:b/>
                <w:sz w:val="24"/>
                <w:szCs w:val="24"/>
                <w:u w:val="single" w:color="000000"/>
                <w:lang w:eastAsia="zh-CN"/>
              </w:rPr>
              <w:t>(/ICECI/Compliance Manuals/Compliance PolicyGuidance Manual/ucm119194.htm)</w:t>
            </w:r>
            <w:r>
              <w:rPr>
                <w:rFonts w:hint="eastAsia" w:ascii="Arial" w:hAnsi="Arial" w:eastAsia="宋体" w:cs="Arial"/>
                <w:b/>
                <w:sz w:val="24"/>
                <w:szCs w:val="24"/>
                <w:u w:val="single" w:color="000000"/>
                <w:lang w:eastAsia="zh-CN"/>
              </w:rPr>
              <w:fldChar w:fldCharType="end"/>
            </w:r>
          </w:p>
        </w:tc>
      </w:tr>
      <w:tr w14:paraId="4AB96DEB">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29BAD53B">
            <w:pPr>
              <w:overflowPunct w:val="0"/>
              <w:snapToGrid w:val="0"/>
              <w:spacing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"https://www.fda.gov/ICECI/ComplianceManuals/CompliancePolicyGuidanceManual/ucm117042.htm" \h </w:instrText>
            </w:r>
            <w:r>
              <w:fldChar w:fldCharType="separate"/>
            </w:r>
            <w:r>
              <w:rPr>
                <w:rFonts w:hint="eastAsia" w:ascii="Arial" w:hAnsi="Arial" w:eastAsia="宋体" w:cs="Arial"/>
                <w:b/>
                <w:sz w:val="24"/>
                <w:szCs w:val="24"/>
                <w:u w:val="single" w:color="000000"/>
                <w:lang w:eastAsia="zh-CN"/>
              </w:rPr>
              <w:t>第六章-兽医医学</w:t>
            </w:r>
            <w:r>
              <w:rPr>
                <w:rFonts w:hint="eastAsia" w:ascii="Arial" w:hAnsi="Arial" w:eastAsia="宋体" w:cs="Arial"/>
                <w:b/>
                <w:sz w:val="24"/>
                <w:szCs w:val="24"/>
                <w:u w:val="single" w:color="000000"/>
                <w:lang w:eastAsia="zh-CN"/>
              </w:rPr>
              <w:br w:type="textWrapping"/>
            </w:r>
            <w:r>
              <w:rPr>
                <w:rFonts w:hint="eastAsia" w:ascii="Arial" w:hAnsi="Arial" w:eastAsia="宋体" w:cs="Arial"/>
                <w:b/>
                <w:sz w:val="24"/>
                <w:szCs w:val="24"/>
                <w:u w:val="single" w:color="000000"/>
                <w:lang w:eastAsia="zh-CN"/>
              </w:rPr>
              <w:t>(/ICECI/Compliance Manuals/Compliance PolicyGuidance Manual/ucm117042.htm)</w:t>
            </w:r>
            <w:r>
              <w:rPr>
                <w:rFonts w:hint="eastAsia" w:ascii="Arial" w:hAnsi="Arial" w:eastAsia="宋体" w:cs="Arial"/>
                <w:b/>
                <w:sz w:val="24"/>
                <w:szCs w:val="24"/>
                <w:u w:val="single" w:color="000000"/>
                <w:lang w:eastAsia="zh-CN"/>
              </w:rPr>
              <w:fldChar w:fldCharType="end"/>
            </w:r>
          </w:p>
        </w:tc>
      </w:tr>
    </w:tbl>
    <w:p w14:paraId="312638A4">
      <w:pPr>
        <w:overflowPunct w:val="0"/>
        <w:snapToGrid w:val="0"/>
        <w:spacing w:after="120" w:afterLines="50" w:line="300" w:lineRule="auto"/>
        <w:jc w:val="both"/>
        <w:rPr>
          <w:rFonts w:ascii="Arial" w:hAnsi="Arial" w:eastAsia="宋体" w:cs="Arial"/>
          <w:sz w:val="20"/>
          <w:szCs w:val="20"/>
          <w:lang w:eastAsia="zh-CN"/>
        </w:rPr>
      </w:pPr>
    </w:p>
    <w:p w14:paraId="1F9EAA95">
      <w:pPr>
        <w:overflowPunct w:val="0"/>
        <w:snapToGrid w:val="0"/>
        <w:spacing w:after="120" w:afterLines="50" w:line="300" w:lineRule="auto"/>
        <w:jc w:val="both"/>
        <w:rPr>
          <w:rFonts w:hint="eastAsia" w:eastAsia="宋体"/>
          <w:lang w:eastAsia="zh-CN"/>
        </w:rPr>
      </w:pPr>
    </w:p>
    <w:p w14:paraId="1A9EC9DC">
      <w:pPr>
        <w:overflowPunct w:val="0"/>
        <w:snapToGrid w:val="0"/>
        <w:spacing w:after="120" w:afterLines="50" w:line="300" w:lineRule="auto"/>
        <w:jc w:val="center"/>
        <w:rPr>
          <w:rFonts w:hint="eastAsia" w:eastAsia="宋体"/>
          <w:lang w:eastAsia="zh-CN"/>
        </w:rPr>
      </w:pPr>
    </w:p>
    <w:p w14:paraId="15FB6F69">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0FF2">
    <w:pPr>
      <w:spacing w:line="14" w:lineRule="auto"/>
      <w:rPr>
        <w:sz w:val="20"/>
        <w:szCs w:val="20"/>
      </w:rPr>
    </w:pPr>
    <w:r>
      <w:rPr>
        <w:lang w:val="en-US" w:eastAsia="zh-CN"/>
      </w:rPr>
      <mc:AlternateContent>
        <mc:Choice Requires="wps">
          <w:drawing>
            <wp:anchor distT="0" distB="0" distL="114300" distR="114300" simplePos="0" relativeHeight="251659264"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955"/>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wps:spPr>
                    <wps:txbx>
                      <w:txbxContent>
                        <w:p w14:paraId="2439D59C">
                          <w:pPr>
                            <w:spacing w:line="184" w:lineRule="exact"/>
                            <w:ind w:left="20"/>
                            <w:rPr>
                              <w:rFonts w:ascii="Arial" w:hAnsi="Arial" w:eastAsia="Arial" w:cs="Arial"/>
                              <w:sz w:val="16"/>
                              <w:szCs w:val="16"/>
                            </w:rPr>
                          </w:pPr>
                          <w:r>
                            <w:rPr>
                              <w:rFonts w:ascii="Arial"/>
                              <w:sz w:val="16"/>
                            </w:rPr>
                            <w:t>https://</w:t>
                          </w:r>
                          <w:r>
                            <w:fldChar w:fldCharType="begin"/>
                          </w:r>
                          <w:r>
                            <w:instrText xml:space="preserve"> HYPERLINK "http://www.fda.gov/ICECI/ComplianceManuals/CompliancePolicyGuidanceManual/ucm123824.htm" \h </w:instrText>
                          </w:r>
                          <w:r>
                            <w:fldChar w:fldCharType="separate"/>
                          </w:r>
                          <w:r>
                            <w:rPr>
                              <w:rFonts w:ascii="Arial"/>
                              <w:sz w:val="16"/>
                            </w:rPr>
                            <w:t>www.fda.gov/ICECI/ComplianceManuals/CompliancePolicyGuidanceManual/ucm123824.htm</w:t>
                          </w:r>
                          <w:r>
                            <w:rPr>
                              <w:rFonts w:ascii="Arial"/>
                              <w:sz w:val="16"/>
                            </w:rPr>
                            <w:fldChar w:fldCharType="end"/>
                          </w:r>
                        </w:p>
                      </w:txbxContent>
                    </wps:txbx>
                    <wps:bodyPr rot="0" vert="horz" wrap="square" lIns="0" tIns="0" rIns="0" bIns="0" anchor="t" anchorCtr="0" upright="1">
                      <a:noAutofit/>
                    </wps:bodyPr>
                  </wps:wsp>
                </a:graphicData>
              </a:graphic>
            </wp:anchor>
          </w:drawing>
        </mc:Choice>
        <mc:Fallback>
          <w:pict>
            <v:shape id="955" o:spid="_x0000_s1026" o:spt="202" type="#_x0000_t202" style="position:absolute;left:0pt;margin-left:25pt;margin-top:816.5pt;height:10pt;width:332.7pt;mso-position-horizontal-relative:page;mso-position-vertical-relative:page;z-index:-251657216;mso-width-relative:page;mso-height-relative:page;" filled="f" stroked="f" coordsize="21600,21600" o:gfxdata="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DXVG2QAAAAwBAAAPAAAAAAAAAAEAIAAAACIAAABkcnMvZG93bnJldi54&#10;bWxQSwECFAAUAAAACACHTuJAuXUbcfkBAAD9AwAADgAAAAAAAAABACAAAAAoAQAAZHJzL2Uyb0Rv&#10;Yy54bWxQSwUGAAAAAAYABgBZAQAAkwUAAAAA&#10;">
              <v:fill on="f" focussize="0,0"/>
              <v:stroke on="f"/>
              <v:imagedata o:title=""/>
              <o:lock v:ext="edit" aspectratio="f"/>
              <v:textbox inset="0mm,0mm,0mm,0mm">
                <w:txbxContent>
                  <w:p w14:paraId="2439D59C">
                    <w:pPr>
                      <w:spacing w:line="184" w:lineRule="exact"/>
                      <w:ind w:left="20"/>
                      <w:rPr>
                        <w:rFonts w:ascii="Arial" w:hAnsi="Arial" w:eastAsia="Arial" w:cs="Arial"/>
                        <w:sz w:val="16"/>
                        <w:szCs w:val="16"/>
                      </w:rPr>
                    </w:pPr>
                    <w:r>
                      <w:rPr>
                        <w:rFonts w:ascii="Arial"/>
                        <w:sz w:val="16"/>
                      </w:rPr>
                      <w:t>https://</w:t>
                    </w:r>
                    <w:r>
                      <w:fldChar w:fldCharType="begin"/>
                    </w:r>
                    <w:r>
                      <w:instrText xml:space="preserve"> HYPERLINK "http://www.fda.gov/ICECI/ComplianceManuals/CompliancePolicyGuidanceManual/ucm123824.htm" \h </w:instrText>
                    </w:r>
                    <w:r>
                      <w:fldChar w:fldCharType="separate"/>
                    </w:r>
                    <w:r>
                      <w:rPr>
                        <w:rFonts w:ascii="Arial"/>
                        <w:sz w:val="16"/>
                      </w:rPr>
                      <w:t>www.fda.gov/ICECI/ComplianceManuals/CompliancePolicyGuidanceManual/ucm123824.htm</w:t>
                    </w:r>
                    <w:r>
                      <w:rPr>
                        <w:rFonts w:ascii="Arial"/>
                        <w:sz w:val="16"/>
                      </w:rPr>
                      <w:fldChar w:fldCharType="end"/>
                    </w:r>
                  </w:p>
                </w:txbxContent>
              </v:textbox>
            </v:shape>
          </w:pict>
        </mc:Fallback>
      </mc:AlternateContent>
    </w:r>
    <w:r>
      <w:rPr>
        <w:lang w:val="en-US" w:eastAsia="zh-CN"/>
      </w:rPr>
      <mc:AlternateContent>
        <mc:Choice Requires="wps">
          <w:drawing>
            <wp:anchor distT="0" distB="0" distL="114300" distR="114300" simplePos="0" relativeHeight="251659264"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4576"/>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wps:spPr>
                    <wps:txbx>
                      <w:txbxContent>
                        <w:p w14:paraId="064E93D6">
                          <w:pPr>
                            <w:spacing w:line="184" w:lineRule="exact"/>
                            <w:ind w:left="40"/>
                            <w:rPr>
                              <w:rFonts w:ascii="Arial" w:hAnsi="Arial" w:eastAsia="Arial" w:cs="Arial"/>
                              <w:sz w:val="16"/>
                              <w:szCs w:val="16"/>
                            </w:rPr>
                          </w:pPr>
                          <w:r>
                            <w:fldChar w:fldCharType="begin"/>
                          </w:r>
                          <w:r>
                            <w:rPr>
                              <w:rFonts w:ascii="Arial"/>
                              <w:sz w:val="16"/>
                            </w:rPr>
                            <w:instrText xml:space="preserve"> PAGE </w:instrText>
                          </w:r>
                          <w:r>
                            <w:fldChar w:fldCharType="separate"/>
                          </w:r>
                          <w:r>
                            <w:rPr>
                              <w:rFonts w:ascii="Arial"/>
                              <w:sz w:val="16"/>
                            </w:rPr>
                            <w:t>2</w:t>
                          </w:r>
                          <w:r>
                            <w:fldChar w:fldCharType="end"/>
                          </w:r>
                          <w:r>
                            <w:rPr>
                              <w:rFonts w:ascii="Arial"/>
                              <w:sz w:val="16"/>
                            </w:rPr>
                            <w:t>/2</w:t>
                          </w:r>
                        </w:p>
                      </w:txbxContent>
                    </wps:txbx>
                    <wps:bodyPr rot="0" vert="horz" wrap="square" lIns="0" tIns="0" rIns="0" bIns="0" anchor="t" anchorCtr="0" upright="1">
                      <a:noAutofit/>
                    </wps:bodyPr>
                  </wps:wsp>
                </a:graphicData>
              </a:graphic>
            </wp:anchor>
          </w:drawing>
        </mc:Choice>
        <mc:Fallback>
          <w:pict>
            <v:shape id="4576" o:spid="_x0000_s1026" o:spt="202" type="#_x0000_t202" style="position:absolute;left:0pt;margin-left:557pt;margin-top:816.5pt;height:10pt;width:13.45pt;mso-position-horizontal-relative:page;mso-position-vertical-relative:page;z-index:-251657216;mso-width-relative:page;mso-height-relative:page;" filled="f" stroked="f" coordsize="21600,21600" o:gfxdata="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CQXGzYAAAADwEAAA8AAAAAAAAAAQAgAAAAIgAAAGRycy9kb3ducmV2Lnht&#10;bFBLAQIUABQAAAAIAIdO4kCP8Wpj+QEAAP0DAAAOAAAAAAAAAAEAIAAAACcBAABkcnMvZTJvRG9j&#10;LnhtbFBLBQYAAAAABgAGAFkBAACSBQAAAAA=&#10;">
              <v:fill on="f" focussize="0,0"/>
              <v:stroke on="f"/>
              <v:imagedata o:title=""/>
              <o:lock v:ext="edit" aspectratio="f"/>
              <v:textbox inset="0mm,0mm,0mm,0mm">
                <w:txbxContent>
                  <w:p w14:paraId="064E93D6">
                    <w:pPr>
                      <w:spacing w:line="184" w:lineRule="exact"/>
                      <w:ind w:left="40"/>
                      <w:rPr>
                        <w:rFonts w:ascii="Arial" w:hAnsi="Arial" w:eastAsia="Arial" w:cs="Arial"/>
                        <w:sz w:val="16"/>
                        <w:szCs w:val="16"/>
                      </w:rPr>
                    </w:pPr>
                    <w:r>
                      <w:fldChar w:fldCharType="begin"/>
                    </w:r>
                    <w:r>
                      <w:rPr>
                        <w:rFonts w:ascii="Arial"/>
                        <w:sz w:val="16"/>
                      </w:rPr>
                      <w:instrText xml:space="preserve"> PAGE </w:instrText>
                    </w:r>
                    <w:r>
                      <w:fldChar w:fldCharType="separate"/>
                    </w:r>
                    <w:r>
                      <w:rPr>
                        <w:rFonts w:ascii="Arial"/>
                        <w:sz w:val="16"/>
                      </w:rPr>
                      <w:t>2</w:t>
                    </w:r>
                    <w:r>
                      <w:fldChar w:fldCharType="end"/>
                    </w:r>
                    <w:r>
                      <w:rPr>
                        <w:rFonts w:ascii="Arial"/>
                        <w:sz w:val="16"/>
                      </w:rPr>
                      <w:t>/2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BE3C1">
    <w:pPr>
      <w:tabs>
        <w:tab w:val="left" w:pos="2694"/>
      </w:tabs>
      <w:spacing w:line="184" w:lineRule="exact"/>
      <w:ind w:left="20"/>
      <w:rPr>
        <w:rFonts w:ascii="Arial" w:hAnsi="Arial" w:eastAsia="宋体" w:cs="Arial"/>
        <w:sz w:val="15"/>
        <w:szCs w:val="15"/>
        <w:lang w:eastAsia="zh-CN"/>
      </w:rPr>
    </w:pPr>
    <w:r>
      <w:rPr>
        <w:rFonts w:ascii="Arial" w:hAnsi="Arial" w:eastAsia="宋体" w:cs="Arial"/>
        <w:sz w:val="15"/>
        <w:szCs w:val="15"/>
        <w:lang w:eastAsia="zh-CN"/>
      </w:rPr>
      <w:t>2017年8月10日</w:t>
    </w:r>
    <w:r>
      <w:rPr>
        <w:rFonts w:ascii="Arial" w:hAnsi="Arial" w:eastAsia="宋体" w:cs="Arial"/>
        <w:sz w:val="15"/>
        <w:szCs w:val="15"/>
        <w:lang w:eastAsia="zh-CN"/>
      </w:rPr>
      <w:tab/>
    </w:r>
    <w:r>
      <w:rPr>
        <w:rFonts w:ascii="Arial" w:hAnsi="Arial" w:eastAsia="宋体" w:cs="Arial"/>
        <w:sz w:val="15"/>
        <w:szCs w:val="15"/>
        <w:lang w:eastAsia="zh-CN"/>
      </w:rPr>
      <w:t>合规政策指南&gt;CPG章节 393.200激光(s)作为面部整容、除皱、针灸、耳部刺激等医疗器械。</w:t>
    </w:r>
  </w:p>
  <w:p w14:paraId="58523C31">
    <w:pPr>
      <w:spacing w:line="184" w:lineRule="exact"/>
      <w:ind w:left="20"/>
      <w:rPr>
        <w:rFonts w:ascii="Arial" w:hAnsi="Arial" w:eastAsia="宋体" w:cs="Arial"/>
        <w:sz w:val="15"/>
        <w:szCs w:val="15"/>
        <w:lang w:eastAsia="zh-CN"/>
      </w:rPr>
    </w:pPr>
  </w:p>
  <w:p w14:paraId="2AAECB7F">
    <w:pPr>
      <w:spacing w:line="184" w:lineRule="exact"/>
      <w:ind w:left="20"/>
      <w:rPr>
        <w:rFonts w:ascii="Arial" w:hAnsi="Arial" w:eastAsia="宋体" w:cs="Arial"/>
        <w:sz w:val="15"/>
        <w:szCs w:val="15"/>
        <w:lang w:eastAsia="zh-CN"/>
      </w:rPr>
    </w:pPr>
  </w:p>
  <w:p w14:paraId="3A9C41D7">
    <w:pPr>
      <w:spacing w:line="184" w:lineRule="exact"/>
      <w:ind w:left="20"/>
      <w:rPr>
        <w:rFonts w:ascii="Arial" w:hAnsi="Arial" w:eastAsia="宋体" w:cs="Arial"/>
        <w:sz w:val="15"/>
        <w:szCs w:val="15"/>
        <w:lang w:eastAsia="zh-CN"/>
      </w:rPr>
    </w:pPr>
  </w:p>
  <w:p w14:paraId="3BD5555F">
    <w:pPr>
      <w:spacing w:line="14" w:lineRule="auto"/>
      <w:rPr>
        <w:rFonts w:ascii="Arial" w:hAnsi="Arial" w:eastAsia="宋体" w:cs="Arial"/>
        <w:sz w:val="15"/>
        <w:szCs w:val="15"/>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17"/>
    <w:rsid w:val="000E202C"/>
    <w:rsid w:val="0010371D"/>
    <w:rsid w:val="00132002"/>
    <w:rsid w:val="001C3610"/>
    <w:rsid w:val="001D0911"/>
    <w:rsid w:val="002C3F2E"/>
    <w:rsid w:val="002F730F"/>
    <w:rsid w:val="00423FF1"/>
    <w:rsid w:val="00480BF3"/>
    <w:rsid w:val="004D1E58"/>
    <w:rsid w:val="005D71F3"/>
    <w:rsid w:val="005E6240"/>
    <w:rsid w:val="007A6EFB"/>
    <w:rsid w:val="007E0717"/>
    <w:rsid w:val="007E3D97"/>
    <w:rsid w:val="008B2BE0"/>
    <w:rsid w:val="00974FA7"/>
    <w:rsid w:val="00A07420"/>
    <w:rsid w:val="00BD7628"/>
    <w:rsid w:val="00BE6474"/>
    <w:rsid w:val="00D30FAB"/>
    <w:rsid w:val="00DE210B"/>
    <w:rsid w:val="00ED68B1"/>
    <w:rsid w:val="00F534C7"/>
    <w:rsid w:val="00FF5B8E"/>
    <w:rsid w:val="3C29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de-DE"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986</Words>
  <Characters>1594</Characters>
  <Lines>17</Lines>
  <Paragraphs>5</Paragraphs>
  <TotalTime>0</TotalTime>
  <ScaleCrop>false</ScaleCrop>
  <LinksUpToDate>false</LinksUpToDate>
  <CharactersWithSpaces>1628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2017-11-10T00:40:00Z</dcterms:created>
  <dc:creator>wenrongzhen</dc:creator>
  <cp:lastModifiedBy>太极箫客</cp:lastModifiedBy>
  <dcterms:modified xsi:type="dcterms:W3CDTF">2025-08-14T06:16:20Z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14D7B29A2F3046BBAF9E936FB5A5FABA_12</vt:lpwstr>
  </property>
</Properties>
</file>