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0E0DE">
      <w:pPr>
        <w:snapToGrid w:val="0"/>
        <w:spacing w:after="120" w:afterLines="50" w:line="300" w:lineRule="auto"/>
        <w:jc w:val="both"/>
        <w:rPr>
          <w:rFonts w:hint="eastAsia" w:eastAsiaTheme="minorEastAsia"/>
          <w:sz w:val="19"/>
          <w:szCs w:val="19"/>
          <w:lang w:eastAsia="zh-CN"/>
        </w:rPr>
      </w:pPr>
      <w:bookmarkStart w:id="1" w:name="_GoBack"/>
      <w:bookmarkEnd w:id="1"/>
    </w:p>
    <w:p w14:paraId="750E39CC">
      <w:pPr>
        <w:snapToGrid w:val="0"/>
        <w:spacing w:after="120" w:afterLines="50" w:line="300" w:lineRule="auto"/>
        <w:jc w:val="both"/>
        <w:rPr>
          <w:rFonts w:hint="eastAsia" w:eastAsiaTheme="minorEastAsia"/>
          <w:sz w:val="19"/>
          <w:szCs w:val="19"/>
          <w:lang w:eastAsia="zh-CN"/>
        </w:rPr>
      </w:pPr>
    </w:p>
    <w:p w14:paraId="6909D56C">
      <w:pPr>
        <w:snapToGrid w:val="0"/>
        <w:spacing w:after="120" w:afterLines="50" w:line="300" w:lineRule="auto"/>
        <w:jc w:val="both"/>
        <w:rPr>
          <w:rFonts w:hint="eastAsia" w:eastAsiaTheme="minorEastAsia"/>
          <w:sz w:val="19"/>
          <w:szCs w:val="19"/>
          <w:lang w:eastAsia="zh-CN"/>
        </w:rPr>
      </w:pPr>
    </w:p>
    <w:p w14:paraId="6271C039">
      <w:pPr>
        <w:snapToGrid w:val="0"/>
        <w:spacing w:after="120" w:afterLines="50" w:line="300" w:lineRule="auto"/>
        <w:jc w:val="both"/>
        <w:rPr>
          <w:rFonts w:hint="eastAsia" w:eastAsiaTheme="minorEastAsia"/>
          <w:sz w:val="19"/>
          <w:szCs w:val="19"/>
          <w:lang w:eastAsia="zh-CN"/>
        </w:rPr>
      </w:pPr>
    </w:p>
    <w:p w14:paraId="102DDD68">
      <w:pPr>
        <w:pStyle w:val="12"/>
        <w:keepNext/>
        <w:keepLines/>
        <w:shd w:val="clear" w:color="auto" w:fill="auto"/>
        <w:snapToGrid w:val="0"/>
        <w:spacing w:after="120" w:afterLines="50" w:line="300" w:lineRule="auto"/>
        <w:jc w:val="both"/>
        <w:rPr>
          <w:lang w:eastAsia="zh-CN"/>
        </w:rPr>
      </w:pPr>
      <w:bookmarkStart w:id="0" w:name="bookmark0"/>
      <w:r>
        <w:rPr>
          <w:lang w:eastAsia="zh-CN"/>
        </w:rPr>
        <w:t>CPG章节 390.225 早期</w:t>
      </w:r>
      <w:r>
        <w:rPr>
          <w:rFonts w:hint="eastAsia" w:ascii="宋体" w:hAnsi="宋体" w:eastAsia="宋体" w:cs="宋体"/>
          <w:lang w:eastAsia="zh-CN"/>
        </w:rPr>
        <w:t>不合格</w:t>
      </w:r>
      <w:r>
        <w:rPr>
          <w:lang w:eastAsia="zh-CN"/>
        </w:rPr>
        <w:t>或不合规 - 21 CFR 1004.6</w:t>
      </w:r>
      <w:bookmarkEnd w:id="0"/>
    </w:p>
    <w:p w14:paraId="31EA0808">
      <w:pPr>
        <w:pStyle w:val="17"/>
        <w:shd w:val="clear" w:color="auto" w:fill="auto"/>
        <w:snapToGrid w:val="0"/>
        <w:spacing w:before="0" w:after="240" w:afterLines="100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背景：</w:t>
      </w:r>
    </w:p>
    <w:p w14:paraId="0BFC00CA">
      <w:pPr>
        <w:pStyle w:val="17"/>
        <w:shd w:val="clear" w:color="auto" w:fill="auto"/>
        <w:snapToGrid w:val="0"/>
        <w:spacing w:before="0" w:after="240" w:afterLines="100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如果制造商（或X射线设备组装商）发现产品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不合格</w:t>
      </w:r>
      <w:r>
        <w:rPr>
          <w:sz w:val="28"/>
          <w:szCs w:val="28"/>
          <w:lang w:eastAsia="zh-CN"/>
        </w:rPr>
        <w:t>或不符合联邦标准，其可能希望在向FDA发出通知的同时开始维修，以便将停机时间降至最低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sz w:val="28"/>
          <w:szCs w:val="28"/>
          <w:lang w:eastAsia="zh-CN"/>
        </w:rPr>
        <w:t>第1003部分要求FDA（和其他）通报辐射安全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不合格</w:t>
      </w:r>
      <w:r>
        <w:rPr>
          <w:sz w:val="28"/>
          <w:szCs w:val="28"/>
          <w:lang w:eastAsia="zh-CN"/>
        </w:rPr>
        <w:t>或不符合性能标准，而第1004部分要求制造商必须维修、更换或退还有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不合格</w:t>
      </w:r>
      <w:r>
        <w:rPr>
          <w:sz w:val="28"/>
          <w:szCs w:val="28"/>
          <w:lang w:eastAsia="zh-CN"/>
        </w:rPr>
        <w:t>或不合格产品的购买价格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sz w:val="28"/>
          <w:szCs w:val="28"/>
          <w:lang w:eastAsia="zh-CN"/>
        </w:rPr>
        <w:t>产品的调整必须按照FDA批准的计划执行</w:t>
      </w:r>
      <w:r>
        <w:rPr>
          <w:rFonts w:hint="eastAsia" w:eastAsiaTheme="minorEastAsia"/>
          <w:sz w:val="28"/>
          <w:szCs w:val="28"/>
          <w:lang w:eastAsia="zh-CN"/>
        </w:rPr>
        <w:t>（</w:t>
      </w:r>
      <w:r>
        <w:rPr>
          <w:sz w:val="28"/>
          <w:szCs w:val="28"/>
          <w:lang w:eastAsia="zh-CN"/>
        </w:rPr>
        <w:t>21 CFR 1004.6</w:t>
      </w:r>
    </w:p>
    <w:p w14:paraId="6A343C22">
      <w:pPr>
        <w:pStyle w:val="17"/>
        <w:shd w:val="clear" w:color="auto" w:fill="auto"/>
        <w:snapToGrid w:val="0"/>
        <w:spacing w:before="0" w:after="240" w:afterLines="100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政策</w:t>
      </w:r>
    </w:p>
    <w:p w14:paraId="6CADF168">
      <w:pPr>
        <w:pStyle w:val="17"/>
        <w:shd w:val="clear" w:color="auto" w:fill="auto"/>
        <w:snapToGrid w:val="0"/>
        <w:spacing w:before="0" w:after="240" w:afterLines="100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*联邦食品、药品和化妆品法第C分章 - 电子产品辐射控制*及规定并不排除购买者在计划批准之前通知和纠正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不合格</w:t>
      </w:r>
      <w:r>
        <w:rPr>
          <w:sz w:val="28"/>
          <w:szCs w:val="28"/>
          <w:lang w:eastAsia="zh-CN"/>
        </w:rPr>
        <w:t>或不合规情况；然而，这样的纠正措施仍然需要经过FDA批准的计划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sz w:val="28"/>
          <w:szCs w:val="28"/>
          <w:lang w:eastAsia="zh-CN"/>
        </w:rPr>
        <w:t>为避免必须准备和执行第二次纠正措施计划的可能性，制造商或组装商应在发现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不合格</w:t>
      </w:r>
      <w:r>
        <w:rPr>
          <w:sz w:val="28"/>
          <w:szCs w:val="28"/>
          <w:lang w:eastAsia="zh-CN"/>
        </w:rPr>
        <w:t>或不合规后尽早与食品药品监督管理局进行沟通。</w:t>
      </w:r>
    </w:p>
    <w:p w14:paraId="2AFE7607">
      <w:pPr>
        <w:pStyle w:val="17"/>
        <w:shd w:val="clear" w:color="auto" w:fill="auto"/>
        <w:snapToGrid w:val="0"/>
        <w:spacing w:before="0" w:after="240" w:afterLines="100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*星号之间的材料是新材料或改进材料*</w:t>
      </w:r>
    </w:p>
    <w:p w14:paraId="23DE3A1C">
      <w:pPr>
        <w:pStyle w:val="17"/>
        <w:shd w:val="clear" w:color="auto" w:fill="auto"/>
        <w:snapToGrid w:val="0"/>
        <w:spacing w:before="0" w:after="120" w:afterLines="50" w:line="300" w:lineRule="auto"/>
        <w:jc w:val="both"/>
        <w:rPr>
          <w:rFonts w:eastAsiaTheme="minor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发布日期：1980年10月1日 </w:t>
      </w:r>
    </w:p>
    <w:p w14:paraId="225DD898">
      <w:pPr>
        <w:pStyle w:val="17"/>
        <w:shd w:val="clear" w:color="auto" w:fill="auto"/>
        <w:snapToGrid w:val="0"/>
        <w:spacing w:before="0" w:after="120" w:afterLines="50" w:line="300" w:lineRule="auto"/>
        <w:jc w:val="both"/>
        <w:rPr>
          <w:rFonts w:eastAsiaTheme="minor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修订日期：1995年3月</w:t>
      </w:r>
    </w:p>
    <w:tbl>
      <w:tblPr>
        <w:tblStyle w:val="19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6"/>
      </w:tblGrid>
      <w:tr w14:paraId="0B30D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  <w:vAlign w:val="center"/>
          </w:tcPr>
          <w:p w14:paraId="6BB7D50F">
            <w:pPr>
              <w:pStyle w:val="20"/>
              <w:overflowPunct w:val="0"/>
              <w:snapToGrid w:val="0"/>
              <w:spacing w:after="120" w:afterLines="50" w:line="300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t>合规政策指南的更多信息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t>(/ICECI/Compliance Manuals/Compliance PolicyGuidance Manual/default.htm)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fldChar w:fldCharType="end"/>
            </w:r>
          </w:p>
        </w:tc>
      </w:tr>
      <w:tr w14:paraId="64183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3A10897">
            <w:pPr>
              <w:pStyle w:val="20"/>
              <w:overflowPunct w:val="0"/>
              <w:snapToGrid w:val="0"/>
              <w:spacing w:after="120" w:afterLines="50" w:line="300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前言：合规政策指南（CPG）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Manual/ucm116271.htm)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D15E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71AFCD32">
            <w:pPr>
              <w:pStyle w:val="20"/>
              <w:overflowPunct w:val="0"/>
              <w:snapToGrid w:val="0"/>
              <w:spacing w:after="120" w:afterLines="50" w:line="300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第一章-通则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Manual/ucm116280.htm)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6427C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424E5566">
            <w:pPr>
              <w:pStyle w:val="20"/>
              <w:overflowPunct w:val="0"/>
              <w:snapToGrid w:val="0"/>
              <w:spacing w:after="120" w:afterLines="50" w:line="300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第二章-生物制剂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Manual/ucm116336.htm)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DEC9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79365E76">
            <w:pPr>
              <w:pStyle w:val="20"/>
              <w:overflowPunct w:val="0"/>
              <w:snapToGrid w:val="0"/>
              <w:spacing w:after="120" w:afterLines="50" w:line="300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第三章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  <w:lang w:val="en-US"/>
              </w:rPr>
              <w:t>-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器械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  <w:lang w:val="en-US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  <w:lang w:val="en-US"/>
              </w:rPr>
              <w:t>(/ICECI/Compliance Manuals/Compliance PolicyGuidance Manual/ucm116801.htm)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  <w:lang w:val="en-US"/>
              </w:rPr>
              <w:fldChar w:fldCharType="end"/>
            </w:r>
          </w:p>
        </w:tc>
      </w:tr>
      <w:tr w14:paraId="51ACC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B5398F8">
            <w:pPr>
              <w:pStyle w:val="20"/>
              <w:overflowPunct w:val="0"/>
              <w:snapToGrid w:val="0"/>
              <w:spacing w:after="120" w:afterLines="50" w:line="300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第四章-人用药品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Manual/ucm119572.htm)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2A9C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09D83EB4">
            <w:pPr>
              <w:pStyle w:val="20"/>
              <w:overflowPunct w:val="0"/>
              <w:snapToGrid w:val="0"/>
              <w:spacing w:after="120" w:afterLines="50" w:line="300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第五章-食品、颜料和化妆品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Manual/ucm119194.htm)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1670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0256042F">
            <w:pPr>
              <w:overflowPunct w:val="0"/>
              <w:snapToGrid w:val="0"/>
              <w:spacing w:after="120" w:afterLines="50" w:line="300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  <w:lang w:bidi="ar-SA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  <w:lang w:bidi="ar-SA"/>
              </w:rPr>
              <w:t>第六章-兽医医学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  <w:lang w:bidi="ar-SA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  <w:lang w:bidi="ar-SA"/>
              </w:rPr>
              <w:t>(/ICECI/Compliance Manuals/Compliance PolicyGuidance Manual/ucm117042.htm)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  <w:lang w:bidi="ar-SA"/>
              </w:rPr>
              <w:fldChar w:fldCharType="end"/>
            </w:r>
          </w:p>
        </w:tc>
      </w:tr>
    </w:tbl>
    <w:p w14:paraId="6DCF3F53">
      <w:pPr>
        <w:pStyle w:val="10"/>
        <w:shd w:val="clear" w:color="auto" w:fill="auto"/>
        <w:snapToGrid w:val="0"/>
        <w:spacing w:before="0" w:after="120" w:afterLines="50" w:line="300" w:lineRule="auto"/>
        <w:jc w:val="both"/>
      </w:pPr>
    </w:p>
    <w:p w14:paraId="3BA52FD2">
      <w:pPr>
        <w:snapToGrid w:val="0"/>
        <w:spacing w:after="120" w:afterLines="50" w:line="300" w:lineRule="auto"/>
        <w:jc w:val="both"/>
        <w:rPr>
          <w:rFonts w:hint="eastAsia" w:eastAsia="宋体"/>
          <w:lang w:eastAsia="zh-CN"/>
        </w:rPr>
      </w:pPr>
    </w:p>
    <w:p w14:paraId="6517A7E9">
      <w:pPr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</w:p>
    <w:p w14:paraId="70A89DDB">
      <w:pPr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type w:val="continuous"/>
      <w:pgSz w:w="11900" w:h="16840"/>
      <w:pgMar w:top="567" w:right="567" w:bottom="567" w:left="567" w:header="283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roman"/>
    <w:pitch w:val="default"/>
    <w:sig w:usb0="800002A7" w:usb1="28CF4400" w:usb2="00000016" w:usb3="00000000" w:csb0="00100009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5E397">
    <w:pPr>
      <w:pStyle w:val="14"/>
      <w:shd w:val="clear" w:color="auto" w:fill="auto"/>
      <w:tabs>
        <w:tab w:val="right" w:pos="10773"/>
      </w:tabs>
      <w:spacing w:line="240" w:lineRule="auto"/>
      <w:rPr>
        <w:rFonts w:eastAsiaTheme="minorEastAsia"/>
        <w:sz w:val="15"/>
        <w:szCs w:val="15"/>
        <w:lang w:eastAsia="zh-CN"/>
      </w:rPr>
    </w:pPr>
    <w:r>
      <w:rPr>
        <w:rStyle w:val="15"/>
        <w:b w:val="0"/>
        <w:bCs/>
        <w:sz w:val="15"/>
        <w:szCs w:val="15"/>
      </w:rPr>
      <w:t>https://www.fda.gov/ICECI/ComplianceManuals/CompliancePolicyGuidanceManual/ucm073912.htm</w:t>
    </w:r>
    <w:r>
      <w:rPr>
        <w:rStyle w:val="15"/>
        <w:b w:val="0"/>
        <w:bCs/>
        <w:sz w:val="15"/>
        <w:szCs w:val="15"/>
      </w:rPr>
      <w:tab/>
    </w:r>
    <w:r>
      <w:fldChar w:fldCharType="begin"/>
    </w:r>
    <w:r>
      <w:rPr>
        <w:sz w:val="15"/>
        <w:szCs w:val="15"/>
      </w:rPr>
      <w:instrText xml:space="preserve"> PAGE \* MERGEFORMAT </w:instrText>
    </w:r>
    <w:r>
      <w:fldChar w:fldCharType="separate"/>
    </w:r>
    <w:r>
      <w:rPr>
        <w:rStyle w:val="15"/>
        <w:b w:val="0"/>
        <w:bCs/>
        <w:sz w:val="15"/>
        <w:szCs w:val="15"/>
      </w:rPr>
      <w:t>2</w:t>
    </w:r>
    <w:r>
      <w:rPr>
        <w:rStyle w:val="15"/>
        <w:b w:val="0"/>
        <w:bCs/>
        <w:sz w:val="15"/>
        <w:szCs w:val="15"/>
      </w:rPr>
      <w:fldChar w:fldCharType="end"/>
    </w:r>
    <w:r>
      <w:rPr>
        <w:rStyle w:val="15"/>
        <w:b w:val="0"/>
        <w:bCs/>
        <w:sz w:val="15"/>
        <w:szCs w:val="15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95ED1">
    <w:pPr>
      <w:pStyle w:val="14"/>
      <w:shd w:val="clear" w:color="auto" w:fill="auto"/>
      <w:tabs>
        <w:tab w:val="left" w:pos="3119"/>
        <w:tab w:val="right" w:pos="9072"/>
      </w:tabs>
      <w:spacing w:line="240" w:lineRule="auto"/>
      <w:rPr>
        <w:rFonts w:eastAsia="宋体"/>
        <w:sz w:val="15"/>
        <w:szCs w:val="15"/>
        <w:lang w:eastAsia="zh-CN"/>
      </w:rPr>
    </w:pPr>
    <w:r>
      <w:rPr>
        <w:rStyle w:val="15"/>
        <w:rFonts w:eastAsia="宋体"/>
        <w:b w:val="0"/>
        <w:bCs/>
        <w:sz w:val="15"/>
        <w:szCs w:val="15"/>
        <w:lang w:eastAsia="zh-CN"/>
      </w:rPr>
      <w:t>2017年8月9日</w:t>
    </w:r>
    <w:r>
      <w:rPr>
        <w:rStyle w:val="15"/>
        <w:rFonts w:eastAsia="宋体"/>
        <w:b w:val="0"/>
        <w:bCs/>
        <w:sz w:val="15"/>
        <w:szCs w:val="15"/>
        <w:lang w:eastAsia="zh-CN"/>
      </w:rPr>
      <w:tab/>
    </w:r>
    <w:r>
      <w:rPr>
        <w:rStyle w:val="15"/>
        <w:rFonts w:eastAsia="宋体"/>
        <w:b w:val="0"/>
        <w:bCs/>
        <w:sz w:val="15"/>
        <w:szCs w:val="15"/>
        <w:lang w:eastAsia="zh-CN"/>
      </w:rPr>
      <w:t>合规政策指南&gt;CPG章节 390.225 早期缺陷或不合规 - 21 CFR 1004.6</w:t>
    </w:r>
  </w:p>
  <w:p w14:paraId="62AB62F7">
    <w:pPr>
      <w:rPr>
        <w:rFonts w:ascii="Arial" w:hAnsi="Arial" w:eastAsia="宋体" w:cs="Arial"/>
        <w:sz w:val="15"/>
        <w:szCs w:val="15"/>
        <w:lang w:eastAsia="zh-CN"/>
      </w:rPr>
    </w:pPr>
  </w:p>
  <w:p w14:paraId="44D374BC">
    <w:pPr>
      <w:rPr>
        <w:rFonts w:ascii="Arial" w:hAnsi="Arial" w:eastAsia="宋体" w:cs="Arial"/>
        <w:sz w:val="15"/>
        <w:szCs w:val="15"/>
        <w:lang w:eastAsia="zh-CN"/>
      </w:rPr>
    </w:pPr>
  </w:p>
  <w:p w14:paraId="1AA5D672">
    <w:pPr>
      <w:rPr>
        <w:rFonts w:ascii="Arial" w:hAnsi="Arial" w:eastAsia="宋体" w:cs="Arial"/>
        <w:sz w:val="15"/>
        <w:szCs w:val="15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2"/>
    <w:rsid w:val="0004684E"/>
    <w:rsid w:val="0052651A"/>
    <w:rsid w:val="005677CF"/>
    <w:rsid w:val="005B6C7D"/>
    <w:rsid w:val="006820A8"/>
    <w:rsid w:val="006A7DB2"/>
    <w:rsid w:val="00713A92"/>
    <w:rsid w:val="008F4EE5"/>
    <w:rsid w:val="00940FD2"/>
    <w:rsid w:val="00B32FC4"/>
    <w:rsid w:val="00C70A47"/>
    <w:rsid w:val="00D36357"/>
    <w:rsid w:val="00D752A3"/>
    <w:rsid w:val="00F1517D"/>
    <w:rsid w:val="7C2B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JhengHei Light" w:hAnsi="Microsoft JhengHei Light" w:eastAsiaTheme="minorEastAsia" w:cs="Microsoft JhengHei Light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de-DE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66CC"/>
      <w:u w:val="single"/>
    </w:rPr>
  </w:style>
  <w:style w:type="character" w:customStyle="1" w:styleId="7">
    <w:name w:val="正文文本 (3) Exact"/>
    <w:basedOn w:val="5"/>
    <w:uiPriority w:val="0"/>
    <w:rPr>
      <w:rFonts w:ascii="Arial" w:hAnsi="Arial" w:eastAsia="Arial" w:cs="Arial"/>
      <w:b/>
      <w:bCs/>
      <w:sz w:val="22"/>
      <w:szCs w:val="22"/>
      <w:u w:val="none"/>
    </w:rPr>
  </w:style>
  <w:style w:type="character" w:customStyle="1" w:styleId="8">
    <w:name w:val="正文文本 (3) Exact1"/>
    <w:basedOn w:val="9"/>
    <w:uiPriority w:val="0"/>
    <w:rPr>
      <w:rFonts w:ascii="Arial" w:hAnsi="Arial" w:eastAsia="Arial" w:cs="Arial"/>
      <w:sz w:val="22"/>
      <w:szCs w:val="22"/>
      <w:u w:val="single"/>
    </w:rPr>
  </w:style>
  <w:style w:type="character" w:customStyle="1" w:styleId="9">
    <w:name w:val="正文文本 (3)_"/>
    <w:basedOn w:val="5"/>
    <w:link w:val="10"/>
    <w:uiPriority w:val="0"/>
    <w:rPr>
      <w:rFonts w:ascii="Arial" w:hAnsi="Arial" w:eastAsia="Arial" w:cs="Arial"/>
      <w:b/>
      <w:bCs/>
      <w:sz w:val="22"/>
      <w:szCs w:val="22"/>
      <w:u w:val="none"/>
    </w:rPr>
  </w:style>
  <w:style w:type="paragraph" w:customStyle="1" w:styleId="10">
    <w:name w:val="正文文本 (3)1"/>
    <w:basedOn w:val="1"/>
    <w:link w:val="9"/>
    <w:uiPriority w:val="0"/>
    <w:pPr>
      <w:shd w:val="clear" w:color="auto" w:fill="FFFFFF"/>
      <w:spacing w:before="360" w:after="60" w:line="0" w:lineRule="atLeast"/>
    </w:pPr>
    <w:rPr>
      <w:rFonts w:ascii="Arial" w:hAnsi="Arial" w:eastAsia="Arial" w:cs="Arial"/>
      <w:b/>
      <w:bCs/>
      <w:sz w:val="22"/>
      <w:szCs w:val="22"/>
    </w:rPr>
  </w:style>
  <w:style w:type="character" w:customStyle="1" w:styleId="11">
    <w:name w:val="标题 #1_"/>
    <w:basedOn w:val="5"/>
    <w:link w:val="12"/>
    <w:uiPriority w:val="0"/>
    <w:rPr>
      <w:rFonts w:ascii="Arial" w:hAnsi="Arial" w:eastAsia="Arial" w:cs="Arial"/>
      <w:b/>
      <w:bCs/>
      <w:spacing w:val="-10"/>
      <w:sz w:val="62"/>
      <w:szCs w:val="62"/>
      <w:u w:val="none"/>
    </w:rPr>
  </w:style>
  <w:style w:type="paragraph" w:customStyle="1" w:styleId="12">
    <w:name w:val="标题 #1"/>
    <w:basedOn w:val="1"/>
    <w:link w:val="11"/>
    <w:uiPriority w:val="0"/>
    <w:pPr>
      <w:shd w:val="clear" w:color="auto" w:fill="FFFFFF"/>
      <w:spacing w:after="60" w:line="643" w:lineRule="exact"/>
      <w:outlineLvl w:val="0"/>
    </w:pPr>
    <w:rPr>
      <w:rFonts w:ascii="Arial" w:hAnsi="Arial" w:eastAsia="Arial" w:cs="Arial"/>
      <w:b/>
      <w:bCs/>
      <w:spacing w:val="-10"/>
      <w:sz w:val="62"/>
      <w:szCs w:val="62"/>
    </w:rPr>
  </w:style>
  <w:style w:type="character" w:customStyle="1" w:styleId="13">
    <w:name w:val="页眉或页脚_"/>
    <w:basedOn w:val="5"/>
    <w:link w:val="14"/>
    <w:qFormat/>
    <w:uiPriority w:val="0"/>
    <w:rPr>
      <w:rFonts w:ascii="Arial" w:hAnsi="Arial" w:eastAsia="Arial" w:cs="Arial"/>
      <w:b/>
      <w:bCs/>
      <w:spacing w:val="0"/>
      <w:sz w:val="14"/>
      <w:szCs w:val="14"/>
      <w:u w:val="none"/>
    </w:rPr>
  </w:style>
  <w:style w:type="paragraph" w:customStyle="1" w:styleId="14">
    <w:name w:val="页眉或页脚1"/>
    <w:basedOn w:val="1"/>
    <w:link w:val="13"/>
    <w:uiPriority w:val="0"/>
    <w:pPr>
      <w:shd w:val="clear" w:color="auto" w:fill="FFFFFF"/>
      <w:spacing w:line="0" w:lineRule="atLeast"/>
    </w:pPr>
    <w:rPr>
      <w:rFonts w:ascii="Arial" w:hAnsi="Arial" w:eastAsia="Arial" w:cs="Arial"/>
      <w:b/>
      <w:bCs/>
      <w:sz w:val="14"/>
      <w:szCs w:val="14"/>
    </w:rPr>
  </w:style>
  <w:style w:type="character" w:customStyle="1" w:styleId="15">
    <w:name w:val="页眉或页脚"/>
    <w:basedOn w:val="13"/>
    <w:uiPriority w:val="0"/>
    <w:rPr>
      <w:rFonts w:ascii="Arial" w:hAnsi="Arial" w:eastAsia="Arial" w:cs="Arial"/>
      <w:color w:val="000000"/>
      <w:spacing w:val="0"/>
      <w:w w:val="100"/>
      <w:position w:val="0"/>
      <w:sz w:val="14"/>
      <w:szCs w:val="14"/>
      <w:u w:val="none"/>
      <w:lang w:val="de-DE" w:eastAsia="en-US" w:bidi="en-US"/>
    </w:rPr>
  </w:style>
  <w:style w:type="character" w:customStyle="1" w:styleId="16">
    <w:name w:val="正文文本 (2)_"/>
    <w:basedOn w:val="5"/>
    <w:link w:val="17"/>
    <w:qFormat/>
    <w:uiPriority w:val="0"/>
    <w:rPr>
      <w:rFonts w:ascii="Arial" w:hAnsi="Arial" w:eastAsia="Arial" w:cs="Arial"/>
      <w:spacing w:val="0"/>
      <w:u w:val="none"/>
    </w:rPr>
  </w:style>
  <w:style w:type="paragraph" w:customStyle="1" w:styleId="17">
    <w:name w:val="正文文本 (2)"/>
    <w:basedOn w:val="1"/>
    <w:link w:val="16"/>
    <w:uiPriority w:val="0"/>
    <w:pPr>
      <w:shd w:val="clear" w:color="auto" w:fill="FFFFFF"/>
      <w:spacing w:before="60" w:after="360" w:line="0" w:lineRule="atLeast"/>
    </w:pPr>
    <w:rPr>
      <w:rFonts w:ascii="Arial" w:hAnsi="Arial" w:eastAsia="Arial" w:cs="Arial"/>
    </w:rPr>
  </w:style>
  <w:style w:type="character" w:customStyle="1" w:styleId="18">
    <w:name w:val="正文文本 (3)"/>
    <w:basedOn w:val="9"/>
    <w:uiPriority w:val="0"/>
    <w:rPr>
      <w:rFonts w:ascii="Arial" w:hAnsi="Arial" w:eastAsia="Arial" w:cs="Arial"/>
      <w:color w:val="000000"/>
      <w:spacing w:val="0"/>
      <w:w w:val="100"/>
      <w:position w:val="0"/>
      <w:sz w:val="22"/>
      <w:szCs w:val="22"/>
      <w:u w:val="single"/>
      <w:lang w:val="de-DE" w:eastAsia="en-US" w:bidi="en-US"/>
    </w:rPr>
  </w:style>
  <w:style w:type="table" w:customStyle="1" w:styleId="19">
    <w:name w:val="Table Normal"/>
    <w:semiHidden/>
    <w:unhideWhenUsed/>
    <w:qFormat/>
    <w:uiPriority w:val="2"/>
    <w:rPr>
      <w:rFonts w:asciiTheme="minorHAnsi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Paragraph"/>
    <w:basedOn w:val="1"/>
    <w:qFormat/>
    <w:uiPriority w:val="1"/>
    <w:rPr>
      <w:rFonts w:asciiTheme="minorHAnsi" w:hAnsiTheme="minorHAnsi" w:eastAsiaTheme="minorEastAsia" w:cstheme="minorBidi"/>
      <w:color w:val="auto"/>
      <w:sz w:val="22"/>
      <w:szCs w:val="22"/>
      <w:lang w:bidi="ar-SA"/>
    </w:rPr>
  </w:style>
  <w:style w:type="character" w:customStyle="1" w:styleId="21">
    <w:name w:val="页眉 Char"/>
    <w:basedOn w:val="5"/>
    <w:link w:val="3"/>
    <w:uiPriority w:val="99"/>
    <w:rPr>
      <w:rFonts w:eastAsia="Microsoft JhengHei Light"/>
      <w:color w:val="000000"/>
      <w:sz w:val="18"/>
      <w:szCs w:val="18"/>
    </w:rPr>
  </w:style>
  <w:style w:type="character" w:customStyle="1" w:styleId="22">
    <w:name w:val="页脚 Char"/>
    <w:basedOn w:val="5"/>
    <w:link w:val="2"/>
    <w:uiPriority w:val="99"/>
    <w:rPr>
      <w:rFonts w:eastAsia="Microsoft JhengHei Light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457</Words>
  <Characters>1038</Characters>
  <Lines>13</Lines>
  <Paragraphs>3</Paragraphs>
  <TotalTime>0</TotalTime>
  <ScaleCrop>false</ScaleCrop>
  <LinksUpToDate>false</LinksUpToDate>
  <CharactersWithSpaces>1073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2017-11-10T00:55:00Z</dcterms:created>
  <dc:creator>wenrongzhen</dc:creator>
  <cp:lastModifiedBy>太极箫客</cp:lastModifiedBy>
  <dcterms:modified xsi:type="dcterms:W3CDTF">2025-08-14T06:16:18Z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9E95E66B3C1246CD8603A02B59BEDB10_12</vt:lpwstr>
  </property>
</Properties>
</file>