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C190">
      <w:pPr>
        <w:overflowPunct w:val="0"/>
        <w:snapToGrid w:val="0"/>
        <w:spacing w:after="240" w:afterLines="100" w:line="300" w:lineRule="auto"/>
        <w:jc w:val="both"/>
        <w:rPr>
          <w:rFonts w:ascii="Arial" w:hAnsi="Arial" w:eastAsia="宋体" w:cs="Arial"/>
          <w:sz w:val="20"/>
          <w:szCs w:val="20"/>
        </w:rPr>
      </w:pPr>
      <w:bookmarkStart w:id="0" w:name="_GoBack"/>
      <w:bookmarkEnd w:id="0"/>
    </w:p>
    <w:p w14:paraId="250E3413">
      <w:pPr>
        <w:overflowPunct w:val="0"/>
        <w:snapToGrid w:val="0"/>
        <w:spacing w:after="240" w:afterLines="100" w:line="300" w:lineRule="auto"/>
        <w:jc w:val="both"/>
        <w:rPr>
          <w:rFonts w:ascii="Arial" w:hAnsi="Arial" w:eastAsia="宋体" w:cs="Arial"/>
          <w:sz w:val="20"/>
          <w:szCs w:val="20"/>
        </w:rPr>
      </w:pPr>
    </w:p>
    <w:p w14:paraId="42C8AE76">
      <w:pPr>
        <w:overflowPunct w:val="0"/>
        <w:snapToGrid w:val="0"/>
        <w:spacing w:after="240" w:afterLines="100" w:line="300" w:lineRule="auto"/>
        <w:jc w:val="both"/>
        <w:rPr>
          <w:rFonts w:ascii="Arial" w:hAnsi="Arial" w:eastAsia="宋体" w:cs="Arial"/>
          <w:sz w:val="20"/>
          <w:szCs w:val="20"/>
        </w:rPr>
      </w:pPr>
    </w:p>
    <w:p w14:paraId="53AF4BC1">
      <w:pPr>
        <w:overflowPunct w:val="0"/>
        <w:snapToGrid w:val="0"/>
        <w:spacing w:after="240" w:afterLines="100" w:line="300" w:lineRule="auto"/>
        <w:jc w:val="both"/>
        <w:rPr>
          <w:rFonts w:ascii="Arial" w:hAnsi="Arial" w:eastAsia="宋体" w:cs="Arial"/>
          <w:sz w:val="20"/>
          <w:szCs w:val="20"/>
        </w:rPr>
      </w:pPr>
    </w:p>
    <w:p w14:paraId="797CF4B4">
      <w:pPr>
        <w:overflowPunct w:val="0"/>
        <w:snapToGrid w:val="0"/>
        <w:spacing w:after="240" w:afterLines="100" w:line="300" w:lineRule="auto"/>
        <w:jc w:val="both"/>
        <w:rPr>
          <w:rFonts w:ascii="Arial" w:hAnsi="Arial" w:eastAsia="宋体" w:cs="Arial"/>
          <w:sz w:val="64"/>
          <w:szCs w:val="64"/>
        </w:rPr>
      </w:pPr>
      <w:r>
        <w:rPr>
          <w:rFonts w:ascii="Arial" w:hAnsi="Arial" w:eastAsia="宋体" w:cs="Arial"/>
          <w:b/>
          <w:sz w:val="64"/>
        </w:rPr>
        <w:t>CPG章节320.100 耳朵穿孔器械</w:t>
      </w:r>
    </w:p>
    <w:p w14:paraId="0B3D5B09">
      <w:pPr>
        <w:pStyle w:val="2"/>
        <w:overflowPunct w:val="0"/>
        <w:snapToGrid w:val="0"/>
        <w:spacing w:after="240" w:afterLines="100" w:line="300" w:lineRule="auto"/>
        <w:ind w:left="0"/>
        <w:jc w:val="both"/>
        <w:rPr>
          <w:rFonts w:cs="Arial"/>
          <w:sz w:val="28"/>
          <w:szCs w:val="28"/>
        </w:rPr>
      </w:pPr>
      <w:r>
        <w:rPr>
          <w:rFonts w:cs="Arial"/>
          <w:sz w:val="28"/>
          <w:szCs w:val="28"/>
        </w:rPr>
        <w:t>背景：</w:t>
      </w:r>
    </w:p>
    <w:p w14:paraId="2C3B1681">
      <w:pPr>
        <w:pStyle w:val="2"/>
        <w:overflowPunct w:val="0"/>
        <w:snapToGrid w:val="0"/>
        <w:spacing w:after="240" w:afterLines="100" w:line="300" w:lineRule="auto"/>
        <w:ind w:left="0"/>
        <w:jc w:val="both"/>
        <w:rPr>
          <w:rFonts w:cs="Arial"/>
          <w:sz w:val="28"/>
          <w:szCs w:val="28"/>
        </w:rPr>
      </w:pPr>
      <w:r>
        <w:rPr>
          <w:rFonts w:cs="Arial"/>
          <w:sz w:val="28"/>
          <w:szCs w:val="28"/>
        </w:rPr>
        <w:t>在过去的几年中，食品药品监督管理局的立场是，预期用于耳朵穿孔的物品是应当限制在符合21 CFR 801.</w:t>
      </w:r>
      <w:r>
        <w:rPr>
          <w:rFonts w:hint="eastAsia" w:cs="Arial"/>
          <w:sz w:val="28"/>
          <w:szCs w:val="28"/>
        </w:rPr>
        <w:t>1</w:t>
      </w:r>
      <w:r>
        <w:rPr>
          <w:rFonts w:cs="Arial"/>
          <w:sz w:val="28"/>
          <w:szCs w:val="28"/>
        </w:rPr>
        <w:t>09规定的处方配制的器械。食品药品监督管理局已尝试对此类器械进行专责性质监管,但这并没有导致该行业的任何广泛遵守。</w:t>
      </w:r>
    </w:p>
    <w:p w14:paraId="6CBC6DDC">
      <w:pPr>
        <w:pStyle w:val="2"/>
        <w:overflowPunct w:val="0"/>
        <w:snapToGrid w:val="0"/>
        <w:spacing w:after="240" w:afterLines="100" w:line="300" w:lineRule="auto"/>
        <w:ind w:left="0"/>
        <w:jc w:val="both"/>
        <w:rPr>
          <w:rFonts w:ascii="宋体" w:hAnsi="宋体" w:cs="Arial"/>
          <w:sz w:val="28"/>
          <w:szCs w:val="28"/>
        </w:rPr>
      </w:pPr>
      <w:r>
        <w:rPr>
          <w:rFonts w:cs="Arial"/>
          <w:sz w:val="28"/>
          <w:szCs w:val="28"/>
        </w:rPr>
        <w:t>问题的部分原因在于，美国各州并没有统一规定耳朵穿孔器械限制在Rx分配，事实上，有些州并不认为耳朵穿孔是一种医疗程序。加利福尼亚司法部长最近的一个意见部分指出，</w:t>
      </w:r>
      <w:r>
        <w:rPr>
          <w:rFonts w:ascii="宋体" w:hAnsi="宋体" w:cs="Arial"/>
          <w:sz w:val="28"/>
          <w:szCs w:val="28"/>
        </w:rPr>
        <w:t>“由于</w:t>
      </w:r>
      <w:r>
        <w:rPr>
          <w:rFonts w:cs="Arial"/>
          <w:sz w:val="28"/>
          <w:szCs w:val="28"/>
        </w:rPr>
        <w:t>耳朵穿孔并不构成医学实践，因此，***没有任何条件阻止护士或任何持牌人或无牌人进行耳垂穿孔</w:t>
      </w:r>
      <w:r>
        <w:rPr>
          <w:rFonts w:ascii="宋体" w:hAnsi="宋体" w:cs="Arial"/>
          <w:sz w:val="28"/>
          <w:szCs w:val="28"/>
        </w:rPr>
        <w:t>。”</w:t>
      </w:r>
    </w:p>
    <w:p w14:paraId="2BA799AC">
      <w:pPr>
        <w:pStyle w:val="2"/>
        <w:overflowPunct w:val="0"/>
        <w:snapToGrid w:val="0"/>
        <w:spacing w:after="240" w:afterLines="100" w:line="300" w:lineRule="auto"/>
        <w:ind w:left="0"/>
        <w:jc w:val="both"/>
        <w:rPr>
          <w:rFonts w:cs="Arial"/>
          <w:sz w:val="28"/>
          <w:szCs w:val="28"/>
        </w:rPr>
      </w:pPr>
      <w:r>
        <w:rPr>
          <w:rFonts w:cs="Arial"/>
          <w:sz w:val="28"/>
          <w:szCs w:val="28"/>
        </w:rPr>
        <w:t>我们现在执行Rx器械警示图例的能力取决于州的许可要求。因此，如果各州不要求耳朵穿孔器械限制销售或按执业医师的处方销售，则我们就无法充分支持我们在该问题上的立场。</w:t>
      </w:r>
    </w:p>
    <w:p w14:paraId="0D770715">
      <w:pPr>
        <w:pStyle w:val="2"/>
        <w:overflowPunct w:val="0"/>
        <w:snapToGrid w:val="0"/>
        <w:spacing w:after="240" w:afterLines="100" w:line="300" w:lineRule="auto"/>
        <w:ind w:left="0"/>
        <w:jc w:val="both"/>
        <w:rPr>
          <w:rFonts w:cs="Arial"/>
          <w:sz w:val="28"/>
          <w:szCs w:val="28"/>
        </w:rPr>
      </w:pPr>
      <w:r>
        <w:rPr>
          <w:rFonts w:cs="Arial"/>
          <w:sz w:val="28"/>
          <w:szCs w:val="28"/>
        </w:rPr>
        <w:t>根</w:t>
      </w:r>
      <w:r>
        <w:rPr>
          <w:rFonts w:ascii="宋体" w:hAnsi="宋体" w:cs="Arial"/>
          <w:sz w:val="28"/>
          <w:szCs w:val="28"/>
        </w:rPr>
        <w:t>据“医疗器械修正案”</w:t>
      </w:r>
      <w:r>
        <w:rPr>
          <w:rFonts w:cs="Arial"/>
          <w:sz w:val="28"/>
          <w:szCs w:val="28"/>
        </w:rPr>
        <w:t>第520条和第521条的规定，耳朵穿孔器械最终可能会视为</w:t>
      </w:r>
      <w:r>
        <w:rPr>
          <w:rFonts w:ascii="宋体" w:hAnsi="宋体" w:cs="Arial"/>
          <w:sz w:val="28"/>
          <w:szCs w:val="28"/>
        </w:rPr>
        <w:t>“受限”器械</w:t>
      </w:r>
      <w:r>
        <w:rPr>
          <w:rFonts w:cs="Arial"/>
          <w:sz w:val="28"/>
          <w:szCs w:val="28"/>
        </w:rPr>
        <w:t>。如果耳朵穿孔器械归类为受限器械，则其将按照规定限制销售和分销。</w:t>
      </w:r>
    </w:p>
    <w:p w14:paraId="66584E45">
      <w:pPr>
        <w:pStyle w:val="2"/>
        <w:overflowPunct w:val="0"/>
        <w:snapToGrid w:val="0"/>
        <w:spacing w:after="240" w:afterLines="100" w:line="300" w:lineRule="auto"/>
        <w:ind w:left="0"/>
        <w:jc w:val="both"/>
        <w:rPr>
          <w:rFonts w:cs="Arial"/>
          <w:sz w:val="28"/>
          <w:szCs w:val="28"/>
        </w:rPr>
      </w:pPr>
      <w:r>
        <w:rPr>
          <w:rFonts w:cs="Arial"/>
          <w:sz w:val="28"/>
          <w:szCs w:val="28"/>
        </w:rPr>
        <w:t>政策：</w:t>
      </w:r>
    </w:p>
    <w:p w14:paraId="6359EE7A">
      <w:pPr>
        <w:pStyle w:val="2"/>
        <w:overflowPunct w:val="0"/>
        <w:snapToGrid w:val="0"/>
        <w:spacing w:after="240" w:afterLines="100" w:line="300" w:lineRule="auto"/>
        <w:ind w:left="0"/>
        <w:jc w:val="both"/>
        <w:rPr>
          <w:rFonts w:cs="Arial"/>
          <w:sz w:val="28"/>
          <w:szCs w:val="28"/>
        </w:rPr>
      </w:pPr>
      <w:r>
        <w:rPr>
          <w:rFonts w:cs="Arial"/>
          <w:sz w:val="28"/>
          <w:szCs w:val="28"/>
        </w:rPr>
        <w:t>尽管我们仍然认为耳朵穿孔器械应该限于有资格执行这一程序的</w:t>
      </w:r>
      <w:r>
        <w:rPr>
          <w:rFonts w:hint="eastAsia" w:cs="Arial"/>
          <w:sz w:val="28"/>
          <w:szCs w:val="28"/>
        </w:rPr>
        <w:t>人员</w:t>
      </w:r>
      <w:r>
        <w:rPr>
          <w:rFonts w:cs="Arial"/>
          <w:sz w:val="28"/>
          <w:szCs w:val="28"/>
        </w:rPr>
        <w:t>，但是我们得出结论认为，由于缺乏记录数据证明盲目使用耳朵穿孔器械是一个重大的消费者问题，而且由于各州和地区的实践差别很大，除非出现问题需要调查，否则目前将有限的资源投入到该领域是没有任何作用。</w:t>
      </w:r>
    </w:p>
    <w:p w14:paraId="35228F24">
      <w:pPr>
        <w:overflowPunct w:val="0"/>
        <w:rPr>
          <w:rFonts w:ascii="Arial" w:hAnsi="Arial" w:eastAsia="宋体" w:cs="Arial"/>
          <w:sz w:val="28"/>
          <w:szCs w:val="28"/>
        </w:rPr>
      </w:pPr>
      <w:r>
        <w:rPr>
          <w:rFonts w:ascii="Arial" w:hAnsi="Arial" w:eastAsia="宋体" w:cs="Arial"/>
          <w:sz w:val="28"/>
          <w:szCs w:val="28"/>
        </w:rPr>
        <w:br w:type="page"/>
      </w:r>
    </w:p>
    <w:p w14:paraId="7D3F7245">
      <w:pPr>
        <w:pStyle w:val="2"/>
        <w:overflowPunct w:val="0"/>
        <w:snapToGrid w:val="0"/>
        <w:spacing w:after="240" w:afterLines="100" w:line="300" w:lineRule="auto"/>
        <w:ind w:left="0"/>
        <w:jc w:val="both"/>
        <w:rPr>
          <w:rFonts w:cs="Arial"/>
          <w:sz w:val="28"/>
          <w:szCs w:val="28"/>
        </w:rPr>
      </w:pPr>
      <w:r>
        <w:rPr>
          <w:rFonts w:cs="Arial"/>
          <w:sz w:val="28"/>
          <w:szCs w:val="28"/>
        </w:rPr>
        <w:t>发布日期：1977年3月8日</w:t>
      </w:r>
    </w:p>
    <w:p w14:paraId="396F6D64">
      <w:pPr>
        <w:pStyle w:val="2"/>
        <w:overflowPunct w:val="0"/>
        <w:snapToGrid w:val="0"/>
        <w:spacing w:after="240" w:afterLines="100" w:line="300" w:lineRule="auto"/>
        <w:ind w:left="0"/>
        <w:jc w:val="both"/>
        <w:rPr>
          <w:rFonts w:cs="Arial"/>
          <w:sz w:val="28"/>
          <w:szCs w:val="28"/>
        </w:rPr>
      </w:pPr>
      <w:r>
        <w:rPr>
          <w:rFonts w:cs="Arial"/>
          <w:sz w:val="28"/>
          <w:szCs w:val="28"/>
        </w:rPr>
        <w:t>再发行日期：1980年10月1日、1987年9月24日</w:t>
      </w:r>
    </w:p>
    <w:p w14:paraId="5D556FA8">
      <w:pPr>
        <w:pStyle w:val="2"/>
        <w:overflowPunct w:val="0"/>
        <w:snapToGrid w:val="0"/>
        <w:spacing w:after="240" w:afterLines="100" w:line="300" w:lineRule="auto"/>
        <w:ind w:left="0"/>
        <w:jc w:val="both"/>
        <w:rPr>
          <w:rFonts w:cs="Arial"/>
          <w:sz w:val="28"/>
          <w:szCs w:val="28"/>
        </w:rPr>
      </w:pPr>
    </w:p>
    <w:tbl>
      <w:tblPr>
        <w:tblStyle w:val="7"/>
        <w:tblW w:w="5000" w:type="pct"/>
        <w:tblInd w:w="0" w:type="dxa"/>
        <w:tblLayout w:type="autofit"/>
        <w:tblCellMar>
          <w:top w:w="0" w:type="dxa"/>
          <w:left w:w="0" w:type="dxa"/>
          <w:bottom w:w="0" w:type="dxa"/>
          <w:right w:w="0" w:type="dxa"/>
        </w:tblCellMar>
      </w:tblPr>
      <w:tblGrid>
        <w:gridCol w:w="10796"/>
      </w:tblGrid>
      <w:tr w14:paraId="7D79E5D2">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1B5FB169">
            <w:pPr>
              <w:pStyle w:val="9"/>
              <w:overflowPunct w:val="0"/>
              <w:snapToGrid w:val="0"/>
              <w:spacing w:before="120" w:beforeLines="50" w:after="120" w:afterLines="50" w:line="276" w:lineRule="auto"/>
              <w:ind w:left="44" w:leftChars="20" w:right="44" w:rightChars="20"/>
              <w:rPr>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670C958C">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0828EE7C">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Manual/ucm116271.htm)</w:t>
            </w:r>
            <w:r>
              <w:rPr>
                <w:rFonts w:hint="eastAsia" w:ascii="Arial" w:eastAsia="宋体"/>
                <w:b/>
                <w:sz w:val="24"/>
                <w:szCs w:val="24"/>
                <w:u w:val="single" w:color="000000"/>
              </w:rPr>
              <w:fldChar w:fldCharType="end"/>
            </w:r>
          </w:p>
        </w:tc>
      </w:tr>
      <w:tr w14:paraId="63C9EDD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FE9F71B">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715FCF99">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2378198">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1B3881F6">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EAC6C0A">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12F00518">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843BD71">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2B1B0B6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7E768F3">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320F2F8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9C1B120">
            <w:pPr>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6DAE2DD7">
      <w:pPr>
        <w:overflowPunct w:val="0"/>
        <w:snapToGrid w:val="0"/>
        <w:spacing w:after="240" w:afterLines="100" w:line="300" w:lineRule="auto"/>
        <w:jc w:val="both"/>
        <w:rPr>
          <w:rFonts w:ascii="Arial" w:hAnsi="Arial" w:eastAsia="宋体" w:cs="Arial"/>
          <w:sz w:val="28"/>
          <w:szCs w:val="28"/>
        </w:rPr>
      </w:pPr>
    </w:p>
    <w:p w14:paraId="112B9661">
      <w:pPr>
        <w:overflowPunct w:val="0"/>
        <w:snapToGrid w:val="0"/>
        <w:spacing w:after="240" w:afterLines="100" w:line="300" w:lineRule="auto"/>
        <w:jc w:val="both"/>
        <w:rPr>
          <w:rFonts w:hint="eastAsia" w:eastAsia="宋体"/>
          <w:lang w:eastAsia="zh-CN"/>
        </w:rPr>
      </w:pPr>
    </w:p>
    <w:p w14:paraId="66E991D0">
      <w:pPr>
        <w:overflowPunct w:val="0"/>
        <w:snapToGrid w:val="0"/>
        <w:spacing w:after="240" w:afterLines="100" w:line="300" w:lineRule="auto"/>
        <w:jc w:val="center"/>
        <w:rPr>
          <w:rFonts w:hint="eastAsia" w:eastAsia="宋体"/>
          <w:lang w:eastAsia="zh-CN"/>
        </w:rPr>
      </w:pPr>
    </w:p>
    <w:p w14:paraId="18344C41">
      <w:pPr>
        <w:overflowPunct w:val="0"/>
        <w:snapToGrid w:val="0"/>
        <w:spacing w:after="240"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7AAE">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"http://www.fda.gov/ICECI/ComplianceManuals/CompliancePolicyGuidanceManual/ucm073896.htm" \h </w:instrText>
    </w:r>
    <w:r>
      <w:fldChar w:fldCharType="separate"/>
    </w:r>
    <w:r>
      <w:rPr>
        <w:rFonts w:ascii="Arial" w:hAnsi="Arial" w:eastAsia="宋体" w:cs="Arial"/>
        <w:sz w:val="15"/>
        <w:szCs w:val="15"/>
      </w:rPr>
      <w:t>www.fda.gov/ICECI/ComplianceManuals/CompliancePolicyGuidanceManual/ucm073896.htm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2</w:t>
    </w:r>
    <w:r>
      <w:rPr>
        <w:rFonts w:ascii="Arial" w:hAnsi="Arial" w:cs="Arial"/>
        <w:sz w:val="15"/>
        <w:szCs w:val="15"/>
      </w:rPr>
      <w:fldChar w:fldCharType="end"/>
    </w:r>
    <w:r>
      <w:rPr>
        <w:rFonts w:ascii="Arial" w:hAnsi="Arial" w:eastAsia="宋体" w:cs="Arial"/>
        <w:sz w:val="15"/>
        <w:szCs w:val="15"/>
      </w:rPr>
      <w:t>/2</w:t>
    </w:r>
  </w:p>
  <w:p w14:paraId="1E591A68">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EF38">
    <w:pPr>
      <w:tabs>
        <w:tab w:val="left" w:pos="3969"/>
      </w:tabs>
      <w:spacing w:line="184" w:lineRule="exact"/>
      <w:ind w:left="20"/>
      <w:rPr>
        <w:rFonts w:ascii="Arial" w:hAnsi="Arial" w:eastAsia="宋体" w:cs="Arial"/>
        <w:sz w:val="15"/>
        <w:szCs w:val="15"/>
      </w:rPr>
    </w:pPr>
    <w:r>
      <w:rPr>
        <w:rFonts w:ascii="Arial" w:hAnsi="Arial" w:eastAsia="宋体" w:cs="Arial"/>
        <w:sz w:val="15"/>
        <w:szCs w:val="15"/>
      </w:rPr>
      <w:t>2017年8月10日</w:t>
    </w:r>
    <w:r>
      <w:rPr>
        <w:rFonts w:ascii="Arial" w:hAnsi="Arial" w:eastAsia="宋体" w:cs="Arial"/>
        <w:sz w:val="15"/>
        <w:szCs w:val="15"/>
      </w:rPr>
      <w:tab/>
    </w:r>
    <w:r>
      <w:rPr>
        <w:rFonts w:ascii="Arial" w:hAnsi="Arial" w:eastAsia="宋体" w:cs="Arial"/>
        <w:sz w:val="15"/>
        <w:szCs w:val="15"/>
      </w:rPr>
      <w:t>合规政策指南&gt;CPG章节320.100 耳朵穿孔器械</w:t>
    </w:r>
  </w:p>
  <w:p w14:paraId="02D19205">
    <w:pPr>
      <w:spacing w:line="184" w:lineRule="exact"/>
      <w:ind w:left="20"/>
      <w:rPr>
        <w:rFonts w:ascii="Arial" w:hAnsi="Arial" w:eastAsia="宋体" w:cs="Arial"/>
        <w:sz w:val="15"/>
        <w:szCs w:val="15"/>
      </w:rPr>
    </w:pPr>
  </w:p>
  <w:p w14:paraId="505D019B">
    <w:pPr>
      <w:spacing w:line="184" w:lineRule="exact"/>
      <w:ind w:left="20"/>
      <w:rPr>
        <w:rFonts w:ascii="Arial" w:hAnsi="Arial" w:eastAsia="宋体" w:cs="Arial"/>
        <w:sz w:val="15"/>
        <w:szCs w:val="15"/>
      </w:rPr>
    </w:pPr>
  </w:p>
  <w:p w14:paraId="17D62373">
    <w:pPr>
      <w:spacing w:line="184" w:lineRule="exact"/>
      <w:ind w:left="20"/>
      <w:rPr>
        <w:rFonts w:ascii="Arial" w:hAnsi="Arial" w:eastAsia="宋体" w:cs="Arial"/>
        <w:sz w:val="15"/>
        <w:szCs w:val="15"/>
      </w:rPr>
    </w:pPr>
  </w:p>
  <w:p w14:paraId="3C234DFA">
    <w:pPr>
      <w:spacing w:line="14" w:lineRule="auto"/>
      <w:rPr>
        <w:rFonts w:ascii="Arial" w:hAnsi="Arial" w:eastAsia="宋体" w:cs="Arial"/>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ED"/>
    <w:rsid w:val="001D599E"/>
    <w:rsid w:val="00353FA4"/>
    <w:rsid w:val="00527434"/>
    <w:rsid w:val="005D13ED"/>
    <w:rsid w:val="005F1D69"/>
    <w:rsid w:val="00997DBE"/>
    <w:rsid w:val="00A9557B"/>
    <w:rsid w:val="00B52EC9"/>
    <w:rsid w:val="00C304F0"/>
    <w:rsid w:val="00CC57CB"/>
    <w:rsid w:val="00E5248D"/>
    <w:rsid w:val="00F915E8"/>
    <w:rsid w:val="00FB3705"/>
    <w:rsid w:val="19CD5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ShunDaJiaYi</Company>
  <Pages>2</Pages>
  <Words>653</Words>
  <Characters>1225</Characters>
  <Lines>15</Lines>
  <Paragraphs>4</Paragraphs>
  <TotalTime>0</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2017-11-10T01:18:00Z</dcterms:created>
  <dc:creator>wenrongzhen</dc:creator>
  <cp:lastModifiedBy>太极箫客</cp:lastModifiedBy>
  <dcterms:modified xsi:type="dcterms:W3CDTF">2025-08-14T06:16:14Z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2B73A5C63C644C2AB16983D3CEDF6697_12</vt:lpwstr>
  </property>
</Properties>
</file>