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848E4">
      <w:pPr>
        <w:snapToGrid w:val="0"/>
        <w:spacing w:after="120" w:afterLines="50" w:line="300" w:lineRule="auto"/>
        <w:jc w:val="both"/>
        <w:rPr>
          <w:rFonts w:ascii="Arial" w:hAnsi="Arial" w:eastAsia="宋体" w:cs="Arial"/>
          <w:sz w:val="20"/>
          <w:szCs w:val="20"/>
        </w:rPr>
      </w:pPr>
      <w:bookmarkStart w:id="0" w:name="_GoBack"/>
      <w:bookmarkEnd w:id="0"/>
    </w:p>
    <w:p w14:paraId="19BAD617">
      <w:pPr>
        <w:snapToGrid w:val="0"/>
        <w:spacing w:after="120" w:afterLines="50" w:line="300" w:lineRule="auto"/>
        <w:jc w:val="both"/>
        <w:rPr>
          <w:rFonts w:ascii="Arial" w:hAnsi="Arial" w:eastAsia="宋体" w:cs="Arial"/>
          <w:sz w:val="20"/>
          <w:szCs w:val="20"/>
        </w:rPr>
      </w:pPr>
    </w:p>
    <w:p w14:paraId="3C03A3CF">
      <w:pPr>
        <w:snapToGrid w:val="0"/>
        <w:spacing w:after="120" w:afterLines="50" w:line="300" w:lineRule="auto"/>
        <w:jc w:val="both"/>
        <w:rPr>
          <w:rFonts w:ascii="Arial" w:hAnsi="Arial" w:eastAsia="宋体" w:cs="Arial"/>
          <w:sz w:val="20"/>
          <w:szCs w:val="20"/>
        </w:rPr>
      </w:pPr>
    </w:p>
    <w:p w14:paraId="0F9836EF">
      <w:pPr>
        <w:snapToGrid w:val="0"/>
        <w:spacing w:after="120" w:afterLines="50" w:line="300" w:lineRule="auto"/>
        <w:jc w:val="both"/>
        <w:rPr>
          <w:rFonts w:ascii="Arial" w:hAnsi="Arial" w:eastAsia="宋体" w:cs="Arial"/>
          <w:sz w:val="20"/>
          <w:szCs w:val="20"/>
        </w:rPr>
      </w:pPr>
    </w:p>
    <w:p w14:paraId="63271B36">
      <w:pPr>
        <w:snapToGrid w:val="0"/>
        <w:spacing w:after="120" w:afterLines="50" w:line="300" w:lineRule="auto"/>
        <w:ind w:left="100" w:right="86"/>
        <w:jc w:val="both"/>
        <w:rPr>
          <w:rFonts w:ascii="Arial" w:hAnsi="Arial" w:eastAsia="宋体" w:cs="Arial"/>
          <w:sz w:val="64"/>
          <w:szCs w:val="64"/>
        </w:rPr>
      </w:pPr>
      <w:r>
        <w:rPr>
          <w:rFonts w:ascii="Arial" w:hAnsi="Arial" w:eastAsia="宋体" w:cs="Arial"/>
          <w:b/>
          <w:sz w:val="64"/>
        </w:rPr>
        <w:t>CPG章节300.300 无效器械 – 502（f）（I）标签要求</w:t>
      </w:r>
    </w:p>
    <w:p w14:paraId="452B0099">
      <w:pPr>
        <w:pStyle w:val="2"/>
        <w:snapToGrid w:val="0"/>
        <w:spacing w:after="120" w:afterLines="50" w:line="300" w:lineRule="auto"/>
        <w:jc w:val="both"/>
        <w:rPr>
          <w:rFonts w:cs="Arial"/>
          <w:sz w:val="28"/>
          <w:szCs w:val="28"/>
        </w:rPr>
      </w:pPr>
      <w:r>
        <w:rPr>
          <w:rFonts w:cs="Arial"/>
          <w:sz w:val="28"/>
          <w:szCs w:val="28"/>
        </w:rPr>
        <w:t>背景：</w:t>
      </w:r>
    </w:p>
    <w:p w14:paraId="63BE63AF">
      <w:pPr>
        <w:pStyle w:val="2"/>
        <w:snapToGrid w:val="0"/>
        <w:spacing w:after="120" w:afterLines="50" w:line="300" w:lineRule="auto"/>
        <w:ind w:right="86"/>
        <w:jc w:val="both"/>
        <w:rPr>
          <w:rFonts w:cs="Arial"/>
          <w:sz w:val="28"/>
          <w:szCs w:val="28"/>
        </w:rPr>
      </w:pPr>
      <w:r>
        <w:rPr>
          <w:rFonts w:cs="Arial"/>
          <w:sz w:val="28"/>
          <w:szCs w:val="28"/>
        </w:rPr>
        <w:t>我们的概念是*《联邦食品、药品和化妆品法案》（</w:t>
      </w:r>
      <w:r>
        <w:rPr>
          <w:rFonts w:hint="eastAsia" w:cs="Arial"/>
          <w:sz w:val="28"/>
          <w:szCs w:val="28"/>
        </w:rPr>
        <w:t>法案</w:t>
      </w:r>
      <w:r>
        <w:rPr>
          <w:rFonts w:cs="Arial"/>
          <w:sz w:val="28"/>
          <w:szCs w:val="28"/>
        </w:rPr>
        <w:t>）*的第502（f）（l）章和相关规定，无效器械无法纳入该章节。</w:t>
      </w:r>
    </w:p>
    <w:p w14:paraId="566A5C69">
      <w:pPr>
        <w:pStyle w:val="2"/>
        <w:snapToGrid w:val="0"/>
        <w:spacing w:after="120" w:afterLines="50" w:line="300" w:lineRule="auto"/>
        <w:ind w:right="290"/>
        <w:jc w:val="both"/>
        <w:rPr>
          <w:rFonts w:cs="Arial"/>
          <w:sz w:val="28"/>
          <w:szCs w:val="28"/>
        </w:rPr>
      </w:pPr>
      <w:r>
        <w:rPr>
          <w:rFonts w:cs="Arial"/>
          <w:sz w:val="28"/>
          <w:szCs w:val="28"/>
        </w:rPr>
        <w:t>*21 CFR* 80l.5定义的</w:t>
      </w:r>
      <w:r>
        <w:rPr>
          <w:rFonts w:ascii="宋体" w:hAnsi="宋体" w:cs="Arial"/>
          <w:sz w:val="28"/>
          <w:szCs w:val="28"/>
        </w:rPr>
        <w:t>“</w:t>
      </w:r>
      <w:r>
        <w:rPr>
          <w:rFonts w:cs="Arial"/>
          <w:sz w:val="28"/>
          <w:szCs w:val="28"/>
        </w:rPr>
        <w:t>适当的使用说明</w:t>
      </w:r>
      <w:r>
        <w:rPr>
          <w:rFonts w:ascii="宋体" w:hAnsi="宋体" w:cs="Arial"/>
          <w:sz w:val="28"/>
          <w:szCs w:val="28"/>
        </w:rPr>
        <w:t>”</w:t>
      </w:r>
      <w:r>
        <w:rPr>
          <w:rFonts w:cs="Arial"/>
          <w:sz w:val="28"/>
          <w:szCs w:val="28"/>
        </w:rPr>
        <w:t>指的是外行人可以根据其预期目的作为使用器械的指示。该措辞意味着使用说明必须是使用户能够成功地将条款用于预期目的。显然，不可能制定使外行人能够使用对任何医疗目的无效的器械指示。</w:t>
      </w:r>
    </w:p>
    <w:p w14:paraId="7D954D80">
      <w:pPr>
        <w:pStyle w:val="2"/>
        <w:snapToGrid w:val="0"/>
        <w:spacing w:after="120" w:afterLines="50" w:line="300" w:lineRule="auto"/>
        <w:jc w:val="both"/>
        <w:rPr>
          <w:rFonts w:cs="Arial"/>
          <w:sz w:val="28"/>
          <w:szCs w:val="28"/>
        </w:rPr>
      </w:pPr>
      <w:r>
        <w:rPr>
          <w:rFonts w:cs="Arial"/>
          <w:sz w:val="28"/>
          <w:szCs w:val="28"/>
        </w:rPr>
        <w:t>政策：</w:t>
      </w:r>
    </w:p>
    <w:p w14:paraId="6BBE12DB">
      <w:pPr>
        <w:pStyle w:val="2"/>
        <w:snapToGrid w:val="0"/>
        <w:spacing w:after="120" w:afterLines="50" w:line="300" w:lineRule="auto"/>
        <w:ind w:right="229"/>
        <w:jc w:val="both"/>
        <w:rPr>
          <w:rFonts w:cs="Arial"/>
          <w:sz w:val="28"/>
          <w:szCs w:val="28"/>
        </w:rPr>
      </w:pPr>
      <w:r>
        <w:rPr>
          <w:rFonts w:cs="Arial"/>
          <w:sz w:val="28"/>
          <w:szCs w:val="28"/>
        </w:rPr>
        <w:t>*无效器械在该法案第502（f）（l）章定义为虚假产品。此类</w:t>
      </w:r>
      <w:r>
        <w:rPr>
          <w:rFonts w:hint="eastAsia" w:cs="Arial"/>
          <w:sz w:val="28"/>
          <w:szCs w:val="28"/>
        </w:rPr>
        <w:t>器械</w:t>
      </w:r>
      <w:r>
        <w:rPr>
          <w:rFonts w:cs="Arial"/>
          <w:sz w:val="28"/>
          <w:szCs w:val="28"/>
        </w:rPr>
        <w:t>不能满足外行人使用的</w:t>
      </w:r>
      <w:r>
        <w:rPr>
          <w:rFonts w:ascii="宋体" w:hAnsi="宋体" w:cs="Arial"/>
          <w:sz w:val="28"/>
          <w:szCs w:val="28"/>
        </w:rPr>
        <w:t>“</w:t>
      </w:r>
      <w:r>
        <w:rPr>
          <w:rFonts w:cs="Arial"/>
          <w:sz w:val="28"/>
          <w:szCs w:val="28"/>
        </w:rPr>
        <w:t>适当的使用说明</w:t>
      </w:r>
      <w:r>
        <w:rPr>
          <w:rFonts w:ascii="宋体" w:hAnsi="宋体" w:cs="Arial"/>
          <w:sz w:val="28"/>
          <w:szCs w:val="28"/>
        </w:rPr>
        <w:t>”</w:t>
      </w:r>
      <w:r>
        <w:rPr>
          <w:rFonts w:cs="Arial"/>
          <w:sz w:val="28"/>
          <w:szCs w:val="28"/>
        </w:rPr>
        <w:t>的标准（21 CFR 80l.5）或根据21 CFR 80l.l09的许可执业者使用的豁免。在拟订法律诉讼建议之前，该地区应确保情况符合《合规政策指南》7150.10规定的监管行动的条件，即考虑监管行动的</w:t>
      </w:r>
      <w:r>
        <w:rPr>
          <w:rFonts w:ascii="宋体" w:hAnsi="宋体" w:cs="Arial"/>
          <w:sz w:val="28"/>
          <w:szCs w:val="28"/>
        </w:rPr>
        <w:t>“</w:t>
      </w:r>
      <w:r>
        <w:rPr>
          <w:rFonts w:cs="Arial"/>
          <w:sz w:val="28"/>
          <w:szCs w:val="28"/>
        </w:rPr>
        <w:t>健康欺诈</w:t>
      </w:r>
      <w:r>
        <w:rPr>
          <w:rFonts w:ascii="宋体" w:hAnsi="宋体" w:cs="Arial"/>
          <w:sz w:val="28"/>
          <w:szCs w:val="28"/>
        </w:rPr>
        <w:t>”</w:t>
      </w:r>
      <w:r>
        <w:rPr>
          <w:rFonts w:cs="Arial"/>
          <w:sz w:val="28"/>
          <w:szCs w:val="28"/>
        </w:rPr>
        <w:t>因素。*</w:t>
      </w:r>
    </w:p>
    <w:p w14:paraId="523CD7E9">
      <w:pPr>
        <w:pStyle w:val="2"/>
        <w:snapToGrid w:val="0"/>
        <w:spacing w:after="120" w:afterLines="50" w:line="300" w:lineRule="auto"/>
        <w:ind w:right="290"/>
        <w:jc w:val="both"/>
        <w:rPr>
          <w:rFonts w:cs="Arial"/>
          <w:sz w:val="28"/>
          <w:szCs w:val="28"/>
        </w:rPr>
      </w:pPr>
      <w:r>
        <w:rPr>
          <w:rFonts w:cs="Arial"/>
          <w:sz w:val="28"/>
          <w:szCs w:val="28"/>
        </w:rPr>
        <w:t>*</w:t>
      </w:r>
      <w:r>
        <w:rPr>
          <w:rFonts w:hint="eastAsia" w:cs="Arial"/>
          <w:sz w:val="28"/>
          <w:szCs w:val="28"/>
        </w:rPr>
        <w:t>（</w:t>
      </w:r>
      <w:r>
        <w:rPr>
          <w:rFonts w:cs="Arial"/>
          <w:sz w:val="28"/>
          <w:szCs w:val="28"/>
        </w:rPr>
        <w:t>请注意-健康欺诈定义包括</w:t>
      </w:r>
      <w:r>
        <w:rPr>
          <w:rFonts w:ascii="宋体" w:hAnsi="宋体" w:cs="Arial"/>
          <w:sz w:val="28"/>
          <w:szCs w:val="28"/>
        </w:rPr>
        <w:t>“</w:t>
      </w:r>
      <w:r>
        <w:rPr>
          <w:rFonts w:cs="Arial"/>
          <w:sz w:val="28"/>
          <w:szCs w:val="28"/>
        </w:rPr>
        <w:t>……推广、宣传、分销或销售用于人类或动物的物品…</w:t>
      </w:r>
      <w:r>
        <w:rPr>
          <w:rFonts w:ascii="宋体" w:hAnsi="宋体" w:cs="Arial"/>
          <w:sz w:val="28"/>
          <w:szCs w:val="28"/>
        </w:rPr>
        <w:t>”</w:t>
      </w:r>
      <w:r>
        <w:rPr>
          <w:rFonts w:cs="Arial"/>
          <w:sz w:val="28"/>
          <w:szCs w:val="28"/>
        </w:rPr>
        <w:t>）。*</w:t>
      </w:r>
    </w:p>
    <w:p w14:paraId="6D2CBD26">
      <w:pPr>
        <w:pStyle w:val="2"/>
        <w:snapToGrid w:val="0"/>
        <w:spacing w:after="120" w:afterLines="50" w:line="300" w:lineRule="auto"/>
        <w:ind w:right="5221"/>
        <w:jc w:val="both"/>
        <w:rPr>
          <w:rFonts w:cs="Arial"/>
          <w:sz w:val="28"/>
          <w:szCs w:val="28"/>
        </w:rPr>
      </w:pPr>
      <w:r>
        <w:rPr>
          <w:rFonts w:cs="Arial"/>
          <w:sz w:val="28"/>
          <w:szCs w:val="28"/>
        </w:rPr>
        <w:t>*星号之间的材料是新材料或改进材料*</w:t>
      </w:r>
    </w:p>
    <w:p w14:paraId="2CAA4A4D">
      <w:pPr>
        <w:pStyle w:val="2"/>
        <w:snapToGrid w:val="0"/>
        <w:spacing w:after="120" w:afterLines="50" w:line="300" w:lineRule="auto"/>
        <w:ind w:right="5221"/>
        <w:jc w:val="both"/>
        <w:rPr>
          <w:rFonts w:cs="Arial"/>
          <w:sz w:val="28"/>
          <w:szCs w:val="28"/>
        </w:rPr>
      </w:pPr>
      <w:r>
        <w:rPr>
          <w:rFonts w:cs="Arial"/>
          <w:sz w:val="28"/>
          <w:szCs w:val="28"/>
        </w:rPr>
        <w:t>发布日期：1976年4月26日</w:t>
      </w:r>
    </w:p>
    <w:p w14:paraId="7B1FF649">
      <w:pPr>
        <w:pStyle w:val="2"/>
        <w:snapToGrid w:val="0"/>
        <w:spacing w:after="120" w:afterLines="50" w:line="300" w:lineRule="auto"/>
        <w:jc w:val="both"/>
        <w:rPr>
          <w:rFonts w:cs="Arial"/>
          <w:sz w:val="28"/>
          <w:szCs w:val="28"/>
        </w:rPr>
      </w:pPr>
      <w:r>
        <w:rPr>
          <w:rFonts w:cs="Arial"/>
          <w:sz w:val="28"/>
          <w:szCs w:val="28"/>
        </w:rPr>
        <w:t>修订日期：1980年10月1日、1988年11月21日、1995年3月</w:t>
      </w:r>
    </w:p>
    <w:p w14:paraId="6C6C1812">
      <w:pPr>
        <w:spacing w:before="161" w:line="258" w:lineRule="auto"/>
        <w:ind w:left="256" w:right="2260"/>
        <w:rPr>
          <w:rFonts w:ascii="Arial" w:hAnsi="Arial" w:eastAsia="宋体" w:cs="Arial"/>
        </w:rPr>
      </w:pPr>
    </w:p>
    <w:tbl>
      <w:tblPr>
        <w:tblStyle w:val="7"/>
        <w:tblW w:w="10884" w:type="dxa"/>
        <w:tblInd w:w="100" w:type="dxa"/>
        <w:tblLayout w:type="fixed"/>
        <w:tblCellMar>
          <w:top w:w="0" w:type="dxa"/>
          <w:left w:w="0" w:type="dxa"/>
          <w:bottom w:w="0" w:type="dxa"/>
          <w:right w:w="0" w:type="dxa"/>
        </w:tblCellMar>
      </w:tblPr>
      <w:tblGrid>
        <w:gridCol w:w="10884"/>
      </w:tblGrid>
      <w:tr w14:paraId="32B821E0">
        <w:tblPrEx>
          <w:tblCellMar>
            <w:top w:w="0" w:type="dxa"/>
            <w:left w:w="0" w:type="dxa"/>
            <w:bottom w:w="0" w:type="dxa"/>
            <w:right w:w="0" w:type="dxa"/>
          </w:tblCellMar>
        </w:tblPrEx>
        <w:tc>
          <w:tcPr>
            <w:tcW w:w="10884" w:type="dxa"/>
            <w:tcBorders>
              <w:top w:val="single" w:color="4F81BD" w:themeColor="accent1" w:sz="12" w:space="0"/>
              <w:left w:val="single" w:color="4F81BD" w:themeColor="accent1" w:sz="12" w:space="0"/>
              <w:bottom w:val="single" w:color="4F81BD" w:themeColor="accent1" w:sz="12" w:space="0"/>
              <w:right w:val="single" w:color="4F81BD" w:themeColor="accent1" w:sz="12" w:space="0"/>
            </w:tcBorders>
          </w:tcPr>
          <w:p w14:paraId="47B3C8F3">
            <w:pPr>
              <w:pStyle w:val="9"/>
              <w:snapToGrid w:val="0"/>
              <w:spacing w:before="120" w:beforeLines="50" w:after="120" w:afterLines="50" w:line="276" w:lineRule="auto"/>
              <w:ind w:left="44" w:leftChars="20" w:right="44" w:rightChars="20"/>
              <w:rPr>
                <w:rFonts w:ascii="Arial" w:hAnsi="Arial" w:eastAsia="宋体" w:cs="Arial"/>
                <w:sz w:val="24"/>
                <w:szCs w:val="24"/>
                <w:u w:val="single"/>
              </w:rPr>
            </w:pPr>
            <w:r>
              <w:fldChar w:fldCharType="begin"/>
            </w:r>
            <w:r>
              <w:instrText xml:space="preserve"> HYPERLINK "https://www.fda.gov/ICECI/ComplianceManuals/CompliancePolicyGuidanceManual/default.htm" \h </w:instrText>
            </w:r>
            <w:r>
              <w:fldChar w:fldCharType="separate"/>
            </w:r>
            <w:r>
              <w:rPr>
                <w:rFonts w:hint="eastAsia" w:ascii="Arial" w:eastAsia="宋体"/>
                <w:b/>
                <w:sz w:val="24"/>
                <w:szCs w:val="24"/>
                <w:u w:val="single"/>
              </w:rPr>
              <w:t>合规政策指南的更多信息</w:t>
            </w:r>
            <w:r>
              <w:rPr>
                <w:rFonts w:ascii="Arial" w:eastAsia="宋体"/>
                <w:b/>
                <w:sz w:val="24"/>
                <w:szCs w:val="24"/>
                <w:u w:val="single"/>
              </w:rPr>
              <w:br w:type="textWrapping"/>
            </w:r>
            <w:r>
              <w:rPr>
                <w:rFonts w:hint="eastAsia" w:ascii="Arial" w:eastAsia="宋体"/>
                <w:b/>
                <w:sz w:val="24"/>
                <w:szCs w:val="24"/>
                <w:u w:val="single"/>
              </w:rPr>
              <w:t>(/ICECI/Compliance Manuals/Compliance PolicyGuidance Manual/default.htm)</w:t>
            </w:r>
            <w:r>
              <w:rPr>
                <w:rFonts w:hint="eastAsia" w:ascii="Arial" w:eastAsia="宋体"/>
                <w:b/>
                <w:sz w:val="24"/>
                <w:szCs w:val="24"/>
                <w:u w:val="single"/>
              </w:rPr>
              <w:fldChar w:fldCharType="end"/>
            </w:r>
          </w:p>
        </w:tc>
      </w:tr>
      <w:tr w14:paraId="2160F757">
        <w:tblPrEx>
          <w:tblCellMar>
            <w:top w:w="0" w:type="dxa"/>
            <w:left w:w="0" w:type="dxa"/>
            <w:bottom w:w="0" w:type="dxa"/>
            <w:right w:w="0" w:type="dxa"/>
          </w:tblCellMar>
        </w:tblPrEx>
        <w:tc>
          <w:tcPr>
            <w:tcW w:w="10884" w:type="dxa"/>
            <w:tcBorders>
              <w:top w:val="single" w:color="4F81BD" w:themeColor="accent1" w:sz="12" w:space="0"/>
              <w:left w:val="single" w:color="DDDDDD" w:sz="6" w:space="0"/>
              <w:bottom w:val="single" w:color="DDDDDD" w:sz="6" w:space="0"/>
              <w:right w:val="single" w:color="DDDDDD" w:sz="6" w:space="0"/>
            </w:tcBorders>
          </w:tcPr>
          <w:p w14:paraId="03D34134">
            <w:pPr>
              <w:pStyle w:val="9"/>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"https://www.fda.gov/ICECI/ComplianceManuals/CompliancePolicyGuidanceManual/ucm116271.htm" \h </w:instrText>
            </w:r>
            <w:r>
              <w:fldChar w:fldCharType="separate"/>
            </w:r>
            <w:r>
              <w:rPr>
                <w:rFonts w:ascii="Arial" w:hAnsi="Arial" w:eastAsia="宋体" w:cs="Arial"/>
                <w:b/>
                <w:sz w:val="24"/>
                <w:szCs w:val="24"/>
                <w:u w:val="single" w:color="000000"/>
              </w:rPr>
              <w:t>前言：合规政策指南（CPG）</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Manual/ucm116271.htm)</w:t>
            </w:r>
            <w:r>
              <w:rPr>
                <w:rFonts w:ascii="Arial" w:hAnsi="Arial" w:eastAsia="宋体" w:cs="Arial"/>
                <w:b/>
                <w:sz w:val="24"/>
                <w:szCs w:val="24"/>
                <w:u w:val="single" w:color="000000"/>
              </w:rPr>
              <w:fldChar w:fldCharType="end"/>
            </w:r>
            <w:r>
              <w:rPr>
                <w:rFonts w:ascii="Arial" w:hAnsi="Arial" w:eastAsia="宋体" w:cs="Arial"/>
                <w:b/>
                <w:sz w:val="24"/>
                <w:szCs w:val="24"/>
                <w:u w:val="single" w:color="000000"/>
              </w:rPr>
              <w:t xml:space="preserve"> </w:t>
            </w:r>
          </w:p>
        </w:tc>
      </w:tr>
      <w:tr w14:paraId="6B9785AB">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tcPr>
          <w:p w14:paraId="7672877E">
            <w:pPr>
              <w:pStyle w:val="9"/>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"https://www.fda.gov/ICECI/ComplianceManuals/CompliancePolicyGuidanceManual/ucm116280.htm" \h </w:instrText>
            </w:r>
            <w:r>
              <w:fldChar w:fldCharType="separate"/>
            </w:r>
            <w:r>
              <w:rPr>
                <w:rFonts w:ascii="Arial" w:hAnsi="Arial" w:eastAsia="宋体" w:cs="Arial"/>
                <w:b/>
                <w:sz w:val="24"/>
                <w:szCs w:val="24"/>
                <w:u w:val="single" w:color="000000"/>
              </w:rPr>
              <w:t>第一章-通则</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Manual/ucm116280.htm)</w:t>
            </w:r>
            <w:r>
              <w:rPr>
                <w:rFonts w:ascii="Arial" w:hAnsi="Arial" w:eastAsia="宋体" w:cs="Arial"/>
                <w:b/>
                <w:sz w:val="24"/>
                <w:szCs w:val="24"/>
                <w:u w:val="single" w:color="000000"/>
              </w:rPr>
              <w:fldChar w:fldCharType="end"/>
            </w:r>
          </w:p>
        </w:tc>
      </w:tr>
      <w:tr w14:paraId="7D124480">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tcPr>
          <w:p w14:paraId="7BE74921">
            <w:pPr>
              <w:pStyle w:val="9"/>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"https://www.fda.gov/ICECI/ComplianceManuals/CompliancePolicyGuidanceManual/ucm116336.htm" \h </w:instrText>
            </w:r>
            <w:r>
              <w:fldChar w:fldCharType="separate"/>
            </w:r>
            <w:r>
              <w:rPr>
                <w:rFonts w:ascii="Arial" w:hAnsi="Arial" w:eastAsia="宋体" w:cs="Arial"/>
                <w:b/>
                <w:sz w:val="24"/>
                <w:szCs w:val="24"/>
                <w:u w:val="single" w:color="000000"/>
              </w:rPr>
              <w:t>第二章-生物制剂</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Manual/ucm116336.htm)</w:t>
            </w:r>
            <w:r>
              <w:rPr>
                <w:rFonts w:ascii="Arial" w:hAnsi="Arial" w:eastAsia="宋体" w:cs="Arial"/>
                <w:b/>
                <w:sz w:val="24"/>
                <w:szCs w:val="24"/>
                <w:u w:val="single" w:color="000000"/>
              </w:rPr>
              <w:fldChar w:fldCharType="end"/>
            </w:r>
          </w:p>
        </w:tc>
      </w:tr>
      <w:tr w14:paraId="42BE7CBD">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tcPr>
          <w:p w14:paraId="322BC3C8">
            <w:pPr>
              <w:pStyle w:val="9"/>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"https://www.fda.gov/ICECI/ComplianceManuals/CompliancePolicyGuidanceManual/ucm116801.htm" \h </w:instrText>
            </w:r>
            <w:r>
              <w:fldChar w:fldCharType="separate"/>
            </w:r>
            <w:r>
              <w:rPr>
                <w:rFonts w:ascii="Arial" w:hAnsi="Arial" w:eastAsia="宋体" w:cs="Arial"/>
                <w:b/>
                <w:sz w:val="24"/>
                <w:szCs w:val="24"/>
                <w:u w:val="single" w:color="000000"/>
              </w:rPr>
              <w:t>第三章-器械</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Manual/ucm116801.htm)</w:t>
            </w:r>
            <w:r>
              <w:rPr>
                <w:rFonts w:ascii="Arial" w:hAnsi="Arial" w:eastAsia="宋体" w:cs="Arial"/>
                <w:b/>
                <w:sz w:val="24"/>
                <w:szCs w:val="24"/>
                <w:u w:val="single" w:color="000000"/>
              </w:rPr>
              <w:fldChar w:fldCharType="end"/>
            </w:r>
          </w:p>
        </w:tc>
      </w:tr>
      <w:tr w14:paraId="744D1BAD">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tcPr>
          <w:p w14:paraId="0222D489">
            <w:pPr>
              <w:pStyle w:val="9"/>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"https://www.fda.gov/ICECI/ComplianceManuals/CompliancePolicyGuidanceManual/ucm119572.htm" \h </w:instrText>
            </w:r>
            <w:r>
              <w:fldChar w:fldCharType="separate"/>
            </w:r>
            <w:r>
              <w:rPr>
                <w:rFonts w:ascii="Arial" w:hAnsi="Arial" w:eastAsia="宋体" w:cs="Arial"/>
                <w:b/>
                <w:sz w:val="24"/>
                <w:szCs w:val="24"/>
                <w:u w:val="single" w:color="000000"/>
              </w:rPr>
              <w:t>第四章-人用药品</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Manual/ucm119572.htm)</w:t>
            </w:r>
            <w:r>
              <w:rPr>
                <w:rFonts w:ascii="Arial" w:hAnsi="Arial" w:eastAsia="宋体" w:cs="Arial"/>
                <w:b/>
                <w:sz w:val="24"/>
                <w:szCs w:val="24"/>
                <w:u w:val="single" w:color="000000"/>
              </w:rPr>
              <w:fldChar w:fldCharType="end"/>
            </w:r>
          </w:p>
        </w:tc>
      </w:tr>
      <w:tr w14:paraId="407CEA49">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tcPr>
          <w:p w14:paraId="46E1BD30">
            <w:pPr>
              <w:pStyle w:val="9"/>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"https://www.fda.gov/ICECI/ComplianceManuals/CompliancePolicyGuidanceManual/ucm119194.htm" \h </w:instrText>
            </w:r>
            <w:r>
              <w:fldChar w:fldCharType="separate"/>
            </w:r>
            <w:r>
              <w:rPr>
                <w:rFonts w:ascii="Arial" w:hAnsi="Arial" w:eastAsia="宋体" w:cs="Arial"/>
                <w:b/>
                <w:sz w:val="24"/>
                <w:szCs w:val="24"/>
                <w:u w:val="single" w:color="000000"/>
              </w:rPr>
              <w:t>第五章-食品、颜料和化妆品</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Manual/ucm119194.htm)</w:t>
            </w:r>
            <w:r>
              <w:rPr>
                <w:rFonts w:ascii="Arial" w:hAnsi="Arial" w:eastAsia="宋体" w:cs="Arial"/>
                <w:b/>
                <w:sz w:val="24"/>
                <w:szCs w:val="24"/>
                <w:u w:val="single" w:color="000000"/>
              </w:rPr>
              <w:fldChar w:fldCharType="end"/>
            </w:r>
          </w:p>
        </w:tc>
      </w:tr>
      <w:tr w14:paraId="0AE608F6">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tcPr>
          <w:p w14:paraId="5F55304A">
            <w:pPr>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"https://www.fda.gov/ICECI/ComplianceManuals/CompliancePolicyGuidanceManual/ucm117042.htm" \h </w:instrText>
            </w:r>
            <w:r>
              <w:fldChar w:fldCharType="separate"/>
            </w:r>
            <w:r>
              <w:rPr>
                <w:rFonts w:hint="eastAsia" w:ascii="Arial" w:eastAsia="宋体"/>
                <w:b/>
                <w:sz w:val="24"/>
                <w:szCs w:val="24"/>
                <w:u w:val="single" w:color="000000"/>
              </w:rPr>
              <w:t>第六章-兽医医学</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Manual/ucm117042.htm)</w:t>
            </w:r>
            <w:r>
              <w:rPr>
                <w:rFonts w:hint="eastAsia" w:ascii="Arial" w:eastAsia="宋体"/>
                <w:b/>
                <w:sz w:val="24"/>
                <w:szCs w:val="24"/>
                <w:u w:val="single" w:color="000000"/>
              </w:rPr>
              <w:fldChar w:fldCharType="end"/>
            </w:r>
          </w:p>
        </w:tc>
      </w:tr>
    </w:tbl>
    <w:p w14:paraId="48ADA022">
      <w:pPr>
        <w:snapToGrid w:val="0"/>
        <w:spacing w:after="120" w:afterLines="50" w:line="300" w:lineRule="auto"/>
        <w:jc w:val="both"/>
        <w:rPr>
          <w:rFonts w:ascii="Arial" w:hAnsi="Arial" w:eastAsia="宋体" w:cs="Arial"/>
          <w:sz w:val="28"/>
          <w:szCs w:val="28"/>
        </w:rPr>
      </w:pPr>
    </w:p>
    <w:p w14:paraId="7865CF9F">
      <w:pPr>
        <w:snapToGrid w:val="0"/>
        <w:spacing w:after="120" w:afterLines="50" w:line="300" w:lineRule="auto"/>
        <w:jc w:val="both"/>
        <w:rPr>
          <w:rFonts w:hint="eastAsia" w:eastAsia="宋体"/>
          <w:lang w:eastAsia="zh-CN"/>
        </w:rPr>
      </w:pPr>
    </w:p>
    <w:p w14:paraId="147156F6">
      <w:pPr>
        <w:snapToGrid w:val="0"/>
        <w:spacing w:after="120" w:afterLines="50" w:line="300" w:lineRule="auto"/>
        <w:jc w:val="center"/>
        <w:rPr>
          <w:rFonts w:hint="eastAsia" w:eastAsia="宋体"/>
          <w:lang w:eastAsia="zh-CN"/>
        </w:rPr>
      </w:pPr>
    </w:p>
    <w:p w14:paraId="749099E8">
      <w:pPr>
        <w:snapToGrid w:val="0"/>
        <w:spacing w:after="120"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567" w:right="567" w:bottom="567" w:left="567" w:header="290" w:footer="27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20C62">
    <w:pPr>
      <w:tabs>
        <w:tab w:val="right" w:pos="10773"/>
      </w:tabs>
      <w:spacing w:line="184" w:lineRule="exact"/>
      <w:ind w:left="40"/>
      <w:rPr>
        <w:rFonts w:ascii="Arial" w:hAnsi="Arial" w:eastAsia="宋体" w:cs="Arial"/>
        <w:sz w:val="15"/>
        <w:szCs w:val="15"/>
      </w:rPr>
    </w:pPr>
    <w:r>
      <w:rPr>
        <w:rFonts w:ascii="Arial" w:hAnsi="Arial" w:eastAsia="宋体" w:cs="Arial"/>
        <w:sz w:val="15"/>
        <w:szCs w:val="15"/>
      </w:rPr>
      <w:t>https://</w:t>
    </w:r>
    <w:r>
      <w:fldChar w:fldCharType="begin"/>
    </w:r>
    <w:r>
      <w:instrText xml:space="preserve"> HYPERLINK "http://www.fda.gov/ICECI/ComplianceManuals/CompliancePolicyGuidanceManual/ucm073885.htm" \h </w:instrText>
    </w:r>
    <w:r>
      <w:fldChar w:fldCharType="separate"/>
    </w:r>
    <w:r>
      <w:rPr>
        <w:rFonts w:ascii="Arial" w:hAnsi="Arial" w:eastAsia="宋体" w:cs="Arial"/>
        <w:sz w:val="15"/>
        <w:szCs w:val="15"/>
      </w:rPr>
      <w:t>www.fda.gov/ICECI/ComplianceManuals/CompliancePolicyGuidanceManual/ucm073885.htm</w:t>
    </w:r>
    <w:r>
      <w:rPr>
        <w:rFonts w:ascii="Arial" w:hAnsi="Arial" w:eastAsia="宋体" w:cs="Arial"/>
        <w:sz w:val="15"/>
        <w:szCs w:val="15"/>
      </w:rPr>
      <w:fldChar w:fldCharType="end"/>
    </w:r>
    <w:r>
      <w:rPr>
        <w:rFonts w:ascii="Arial" w:hAnsi="Arial" w:eastAsia="宋体" w:cs="Arial"/>
        <w:sz w:val="15"/>
        <w:szCs w:val="15"/>
      </w:rPr>
      <w:tab/>
    </w:r>
    <w:r>
      <w:rPr>
        <w:rFonts w:ascii="Arial" w:hAnsi="Arial" w:cs="Arial"/>
        <w:sz w:val="15"/>
        <w:szCs w:val="15"/>
      </w:rPr>
      <w:fldChar w:fldCharType="begin"/>
    </w:r>
    <w:r>
      <w:rPr>
        <w:rFonts w:ascii="Arial" w:hAnsi="Arial" w:eastAsia="宋体" w:cs="Arial"/>
        <w:sz w:val="15"/>
        <w:szCs w:val="15"/>
      </w:rPr>
      <w:instrText xml:space="preserve"> PAGE </w:instrText>
    </w:r>
    <w:r>
      <w:rPr>
        <w:rFonts w:ascii="Arial" w:hAnsi="Arial" w:cs="Arial"/>
        <w:sz w:val="15"/>
        <w:szCs w:val="15"/>
      </w:rPr>
      <w:fldChar w:fldCharType="separate"/>
    </w:r>
    <w:r>
      <w:rPr>
        <w:rFonts w:ascii="Arial" w:hAnsi="Arial" w:eastAsia="宋体" w:cs="Arial"/>
        <w:sz w:val="15"/>
        <w:szCs w:val="15"/>
      </w:rPr>
      <w:t>2</w:t>
    </w:r>
    <w:r>
      <w:rPr>
        <w:rFonts w:ascii="Arial" w:hAnsi="Arial" w:cs="Arial"/>
        <w:sz w:val="15"/>
        <w:szCs w:val="15"/>
      </w:rPr>
      <w:fldChar w:fldCharType="end"/>
    </w:r>
    <w:r>
      <w:rPr>
        <w:rFonts w:ascii="Arial" w:hAnsi="Arial" w:eastAsia="宋体" w:cs="Arial"/>
        <w:sz w:val="15"/>
        <w:szCs w:val="15"/>
      </w:rPr>
      <w:t>/2</w:t>
    </w:r>
  </w:p>
  <w:p w14:paraId="40E0249F">
    <w:pPr>
      <w:spacing w:line="14" w:lineRule="auto"/>
      <w:rPr>
        <w:rFonts w:ascii="Arial" w:hAnsi="Arial" w:cs="Arial"/>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A5343">
    <w:pPr>
      <w:tabs>
        <w:tab w:val="left" w:pos="2694"/>
      </w:tabs>
      <w:spacing w:line="184" w:lineRule="exact"/>
      <w:ind w:left="20"/>
      <w:rPr>
        <w:rFonts w:ascii="Arial" w:hAnsi="Arial" w:eastAsia="宋体" w:cs="Arial"/>
        <w:sz w:val="15"/>
        <w:szCs w:val="15"/>
      </w:rPr>
    </w:pPr>
    <w:r>
      <w:rPr>
        <w:rFonts w:hint="eastAsia" w:ascii="Arial" w:eastAsia="宋体"/>
        <w:sz w:val="15"/>
        <w:szCs w:val="15"/>
      </w:rPr>
      <w:t>2017年8月10日</w:t>
    </w:r>
    <w:r>
      <w:rPr>
        <w:rFonts w:hint="eastAsia" w:ascii="Arial" w:eastAsia="宋体"/>
        <w:sz w:val="15"/>
        <w:szCs w:val="15"/>
      </w:rPr>
      <w:tab/>
    </w:r>
    <w:r>
      <w:rPr>
        <w:rFonts w:hint="eastAsia" w:ascii="Arial" w:eastAsia="宋体"/>
        <w:sz w:val="15"/>
        <w:szCs w:val="15"/>
      </w:rPr>
      <w:t xml:space="preserve">合规政策指南&gt;CPG章节300.300 无效器械 </w:t>
    </w:r>
    <w:r>
      <w:rPr>
        <w:rFonts w:ascii="Arial" w:eastAsia="宋体"/>
        <w:sz w:val="15"/>
        <w:szCs w:val="15"/>
      </w:rPr>
      <w:t>–</w:t>
    </w:r>
    <w:r>
      <w:rPr>
        <w:rFonts w:hint="eastAsia" w:ascii="Arial" w:eastAsia="宋体"/>
        <w:sz w:val="15"/>
        <w:szCs w:val="15"/>
      </w:rPr>
      <w:t xml:space="preserve"> 502（f）（I）标签要求</w:t>
    </w:r>
  </w:p>
  <w:p w14:paraId="0AC686D2">
    <w:pPr>
      <w:spacing w:line="184" w:lineRule="exact"/>
      <w:ind w:left="20"/>
      <w:rPr>
        <w:rFonts w:ascii="Arial" w:hAnsi="Arial" w:eastAsia="宋体" w:cs="Arial"/>
        <w:sz w:val="15"/>
        <w:szCs w:val="15"/>
      </w:rPr>
    </w:pPr>
  </w:p>
  <w:p w14:paraId="7A45CF86">
    <w:pPr>
      <w:spacing w:line="184" w:lineRule="exact"/>
      <w:ind w:left="20"/>
      <w:rPr>
        <w:rFonts w:ascii="Arial" w:hAnsi="Arial" w:eastAsia="宋体" w:cs="Arial"/>
        <w:sz w:val="15"/>
        <w:szCs w:val="15"/>
      </w:rPr>
    </w:pPr>
  </w:p>
  <w:p w14:paraId="0D747F14">
    <w:pPr>
      <w:spacing w:line="184" w:lineRule="exact"/>
      <w:ind w:left="20"/>
      <w:rPr>
        <w:rFonts w:ascii="Arial" w:hAnsi="Arial" w:eastAsia="宋体" w:cs="Arial"/>
        <w:sz w:val="15"/>
        <w:szCs w:val="15"/>
      </w:rPr>
    </w:pPr>
  </w:p>
  <w:p w14:paraId="6FC197C9">
    <w:pPr>
      <w:spacing w:line="14" w:lineRule="auto"/>
      <w:rPr>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52A"/>
    <w:rsid w:val="00322597"/>
    <w:rsid w:val="00336229"/>
    <w:rsid w:val="0058412F"/>
    <w:rsid w:val="0062514F"/>
    <w:rsid w:val="007341F1"/>
    <w:rsid w:val="0077012E"/>
    <w:rsid w:val="007A14E9"/>
    <w:rsid w:val="007E07FE"/>
    <w:rsid w:val="007E6AEA"/>
    <w:rsid w:val="008D433F"/>
    <w:rsid w:val="00914E64"/>
    <w:rsid w:val="00934B5B"/>
    <w:rsid w:val="00B0552A"/>
    <w:rsid w:val="00B60DFE"/>
    <w:rsid w:val="00B61FF4"/>
    <w:rsid w:val="00CF08AF"/>
    <w:rsid w:val="00D848A3"/>
    <w:rsid w:val="27B86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00"/>
    </w:pPr>
    <w:rPr>
      <w:rFonts w:ascii="Arial" w:hAnsi="Arial" w:eastAsia="宋体"/>
      <w:sz w:val="25"/>
      <w:szCs w:val="25"/>
    </w:rPr>
  </w:style>
  <w:style w:type="paragraph" w:styleId="3">
    <w:name w:val="footer"/>
    <w:basedOn w:val="1"/>
    <w:link w:val="11"/>
    <w:unhideWhenUsed/>
    <w:uiPriority w:val="99"/>
    <w:pPr>
      <w:tabs>
        <w:tab w:val="center" w:pos="4153"/>
        <w:tab w:val="right" w:pos="8306"/>
      </w:tabs>
      <w:snapToGrid w:val="0"/>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页眉 Char"/>
    <w:basedOn w:val="6"/>
    <w:link w:val="4"/>
    <w:uiPriority w:val="99"/>
    <w:rPr>
      <w:sz w:val="18"/>
      <w:szCs w:val="18"/>
    </w:rPr>
  </w:style>
  <w:style w:type="character" w:customStyle="1" w:styleId="11">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516</Words>
  <Characters>1114</Characters>
  <Lines>14</Lines>
  <Paragraphs>4</Paragraphs>
  <TotalTime>0</TotalTime>
  <ScaleCrop>false</ScaleCrop>
  <LinksUpToDate>false</LinksUpToDate>
  <CharactersWithSpaces>1148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2017-11-10T01:50:00Z</dcterms:created>
  <dc:creator>wenrongzhen</dc:creator>
  <cp:lastModifiedBy>太极箫客</cp:lastModifiedBy>
  <dcterms:modified xsi:type="dcterms:W3CDTF">2025-08-14T06:16:11Z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E6AB5A9CD62B4DCFA14490C8904B3C11_12</vt:lpwstr>
  </property>
</Properties>
</file>