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348B9">
      <w:pPr>
        <w:overflowPunct w:val="0"/>
        <w:snapToGrid w:val="0"/>
        <w:spacing w:line="300" w:lineRule="auto"/>
        <w:jc w:val="both"/>
        <w:rPr>
          <w:rFonts w:hint="eastAsia" w:ascii="Arial" w:hAnsi="Arial" w:eastAsia="宋体" w:cs="Arial"/>
          <w:sz w:val="20"/>
          <w:szCs w:val="20"/>
        </w:rPr>
      </w:pPr>
      <w:bookmarkStart w:id="0" w:name="_GoBack"/>
      <w:bookmarkEnd w:id="0"/>
    </w:p>
    <w:p w14:paraId="21566BD4">
      <w:pPr>
        <w:overflowPunct w:val="0"/>
        <w:snapToGrid w:val="0"/>
        <w:spacing w:line="300" w:lineRule="auto"/>
        <w:jc w:val="both"/>
        <w:rPr>
          <w:rFonts w:ascii="Arial" w:hAnsi="Arial" w:eastAsia="宋体" w:cs="Arial"/>
          <w:sz w:val="20"/>
          <w:szCs w:val="20"/>
        </w:rPr>
      </w:pPr>
    </w:p>
    <w:p w14:paraId="043A7671">
      <w:pPr>
        <w:overflowPunct w:val="0"/>
        <w:snapToGrid w:val="0"/>
        <w:spacing w:line="300" w:lineRule="auto"/>
        <w:jc w:val="both"/>
        <w:rPr>
          <w:rFonts w:ascii="Arial" w:hAnsi="Arial" w:eastAsia="宋体" w:cs="Arial"/>
          <w:sz w:val="20"/>
          <w:szCs w:val="20"/>
        </w:rPr>
      </w:pPr>
    </w:p>
    <w:p w14:paraId="1341361F">
      <w:pPr>
        <w:overflowPunct w:val="0"/>
        <w:snapToGrid w:val="0"/>
        <w:spacing w:line="300" w:lineRule="auto"/>
        <w:jc w:val="both"/>
        <w:rPr>
          <w:rFonts w:ascii="Arial" w:hAnsi="Arial" w:eastAsia="宋体" w:cs="Arial"/>
          <w:sz w:val="20"/>
          <w:szCs w:val="20"/>
        </w:rPr>
      </w:pPr>
    </w:p>
    <w:p w14:paraId="724A445D">
      <w:pPr>
        <w:overflowPunct w:val="0"/>
        <w:snapToGrid w:val="0"/>
        <w:spacing w:before="7" w:line="300" w:lineRule="auto"/>
        <w:jc w:val="both"/>
        <w:rPr>
          <w:rFonts w:ascii="Arial" w:hAnsi="Arial" w:eastAsia="宋体" w:cs="Arial"/>
          <w:sz w:val="19"/>
          <w:szCs w:val="19"/>
        </w:rPr>
      </w:pPr>
    </w:p>
    <w:p w14:paraId="3E3B5463">
      <w:pPr>
        <w:overflowPunct w:val="0"/>
        <w:snapToGrid w:val="0"/>
        <w:spacing w:before="106" w:line="300" w:lineRule="auto"/>
        <w:jc w:val="both"/>
        <w:rPr>
          <w:rFonts w:ascii="Arial" w:hAnsi="Arial" w:eastAsia="宋体" w:cs="Arial"/>
          <w:sz w:val="64"/>
          <w:szCs w:val="64"/>
        </w:rPr>
      </w:pPr>
      <w:r>
        <w:rPr>
          <w:rFonts w:ascii="Arial" w:hAnsi="Arial" w:eastAsia="宋体" w:cs="Arial"/>
          <w:b/>
          <w:sz w:val="64"/>
        </w:rPr>
        <w:t>CPG Sec.280.100 - 稳定性要求 - 许可体外诊断产品</w:t>
      </w:r>
    </w:p>
    <w:p w14:paraId="37397146">
      <w:pPr>
        <w:pStyle w:val="2"/>
        <w:overflowPunct w:val="0"/>
        <w:snapToGrid w:val="0"/>
        <w:spacing w:before="389" w:line="300" w:lineRule="auto"/>
        <w:ind w:left="0"/>
        <w:jc w:val="both"/>
        <w:rPr>
          <w:rFonts w:cs="Arial"/>
          <w:sz w:val="24"/>
          <w:szCs w:val="24"/>
        </w:rPr>
      </w:pPr>
      <w:r>
        <w:rPr>
          <w:rFonts w:cs="Arial"/>
          <w:sz w:val="24"/>
          <w:szCs w:val="24"/>
        </w:rPr>
        <w:t>引言：</w:t>
      </w:r>
    </w:p>
    <w:p w14:paraId="69E08F95">
      <w:pPr>
        <w:tabs>
          <w:tab w:val="left" w:pos="8791"/>
        </w:tabs>
        <w:overflowPunct w:val="0"/>
        <w:snapToGrid w:val="0"/>
        <w:spacing w:before="10" w:line="300" w:lineRule="auto"/>
        <w:jc w:val="both"/>
        <w:rPr>
          <w:rFonts w:ascii="Arial" w:hAnsi="Arial" w:eastAsia="宋体" w:cs="Arial"/>
          <w:sz w:val="24"/>
          <w:szCs w:val="24"/>
        </w:rPr>
      </w:pPr>
    </w:p>
    <w:p w14:paraId="532A3CB8">
      <w:pPr>
        <w:pStyle w:val="2"/>
        <w:overflowPunct w:val="0"/>
        <w:snapToGrid w:val="0"/>
        <w:spacing w:line="300" w:lineRule="auto"/>
        <w:ind w:left="0"/>
        <w:jc w:val="both"/>
        <w:rPr>
          <w:rFonts w:cs="Arial"/>
          <w:sz w:val="24"/>
          <w:szCs w:val="24"/>
        </w:rPr>
      </w:pPr>
      <w:r>
        <w:rPr>
          <w:rFonts w:cs="Arial"/>
          <w:sz w:val="24"/>
          <w:szCs w:val="24"/>
        </w:rPr>
        <w:t>本文档是关于生物制剂评估和研究中心（CBER）许可的体外诊断产品（IVD）的稳定性研究要求的新版合规政策指导（CPG）。</w:t>
      </w:r>
      <w:r>
        <w:rPr>
          <w:rFonts w:hint="eastAsia" w:cs="Arial"/>
          <w:sz w:val="24"/>
          <w:szCs w:val="24"/>
        </w:rPr>
        <w:t>该指导文件为</w:t>
      </w:r>
      <w:r>
        <w:rPr>
          <w:rFonts w:cs="Arial"/>
          <w:sz w:val="24"/>
          <w:szCs w:val="24"/>
        </w:rPr>
        <w:t>合规政策指导手册（1996年8月）</w:t>
      </w:r>
      <w:r>
        <w:rPr>
          <w:rFonts w:hint="eastAsia" w:cs="Arial"/>
          <w:sz w:val="24"/>
          <w:szCs w:val="24"/>
        </w:rPr>
        <w:t>的更新版</w:t>
      </w:r>
      <w:r>
        <w:rPr>
          <w:rFonts w:cs="Arial"/>
          <w:sz w:val="24"/>
          <w:szCs w:val="24"/>
        </w:rPr>
        <w:t>，将纳入下一版手册中。其适用于FDA人员，并将添加到可提供互联网获得的CPG手册的电子版本。</w:t>
      </w:r>
    </w:p>
    <w:p w14:paraId="5137AEE3">
      <w:pPr>
        <w:overflowPunct w:val="0"/>
        <w:snapToGrid w:val="0"/>
        <w:spacing w:before="6" w:line="300" w:lineRule="auto"/>
        <w:jc w:val="both"/>
        <w:rPr>
          <w:rFonts w:ascii="Arial" w:hAnsi="Arial" w:eastAsia="宋体" w:cs="Arial"/>
          <w:sz w:val="24"/>
          <w:szCs w:val="24"/>
        </w:rPr>
      </w:pPr>
    </w:p>
    <w:p w14:paraId="61AF23B2">
      <w:pPr>
        <w:pStyle w:val="2"/>
        <w:overflowPunct w:val="0"/>
        <w:snapToGrid w:val="0"/>
        <w:spacing w:line="300" w:lineRule="auto"/>
        <w:ind w:left="0"/>
        <w:jc w:val="both"/>
        <w:rPr>
          <w:rFonts w:cs="Arial"/>
          <w:sz w:val="24"/>
          <w:szCs w:val="24"/>
        </w:rPr>
      </w:pPr>
      <w:r>
        <w:rPr>
          <w:rFonts w:cs="Arial"/>
          <w:sz w:val="24"/>
          <w:szCs w:val="24"/>
        </w:rPr>
        <w:t>本文档代表本机构对许可体外诊断产品稳定性要求的最新见解。其不会为任何人创造或赋予任何权利，也不对FDA或公众具有约束力。如果替代方法满足适用的法律、法规或其两者的要求，可以使用替代方法。</w:t>
      </w:r>
    </w:p>
    <w:p w14:paraId="60626D7B">
      <w:pPr>
        <w:overflowPunct w:val="0"/>
        <w:snapToGrid w:val="0"/>
        <w:spacing w:before="6" w:line="300" w:lineRule="auto"/>
        <w:jc w:val="both"/>
        <w:rPr>
          <w:rFonts w:ascii="Arial" w:hAnsi="Arial" w:eastAsia="宋体" w:cs="Arial"/>
          <w:sz w:val="24"/>
          <w:szCs w:val="24"/>
        </w:rPr>
      </w:pPr>
    </w:p>
    <w:p w14:paraId="60CB6097">
      <w:pPr>
        <w:pStyle w:val="2"/>
        <w:overflowPunct w:val="0"/>
        <w:snapToGrid w:val="0"/>
        <w:spacing w:line="300" w:lineRule="auto"/>
        <w:ind w:left="0"/>
        <w:jc w:val="both"/>
        <w:rPr>
          <w:rFonts w:cs="Arial"/>
          <w:sz w:val="24"/>
          <w:szCs w:val="24"/>
        </w:rPr>
      </w:pPr>
      <w:r>
        <w:rPr>
          <w:rFonts w:cs="Arial"/>
          <w:sz w:val="24"/>
          <w:szCs w:val="24"/>
        </w:rPr>
        <w:t>背景：</w:t>
      </w:r>
    </w:p>
    <w:p w14:paraId="6D656932">
      <w:pPr>
        <w:overflowPunct w:val="0"/>
        <w:snapToGrid w:val="0"/>
        <w:spacing w:before="10" w:line="300" w:lineRule="auto"/>
        <w:jc w:val="both"/>
        <w:rPr>
          <w:rFonts w:ascii="Arial" w:hAnsi="Arial" w:eastAsia="宋体" w:cs="Arial"/>
          <w:sz w:val="24"/>
          <w:szCs w:val="24"/>
        </w:rPr>
      </w:pPr>
    </w:p>
    <w:p w14:paraId="65F09903">
      <w:pPr>
        <w:pStyle w:val="2"/>
        <w:overflowPunct w:val="0"/>
        <w:snapToGrid w:val="0"/>
        <w:spacing w:line="300" w:lineRule="auto"/>
        <w:ind w:left="0"/>
        <w:jc w:val="both"/>
        <w:rPr>
          <w:rFonts w:cs="Arial"/>
          <w:sz w:val="24"/>
          <w:szCs w:val="24"/>
        </w:rPr>
      </w:pPr>
      <w:r>
        <w:rPr>
          <w:rFonts w:cs="Arial"/>
          <w:sz w:val="24"/>
          <w:szCs w:val="24"/>
        </w:rPr>
        <w:t>根据其预期用途和活性物质，医疗器械当局可能通过联邦食品、药品和化妆品法案批准和许可体外诊断产品或根据公共</w:t>
      </w:r>
      <w:r>
        <w:rPr>
          <w:rFonts w:hint="eastAsia" w:cs="Arial"/>
          <w:sz w:val="24"/>
          <w:szCs w:val="24"/>
        </w:rPr>
        <w:t>卫生</w:t>
      </w:r>
      <w:r>
        <w:rPr>
          <w:rFonts w:cs="Arial"/>
          <w:sz w:val="24"/>
          <w:szCs w:val="24"/>
        </w:rPr>
        <w:t>服务法进行许可。获得许可的IVD必须符合21 CFR 第820部分质量体系法规的要求，21 CFR第809部分的体外诊断产品规定，21 CFR第 211.166部分的要求，21 CFR第600部分的生物制剂法规要求以及特定产品的生物制剂许可要求。</w:t>
      </w:r>
    </w:p>
    <w:p w14:paraId="79B2903A">
      <w:pPr>
        <w:overflowPunct w:val="0"/>
        <w:snapToGrid w:val="0"/>
        <w:spacing w:before="6" w:line="300" w:lineRule="auto"/>
        <w:jc w:val="both"/>
        <w:rPr>
          <w:rFonts w:ascii="Arial" w:hAnsi="Arial" w:eastAsia="宋体" w:cs="Arial"/>
          <w:sz w:val="24"/>
          <w:szCs w:val="24"/>
        </w:rPr>
      </w:pPr>
    </w:p>
    <w:p w14:paraId="5AC63F50">
      <w:pPr>
        <w:pStyle w:val="2"/>
        <w:overflowPunct w:val="0"/>
        <w:snapToGrid w:val="0"/>
        <w:spacing w:line="300" w:lineRule="auto"/>
        <w:ind w:left="0"/>
        <w:jc w:val="both"/>
        <w:rPr>
          <w:rFonts w:cs="Arial"/>
          <w:sz w:val="24"/>
          <w:szCs w:val="24"/>
        </w:rPr>
      </w:pPr>
      <w:r>
        <w:rPr>
          <w:rFonts w:cs="Arial"/>
          <w:sz w:val="24"/>
          <w:szCs w:val="24"/>
        </w:rPr>
        <w:t>在产品批准之前，生物学IVD应符合与稳定性试验有关的不同规定。生物制剂许可法规要求在许可申请（21 CFR 601.2（a））中提供确定产品在有效期内稳定性的数据。21 CFR 809.10</w:t>
      </w:r>
      <w:r>
        <w:rPr>
          <w:rFonts w:hint="eastAsia" w:cs="Arial"/>
          <w:sz w:val="24"/>
          <w:szCs w:val="24"/>
        </w:rPr>
        <w:t>（</w:t>
      </w:r>
      <w:r>
        <w:rPr>
          <w:rFonts w:cs="Arial"/>
          <w:sz w:val="24"/>
          <w:szCs w:val="24"/>
        </w:rPr>
        <w:t>b</w:t>
      </w:r>
      <w:r>
        <w:rPr>
          <w:rFonts w:hint="eastAsia" w:cs="Arial"/>
          <w:sz w:val="24"/>
          <w:szCs w:val="24"/>
        </w:rPr>
        <w:t>）（</w:t>
      </w:r>
      <w:r>
        <w:rPr>
          <w:rFonts w:cs="Arial"/>
          <w:sz w:val="24"/>
          <w:szCs w:val="24"/>
        </w:rPr>
        <w:t>5</w:t>
      </w:r>
      <w:r>
        <w:rPr>
          <w:rFonts w:hint="eastAsia" w:cs="Arial"/>
          <w:sz w:val="24"/>
          <w:szCs w:val="24"/>
        </w:rPr>
        <w:t>）（</w:t>
      </w:r>
      <w:r>
        <w:rPr>
          <w:rFonts w:cs="Arial"/>
          <w:sz w:val="24"/>
          <w:szCs w:val="24"/>
        </w:rPr>
        <w:t>iv</w:t>
      </w:r>
      <w:r>
        <w:rPr>
          <w:rFonts w:hint="eastAsia" w:cs="Arial"/>
          <w:sz w:val="24"/>
          <w:szCs w:val="24"/>
        </w:rPr>
        <w:t>）中的</w:t>
      </w:r>
      <w:r>
        <w:rPr>
          <w:rFonts w:cs="Arial"/>
          <w:sz w:val="24"/>
          <w:szCs w:val="24"/>
        </w:rPr>
        <w:t>IVD</w:t>
      </w:r>
      <w:r>
        <w:rPr>
          <w:rFonts w:hint="eastAsia" w:cs="Arial"/>
          <w:sz w:val="24"/>
          <w:szCs w:val="24"/>
        </w:rPr>
        <w:t>规定要求产品标签提供适当的存储说明，用于保护产品的稳定性。</w:t>
      </w:r>
    </w:p>
    <w:p w14:paraId="2B85155A">
      <w:pPr>
        <w:pStyle w:val="2"/>
        <w:overflowPunct w:val="0"/>
        <w:snapToGrid w:val="0"/>
        <w:spacing w:line="300" w:lineRule="auto"/>
        <w:ind w:left="0"/>
        <w:jc w:val="both"/>
        <w:rPr>
          <w:rFonts w:cs="Arial"/>
          <w:sz w:val="24"/>
          <w:szCs w:val="24"/>
        </w:rPr>
      </w:pPr>
    </w:p>
    <w:p w14:paraId="5DDEFA08">
      <w:pPr>
        <w:overflowPunct w:val="0"/>
      </w:pPr>
      <w:r>
        <w:t>政策</w:t>
      </w:r>
      <w:r>
        <w:rPr>
          <w:rFonts w:hint="eastAsia"/>
        </w:rPr>
        <w:t>：</w:t>
      </w:r>
    </w:p>
    <w:p w14:paraId="75970398">
      <w:pPr>
        <w:overflowPunct w:val="0"/>
      </w:pPr>
    </w:p>
    <w:p w14:paraId="0649643F">
      <w:pPr>
        <w:overflowPunct w:val="0"/>
      </w:pPr>
    </w:p>
    <w:p w14:paraId="1EC68D8B">
      <w:pPr>
        <w:overflowPunct w:val="0"/>
      </w:pPr>
    </w:p>
    <w:p w14:paraId="753EA01D">
      <w:pPr>
        <w:overflowPunct w:val="0"/>
      </w:pPr>
    </w:p>
    <w:p w14:paraId="286A5810">
      <w:pPr>
        <w:overflowPunct w:val="0"/>
      </w:pPr>
    </w:p>
    <w:p w14:paraId="2EDB348C">
      <w:pPr>
        <w:overflowPunct w:val="0"/>
      </w:pPr>
    </w:p>
    <w:p w14:paraId="4DB03494">
      <w:pPr>
        <w:overflowPunct w:val="0"/>
      </w:pPr>
    </w:p>
    <w:p w14:paraId="6E5F7A7C">
      <w:pPr>
        <w:overflowPunct w:val="0"/>
      </w:pPr>
    </w:p>
    <w:p w14:paraId="3B36C7CD">
      <w:pPr>
        <w:overflowPunct w:val="0"/>
      </w:pPr>
    </w:p>
    <w:p w14:paraId="08D71201">
      <w:pPr>
        <w:overflowPunct w:val="0"/>
      </w:pPr>
    </w:p>
    <w:p w14:paraId="2C55271D">
      <w:pPr>
        <w:pStyle w:val="2"/>
        <w:overflowPunct w:val="0"/>
        <w:snapToGrid w:val="0"/>
        <w:spacing w:before="207" w:line="300" w:lineRule="auto"/>
        <w:ind w:left="0"/>
        <w:jc w:val="both"/>
        <w:rPr>
          <w:rFonts w:cs="Arial"/>
          <w:sz w:val="24"/>
          <w:szCs w:val="24"/>
        </w:rPr>
      </w:pPr>
      <w:r>
        <w:rPr>
          <w:rFonts w:cs="Arial"/>
          <w:sz w:val="24"/>
          <w:szCs w:val="24"/>
        </w:rPr>
        <w:t>作为许可条件，CBER要求在批准新型IVD产品申请之前进行稳定性研究，以确保其符合标签上标明的失效日期和存储条件。已许可的IVD通常无需进行批准后稳定性研究。例外情况包括：</w:t>
      </w:r>
    </w:p>
    <w:p w14:paraId="15C4D639">
      <w:pPr>
        <w:overflowPunct w:val="0"/>
        <w:snapToGrid w:val="0"/>
        <w:spacing w:before="6" w:line="300" w:lineRule="auto"/>
        <w:jc w:val="both"/>
        <w:rPr>
          <w:rFonts w:ascii="Arial" w:hAnsi="Arial" w:eastAsia="宋体" w:cs="Arial"/>
          <w:sz w:val="24"/>
          <w:szCs w:val="24"/>
        </w:rPr>
      </w:pPr>
    </w:p>
    <w:p w14:paraId="255A5EFD">
      <w:pPr>
        <w:pStyle w:val="9"/>
        <w:numPr>
          <w:ilvl w:val="2"/>
          <w:numId w:val="1"/>
        </w:numPr>
        <w:tabs>
          <w:tab w:val="left" w:pos="613"/>
        </w:tabs>
        <w:overflowPunct w:val="0"/>
        <w:snapToGrid w:val="0"/>
        <w:spacing w:line="300" w:lineRule="auto"/>
        <w:ind w:left="0" w:firstLine="0"/>
        <w:jc w:val="both"/>
        <w:rPr>
          <w:rFonts w:ascii="Arial" w:hAnsi="Arial" w:eastAsia="宋体" w:cs="Arial"/>
          <w:sz w:val="24"/>
          <w:szCs w:val="24"/>
        </w:rPr>
      </w:pPr>
      <w:r>
        <w:rPr>
          <w:rFonts w:ascii="Arial" w:hAnsi="Arial" w:eastAsia="宋体" w:cs="Arial"/>
          <w:sz w:val="24"/>
          <w:szCs w:val="24"/>
        </w:rPr>
        <w:t>批准许可所需的稳定性研究</w:t>
      </w:r>
      <w:r>
        <w:rPr>
          <w:rFonts w:hint="eastAsia" w:ascii="Arial" w:hAnsi="Arial" w:eastAsia="宋体" w:cs="Arial"/>
          <w:sz w:val="24"/>
          <w:szCs w:val="24"/>
        </w:rPr>
        <w:t>；</w:t>
      </w:r>
    </w:p>
    <w:p w14:paraId="5E1A43DE">
      <w:pPr>
        <w:pStyle w:val="9"/>
        <w:numPr>
          <w:ilvl w:val="2"/>
          <w:numId w:val="1"/>
        </w:numPr>
        <w:tabs>
          <w:tab w:val="left" w:pos="613"/>
        </w:tabs>
        <w:overflowPunct w:val="0"/>
        <w:snapToGrid w:val="0"/>
        <w:spacing w:before="192" w:line="300" w:lineRule="auto"/>
        <w:ind w:left="0" w:firstLine="0"/>
        <w:jc w:val="both"/>
        <w:rPr>
          <w:rFonts w:ascii="Arial" w:hAnsi="Arial" w:eastAsia="宋体" w:cs="Arial"/>
          <w:sz w:val="24"/>
          <w:szCs w:val="24"/>
        </w:rPr>
      </w:pPr>
      <w:r>
        <w:rPr>
          <w:rFonts w:ascii="Arial" w:hAnsi="Arial" w:eastAsia="宋体" w:cs="Arial"/>
          <w:sz w:val="24"/>
          <w:szCs w:val="24"/>
        </w:rPr>
        <w:t>制造工艺出现变更或偏差或配方出现变更的产品的稳定性研究；以及</w:t>
      </w:r>
    </w:p>
    <w:p w14:paraId="120B4F8A">
      <w:pPr>
        <w:pStyle w:val="9"/>
        <w:numPr>
          <w:ilvl w:val="2"/>
          <w:numId w:val="1"/>
        </w:numPr>
        <w:tabs>
          <w:tab w:val="left" w:pos="613"/>
        </w:tabs>
        <w:overflowPunct w:val="0"/>
        <w:snapToGrid w:val="0"/>
        <w:spacing w:before="131" w:line="300" w:lineRule="auto"/>
        <w:ind w:left="0" w:firstLine="0"/>
        <w:jc w:val="both"/>
        <w:rPr>
          <w:rFonts w:ascii="Arial" w:hAnsi="Arial" w:eastAsia="宋体" w:cs="Arial"/>
          <w:sz w:val="24"/>
          <w:szCs w:val="24"/>
        </w:rPr>
      </w:pPr>
      <w:r>
        <w:rPr>
          <w:rFonts w:ascii="Arial" w:hAnsi="Arial" w:eastAsia="宋体" w:cs="Arial"/>
          <w:sz w:val="24"/>
          <w:szCs w:val="24"/>
        </w:rPr>
        <w:t>作为针对故障调查制定的纠正和预防措施计划一部分以支持前述失效日期的稳定性研究。</w:t>
      </w:r>
    </w:p>
    <w:p w14:paraId="3C988D3A">
      <w:pPr>
        <w:overflowPunct w:val="0"/>
        <w:snapToGrid w:val="0"/>
        <w:spacing w:before="6" w:line="300" w:lineRule="auto"/>
        <w:jc w:val="both"/>
        <w:rPr>
          <w:rFonts w:ascii="Arial" w:hAnsi="Arial" w:eastAsia="宋体" w:cs="Arial"/>
          <w:sz w:val="24"/>
          <w:szCs w:val="24"/>
        </w:rPr>
      </w:pPr>
    </w:p>
    <w:p w14:paraId="647704F2">
      <w:pPr>
        <w:pStyle w:val="2"/>
        <w:overflowPunct w:val="0"/>
        <w:snapToGrid w:val="0"/>
        <w:spacing w:line="300" w:lineRule="auto"/>
        <w:ind w:left="0"/>
        <w:jc w:val="both"/>
        <w:rPr>
          <w:rFonts w:cs="Arial"/>
          <w:sz w:val="24"/>
          <w:szCs w:val="24"/>
        </w:rPr>
      </w:pPr>
      <w:r>
        <w:rPr>
          <w:rFonts w:cs="Arial"/>
          <w:sz w:val="24"/>
          <w:szCs w:val="24"/>
        </w:rPr>
        <w:t>监管行动指南：</w:t>
      </w:r>
    </w:p>
    <w:p w14:paraId="3DAEF18D">
      <w:pPr>
        <w:overflowPunct w:val="0"/>
        <w:snapToGrid w:val="0"/>
        <w:spacing w:before="10" w:line="300" w:lineRule="auto"/>
        <w:jc w:val="both"/>
        <w:rPr>
          <w:rFonts w:ascii="Arial" w:hAnsi="Arial" w:eastAsia="宋体" w:cs="Arial"/>
          <w:sz w:val="24"/>
          <w:szCs w:val="24"/>
        </w:rPr>
      </w:pPr>
    </w:p>
    <w:p w14:paraId="5DA1F3DC">
      <w:pPr>
        <w:pStyle w:val="2"/>
        <w:overflowPunct w:val="0"/>
        <w:snapToGrid w:val="0"/>
        <w:spacing w:line="300" w:lineRule="auto"/>
        <w:ind w:left="0"/>
        <w:jc w:val="both"/>
        <w:rPr>
          <w:rFonts w:cs="Arial"/>
          <w:sz w:val="24"/>
          <w:szCs w:val="24"/>
        </w:rPr>
      </w:pPr>
      <w:r>
        <w:rPr>
          <w:rFonts w:cs="Arial"/>
          <w:sz w:val="24"/>
          <w:szCs w:val="24"/>
        </w:rPr>
        <w:t>如果（1）要求制造商执行批准后研究以作为许可条件；（2）制造商变更了配方或制造工艺；或（3）制造商已承诺执行批准后稳定性研究，以作为纠正和预防措施计划一部分，但其未能执行批准后稳定性研究，则研究者可以传讯许可IVD制造商。研究者应将有关企业是否需要执行批准后稳定性研究的任何问题转交给CBER，合规和生物制剂质量办公室，案例管理司（HFM-610）。</w:t>
      </w:r>
    </w:p>
    <w:p w14:paraId="218CD132">
      <w:pPr>
        <w:overflowPunct w:val="0"/>
        <w:snapToGrid w:val="0"/>
        <w:spacing w:before="6" w:line="300" w:lineRule="auto"/>
        <w:jc w:val="both"/>
        <w:rPr>
          <w:rFonts w:ascii="Arial" w:hAnsi="Arial" w:eastAsia="宋体" w:cs="Arial"/>
          <w:sz w:val="24"/>
          <w:szCs w:val="24"/>
        </w:rPr>
      </w:pPr>
    </w:p>
    <w:p w14:paraId="269CD300">
      <w:pPr>
        <w:pStyle w:val="2"/>
        <w:overflowPunct w:val="0"/>
        <w:snapToGrid w:val="0"/>
        <w:spacing w:line="300" w:lineRule="auto"/>
        <w:ind w:left="0"/>
        <w:jc w:val="both"/>
        <w:rPr>
          <w:rFonts w:cs="Arial"/>
          <w:sz w:val="24"/>
          <w:szCs w:val="24"/>
        </w:rPr>
      </w:pPr>
      <w:r>
        <w:rPr>
          <w:rFonts w:cs="Arial"/>
          <w:sz w:val="24"/>
          <w:szCs w:val="24"/>
        </w:rPr>
        <w:t>发布日期：2000/8/14</w:t>
      </w:r>
    </w:p>
    <w:p w14:paraId="4ED6E5D1">
      <w:pPr>
        <w:overflowPunct w:val="0"/>
        <w:snapToGrid w:val="0"/>
        <w:spacing w:line="300" w:lineRule="auto"/>
        <w:jc w:val="both"/>
        <w:rPr>
          <w:rFonts w:ascii="Arial" w:hAnsi="Arial" w:eastAsia="宋体" w:cs="Arial"/>
          <w:sz w:val="24"/>
          <w:szCs w:val="24"/>
        </w:rPr>
      </w:pPr>
    </w:p>
    <w:tbl>
      <w:tblPr>
        <w:tblStyle w:val="6"/>
        <w:tblW w:w="5000" w:type="pct"/>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0" w:type="dxa"/>
          <w:bottom w:w="0" w:type="dxa"/>
          <w:right w:w="0" w:type="dxa"/>
        </w:tblCellMar>
      </w:tblPr>
      <w:tblGrid>
        <w:gridCol w:w="10796"/>
      </w:tblGrid>
      <w:tr w14:paraId="49B52A3D">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0" w:type="dxa"/>
            <w:bottom w:w="0" w:type="dxa"/>
            <w:right w:w="0" w:type="dxa"/>
          </w:tblCellMar>
        </w:tblPrEx>
        <w:trPr>
          <w:trHeight w:val="339" w:hRule="atLeast"/>
        </w:trPr>
        <w:tc>
          <w:tcPr>
            <w:tcW w:w="5000" w:type="pct"/>
            <w:tcBorders>
              <w:top w:val="single" w:color="366091" w:themeColor="accent1" w:themeShade="BF" w:sz="12" w:space="0"/>
              <w:left w:val="single" w:color="366091" w:themeColor="accent1" w:themeShade="BF" w:sz="12" w:space="0"/>
              <w:bottom w:val="single" w:color="366091" w:themeColor="accent1" w:themeShade="BF" w:sz="12" w:space="0"/>
              <w:right w:val="single" w:color="366091" w:themeColor="accent1" w:themeShade="BF" w:sz="12" w:space="0"/>
            </w:tcBorders>
            <w:shd w:val="clear" w:color="auto" w:fill="FFFFFF"/>
          </w:tcPr>
          <w:p w14:paraId="385D02F9">
            <w:pPr>
              <w:widowControl/>
              <w:tabs>
                <w:tab w:val="center" w:pos="5388"/>
              </w:tabs>
              <w:overflowPunct w:val="0"/>
              <w:snapToGrid w:val="0"/>
              <w:spacing w:before="144" w:beforeLines="60" w:after="144" w:afterLines="60" w:line="276" w:lineRule="auto"/>
              <w:ind w:left="66" w:leftChars="30" w:right="66" w:rightChars="30"/>
              <w:rPr>
                <w:rFonts w:ascii="Arial" w:hAnsi="Arial" w:eastAsia="Times New Roman" w:cs="Arial"/>
                <w:sz w:val="24"/>
                <w:szCs w:val="24"/>
                <w:u w:val="single"/>
              </w:rPr>
            </w:pPr>
            <w:r>
              <w:rPr>
                <w:rFonts w:hint="eastAsia" w:ascii="宋体" w:hAnsi="宋体" w:eastAsia="宋体" w:cs="宋体"/>
                <w:b/>
                <w:sz w:val="24"/>
                <w:szCs w:val="24"/>
                <w:u w:val="single"/>
                <w:lang w:eastAsia="en-US"/>
              </w:rPr>
              <w:t>合规政策指导的更多信息</w:t>
            </w:r>
            <w:r>
              <w:rPr>
                <w:rFonts w:hint="eastAsia" w:ascii="Arial" w:hAnsi="Arial" w:eastAsia="Times New Roman" w:cs="Arial"/>
                <w:b/>
                <w:sz w:val="24"/>
                <w:szCs w:val="24"/>
                <w:u w:val="single"/>
                <w:lang w:eastAsia="en-US"/>
              </w:rPr>
              <w:t>(/ICECI/ComplianceManuals/CompliancePolicyGuidanceManual/default.htm)</w:t>
            </w:r>
          </w:p>
        </w:tc>
      </w:tr>
    </w:tbl>
    <w:tbl>
      <w:tblPr>
        <w:tblStyle w:val="8"/>
        <w:tblW w:w="5000" w:type="pct"/>
        <w:tblInd w:w="0" w:type="dxa"/>
        <w:tblLayout w:type="autofit"/>
        <w:tblCellMar>
          <w:top w:w="0" w:type="dxa"/>
          <w:left w:w="0" w:type="dxa"/>
          <w:bottom w:w="0" w:type="dxa"/>
          <w:right w:w="0" w:type="dxa"/>
        </w:tblCellMar>
      </w:tblPr>
      <w:tblGrid>
        <w:gridCol w:w="10782"/>
      </w:tblGrid>
      <w:tr w14:paraId="3C54909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2DEC3A39">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lang w:eastAsia="en-US"/>
              </w:rPr>
              <w:t>前言</w:t>
            </w:r>
            <w:r>
              <w:rPr>
                <w:rFonts w:hint="eastAsia" w:ascii="Arial" w:hAnsi="Arial" w:eastAsia="宋体" w:cs="Arial"/>
                <w:b/>
                <w:sz w:val="24"/>
                <w:szCs w:val="24"/>
                <w:u w:val="single"/>
              </w:rPr>
              <w:t>：</w:t>
            </w:r>
            <w:r>
              <w:rPr>
                <w:rFonts w:hint="eastAsia" w:ascii="Arial" w:hAnsi="Arial" w:eastAsia="宋体" w:cs="Arial"/>
                <w:b/>
                <w:sz w:val="24"/>
                <w:szCs w:val="24"/>
                <w:u w:val="single"/>
              </w:rPr>
              <w:fldChar w:fldCharType="end"/>
            </w:r>
            <w:r>
              <w:fldChar w:fldCharType="begin"/>
            </w:r>
            <w:r>
              <w:instrText xml:space="preserve"> HYPERLINK "https://www.fda.gov/ICECI/ComplianceManuals/CompliancePolicyGuidanceManual/ucm116271.htm" \h </w:instrText>
            </w:r>
            <w:r>
              <w:fldChar w:fldCharType="separate"/>
            </w:r>
            <w:r>
              <w:rPr>
                <w:rFonts w:ascii="Arial" w:hAnsi="Arial" w:eastAsia="宋体" w:cs="Arial"/>
                <w:b/>
                <w:sz w:val="24"/>
                <w:szCs w:val="24"/>
                <w:u w:val="single"/>
                <w:lang w:eastAsia="en-US"/>
              </w:rPr>
              <w:t>合规政策指导(CPG) (/ICECI/ComplianceManuals/CompliancePolicyGuidanceManual/ucm116271.htm)</w:t>
            </w:r>
            <w:r>
              <w:rPr>
                <w:rFonts w:ascii="Arial" w:hAnsi="Arial" w:eastAsia="宋体" w:cs="Arial"/>
                <w:b/>
                <w:sz w:val="24"/>
                <w:szCs w:val="24"/>
                <w:u w:val="single"/>
                <w:lang w:eastAsia="en-US"/>
              </w:rPr>
              <w:fldChar w:fldCharType="end"/>
            </w:r>
          </w:p>
        </w:tc>
      </w:tr>
      <w:tr w14:paraId="4D7D974D">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56BB8C1C">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z w:val="24"/>
                <w:szCs w:val="24"/>
                <w:u w:val="single"/>
                <w:lang w:eastAsia="en-US"/>
              </w:rPr>
              <w:t xml:space="preserve">第1章 – </w:t>
            </w:r>
            <w:r>
              <w:rPr>
                <w:rFonts w:hint="eastAsia" w:ascii="Arial" w:hAnsi="Arial" w:eastAsia="宋体" w:cs="Arial"/>
                <w:b/>
                <w:sz w:val="24"/>
                <w:szCs w:val="24"/>
                <w:u w:val="single"/>
              </w:rPr>
              <w:t>概述</w:t>
            </w:r>
            <w:r>
              <w:rPr>
                <w:rFonts w:ascii="Arial" w:hAnsi="Arial" w:eastAsia="宋体" w:cs="Arial"/>
                <w:b/>
                <w:sz w:val="24"/>
                <w:szCs w:val="24"/>
                <w:u w:val="single"/>
                <w:lang w:eastAsia="en-US"/>
              </w:rPr>
              <w:t xml:space="preserve"> (/ICECI/ComplianceManuals/CompliancePolicyGuidanceManual/ucm116280.htm)</w:t>
            </w:r>
            <w:r>
              <w:rPr>
                <w:rFonts w:ascii="Arial" w:hAnsi="Arial" w:eastAsia="宋体" w:cs="Arial"/>
                <w:b/>
                <w:sz w:val="24"/>
                <w:szCs w:val="24"/>
                <w:u w:val="single"/>
                <w:lang w:eastAsia="en-US"/>
              </w:rPr>
              <w:fldChar w:fldCharType="end"/>
            </w:r>
          </w:p>
        </w:tc>
      </w:tr>
      <w:tr w14:paraId="60EACE4D">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5FDF17C8">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z w:val="24"/>
                <w:szCs w:val="24"/>
                <w:u w:val="single"/>
                <w:lang w:eastAsia="en-US"/>
              </w:rPr>
              <w:t>第2章 - 生物制剂(/ICECI/ComplianceManuals/CompliancePolicyGuidanceManual/ucm116336.htm)</w:t>
            </w:r>
            <w:r>
              <w:rPr>
                <w:rFonts w:ascii="Arial" w:hAnsi="Arial" w:eastAsia="宋体" w:cs="Arial"/>
                <w:b/>
                <w:sz w:val="24"/>
                <w:szCs w:val="24"/>
                <w:u w:val="single"/>
                <w:lang w:eastAsia="en-US"/>
              </w:rPr>
              <w:fldChar w:fldCharType="end"/>
            </w:r>
          </w:p>
        </w:tc>
      </w:tr>
      <w:tr w14:paraId="7576A39A">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5EA494D5">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z w:val="24"/>
                <w:szCs w:val="24"/>
                <w:u w:val="single"/>
                <w:lang w:eastAsia="en-US"/>
              </w:rPr>
              <w:t>第3章 - 器械 (/ICECI/ComplianceManuals/CompliancePolicyGuidanceManual/ucm116801.htm)</w:t>
            </w:r>
            <w:r>
              <w:rPr>
                <w:rFonts w:ascii="Arial" w:hAnsi="Arial" w:eastAsia="宋体" w:cs="Arial"/>
                <w:b/>
                <w:sz w:val="24"/>
                <w:szCs w:val="24"/>
                <w:u w:val="single"/>
                <w:lang w:eastAsia="en-US"/>
              </w:rPr>
              <w:fldChar w:fldCharType="end"/>
            </w:r>
          </w:p>
        </w:tc>
      </w:tr>
      <w:tr w14:paraId="2445F0F5">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5867CE73">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"https://www.fda.gov/ICECI/ComplianceManuals/CompliancePolicyGuidanceManual/ucm119572.htm" \h </w:instrText>
            </w:r>
            <w:r>
              <w:fldChar w:fldCharType="separate"/>
            </w:r>
            <w:r>
              <w:rPr>
                <w:rFonts w:ascii="Arial" w:hAnsi="Arial" w:eastAsia="宋体" w:cs="Arial"/>
                <w:b/>
                <w:sz w:val="24"/>
                <w:szCs w:val="24"/>
                <w:u w:val="single"/>
                <w:lang w:eastAsia="en-US"/>
              </w:rPr>
              <w:t>第4章 - 人类药物 (/ICECI/ComplianceManuals/CompliancePolicyGuidanceManual/ucm119572.htm)</w:t>
            </w:r>
            <w:r>
              <w:rPr>
                <w:rFonts w:ascii="Arial" w:hAnsi="Arial" w:eastAsia="宋体" w:cs="Arial"/>
                <w:b/>
                <w:sz w:val="24"/>
                <w:szCs w:val="24"/>
                <w:u w:val="single"/>
                <w:lang w:eastAsia="en-US"/>
              </w:rPr>
              <w:fldChar w:fldCharType="end"/>
            </w:r>
          </w:p>
        </w:tc>
      </w:tr>
    </w:tbl>
    <w:p w14:paraId="10E88E39">
      <w:r>
        <w:br w:type="page"/>
      </w:r>
    </w:p>
    <w:tbl>
      <w:tblPr>
        <w:tblStyle w:val="8"/>
        <w:tblW w:w="5000" w:type="pct"/>
        <w:tblInd w:w="0" w:type="dxa"/>
        <w:tblLayout w:type="autofit"/>
        <w:tblCellMar>
          <w:top w:w="0" w:type="dxa"/>
          <w:left w:w="0" w:type="dxa"/>
          <w:bottom w:w="0" w:type="dxa"/>
          <w:right w:w="0" w:type="dxa"/>
        </w:tblCellMar>
      </w:tblPr>
      <w:tblGrid>
        <w:gridCol w:w="10782"/>
      </w:tblGrid>
      <w:tr w14:paraId="4289101F">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4EC0DE67">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"https://www.fda.gov/ICECI/ComplianceManuals/CompliancePolicyGuidanceManual/ucm119194.htm" \h </w:instrText>
            </w:r>
            <w:r>
              <w:fldChar w:fldCharType="separate"/>
            </w:r>
            <w:r>
              <w:rPr>
                <w:rFonts w:hint="eastAsia" w:ascii="Arial" w:hAnsi="Arial" w:eastAsia="宋体" w:cs="Arial"/>
                <w:b/>
                <w:sz w:val="24"/>
                <w:szCs w:val="24"/>
                <w:u w:val="single"/>
                <w:lang w:eastAsia="en-US"/>
              </w:rPr>
              <w:t>第5章 - 食品，颜料和化妆品</w:t>
            </w:r>
            <w:r>
              <w:rPr>
                <w:rFonts w:hint="eastAsia" w:ascii="Arial" w:hAnsi="Arial" w:eastAsia="宋体" w:cs="Arial"/>
                <w:b/>
                <w:sz w:val="24"/>
                <w:szCs w:val="24"/>
                <w:u w:val="single"/>
                <w:lang w:eastAsia="en-US"/>
              </w:rPr>
              <w:fldChar w:fldCharType="end"/>
            </w:r>
            <w:r>
              <w:fldChar w:fldCharType="begin"/>
            </w:r>
            <w:r>
              <w:instrText xml:space="preserve"> HYPERLINK "https://www.fda.gov/ICECI/ComplianceManuals/CompliancePolicyGuidanceManual/ucm119194.htm" \h </w:instrText>
            </w:r>
            <w:r>
              <w:fldChar w:fldCharType="separate"/>
            </w:r>
            <w:r>
              <w:rPr>
                <w:rFonts w:hint="eastAsia" w:ascii="Arial" w:hAnsi="Arial" w:eastAsia="宋体" w:cs="Arial"/>
                <w:b/>
                <w:sz w:val="24"/>
                <w:szCs w:val="24"/>
                <w:u w:val="single"/>
                <w:lang w:eastAsia="en-US"/>
              </w:rPr>
              <w:t>(/ICECI/ComplianceManuals/CompliancePolicyGuidanceManual/ucm119194.htm)</w:t>
            </w:r>
            <w:r>
              <w:rPr>
                <w:rFonts w:hint="eastAsia" w:ascii="Arial" w:hAnsi="Arial" w:eastAsia="宋体" w:cs="Arial"/>
                <w:b/>
                <w:sz w:val="24"/>
                <w:szCs w:val="24"/>
                <w:u w:val="single"/>
                <w:lang w:eastAsia="en-US"/>
              </w:rPr>
              <w:fldChar w:fldCharType="end"/>
            </w:r>
          </w:p>
        </w:tc>
      </w:tr>
      <w:tr w14:paraId="30D28D47">
        <w:tblPrEx>
          <w:tblCellMar>
            <w:top w:w="0" w:type="dxa"/>
            <w:left w:w="0" w:type="dxa"/>
            <w:bottom w:w="0" w:type="dxa"/>
            <w:right w:w="0" w:type="dxa"/>
          </w:tblCellMar>
        </w:tblPrEx>
        <w:tc>
          <w:tcPr>
            <w:tcW w:w="5000" w:type="pct"/>
            <w:tcBorders>
              <w:top w:val="single" w:color="DDDDDD" w:sz="6" w:space="0"/>
              <w:left w:val="single" w:color="DDDDDD" w:sz="6" w:space="0"/>
              <w:bottom w:val="single" w:color="DDDDDD" w:sz="6" w:space="0"/>
              <w:right w:val="single" w:color="DDDDDD" w:sz="6" w:space="0"/>
            </w:tcBorders>
          </w:tcPr>
          <w:p w14:paraId="7DCE25F0">
            <w:pPr>
              <w:widowControl/>
              <w:tabs>
                <w:tab w:val="center" w:pos="5388"/>
              </w:tabs>
              <w:overflowPunct w:val="0"/>
              <w:snapToGrid w:val="0"/>
              <w:spacing w:before="144" w:beforeLines="60" w:after="144" w:afterLines="60" w:line="276" w:lineRule="auto"/>
              <w:ind w:left="66" w:leftChars="30" w:right="66" w:rightChars="30"/>
              <w:rPr>
                <w:rFonts w:ascii="Arial" w:hAnsi="Arial" w:eastAsia="宋体" w:cs="Arial"/>
                <w:b/>
                <w:sz w:val="24"/>
                <w:szCs w:val="24"/>
                <w:u w:val="single"/>
                <w:lang w:eastAsia="en-US"/>
              </w:rPr>
            </w:pPr>
            <w:r>
              <w:fldChar w:fldCharType="begin"/>
            </w:r>
            <w:r>
              <w:instrText xml:space="preserve"> HYPERLINK "https://www.fda.gov/ICECI/ComplianceManuals/CompliancePolicyGuidanceManual/ucm117042.htm" \h </w:instrText>
            </w:r>
            <w:r>
              <w:fldChar w:fldCharType="separate"/>
            </w:r>
            <w:r>
              <w:rPr>
                <w:rFonts w:hint="eastAsia" w:ascii="Arial" w:hAnsi="Arial" w:eastAsia="宋体" w:cs="Arial"/>
                <w:b/>
                <w:sz w:val="24"/>
                <w:szCs w:val="24"/>
                <w:u w:val="single"/>
                <w:lang w:eastAsia="en-US"/>
              </w:rPr>
              <w:t>第6章 - 兽医医学</w:t>
            </w:r>
            <w:r>
              <w:rPr>
                <w:rFonts w:hint="eastAsia" w:ascii="Arial" w:hAnsi="Arial" w:eastAsia="宋体" w:cs="Arial"/>
                <w:b/>
                <w:sz w:val="24"/>
                <w:szCs w:val="24"/>
                <w:u w:val="single"/>
                <w:lang w:eastAsia="en-US"/>
              </w:rPr>
              <w:fldChar w:fldCharType="end"/>
            </w:r>
            <w:r>
              <w:fldChar w:fldCharType="begin"/>
            </w:r>
            <w:r>
              <w:instrText xml:space="preserve"> HYPERLINK "https://www.fda.gov/ICECI/ComplianceManuals/CompliancePolicyGuidanceManual/ucm117042.htm" \h </w:instrText>
            </w:r>
            <w:r>
              <w:fldChar w:fldCharType="separate"/>
            </w:r>
            <w:r>
              <w:rPr>
                <w:rFonts w:hint="eastAsia" w:ascii="Arial" w:hAnsi="Arial" w:eastAsia="宋体" w:cs="Arial"/>
                <w:b/>
                <w:sz w:val="24"/>
                <w:szCs w:val="24"/>
                <w:u w:val="single"/>
                <w:lang w:eastAsia="en-US"/>
              </w:rPr>
              <w:t>(/ICECI/ComplianceManuals/CompliancePolicyGuidanceManual/ucm117042.htm)</w:t>
            </w:r>
            <w:r>
              <w:rPr>
                <w:rFonts w:hint="eastAsia" w:ascii="Arial" w:hAnsi="Arial" w:eastAsia="宋体" w:cs="Arial"/>
                <w:b/>
                <w:sz w:val="24"/>
                <w:szCs w:val="24"/>
                <w:u w:val="single"/>
                <w:lang w:eastAsia="en-US"/>
              </w:rPr>
              <w:fldChar w:fldCharType="end"/>
            </w:r>
          </w:p>
        </w:tc>
      </w:tr>
    </w:tbl>
    <w:p w14:paraId="70F7EF85">
      <w:pPr>
        <w:overflowPunct w:val="0"/>
        <w:snapToGrid w:val="0"/>
        <w:spacing w:line="300" w:lineRule="auto"/>
        <w:rPr>
          <w:rFonts w:ascii="Arial" w:hAnsi="Arial" w:eastAsia="宋体" w:cs="Arial"/>
          <w:sz w:val="24"/>
          <w:szCs w:val="24"/>
        </w:rPr>
      </w:pPr>
    </w:p>
    <w:p w14:paraId="14EA5892">
      <w:pPr>
        <w:overflowPunct w:val="0"/>
        <w:snapToGrid w:val="0"/>
        <w:spacing w:line="300" w:lineRule="auto"/>
        <w:jc w:val="both"/>
        <w:rPr>
          <w:rFonts w:hint="eastAsia" w:eastAsia="宋体"/>
          <w:lang w:eastAsia="zh-CN"/>
        </w:rPr>
      </w:pPr>
    </w:p>
    <w:p w14:paraId="2B43967F">
      <w:pPr>
        <w:overflowPunct w:val="0"/>
        <w:snapToGrid w:val="0"/>
        <w:spacing w:line="300" w:lineRule="auto"/>
        <w:jc w:val="center"/>
        <w:rPr>
          <w:rFonts w:hint="eastAsia" w:eastAsia="宋体"/>
          <w:lang w:eastAsia="zh-CN"/>
        </w:rPr>
      </w:pPr>
    </w:p>
    <w:p w14:paraId="6363BF80">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8E2F">
    <w:pPr>
      <w:tabs>
        <w:tab w:val="right" w:pos="10773"/>
      </w:tabs>
      <w:overflowPunct w:val="0"/>
      <w:spacing w:line="184" w:lineRule="exact"/>
      <w:ind w:left="40"/>
      <w:rPr>
        <w:rFonts w:ascii="Arial" w:hAnsi="Arial" w:eastAsia="宋体" w:cs="Arial"/>
        <w:sz w:val="18"/>
        <w:szCs w:val="18"/>
      </w:rPr>
    </w:pPr>
    <w:r>
      <w:fldChar w:fldCharType="begin"/>
    </w:r>
    <w:r>
      <w:instrText xml:space="preserve"> HYPERLINK "http://www.fda.gov/ICECI/ComplianceManuals/CompliancePolicyGuidanceManual/ucm073881.htm" \h </w:instrText>
    </w:r>
    <w:r>
      <w:fldChar w:fldCharType="separate"/>
    </w:r>
    <w:r>
      <w:rPr>
        <w:rFonts w:hint="eastAsia" w:ascii="Arial" w:eastAsia="宋体"/>
        <w:sz w:val="18"/>
        <w:szCs w:val="18"/>
      </w:rPr>
      <w:t>https://www.fda.gov/ICECI/ComplianceManuals/CompliancePolicyGuidanceManual/ucm073881.htm</w:t>
    </w:r>
    <w:r>
      <w:rPr>
        <w:rFonts w:hint="eastAsia" w:ascii="Arial" w:eastAsia="宋体"/>
        <w:sz w:val="18"/>
        <w:szCs w:val="18"/>
      </w:rPr>
      <w:fldChar w:fldCharType="end"/>
    </w:r>
    <w:r>
      <w:rPr>
        <w:rFonts w:hint="eastAsia" w:ascii="Arial" w:eastAsia="宋体"/>
        <w:sz w:val="18"/>
        <w:szCs w:val="18"/>
      </w:rPr>
      <w:tab/>
    </w:r>
    <w:r>
      <w:rPr>
        <w:sz w:val="18"/>
        <w:szCs w:val="18"/>
      </w:rPr>
      <w:fldChar w:fldCharType="begin"/>
    </w:r>
    <w:r>
      <w:rPr>
        <w:rFonts w:hint="eastAsia" w:ascii="Arial" w:eastAsia="宋体"/>
        <w:sz w:val="18"/>
        <w:szCs w:val="18"/>
      </w:rPr>
      <w:instrText xml:space="preserve"> PAGE </w:instrText>
    </w:r>
    <w:r>
      <w:rPr>
        <w:sz w:val="18"/>
        <w:szCs w:val="18"/>
      </w:rPr>
      <w:fldChar w:fldCharType="separate"/>
    </w:r>
    <w:r>
      <w:rPr>
        <w:rFonts w:ascii="Arial" w:eastAsia="宋体"/>
        <w:sz w:val="18"/>
        <w:szCs w:val="18"/>
      </w:rPr>
      <w:t>1</w:t>
    </w:r>
    <w:r>
      <w:rPr>
        <w:sz w:val="18"/>
        <w:szCs w:val="18"/>
      </w:rPr>
      <w:fldChar w:fldCharType="end"/>
    </w:r>
    <w:r>
      <w:rPr>
        <w:rFonts w:hint="eastAsia" w:ascii="Arial" w:eastAsia="宋体"/>
        <w:sz w:val="18"/>
        <w:szCs w:val="18"/>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64EF">
    <w:pPr>
      <w:tabs>
        <w:tab w:val="left" w:pos="2694"/>
      </w:tabs>
      <w:snapToGrid w:val="0"/>
      <w:spacing w:line="300" w:lineRule="auto"/>
      <w:ind w:left="23"/>
      <w:rPr>
        <w:rFonts w:ascii="Arial" w:eastAsia="宋体"/>
        <w:sz w:val="21"/>
        <w:szCs w:val="21"/>
      </w:rPr>
    </w:pPr>
    <w:r>
      <w:rPr>
        <w:rFonts w:hint="eastAsia" w:ascii="Arial" w:eastAsia="宋体"/>
        <w:sz w:val="21"/>
        <w:szCs w:val="21"/>
      </w:rPr>
      <w:t>2017/8/10</w:t>
    </w:r>
    <w:r>
      <w:rPr>
        <w:rFonts w:hint="eastAsia" w:ascii="Arial" w:eastAsia="宋体"/>
        <w:sz w:val="21"/>
        <w:szCs w:val="21"/>
      </w:rPr>
      <w:tab/>
    </w:r>
    <w:r>
      <w:rPr>
        <w:rFonts w:hint="eastAsia" w:ascii="Arial" w:eastAsia="宋体"/>
        <w:sz w:val="21"/>
        <w:szCs w:val="21"/>
      </w:rPr>
      <w:t>合规政策指导 &gt; CPG Sec.280.100 - 稳定性要求 - 许可体外诊断产品</w:t>
    </w:r>
  </w:p>
  <w:p w14:paraId="154FCA3A">
    <w:pPr>
      <w:tabs>
        <w:tab w:val="left" w:pos="2694"/>
      </w:tabs>
      <w:snapToGrid w:val="0"/>
      <w:spacing w:line="300" w:lineRule="auto"/>
      <w:ind w:left="23"/>
      <w:rPr>
        <w:rFonts w:ascii="Arial" w:hAnsi="Arial" w:eastAsia="宋体" w:cs="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C568C"/>
    <w:multiLevelType w:val="multilevel"/>
    <w:tmpl w:val="64BC568C"/>
    <w:lvl w:ilvl="0" w:tentative="0">
      <w:start w:val="601"/>
      <w:numFmt w:val="decimal"/>
      <w:lvlText w:val="%1"/>
      <w:lvlJc w:val="left"/>
      <w:pPr>
        <w:ind w:left="100" w:hanging="705"/>
        <w:jc w:val="left"/>
      </w:pPr>
      <w:rPr>
        <w:rFonts w:hint="default"/>
      </w:rPr>
    </w:lvl>
    <w:lvl w:ilvl="1" w:tentative="0">
      <w:start w:val="2"/>
      <w:numFmt w:val="decimal"/>
      <w:lvlText w:val="%1.%2"/>
      <w:lvlJc w:val="left"/>
      <w:pPr>
        <w:ind w:left="100" w:hanging="705"/>
        <w:jc w:val="left"/>
      </w:pPr>
      <w:rPr>
        <w:rFonts w:hint="default" w:ascii="Arial" w:hAnsi="Arial" w:eastAsia="Arial"/>
        <w:w w:val="102"/>
        <w:sz w:val="25"/>
        <w:szCs w:val="25"/>
      </w:rPr>
    </w:lvl>
    <w:lvl w:ilvl="2" w:tentative="0">
      <w:start w:val="1"/>
      <w:numFmt w:val="decimal"/>
      <w:lvlText w:val="%3."/>
      <w:lvlJc w:val="left"/>
      <w:pPr>
        <w:ind w:left="612" w:hanging="353"/>
        <w:jc w:val="left"/>
      </w:pPr>
      <w:rPr>
        <w:rFonts w:hint="default" w:ascii="Arial" w:hAnsi="Arial" w:eastAsia="Arial"/>
        <w:w w:val="102"/>
        <w:sz w:val="24"/>
        <w:szCs w:val="24"/>
      </w:rPr>
    </w:lvl>
    <w:lvl w:ilvl="3" w:tentative="0">
      <w:start w:val="1"/>
      <w:numFmt w:val="bullet"/>
      <w:lvlText w:val="•"/>
      <w:lvlJc w:val="left"/>
      <w:pPr>
        <w:ind w:left="2953" w:hanging="353"/>
      </w:pPr>
      <w:rPr>
        <w:rFonts w:hint="default"/>
      </w:rPr>
    </w:lvl>
    <w:lvl w:ilvl="4" w:tentative="0">
      <w:start w:val="1"/>
      <w:numFmt w:val="bullet"/>
      <w:lvlText w:val="•"/>
      <w:lvlJc w:val="left"/>
      <w:pPr>
        <w:ind w:left="4120" w:hanging="353"/>
      </w:pPr>
      <w:rPr>
        <w:rFonts w:hint="default"/>
      </w:rPr>
    </w:lvl>
    <w:lvl w:ilvl="5" w:tentative="0">
      <w:start w:val="1"/>
      <w:numFmt w:val="bullet"/>
      <w:lvlText w:val="•"/>
      <w:lvlJc w:val="left"/>
      <w:pPr>
        <w:ind w:left="5286" w:hanging="353"/>
      </w:pPr>
      <w:rPr>
        <w:rFonts w:hint="default"/>
      </w:rPr>
    </w:lvl>
    <w:lvl w:ilvl="6" w:tentative="0">
      <w:start w:val="1"/>
      <w:numFmt w:val="bullet"/>
      <w:lvlText w:val="•"/>
      <w:lvlJc w:val="left"/>
      <w:pPr>
        <w:ind w:left="6453" w:hanging="353"/>
      </w:pPr>
      <w:rPr>
        <w:rFonts w:hint="default"/>
      </w:rPr>
    </w:lvl>
    <w:lvl w:ilvl="7" w:tentative="0">
      <w:start w:val="1"/>
      <w:numFmt w:val="bullet"/>
      <w:lvlText w:val="•"/>
      <w:lvlJc w:val="left"/>
      <w:pPr>
        <w:ind w:left="7620" w:hanging="353"/>
      </w:pPr>
      <w:rPr>
        <w:rFonts w:hint="default"/>
      </w:rPr>
    </w:lvl>
    <w:lvl w:ilvl="8" w:tentative="0">
      <w:start w:val="1"/>
      <w:numFmt w:val="bullet"/>
      <w:lvlText w:val="•"/>
      <w:lvlJc w:val="left"/>
      <w:pPr>
        <w:ind w:left="8786"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1A"/>
    <w:rsid w:val="00024F32"/>
    <w:rsid w:val="0038323C"/>
    <w:rsid w:val="003A3FF4"/>
    <w:rsid w:val="00447496"/>
    <w:rsid w:val="00452265"/>
    <w:rsid w:val="004613F3"/>
    <w:rsid w:val="004A221A"/>
    <w:rsid w:val="004A794B"/>
    <w:rsid w:val="004E0A80"/>
    <w:rsid w:val="0062502C"/>
    <w:rsid w:val="006624CB"/>
    <w:rsid w:val="007D75B1"/>
    <w:rsid w:val="00817D85"/>
    <w:rsid w:val="008C223C"/>
    <w:rsid w:val="008C45B6"/>
    <w:rsid w:val="0098434A"/>
    <w:rsid w:val="009E04A6"/>
    <w:rsid w:val="00C71A16"/>
    <w:rsid w:val="00C7458D"/>
    <w:rsid w:val="00CE66D5"/>
    <w:rsid w:val="00D52EBE"/>
    <w:rsid w:val="00D75D94"/>
    <w:rsid w:val="00DA795E"/>
    <w:rsid w:val="00EA2332"/>
    <w:rsid w:val="00EC165A"/>
    <w:rsid w:val="00F32D3B"/>
    <w:rsid w:val="00F755E0"/>
    <w:rsid w:val="00FB5F28"/>
    <w:rsid w:val="00FC00C6"/>
    <w:rsid w:val="37850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ShunDaJiaYi</Company>
  <Pages>3</Pages>
  <Words>912</Words>
  <Characters>1580</Characters>
  <Lines>19</Lines>
  <Paragraphs>5</Paragraphs>
  <TotalTime>1</TotalTime>
  <ScaleCrop>false</ScaleCrop>
  <LinksUpToDate>false</LinksUpToDate>
  <CharactersWithSpaces>1611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2017-10-16T11:05:00Z</dcterms:created>
  <dc:creator>cathy-wen</dc:creator>
  <cp:lastModifiedBy>太极箫客</cp:lastModifiedBy>
  <dcterms:modified xsi:type="dcterms:W3CDTF">2025-08-14T06:16:10Z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2017-10-09T00:00:00Z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F62E04C59C0F4DD8A3064E93809496B2_12</vt:lpwstr>
  </property>
</Properties>
</file>