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8A67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  <w:bookmarkStart w:id="0" w:name="_GoBack"/>
      <w:bookmarkEnd w:id="0"/>
    </w:p>
    <w:p w14:paraId="48FC1399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438F1EF4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1D395D44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2064D7AC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64"/>
          <w:szCs w:val="64"/>
        </w:rPr>
      </w:pPr>
      <w:r>
        <w:rPr>
          <w:rFonts w:ascii="Arial" w:hAnsi="Arial" w:eastAsia="宋体" w:cs="Arial"/>
          <w:b/>
          <w:sz w:val="64"/>
        </w:rPr>
        <w:t>CPG章节160.750发现违反GMPR的药品和器械产品（包括生物制剂和动物药品）-重新调整</w:t>
      </w:r>
    </w:p>
    <w:p w14:paraId="1A22A0BA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b/>
          <w:sz w:val="28"/>
          <w:szCs w:val="28"/>
        </w:rPr>
        <w:t>背景：</w:t>
      </w:r>
    </w:p>
    <w:p w14:paraId="36735836">
      <w:pPr>
        <w:pStyle w:val="2"/>
        <w:snapToGrid w:val="0"/>
        <w:spacing w:after="120" w:afterLines="50" w:line="30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有关是否通过方法或在不符合</w:t>
      </w:r>
      <w:r>
        <w:rPr>
          <w:rFonts w:ascii="宋体" w:hAnsi="宋体" w:cs="Arial"/>
          <w:sz w:val="28"/>
          <w:szCs w:val="28"/>
        </w:rPr>
        <w:t>“</w:t>
      </w:r>
      <w:r>
        <w:rPr>
          <w:rFonts w:cs="Arial"/>
          <w:sz w:val="28"/>
          <w:szCs w:val="28"/>
        </w:rPr>
        <w:t>良好生产规范</w:t>
      </w:r>
      <w:r>
        <w:rPr>
          <w:rFonts w:ascii="宋体" w:hAnsi="宋体" w:cs="Arial"/>
          <w:sz w:val="28"/>
          <w:szCs w:val="28"/>
        </w:rPr>
        <w:t>”</w:t>
      </w:r>
      <w:r>
        <w:rPr>
          <w:rFonts w:cs="Arial"/>
          <w:sz w:val="28"/>
          <w:szCs w:val="28"/>
        </w:rPr>
        <w:t>规定条件下生产或保存的药品和器械产品出现的问题，并因此确定为不合规的药品和器械产品，可重新调整并返回贸易渠道。本CPG涵盖的情况是指已对不合规作出判定的情况，例如，由于不符合</w:t>
      </w:r>
      <w:r>
        <w:rPr>
          <w:rFonts w:ascii="宋体" w:hAnsi="宋体" w:cs="Arial"/>
          <w:sz w:val="28"/>
          <w:szCs w:val="28"/>
        </w:rPr>
        <w:t>“</w:t>
      </w:r>
      <w:r>
        <w:rPr>
          <w:rFonts w:cs="Arial"/>
          <w:sz w:val="28"/>
          <w:szCs w:val="28"/>
        </w:rPr>
        <w:t>良好生产规范</w:t>
      </w:r>
      <w:r>
        <w:rPr>
          <w:rFonts w:ascii="宋体" w:hAnsi="宋体" w:cs="Arial"/>
          <w:sz w:val="28"/>
          <w:szCs w:val="28"/>
        </w:rPr>
        <w:t>”</w:t>
      </w:r>
      <w:r>
        <w:rPr>
          <w:rFonts w:cs="Arial"/>
          <w:sz w:val="28"/>
          <w:szCs w:val="28"/>
        </w:rPr>
        <w:t>，根据该法案第304章扣押和谴责的药品和器械产品，由于发现违反了CGMPR等原因而被召回的药品和器械产品。虽然不符合GMP可以在后续批次或相关产品批次中得到纠正，但可能很难或不可能追溯性纠正已生产批次或批量中的缺陷的影响。</w:t>
      </w:r>
    </w:p>
    <w:p w14:paraId="13270CEA">
      <w:pPr>
        <w:pStyle w:val="2"/>
        <w:snapToGrid w:val="0"/>
        <w:spacing w:after="120" w:afterLines="50" w:line="30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政策：</w:t>
      </w:r>
    </w:p>
    <w:p w14:paraId="179B3CFA">
      <w:pPr>
        <w:pStyle w:val="2"/>
        <w:snapToGrid w:val="0"/>
        <w:spacing w:after="120" w:afterLines="50" w:line="30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如满足下列条件，生产、加工或保存条件不符合</w:t>
      </w:r>
      <w:r>
        <w:rPr>
          <w:rFonts w:ascii="宋体" w:hAnsi="宋体" w:cs="Arial"/>
          <w:sz w:val="28"/>
          <w:szCs w:val="28"/>
        </w:rPr>
        <w:t>“</w:t>
      </w:r>
      <w:r>
        <w:rPr>
          <w:rFonts w:cs="Arial"/>
          <w:sz w:val="28"/>
          <w:szCs w:val="28"/>
        </w:rPr>
        <w:t>良好生产规范</w:t>
      </w:r>
      <w:r>
        <w:rPr>
          <w:rFonts w:ascii="宋体" w:hAnsi="宋体" w:cs="Arial"/>
          <w:sz w:val="28"/>
          <w:szCs w:val="28"/>
        </w:rPr>
        <w:t>”</w:t>
      </w:r>
      <w:r>
        <w:rPr>
          <w:rFonts w:cs="Arial"/>
          <w:sz w:val="28"/>
          <w:szCs w:val="28"/>
        </w:rPr>
        <w:t>规定的不合规药品和器械产品的重新调整，可获得批准：</w:t>
      </w:r>
    </w:p>
    <w:p w14:paraId="3B43C6BA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120" w:afterLines="50" w:line="300" w:lineRule="auto"/>
        <w:ind w:left="352" w:hanging="352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所有有关方面（地区、中心、OE、* OCC *）均必须审查任何重新调整方案，以确定该计划是否能合理预期使药品器械产品符合规定。</w:t>
      </w:r>
    </w:p>
    <w:p w14:paraId="6B0B9758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120" w:afterLines="50" w:line="300" w:lineRule="auto"/>
        <w:ind w:left="352" w:hanging="352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为了可以接受，拟议的重新调整计划必须克服任何观察到的GMP缺陷并纠正任何已知的产品缺陷。</w:t>
      </w:r>
    </w:p>
    <w:p w14:paraId="13E933BB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120" w:afterLines="50" w:line="300" w:lineRule="auto"/>
        <w:ind w:left="352" w:hanging="352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如果在发生GMP违例行为的设施内进行批次重新调整，则必须在接受重新调整建议之前，必须纠正违反规定的情况，或将其纳入重新调整计划的一部分。</w:t>
      </w:r>
    </w:p>
    <w:p w14:paraId="1452ED13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120" w:afterLines="50" w:line="300" w:lineRule="auto"/>
        <w:ind w:left="352" w:hanging="352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如果该批次是在与发生GMP违规行为的独立设施中进行且独立的设施符合规定，可根据上文第1和第2段所规定的条件来考虑重新调整方案。</w:t>
      </w:r>
    </w:p>
    <w:p w14:paraId="091E1A2A">
      <w:pPr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br w:type="page"/>
      </w:r>
    </w:p>
    <w:p w14:paraId="18B41290">
      <w:pPr>
        <w:pStyle w:val="2"/>
        <w:snapToGrid w:val="0"/>
        <w:spacing w:after="120" w:afterLines="50" w:line="30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在所有重新调整确保完全符合FDA认证前，不得发布产品。</w:t>
      </w:r>
    </w:p>
    <w:p w14:paraId="1A546CA9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8"/>
          <w:szCs w:val="28"/>
        </w:rPr>
      </w:pPr>
    </w:p>
    <w:p w14:paraId="3F53DB0A">
      <w:pPr>
        <w:pStyle w:val="2"/>
        <w:snapToGrid w:val="0"/>
        <w:spacing w:after="120" w:afterLines="50" w:line="30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*星号之间的材料是新材料或改进材料*</w:t>
      </w:r>
    </w:p>
    <w:p w14:paraId="56838E8E">
      <w:pPr>
        <w:pStyle w:val="2"/>
        <w:snapToGrid w:val="0"/>
        <w:spacing w:after="120" w:afterLines="50" w:line="30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发布日期：1983年3月1日</w:t>
      </w:r>
    </w:p>
    <w:p w14:paraId="6205A107">
      <w:pPr>
        <w:pStyle w:val="2"/>
        <w:snapToGrid w:val="0"/>
        <w:spacing w:after="120" w:afterLines="50" w:line="30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修订日期：1995年3月、1996年8月</w:t>
      </w:r>
    </w:p>
    <w:p w14:paraId="61C78E7C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8"/>
          <w:szCs w:val="28"/>
        </w:rPr>
      </w:pPr>
    </w:p>
    <w:tbl>
      <w:tblPr>
        <w:tblStyle w:val="7"/>
        <w:tblW w:w="10884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51B60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367CBB41">
            <w:pPr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(/ICECI/Compliance Manuals/Compliance PolicyGuidance Manual/default.htm)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4ACEB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070886B6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Manual/ucm116271.htm)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 xml:space="preserve"> </w:t>
            </w:r>
          </w:p>
        </w:tc>
      </w:tr>
      <w:tr w14:paraId="79FF9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46B2201D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C2F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7E1DF725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7BBA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AEE3079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第三章-器械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59D0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52C783DD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DA0E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15FFFB78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60EF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635A9226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第六章-兽医医学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5CB7B9C3">
      <w:pPr>
        <w:snapToGrid w:val="0"/>
        <w:spacing w:after="120" w:afterLines="50" w:line="300" w:lineRule="auto"/>
        <w:jc w:val="both"/>
        <w:rPr>
          <w:rFonts w:ascii="Arial" w:hAnsi="Arial" w:eastAsia="宋体" w:cs="Arial"/>
          <w:sz w:val="28"/>
          <w:szCs w:val="28"/>
        </w:rPr>
      </w:pPr>
    </w:p>
    <w:p w14:paraId="2824DEB6">
      <w:pPr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18985034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696FFCD9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A8E3F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ascii="Arial" w:hAnsi="Arial" w:eastAsia="宋体" w:cs="Arial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"http://www.fda.gov/ICECI/ComplianceManuals/CompliancePolicyGuidanceManual/ucm073854.htm" \h </w:instrText>
    </w:r>
    <w:r>
      <w:fldChar w:fldCharType="separate"/>
    </w:r>
    <w:r>
      <w:rPr>
        <w:rFonts w:ascii="Arial" w:hAnsi="Arial" w:eastAsia="宋体" w:cs="Arial"/>
        <w:sz w:val="15"/>
        <w:szCs w:val="15"/>
      </w:rPr>
      <w:t>www.fda.gov/ICECI/ComplianceManuals/CompliancePolicyGuidanceManual/ucm073854.htm</w:t>
    </w:r>
    <w:r>
      <w:rPr>
        <w:rFonts w:ascii="Arial" w:hAnsi="Arial" w:eastAsia="宋体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eastAsia="宋体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eastAsia="宋体" w:cs="Arial"/>
        <w:sz w:val="15"/>
        <w:szCs w:val="15"/>
      </w:rPr>
      <w:t>2</w:t>
    </w:r>
    <w:r>
      <w:rPr>
        <w:rFonts w:ascii="Arial" w:hAnsi="Arial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>/2</w:t>
    </w:r>
  </w:p>
  <w:p w14:paraId="0AE83414">
    <w:pPr>
      <w:spacing w:line="14" w:lineRule="auto"/>
      <w:rPr>
        <w:rFonts w:ascii="Arial" w:hAnsi="Arial" w:cs="Arial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931CC">
    <w:pPr>
      <w:tabs>
        <w:tab w:val="left" w:pos="3402"/>
      </w:tabs>
      <w:spacing w:line="184" w:lineRule="exact"/>
      <w:ind w:left="20"/>
      <w:rPr>
        <w:rFonts w:ascii="Arial" w:hAnsi="Arial" w:eastAsia="宋体"/>
        <w:sz w:val="15"/>
        <w:szCs w:val="15"/>
      </w:rPr>
    </w:pPr>
    <w:r>
      <w:rPr>
        <w:rFonts w:hint="eastAsia" w:ascii="Arial" w:hAnsi="Arial" w:eastAsia="宋体"/>
        <w:sz w:val="15"/>
        <w:szCs w:val="15"/>
      </w:rPr>
      <w:t>2017年8月10日</w:t>
    </w:r>
    <w:r>
      <w:rPr>
        <w:rFonts w:hint="eastAsia" w:ascii="Arial" w:hAnsi="Arial" w:eastAsia="宋体"/>
        <w:sz w:val="15"/>
        <w:szCs w:val="15"/>
      </w:rPr>
      <w:tab/>
    </w:r>
    <w:r>
      <w:rPr>
        <w:rFonts w:hint="eastAsia" w:ascii="Arial" w:hAnsi="Arial" w:eastAsia="宋体"/>
        <w:sz w:val="15"/>
        <w:szCs w:val="15"/>
      </w:rPr>
      <w:t>合规政策指南&gt;CPG章节160.750发现违反GMPR的药品和器械产品（包括生物制剂和动物药品）- 重新调整</w:t>
    </w:r>
  </w:p>
  <w:p w14:paraId="5D00D757">
    <w:pPr>
      <w:tabs>
        <w:tab w:val="left" w:pos="3402"/>
      </w:tabs>
      <w:spacing w:line="184" w:lineRule="exact"/>
      <w:ind w:left="20"/>
      <w:rPr>
        <w:rFonts w:ascii="Arial" w:hAnsi="Arial" w:eastAsia="宋体"/>
        <w:sz w:val="15"/>
        <w:szCs w:val="15"/>
      </w:rPr>
    </w:pPr>
  </w:p>
  <w:p w14:paraId="43443B52">
    <w:pPr>
      <w:tabs>
        <w:tab w:val="left" w:pos="3402"/>
      </w:tabs>
      <w:spacing w:line="184" w:lineRule="exact"/>
      <w:ind w:left="20"/>
      <w:rPr>
        <w:rFonts w:ascii="Arial" w:hAnsi="Arial" w:eastAsia="宋体"/>
        <w:sz w:val="15"/>
        <w:szCs w:val="15"/>
      </w:rPr>
    </w:pPr>
  </w:p>
  <w:p w14:paraId="3B1C706B">
    <w:pPr>
      <w:tabs>
        <w:tab w:val="left" w:pos="3402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1CA125A8">
    <w:pPr>
      <w:tabs>
        <w:tab w:val="left" w:pos="3261"/>
      </w:tabs>
      <w:spacing w:line="14" w:lineRule="auto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0347A"/>
    <w:multiLevelType w:val="multilevel"/>
    <w:tmpl w:val="1250347A"/>
    <w:lvl w:ilvl="0" w:tentative="0">
      <w:start w:val="1"/>
      <w:numFmt w:val="decimal"/>
      <w:lvlText w:val="%1."/>
      <w:lvlJc w:val="left"/>
      <w:pPr>
        <w:ind w:left="612" w:hanging="353"/>
        <w:jc w:val="left"/>
      </w:pPr>
      <w:rPr>
        <w:rFonts w:hint="default" w:ascii="Arial" w:hAnsi="Arial" w:eastAsia="Arial"/>
        <w:spacing w:val="1"/>
        <w:w w:val="102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661" w:hanging="353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709" w:hanging="353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758" w:hanging="353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807" w:hanging="353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856" w:hanging="353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904" w:hanging="353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953" w:hanging="353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900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A5"/>
    <w:rsid w:val="0002124A"/>
    <w:rsid w:val="0006248A"/>
    <w:rsid w:val="001178A8"/>
    <w:rsid w:val="004058F0"/>
    <w:rsid w:val="00475B98"/>
    <w:rsid w:val="005925A9"/>
    <w:rsid w:val="005B0524"/>
    <w:rsid w:val="006C09DA"/>
    <w:rsid w:val="006C36AE"/>
    <w:rsid w:val="00784098"/>
    <w:rsid w:val="008221EF"/>
    <w:rsid w:val="0088551D"/>
    <w:rsid w:val="008B2218"/>
    <w:rsid w:val="009113A5"/>
    <w:rsid w:val="00954F0E"/>
    <w:rsid w:val="009D33F0"/>
    <w:rsid w:val="00AD146E"/>
    <w:rsid w:val="00AD76A8"/>
    <w:rsid w:val="00D72497"/>
    <w:rsid w:val="00EA342B"/>
    <w:rsid w:val="00EA5D29"/>
    <w:rsid w:val="00EE679F"/>
    <w:rsid w:val="00F30394"/>
    <w:rsid w:val="76A0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711</Words>
  <Characters>1296</Characters>
  <Lines>15</Lines>
  <Paragraphs>4</Paragraphs>
  <TotalTime>0</TotalTime>
  <ScaleCrop>false</ScaleCrop>
  <LinksUpToDate>false</LinksUpToDate>
  <CharactersWithSpaces>1323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2017-11-10T01:48:00Z</dcterms:created>
  <dc:creator>wenrongzhen</dc:creator>
  <cp:lastModifiedBy>太极箫客</cp:lastModifiedBy>
  <dcterms:modified xsi:type="dcterms:W3CDTF">2025-08-14T06:16:10Z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5FD4E052CFA94E51B2063EDC69924838_12</vt:lpwstr>
  </property>
</Properties>
</file>